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2EF91A">
      <w:pPr>
        <w:pStyle w:val="40"/>
        <w:shd w:val="clear" w:color="auto" w:fill="FFFFFF"/>
        <w:spacing w:before="0" w:beforeAutospacing="0" w:after="0" w:afterAutospacing="0" w:line="360" w:lineRule="auto"/>
        <w:jc w:val="center"/>
        <w:rPr>
          <w:rFonts w:hint="eastAsia" w:ascii="仿宋" w:hAnsi="仿宋" w:eastAsia="仿宋" w:cs="仿宋"/>
          <w:b/>
          <w:bCs/>
          <w:color w:val="auto"/>
          <w:sz w:val="44"/>
          <w:szCs w:val="44"/>
          <w:highlight w:val="none"/>
        </w:rPr>
      </w:pPr>
      <w:r>
        <w:rPr>
          <w:rFonts w:hint="eastAsia" w:ascii="仿宋" w:hAnsi="仿宋" w:eastAsia="仿宋" w:cs="仿宋"/>
          <w:b/>
          <w:color w:val="auto"/>
          <w:sz w:val="44"/>
          <w:szCs w:val="44"/>
          <w:highlight w:val="none"/>
        </w:rPr>
        <w:drawing>
          <wp:inline distT="0" distB="0" distL="114300" distR="114300">
            <wp:extent cx="488315" cy="488315"/>
            <wp:effectExtent l="0" t="0" r="6985" b="6985"/>
            <wp:docPr id="2" name="图片 1" descr="8dc398a9-b84f-48b4-b641-18b8eedbf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8dc398a9-b84f-48b4-b641-18b8eedbf416"/>
                    <pic:cNvPicPr>
                      <a:picLocks noChangeAspect="1"/>
                    </pic:cNvPicPr>
                  </pic:nvPicPr>
                  <pic:blipFill>
                    <a:blip r:embed="rId18"/>
                    <a:stretch>
                      <a:fillRect/>
                    </a:stretch>
                  </pic:blipFill>
                  <pic:spPr>
                    <a:xfrm>
                      <a:off x="0" y="0"/>
                      <a:ext cx="488315" cy="488315"/>
                    </a:xfrm>
                    <a:prstGeom prst="rect">
                      <a:avLst/>
                    </a:prstGeom>
                    <a:noFill/>
                    <a:ln>
                      <a:noFill/>
                    </a:ln>
                  </pic:spPr>
                </pic:pic>
              </a:graphicData>
            </a:graphic>
          </wp:inline>
        </w:drawing>
      </w:r>
    </w:p>
    <w:p w14:paraId="46A44E31">
      <w:pPr>
        <w:jc w:val="center"/>
        <w:rPr>
          <w:rFonts w:hint="eastAsia" w:ascii="仿宋" w:hAnsi="仿宋" w:eastAsia="仿宋" w:cs="仿宋"/>
          <w:b/>
          <w:bCs/>
          <w:color w:val="auto"/>
          <w:sz w:val="52"/>
          <w:highlight w:val="none"/>
        </w:rPr>
      </w:pPr>
      <w:r>
        <w:rPr>
          <w:rFonts w:hint="eastAsia" w:ascii="仿宋" w:hAnsi="仿宋" w:eastAsia="仿宋" w:cs="仿宋"/>
          <w:b/>
          <w:bCs/>
          <w:color w:val="auto"/>
          <w:sz w:val="44"/>
          <w:szCs w:val="44"/>
          <w:highlight w:val="none"/>
        </w:rPr>
        <w:t>公诚管理咨询有限公司</w:t>
      </w:r>
    </w:p>
    <w:p w14:paraId="6A0E4711">
      <w:pPr>
        <w:jc w:val="cente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Gongcheng Management Consulting Co. , Ltd.</w:t>
      </w:r>
    </w:p>
    <w:p w14:paraId="68B52681">
      <w:pPr>
        <w:spacing w:after="120"/>
        <w:ind w:firstLine="404"/>
        <w:rPr>
          <w:rFonts w:hint="eastAsia" w:ascii="仿宋" w:hAnsi="仿宋" w:eastAsia="仿宋" w:cs="仿宋"/>
          <w:b/>
          <w:bCs/>
          <w:color w:val="auto"/>
          <w:sz w:val="10"/>
          <w:highlight w:val="none"/>
        </w:rPr>
      </w:pPr>
      <w:r>
        <w:rPr>
          <w:rFonts w:hint="eastAsia" w:ascii="仿宋" w:hAnsi="仿宋" w:eastAsia="仿宋" w:cs="仿宋"/>
          <w:color w:val="auto"/>
          <w:sz w:val="20"/>
          <w:highlight w:val="none"/>
          <w:u w:val="single"/>
        </w:rPr>
        <mc:AlternateContent>
          <mc:Choice Requires="wps">
            <w:drawing>
              <wp:anchor distT="0" distB="0" distL="114300" distR="114300" simplePos="0" relativeHeight="251661312" behindDoc="0" locked="0" layoutInCell="1" allowOverlap="1">
                <wp:simplePos x="0" y="0"/>
                <wp:positionH relativeFrom="column">
                  <wp:posOffset>-289560</wp:posOffset>
                </wp:positionH>
                <wp:positionV relativeFrom="paragraph">
                  <wp:posOffset>58420</wp:posOffset>
                </wp:positionV>
                <wp:extent cx="6282055" cy="0"/>
                <wp:effectExtent l="0" t="13970" r="4445" b="14605"/>
                <wp:wrapNone/>
                <wp:docPr id="1" name="直接连接符 1"/>
                <wp:cNvGraphicFramePr/>
                <a:graphic xmlns:a="http://schemas.openxmlformats.org/drawingml/2006/main">
                  <a:graphicData uri="http://schemas.microsoft.com/office/word/2010/wordprocessingShape">
                    <wps:wsp>
                      <wps:cNvCnPr/>
                      <wps:spPr>
                        <a:xfrm flipV="1">
                          <a:off x="0" y="0"/>
                          <a:ext cx="6282055" cy="0"/>
                        </a:xfrm>
                        <a:prstGeom prst="line">
                          <a:avLst/>
                        </a:prstGeom>
                        <a:ln w="285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22.8pt;margin-top:4.6pt;height:0pt;width:494.65pt;z-index:251661312;mso-width-relative:page;mso-height-relative:page;" filled="f" stroked="t" coordsize="21600,21600" o:gfxdata="UEsDBAoAAAAAAIdO4kAAAAAAAAAAAAAAAAAEAAAAZHJzL1BLAwQUAAAACACHTuJARcUsVNYAAAAH&#10;AQAADwAAAGRycy9kb3ducmV2LnhtbE2OwU7DMBBE70j8g7WVuKDWbimhTeP0gATi0EsDH7CJlyQi&#10;XofYbdp+PS4XOI5m9OZl25PtxJEG3zrWMJ8pEMSVMy3XGj7eX6YrED4gG+wck4YzedjmtzcZpsaN&#10;vKdjEWoRIexT1NCE0KdS+qohi37meuLYfbrBYohxqKUZcIxw28mFUom02HJ8aLCn54aqr+JgNezL&#10;Fe7e1HfhzpxcxkvhX+/7Suu7yVxtQAQ6hb8xXPWjOuTRqXQHNl50GqbLxyRONawXIGK/Xj48gSh/&#10;s8wz+d8//wFQSwMEFAAAAAgAh07iQM/G1vr4AQAA8QMAAA4AAABkcnMvZTJvRG9jLnhtbK1TO24b&#10;MRDtA+QOBPtoJQFyhIVWLiw7TZAIyKcfcUktAf7AobXSJXKBAOmSKmX63Cb2MTLkyoLjNCq8BTFD&#10;Dt/Me/u4uNxbw3Yyovau4ZPRmDPphG+12zb808ebV3POMIFrwXgnG36QyC+XL18s+lDLqe+8aWVk&#10;BOKw7kPDu5RCXVUoOmkBRz5IR4fKRwuJ0rit2gg9oVtTTcfji6r3sQ3RC4lIu6vhkB8R4zmAXikt&#10;5MqLWytdGlCjNJCIEnY6IF+WaZWSIr1XCmVipuHENJWVmlC8yWu1XEC9jRA6LY4jwDkjPOFkQTtq&#10;eoJaQQJ2G/V/UFaL6NGrNBLeVgORogixmIyfaPOhgyALF5Iaw0l0fD5Y8W63jky35ATOHFj64Xdf&#10;f/358v3+9zda737+YJMsUh+wptort47HDMM6ZsZ7FS1TRofPGSPvECu2LxIfThLLfWKCNi+m8+l4&#10;NuNMPJxVA0S+GCKmN9JbloOGG+0ye6hh9xYTtaXSh5K8bRzrGz6dz15nPCAvKvIAhTYQH3Tbchm9&#10;0e2NNiZfwbjdXJnIdpD9UL7MjoD/KctdVoDdUFeOBqd0Etpr17J0CKSUowfC8wxWtpwZSe8pRwQI&#10;dQJtzqmk1sblC7K49Ug0yz0InKONbw9F9ypn5IQy8dG12WqPc4ofv9Tl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XFLFTWAAAABwEAAA8AAAAAAAAAAQAgAAAAIgAAAGRycy9kb3ducmV2LnhtbFBL&#10;AQIUABQAAAAIAIdO4kDPxtb6+AEAAPEDAAAOAAAAAAAAAAEAIAAAACUBAABkcnMvZTJvRG9jLnht&#10;bFBLBQYAAAAABgAGAFkBAACPBQAAAAA=&#10;">
                <v:fill on="f" focussize="0,0"/>
                <v:stroke weight="2.25pt" color="#000000" joinstyle="round"/>
                <v:imagedata o:title=""/>
                <o:lock v:ext="edit" aspectratio="f"/>
              </v:line>
            </w:pict>
          </mc:Fallback>
        </mc:AlternateContent>
      </w:r>
      <w:r>
        <w:rPr>
          <w:rFonts w:hint="eastAsia" w:ascii="仿宋" w:hAnsi="仿宋" w:eastAsia="仿宋" w:cs="仿宋"/>
          <w:b/>
          <w:bCs/>
          <w:color w:val="auto"/>
          <w:sz w:val="10"/>
          <w:highlight w:val="none"/>
        </w:rPr>
        <w:t xml:space="preserve">                                                                                                                                                                                       </w:t>
      </w:r>
    </w:p>
    <w:p w14:paraId="6E941C61">
      <w:pPr>
        <w:spacing w:before="120" w:beforeLines="50" w:line="360" w:lineRule="auto"/>
        <w:jc w:val="center"/>
        <w:rPr>
          <w:rFonts w:hint="eastAsia" w:ascii="仿宋" w:hAnsi="仿宋" w:eastAsia="仿宋" w:cs="仿宋"/>
          <w:color w:val="auto"/>
          <w:sz w:val="52"/>
          <w:szCs w:val="52"/>
          <w:highlight w:val="none"/>
        </w:rPr>
      </w:pPr>
    </w:p>
    <w:p w14:paraId="032215AB">
      <w:pPr>
        <w:spacing w:before="120" w:beforeLines="50" w:line="360" w:lineRule="auto"/>
        <w:jc w:val="center"/>
        <w:rPr>
          <w:rFonts w:hint="eastAsia" w:ascii="仿宋" w:hAnsi="仿宋" w:eastAsia="仿宋" w:cs="仿宋"/>
          <w:b/>
          <w:color w:val="auto"/>
          <w:sz w:val="48"/>
          <w:szCs w:val="48"/>
          <w:highlight w:val="none"/>
        </w:rPr>
      </w:pPr>
    </w:p>
    <w:p w14:paraId="6B040714">
      <w:pPr>
        <w:snapToGrid w:val="0"/>
        <w:spacing w:before="120" w:beforeLines="50" w:line="360" w:lineRule="auto"/>
        <w:jc w:val="center"/>
        <w:rPr>
          <w:rFonts w:hint="eastAsia" w:ascii="仿宋" w:hAnsi="仿宋" w:eastAsia="仿宋" w:cs="仿宋"/>
          <w:color w:val="auto"/>
          <w:sz w:val="72"/>
          <w:szCs w:val="72"/>
          <w:highlight w:val="none"/>
        </w:rPr>
      </w:pPr>
      <w:r>
        <w:rPr>
          <w:rFonts w:hint="eastAsia" w:ascii="仿宋" w:hAnsi="仿宋" w:eastAsia="仿宋" w:cs="仿宋"/>
          <w:color w:val="auto"/>
          <w:sz w:val="72"/>
          <w:szCs w:val="72"/>
          <w:highlight w:val="none"/>
        </w:rPr>
        <w:t>招 标 文 件</w:t>
      </w:r>
    </w:p>
    <w:p w14:paraId="2F49C8D7">
      <w:pPr>
        <w:snapToGrid w:val="0"/>
        <w:spacing w:before="120" w:beforeLines="50" w:line="360" w:lineRule="auto"/>
        <w:jc w:val="center"/>
        <w:rPr>
          <w:rFonts w:hint="eastAsia" w:ascii="仿宋" w:hAnsi="仿宋" w:eastAsia="仿宋" w:cs="仿宋"/>
          <w:color w:val="auto"/>
          <w:sz w:val="72"/>
          <w:szCs w:val="72"/>
          <w:highlight w:val="none"/>
        </w:rPr>
      </w:pPr>
    </w:p>
    <w:p w14:paraId="621F3760">
      <w:pPr>
        <w:snapToGrid w:val="0"/>
        <w:spacing w:before="120" w:beforeLines="50" w:line="360" w:lineRule="auto"/>
        <w:rPr>
          <w:rFonts w:hint="eastAsia" w:ascii="仿宋" w:hAnsi="仿宋" w:eastAsia="仿宋" w:cs="仿宋"/>
          <w:color w:val="auto"/>
          <w:sz w:val="30"/>
          <w:szCs w:val="72"/>
          <w:highlight w:val="none"/>
        </w:rPr>
      </w:pPr>
    </w:p>
    <w:p w14:paraId="670C67C3">
      <w:pPr>
        <w:snapToGrid w:val="0"/>
        <w:spacing w:before="120" w:beforeLines="50" w:line="360" w:lineRule="auto"/>
        <w:ind w:firstLine="426" w:firstLineChars="149"/>
        <w:rPr>
          <w:rFonts w:hint="eastAsia" w:ascii="仿宋" w:hAnsi="仿宋" w:eastAsia="仿宋" w:cs="仿宋"/>
          <w:b/>
          <w:bCs/>
          <w:color w:val="auto"/>
          <w:w w:val="95"/>
          <w:sz w:val="30"/>
          <w:szCs w:val="30"/>
          <w:highlight w:val="none"/>
          <w:lang w:eastAsia="zh-CN"/>
        </w:rPr>
      </w:pPr>
      <w:r>
        <w:rPr>
          <w:rFonts w:hint="eastAsia" w:ascii="仿宋" w:hAnsi="仿宋" w:eastAsia="仿宋" w:cs="仿宋"/>
          <w:b/>
          <w:bCs/>
          <w:color w:val="auto"/>
          <w:w w:val="95"/>
          <w:sz w:val="30"/>
          <w:szCs w:val="30"/>
          <w:highlight w:val="none"/>
        </w:rPr>
        <w:t>项目名称：</w:t>
      </w:r>
      <w:r>
        <w:rPr>
          <w:rFonts w:hint="eastAsia" w:ascii="仿宋" w:hAnsi="仿宋" w:eastAsia="仿宋" w:cs="仿宋"/>
          <w:b/>
          <w:bCs/>
          <w:color w:val="auto"/>
          <w:w w:val="95"/>
          <w:sz w:val="30"/>
          <w:szCs w:val="30"/>
          <w:highlight w:val="none"/>
          <w:lang w:eastAsia="zh-CN"/>
        </w:rPr>
        <w:t>广西壮族自治区人民医院数字减影血管造影(DSA)设备采购</w:t>
      </w:r>
    </w:p>
    <w:p w14:paraId="0DF9037C">
      <w:pPr>
        <w:pStyle w:val="23"/>
        <w:snapToGrid w:val="0"/>
        <w:spacing w:before="50" w:after="120" w:line="360" w:lineRule="auto"/>
        <w:ind w:firstLine="426" w:firstLineChars="149"/>
        <w:rPr>
          <w:rFonts w:hint="eastAsia" w:ascii="仿宋" w:hAnsi="仿宋" w:eastAsia="仿宋" w:cs="仿宋"/>
          <w:b/>
          <w:bCs/>
          <w:color w:val="auto"/>
          <w:w w:val="95"/>
          <w:sz w:val="30"/>
          <w:szCs w:val="30"/>
          <w:highlight w:val="none"/>
          <w:lang w:eastAsia="zh-CN"/>
        </w:rPr>
      </w:pPr>
      <w:r>
        <w:rPr>
          <w:rFonts w:hint="eastAsia" w:ascii="仿宋" w:hAnsi="仿宋" w:eastAsia="仿宋" w:cs="仿宋"/>
          <w:b/>
          <w:bCs/>
          <w:color w:val="auto"/>
          <w:w w:val="95"/>
          <w:sz w:val="30"/>
          <w:szCs w:val="30"/>
          <w:highlight w:val="none"/>
        </w:rPr>
        <w:t>项目</w:t>
      </w:r>
      <w:r>
        <w:rPr>
          <w:rFonts w:hint="eastAsia" w:ascii="仿宋" w:hAnsi="仿宋" w:eastAsia="仿宋" w:cs="仿宋"/>
          <w:b/>
          <w:bCs/>
          <w:color w:val="auto"/>
          <w:sz w:val="30"/>
          <w:szCs w:val="30"/>
          <w:highlight w:val="none"/>
        </w:rPr>
        <w:t>编号</w:t>
      </w:r>
      <w:r>
        <w:rPr>
          <w:rFonts w:hint="eastAsia" w:ascii="仿宋" w:hAnsi="仿宋" w:eastAsia="仿宋" w:cs="仿宋"/>
          <w:b/>
          <w:bCs/>
          <w:color w:val="auto"/>
          <w:w w:val="95"/>
          <w:sz w:val="30"/>
          <w:szCs w:val="30"/>
          <w:highlight w:val="none"/>
        </w:rPr>
        <w:t>：</w:t>
      </w:r>
      <w:r>
        <w:rPr>
          <w:rFonts w:hint="eastAsia" w:ascii="仿宋" w:hAnsi="仿宋" w:eastAsia="仿宋" w:cs="仿宋"/>
          <w:b/>
          <w:bCs/>
          <w:color w:val="auto"/>
          <w:w w:val="95"/>
          <w:sz w:val="30"/>
          <w:szCs w:val="30"/>
          <w:highlight w:val="none"/>
          <w:lang w:eastAsia="zh-CN"/>
        </w:rPr>
        <w:t>GXZC2025-G1-003081-GCZX</w:t>
      </w:r>
    </w:p>
    <w:p w14:paraId="21303434">
      <w:pPr>
        <w:pStyle w:val="23"/>
        <w:snapToGrid w:val="0"/>
        <w:spacing w:before="50" w:after="120" w:line="360" w:lineRule="auto"/>
        <w:ind w:firstLine="426" w:firstLineChars="149"/>
        <w:rPr>
          <w:rFonts w:hint="eastAsia" w:ascii="仿宋" w:hAnsi="仿宋" w:eastAsia="仿宋" w:cs="仿宋"/>
          <w:b/>
          <w:bCs/>
          <w:color w:val="auto"/>
          <w:w w:val="95"/>
          <w:sz w:val="30"/>
          <w:szCs w:val="30"/>
          <w:highlight w:val="none"/>
        </w:rPr>
      </w:pPr>
      <w:r>
        <w:rPr>
          <w:rFonts w:hint="eastAsia" w:ascii="仿宋" w:hAnsi="仿宋" w:eastAsia="仿宋" w:cs="仿宋"/>
          <w:b/>
          <w:bCs/>
          <w:color w:val="auto"/>
          <w:w w:val="95"/>
          <w:sz w:val="30"/>
          <w:szCs w:val="30"/>
          <w:highlight w:val="none"/>
        </w:rPr>
        <w:t>采 购 人：广西壮族自治区人民医院</w:t>
      </w:r>
    </w:p>
    <w:p w14:paraId="14DC758C">
      <w:pPr>
        <w:pStyle w:val="23"/>
        <w:snapToGrid w:val="0"/>
        <w:spacing w:before="50" w:after="120" w:line="360" w:lineRule="auto"/>
        <w:ind w:firstLine="426" w:firstLineChars="149"/>
        <w:rPr>
          <w:rFonts w:hint="eastAsia" w:ascii="仿宋" w:hAnsi="仿宋" w:eastAsia="仿宋" w:cs="仿宋"/>
          <w:b/>
          <w:bCs/>
          <w:color w:val="auto"/>
          <w:w w:val="95"/>
          <w:sz w:val="30"/>
          <w:szCs w:val="30"/>
          <w:highlight w:val="none"/>
        </w:rPr>
      </w:pPr>
      <w:r>
        <w:rPr>
          <w:rFonts w:hint="eastAsia" w:ascii="仿宋" w:hAnsi="仿宋" w:eastAsia="仿宋" w:cs="仿宋"/>
          <w:b/>
          <w:bCs/>
          <w:color w:val="auto"/>
          <w:w w:val="95"/>
          <w:sz w:val="30"/>
          <w:szCs w:val="30"/>
          <w:highlight w:val="none"/>
        </w:rPr>
        <w:t xml:space="preserve">采购代理机构：公诚管理咨询有限公司 </w:t>
      </w:r>
    </w:p>
    <w:p w14:paraId="73D79CBD">
      <w:pPr>
        <w:pStyle w:val="23"/>
        <w:snapToGrid w:val="0"/>
        <w:spacing w:before="50" w:after="120" w:line="360" w:lineRule="auto"/>
        <w:ind w:firstLine="841" w:firstLineChars="294"/>
        <w:jc w:val="center"/>
        <w:rPr>
          <w:rFonts w:hint="eastAsia" w:ascii="仿宋" w:hAnsi="仿宋" w:eastAsia="仿宋" w:cs="仿宋"/>
          <w:color w:val="auto"/>
          <w:szCs w:val="20"/>
          <w:highlight w:val="none"/>
        </w:rPr>
      </w:pPr>
      <w:r>
        <w:rPr>
          <w:rFonts w:hint="eastAsia" w:ascii="仿宋" w:hAnsi="仿宋" w:eastAsia="仿宋" w:cs="仿宋"/>
          <w:b/>
          <w:bCs/>
          <w:color w:val="auto"/>
          <w:w w:val="95"/>
          <w:sz w:val="30"/>
          <w:szCs w:val="30"/>
          <w:highlight w:val="none"/>
        </w:rPr>
        <w:t>2025年</w:t>
      </w:r>
      <w:r>
        <w:rPr>
          <w:rFonts w:hint="eastAsia" w:ascii="仿宋" w:hAnsi="仿宋" w:eastAsia="仿宋" w:cs="仿宋"/>
          <w:b/>
          <w:bCs/>
          <w:color w:val="auto"/>
          <w:w w:val="95"/>
          <w:sz w:val="30"/>
          <w:szCs w:val="30"/>
          <w:highlight w:val="none"/>
          <w:lang w:val="en-US" w:eastAsia="zh-CN"/>
        </w:rPr>
        <w:t>11</w:t>
      </w:r>
      <w:r>
        <w:rPr>
          <w:rFonts w:hint="eastAsia" w:ascii="仿宋" w:hAnsi="仿宋" w:eastAsia="仿宋" w:cs="仿宋"/>
          <w:b/>
          <w:bCs/>
          <w:color w:val="auto"/>
          <w:w w:val="95"/>
          <w:sz w:val="30"/>
          <w:szCs w:val="30"/>
          <w:highlight w:val="none"/>
        </w:rPr>
        <w:t>月</w:t>
      </w:r>
      <w:r>
        <w:rPr>
          <w:rFonts w:hint="eastAsia" w:ascii="仿宋" w:hAnsi="仿宋" w:eastAsia="仿宋" w:cs="仿宋"/>
          <w:b/>
          <w:bCs/>
          <w:color w:val="auto"/>
          <w:w w:val="95"/>
          <w:sz w:val="30"/>
          <w:szCs w:val="30"/>
          <w:highlight w:val="none"/>
          <w:lang w:val="en-US" w:eastAsia="zh-CN"/>
        </w:rPr>
        <w:t>03</w:t>
      </w:r>
      <w:r>
        <w:rPr>
          <w:rFonts w:hint="eastAsia" w:ascii="仿宋" w:hAnsi="仿宋" w:eastAsia="仿宋" w:cs="仿宋"/>
          <w:b/>
          <w:bCs/>
          <w:color w:val="auto"/>
          <w:w w:val="95"/>
          <w:sz w:val="30"/>
          <w:szCs w:val="30"/>
          <w:highlight w:val="none"/>
        </w:rPr>
        <w:t>日</w:t>
      </w:r>
    </w:p>
    <w:p w14:paraId="26F7830E">
      <w:pPr>
        <w:pStyle w:val="14"/>
        <w:ind w:firstLine="803"/>
        <w:jc w:val="center"/>
        <w:rPr>
          <w:rFonts w:hint="eastAsia" w:ascii="仿宋" w:hAnsi="仿宋" w:eastAsia="仿宋" w:cs="仿宋"/>
          <w:b/>
          <w:bCs/>
          <w:color w:val="auto"/>
          <w:kern w:val="0"/>
          <w:sz w:val="32"/>
          <w:szCs w:val="32"/>
          <w:highlight w:val="none"/>
        </w:rPr>
      </w:pPr>
      <w:r>
        <w:rPr>
          <w:rFonts w:hint="eastAsia" w:ascii="仿宋" w:hAnsi="仿宋" w:eastAsia="仿宋" w:cs="仿宋"/>
          <w:b/>
          <w:bCs/>
          <w:color w:val="auto"/>
          <w:kern w:val="0"/>
          <w:sz w:val="32"/>
          <w:szCs w:val="32"/>
          <w:highlight w:val="none"/>
        </w:rPr>
        <w:br w:type="column"/>
      </w:r>
    </w:p>
    <w:p w14:paraId="1DEAB994">
      <w:pPr>
        <w:pStyle w:val="14"/>
        <w:ind w:firstLine="803"/>
        <w:jc w:val="cente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目    录</w:t>
      </w:r>
    </w:p>
    <w:p w14:paraId="0A800112">
      <w:pPr>
        <w:pStyle w:val="37"/>
        <w:tabs>
          <w:tab w:val="right" w:leader="dot" w:pos="9412"/>
        </w:tabs>
        <w:spacing w:line="360" w:lineRule="auto"/>
        <w:rPr>
          <w:rFonts w:hint="eastAsia" w:ascii="仿宋" w:hAnsi="仿宋" w:eastAsia="仿宋" w:cs="仿宋"/>
          <w:sz w:val="24"/>
        </w:rPr>
      </w:pPr>
      <w:r>
        <w:rPr>
          <w:rFonts w:hint="eastAsia" w:ascii="仿宋" w:hAnsi="仿宋" w:eastAsia="仿宋" w:cs="仿宋"/>
          <w:b/>
          <w:color w:val="auto"/>
          <w:sz w:val="24"/>
          <w:highlight w:val="none"/>
        </w:rPr>
        <w:fldChar w:fldCharType="begin"/>
      </w:r>
      <w:r>
        <w:rPr>
          <w:rFonts w:hint="eastAsia" w:ascii="仿宋" w:hAnsi="仿宋" w:eastAsia="仿宋" w:cs="仿宋"/>
          <w:b/>
          <w:color w:val="auto"/>
          <w:sz w:val="24"/>
          <w:highlight w:val="none"/>
        </w:rPr>
        <w:instrText xml:space="preserve"> TOC \o "1-2" \h \z \u </w:instrText>
      </w:r>
      <w:r>
        <w:rPr>
          <w:rFonts w:hint="eastAsia" w:ascii="仿宋" w:hAnsi="仿宋" w:eastAsia="仿宋" w:cs="仿宋"/>
          <w:b/>
          <w:color w:val="auto"/>
          <w:sz w:val="24"/>
          <w:highlight w:val="none"/>
        </w:rPr>
        <w:fldChar w:fldCharType="separate"/>
      </w:r>
      <w:r>
        <w:rPr>
          <w:rFonts w:hint="eastAsia" w:ascii="仿宋" w:hAnsi="仿宋" w:eastAsia="仿宋" w:cs="仿宋"/>
          <w:color w:val="auto"/>
          <w:sz w:val="24"/>
          <w:highlight w:val="none"/>
        </w:rPr>
        <w:fldChar w:fldCharType="begin"/>
      </w:r>
      <w:r>
        <w:rPr>
          <w:rFonts w:hint="eastAsia" w:ascii="仿宋" w:hAnsi="仿宋" w:eastAsia="仿宋" w:cs="仿宋"/>
          <w:sz w:val="24"/>
          <w:highlight w:val="none"/>
        </w:rPr>
        <w:instrText xml:space="preserve"> HYPERLINK \l _Toc12150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第一章 招标公告</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_Toc12150 \h </w:instrText>
      </w:r>
      <w:r>
        <w:rPr>
          <w:rFonts w:hint="eastAsia" w:ascii="仿宋" w:hAnsi="仿宋" w:eastAsia="仿宋" w:cs="仿宋"/>
          <w:sz w:val="24"/>
        </w:rPr>
        <w:fldChar w:fldCharType="separate"/>
      </w:r>
      <w:r>
        <w:rPr>
          <w:rFonts w:hint="eastAsia" w:ascii="仿宋" w:hAnsi="仿宋" w:eastAsia="仿宋" w:cs="仿宋"/>
          <w:sz w:val="24"/>
        </w:rPr>
        <w:t>1</w:t>
      </w:r>
      <w:r>
        <w:rPr>
          <w:rFonts w:hint="eastAsia" w:ascii="仿宋" w:hAnsi="仿宋" w:eastAsia="仿宋" w:cs="仿宋"/>
          <w:sz w:val="24"/>
        </w:rPr>
        <w:fldChar w:fldCharType="end"/>
      </w:r>
      <w:r>
        <w:rPr>
          <w:rFonts w:hint="eastAsia" w:ascii="仿宋" w:hAnsi="仿宋" w:eastAsia="仿宋" w:cs="仿宋"/>
          <w:color w:val="auto"/>
          <w:sz w:val="24"/>
          <w:highlight w:val="none"/>
        </w:rPr>
        <w:fldChar w:fldCharType="end"/>
      </w:r>
    </w:p>
    <w:p w14:paraId="31A11867">
      <w:pPr>
        <w:pStyle w:val="37"/>
        <w:tabs>
          <w:tab w:val="right" w:leader="dot" w:pos="9412"/>
        </w:tabs>
        <w:spacing w:line="360" w:lineRule="auto"/>
        <w:rPr>
          <w:rFonts w:hint="eastAsia" w:ascii="仿宋" w:hAnsi="仿宋" w:eastAsia="仿宋" w:cs="仿宋"/>
          <w:sz w:val="24"/>
        </w:rPr>
      </w:pPr>
      <w:r>
        <w:rPr>
          <w:rFonts w:hint="eastAsia" w:ascii="仿宋" w:hAnsi="仿宋" w:eastAsia="仿宋" w:cs="仿宋"/>
          <w:color w:val="auto"/>
          <w:sz w:val="24"/>
          <w:highlight w:val="none"/>
        </w:rPr>
        <w:fldChar w:fldCharType="begin"/>
      </w:r>
      <w:r>
        <w:rPr>
          <w:rFonts w:hint="eastAsia" w:ascii="仿宋" w:hAnsi="仿宋" w:eastAsia="仿宋" w:cs="仿宋"/>
          <w:sz w:val="24"/>
          <w:highlight w:val="none"/>
        </w:rPr>
        <w:instrText xml:space="preserve"> HYPERLINK \l _Toc14535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第二章  采购需求</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_Toc14535 \h </w:instrText>
      </w:r>
      <w:r>
        <w:rPr>
          <w:rFonts w:hint="eastAsia" w:ascii="仿宋" w:hAnsi="仿宋" w:eastAsia="仿宋" w:cs="仿宋"/>
          <w:sz w:val="24"/>
        </w:rPr>
        <w:fldChar w:fldCharType="separate"/>
      </w:r>
      <w:r>
        <w:rPr>
          <w:rFonts w:hint="eastAsia" w:ascii="仿宋" w:hAnsi="仿宋" w:eastAsia="仿宋" w:cs="仿宋"/>
          <w:sz w:val="24"/>
        </w:rPr>
        <w:t>5</w:t>
      </w:r>
      <w:r>
        <w:rPr>
          <w:rFonts w:hint="eastAsia" w:ascii="仿宋" w:hAnsi="仿宋" w:eastAsia="仿宋" w:cs="仿宋"/>
          <w:sz w:val="24"/>
        </w:rPr>
        <w:fldChar w:fldCharType="end"/>
      </w:r>
      <w:r>
        <w:rPr>
          <w:rFonts w:hint="eastAsia" w:ascii="仿宋" w:hAnsi="仿宋" w:eastAsia="仿宋" w:cs="仿宋"/>
          <w:color w:val="auto"/>
          <w:sz w:val="24"/>
          <w:highlight w:val="none"/>
        </w:rPr>
        <w:fldChar w:fldCharType="end"/>
      </w:r>
    </w:p>
    <w:p w14:paraId="59C68C76">
      <w:pPr>
        <w:pStyle w:val="37"/>
        <w:tabs>
          <w:tab w:val="right" w:leader="dot" w:pos="9412"/>
        </w:tabs>
        <w:spacing w:line="360" w:lineRule="auto"/>
        <w:rPr>
          <w:rFonts w:hint="eastAsia" w:ascii="仿宋" w:hAnsi="仿宋" w:eastAsia="仿宋" w:cs="仿宋"/>
          <w:sz w:val="24"/>
        </w:rPr>
      </w:pPr>
      <w:r>
        <w:rPr>
          <w:rFonts w:hint="eastAsia" w:ascii="仿宋" w:hAnsi="仿宋" w:eastAsia="仿宋" w:cs="仿宋"/>
          <w:color w:val="auto"/>
          <w:sz w:val="24"/>
          <w:highlight w:val="none"/>
        </w:rPr>
        <w:fldChar w:fldCharType="begin"/>
      </w:r>
      <w:r>
        <w:rPr>
          <w:rFonts w:hint="eastAsia" w:ascii="仿宋" w:hAnsi="仿宋" w:eastAsia="仿宋" w:cs="仿宋"/>
          <w:sz w:val="24"/>
          <w:highlight w:val="none"/>
        </w:rPr>
        <w:instrText xml:space="preserve"> HYPERLINK \l _Toc23477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第三章  投标人须知</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_Toc23477 \h </w:instrText>
      </w:r>
      <w:r>
        <w:rPr>
          <w:rFonts w:hint="eastAsia" w:ascii="仿宋" w:hAnsi="仿宋" w:eastAsia="仿宋" w:cs="仿宋"/>
          <w:sz w:val="24"/>
        </w:rPr>
        <w:fldChar w:fldCharType="separate"/>
      </w:r>
      <w:r>
        <w:rPr>
          <w:rFonts w:hint="eastAsia" w:ascii="仿宋" w:hAnsi="仿宋" w:eastAsia="仿宋" w:cs="仿宋"/>
          <w:sz w:val="24"/>
        </w:rPr>
        <w:t>12</w:t>
      </w:r>
      <w:r>
        <w:rPr>
          <w:rFonts w:hint="eastAsia" w:ascii="仿宋" w:hAnsi="仿宋" w:eastAsia="仿宋" w:cs="仿宋"/>
          <w:sz w:val="24"/>
        </w:rPr>
        <w:fldChar w:fldCharType="end"/>
      </w:r>
      <w:r>
        <w:rPr>
          <w:rFonts w:hint="eastAsia" w:ascii="仿宋" w:hAnsi="仿宋" w:eastAsia="仿宋" w:cs="仿宋"/>
          <w:color w:val="auto"/>
          <w:sz w:val="24"/>
          <w:highlight w:val="none"/>
        </w:rPr>
        <w:fldChar w:fldCharType="end"/>
      </w:r>
    </w:p>
    <w:p w14:paraId="7FA7D77F">
      <w:pPr>
        <w:pStyle w:val="37"/>
        <w:tabs>
          <w:tab w:val="right" w:leader="dot" w:pos="9412"/>
        </w:tabs>
        <w:spacing w:line="360" w:lineRule="auto"/>
        <w:rPr>
          <w:rFonts w:hint="eastAsia" w:ascii="仿宋" w:hAnsi="仿宋" w:eastAsia="仿宋" w:cs="仿宋"/>
          <w:sz w:val="24"/>
        </w:rPr>
      </w:pPr>
      <w:r>
        <w:rPr>
          <w:rFonts w:hint="eastAsia" w:ascii="仿宋" w:hAnsi="仿宋" w:eastAsia="仿宋" w:cs="仿宋"/>
          <w:color w:val="auto"/>
          <w:sz w:val="24"/>
          <w:highlight w:val="none"/>
        </w:rPr>
        <w:fldChar w:fldCharType="begin"/>
      </w:r>
      <w:r>
        <w:rPr>
          <w:rFonts w:hint="eastAsia" w:ascii="仿宋" w:hAnsi="仿宋" w:eastAsia="仿宋" w:cs="仿宋"/>
          <w:sz w:val="24"/>
          <w:highlight w:val="none"/>
        </w:rPr>
        <w:instrText xml:space="preserve"> HYPERLINK \l _Toc23277 </w:instrText>
      </w:r>
      <w:r>
        <w:rPr>
          <w:rFonts w:hint="eastAsia" w:ascii="仿宋" w:hAnsi="仿宋" w:eastAsia="仿宋" w:cs="仿宋"/>
          <w:sz w:val="24"/>
          <w:highlight w:val="none"/>
        </w:rPr>
        <w:fldChar w:fldCharType="separate"/>
      </w:r>
      <w:r>
        <w:rPr>
          <w:rFonts w:hint="eastAsia" w:ascii="仿宋" w:hAnsi="仿宋" w:eastAsia="仿宋" w:cs="仿宋"/>
          <w:sz w:val="24"/>
          <w:szCs w:val="24"/>
          <w:highlight w:val="none"/>
        </w:rPr>
        <w:t>第四章  评标方法及评标标准</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_Toc23277 \h </w:instrText>
      </w:r>
      <w:r>
        <w:rPr>
          <w:rFonts w:hint="eastAsia" w:ascii="仿宋" w:hAnsi="仿宋" w:eastAsia="仿宋" w:cs="仿宋"/>
          <w:sz w:val="24"/>
        </w:rPr>
        <w:fldChar w:fldCharType="separate"/>
      </w:r>
      <w:r>
        <w:rPr>
          <w:rFonts w:hint="eastAsia" w:ascii="仿宋" w:hAnsi="仿宋" w:eastAsia="仿宋" w:cs="仿宋"/>
          <w:sz w:val="24"/>
        </w:rPr>
        <w:t>43</w:t>
      </w:r>
      <w:r>
        <w:rPr>
          <w:rFonts w:hint="eastAsia" w:ascii="仿宋" w:hAnsi="仿宋" w:eastAsia="仿宋" w:cs="仿宋"/>
          <w:sz w:val="24"/>
        </w:rPr>
        <w:fldChar w:fldCharType="end"/>
      </w:r>
      <w:r>
        <w:rPr>
          <w:rFonts w:hint="eastAsia" w:ascii="仿宋" w:hAnsi="仿宋" w:eastAsia="仿宋" w:cs="仿宋"/>
          <w:color w:val="auto"/>
          <w:sz w:val="24"/>
          <w:highlight w:val="none"/>
        </w:rPr>
        <w:fldChar w:fldCharType="end"/>
      </w:r>
    </w:p>
    <w:p w14:paraId="6EA0B1CA">
      <w:pPr>
        <w:pStyle w:val="37"/>
        <w:tabs>
          <w:tab w:val="right" w:leader="dot" w:pos="9412"/>
        </w:tabs>
        <w:spacing w:line="360" w:lineRule="auto"/>
        <w:rPr>
          <w:rFonts w:hint="eastAsia" w:ascii="仿宋" w:hAnsi="仿宋" w:eastAsia="仿宋" w:cs="仿宋"/>
          <w:sz w:val="24"/>
        </w:rPr>
      </w:pPr>
      <w:r>
        <w:rPr>
          <w:rFonts w:hint="eastAsia" w:ascii="仿宋" w:hAnsi="仿宋" w:eastAsia="仿宋" w:cs="仿宋"/>
          <w:color w:val="auto"/>
          <w:sz w:val="24"/>
          <w:highlight w:val="none"/>
        </w:rPr>
        <w:fldChar w:fldCharType="begin"/>
      </w:r>
      <w:r>
        <w:rPr>
          <w:rFonts w:hint="eastAsia" w:ascii="仿宋" w:hAnsi="仿宋" w:eastAsia="仿宋" w:cs="仿宋"/>
          <w:sz w:val="24"/>
          <w:highlight w:val="none"/>
        </w:rPr>
        <w:instrText xml:space="preserve"> HYPERLINK \l _Toc8443 </w:instrText>
      </w:r>
      <w:r>
        <w:rPr>
          <w:rFonts w:hint="eastAsia" w:ascii="仿宋" w:hAnsi="仿宋" w:eastAsia="仿宋" w:cs="仿宋"/>
          <w:sz w:val="24"/>
          <w:highlight w:val="none"/>
        </w:rPr>
        <w:fldChar w:fldCharType="separate"/>
      </w:r>
      <w:r>
        <w:rPr>
          <w:rFonts w:hint="eastAsia" w:ascii="仿宋" w:hAnsi="仿宋" w:eastAsia="仿宋" w:cs="仿宋"/>
          <w:sz w:val="24"/>
          <w:szCs w:val="24"/>
          <w:highlight w:val="none"/>
        </w:rPr>
        <w:t>第五章  拟签订的合同文本</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_Toc8443 \h </w:instrText>
      </w:r>
      <w:r>
        <w:rPr>
          <w:rFonts w:hint="eastAsia" w:ascii="仿宋" w:hAnsi="仿宋" w:eastAsia="仿宋" w:cs="仿宋"/>
          <w:sz w:val="24"/>
        </w:rPr>
        <w:fldChar w:fldCharType="separate"/>
      </w:r>
      <w:r>
        <w:rPr>
          <w:rFonts w:hint="eastAsia" w:ascii="仿宋" w:hAnsi="仿宋" w:eastAsia="仿宋" w:cs="仿宋"/>
          <w:sz w:val="24"/>
        </w:rPr>
        <w:t>51</w:t>
      </w:r>
      <w:r>
        <w:rPr>
          <w:rFonts w:hint="eastAsia" w:ascii="仿宋" w:hAnsi="仿宋" w:eastAsia="仿宋" w:cs="仿宋"/>
          <w:sz w:val="24"/>
        </w:rPr>
        <w:fldChar w:fldCharType="end"/>
      </w:r>
      <w:r>
        <w:rPr>
          <w:rFonts w:hint="eastAsia" w:ascii="仿宋" w:hAnsi="仿宋" w:eastAsia="仿宋" w:cs="仿宋"/>
          <w:color w:val="auto"/>
          <w:sz w:val="24"/>
          <w:highlight w:val="none"/>
        </w:rPr>
        <w:fldChar w:fldCharType="end"/>
      </w:r>
    </w:p>
    <w:p w14:paraId="62939BF5">
      <w:pPr>
        <w:pStyle w:val="37"/>
        <w:tabs>
          <w:tab w:val="right" w:leader="dot" w:pos="9412"/>
        </w:tabs>
        <w:spacing w:line="360" w:lineRule="auto"/>
        <w:rPr>
          <w:rFonts w:hint="eastAsia" w:ascii="仿宋" w:hAnsi="仿宋" w:eastAsia="仿宋" w:cs="仿宋"/>
          <w:sz w:val="24"/>
        </w:rPr>
      </w:pPr>
      <w:r>
        <w:rPr>
          <w:rFonts w:hint="eastAsia" w:ascii="仿宋" w:hAnsi="仿宋" w:eastAsia="仿宋" w:cs="仿宋"/>
          <w:color w:val="auto"/>
          <w:sz w:val="24"/>
          <w:highlight w:val="none"/>
        </w:rPr>
        <w:fldChar w:fldCharType="begin"/>
      </w:r>
      <w:r>
        <w:rPr>
          <w:rFonts w:hint="eastAsia" w:ascii="仿宋" w:hAnsi="仿宋" w:eastAsia="仿宋" w:cs="仿宋"/>
          <w:sz w:val="24"/>
          <w:highlight w:val="none"/>
        </w:rPr>
        <w:instrText xml:space="preserve"> HYPERLINK \l _Toc32650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第六章　投标文件格式</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_Toc32650 \h </w:instrText>
      </w:r>
      <w:r>
        <w:rPr>
          <w:rFonts w:hint="eastAsia" w:ascii="仿宋" w:hAnsi="仿宋" w:eastAsia="仿宋" w:cs="仿宋"/>
          <w:sz w:val="24"/>
        </w:rPr>
        <w:fldChar w:fldCharType="separate"/>
      </w:r>
      <w:r>
        <w:rPr>
          <w:rFonts w:hint="eastAsia" w:ascii="仿宋" w:hAnsi="仿宋" w:eastAsia="仿宋" w:cs="仿宋"/>
          <w:sz w:val="24"/>
        </w:rPr>
        <w:t>66</w:t>
      </w:r>
      <w:r>
        <w:rPr>
          <w:rFonts w:hint="eastAsia" w:ascii="仿宋" w:hAnsi="仿宋" w:eastAsia="仿宋" w:cs="仿宋"/>
          <w:sz w:val="24"/>
        </w:rPr>
        <w:fldChar w:fldCharType="end"/>
      </w:r>
      <w:r>
        <w:rPr>
          <w:rFonts w:hint="eastAsia" w:ascii="仿宋" w:hAnsi="仿宋" w:eastAsia="仿宋" w:cs="仿宋"/>
          <w:color w:val="auto"/>
          <w:sz w:val="24"/>
          <w:highlight w:val="none"/>
        </w:rPr>
        <w:fldChar w:fldCharType="end"/>
      </w:r>
    </w:p>
    <w:p w14:paraId="44C4B7E5">
      <w:pPr>
        <w:pStyle w:val="37"/>
        <w:tabs>
          <w:tab w:val="right" w:leader="dot" w:pos="9412"/>
        </w:tabs>
        <w:spacing w:line="360" w:lineRule="auto"/>
        <w:rPr>
          <w:rFonts w:hint="eastAsia" w:ascii="仿宋" w:hAnsi="仿宋" w:eastAsia="仿宋" w:cs="仿宋"/>
          <w:sz w:val="24"/>
        </w:rPr>
      </w:pPr>
      <w:r>
        <w:rPr>
          <w:rFonts w:hint="eastAsia" w:ascii="仿宋" w:hAnsi="仿宋" w:eastAsia="仿宋" w:cs="仿宋"/>
          <w:color w:val="auto"/>
          <w:sz w:val="24"/>
          <w:highlight w:val="none"/>
        </w:rPr>
        <w:fldChar w:fldCharType="begin"/>
      </w:r>
      <w:r>
        <w:rPr>
          <w:rFonts w:hint="eastAsia" w:ascii="仿宋" w:hAnsi="仿宋" w:eastAsia="仿宋" w:cs="仿宋"/>
          <w:sz w:val="24"/>
          <w:highlight w:val="none"/>
        </w:rPr>
        <w:instrText xml:space="preserve"> HYPERLINK \l _Toc22758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第七章</w:t>
      </w: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rPr>
        <w:t>其他文件</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_Toc22758 \h </w:instrText>
      </w:r>
      <w:r>
        <w:rPr>
          <w:rFonts w:hint="eastAsia" w:ascii="仿宋" w:hAnsi="仿宋" w:eastAsia="仿宋" w:cs="仿宋"/>
          <w:sz w:val="24"/>
        </w:rPr>
        <w:fldChar w:fldCharType="separate"/>
      </w:r>
      <w:r>
        <w:rPr>
          <w:rFonts w:hint="eastAsia" w:ascii="仿宋" w:hAnsi="仿宋" w:eastAsia="仿宋" w:cs="仿宋"/>
          <w:sz w:val="24"/>
        </w:rPr>
        <w:t>89</w:t>
      </w:r>
      <w:r>
        <w:rPr>
          <w:rFonts w:hint="eastAsia" w:ascii="仿宋" w:hAnsi="仿宋" w:eastAsia="仿宋" w:cs="仿宋"/>
          <w:sz w:val="24"/>
        </w:rPr>
        <w:fldChar w:fldCharType="end"/>
      </w:r>
      <w:r>
        <w:rPr>
          <w:rFonts w:hint="eastAsia" w:ascii="仿宋" w:hAnsi="仿宋" w:eastAsia="仿宋" w:cs="仿宋"/>
          <w:color w:val="auto"/>
          <w:sz w:val="24"/>
          <w:highlight w:val="none"/>
        </w:rPr>
        <w:fldChar w:fldCharType="end"/>
      </w:r>
    </w:p>
    <w:p w14:paraId="4CB989A9">
      <w:pPr>
        <w:spacing w:line="360" w:lineRule="auto"/>
        <w:rPr>
          <w:rFonts w:hint="eastAsia" w:ascii="仿宋" w:hAnsi="仿宋" w:eastAsia="仿宋" w:cs="仿宋"/>
          <w:b/>
          <w:color w:val="auto"/>
          <w:sz w:val="24"/>
          <w:highlight w:val="none"/>
        </w:rPr>
        <w:sectPr>
          <w:headerReference r:id="rId5" w:type="first"/>
          <w:footerReference r:id="rId7" w:type="first"/>
          <w:headerReference r:id="rId3" w:type="default"/>
          <w:headerReference r:id="rId4" w:type="even"/>
          <w:footerReference r:id="rId6" w:type="even"/>
          <w:pgSz w:w="11906" w:h="16838"/>
          <w:pgMar w:top="1134" w:right="1247" w:bottom="1560" w:left="1247" w:header="851" w:footer="992" w:gutter="0"/>
          <w:cols w:space="720" w:num="1"/>
          <w:titlePg/>
          <w:docGrid w:linePitch="312" w:charSpace="0"/>
        </w:sectPr>
      </w:pPr>
      <w:r>
        <w:rPr>
          <w:rFonts w:hint="eastAsia" w:ascii="仿宋" w:hAnsi="仿宋" w:eastAsia="仿宋" w:cs="仿宋"/>
          <w:b/>
          <w:color w:val="auto"/>
          <w:sz w:val="24"/>
          <w:highlight w:val="none"/>
        </w:rPr>
        <w:fldChar w:fldCharType="end"/>
      </w:r>
      <w:bookmarkStart w:id="0" w:name="_Toc254970630"/>
      <w:bookmarkStart w:id="1" w:name="_Toc254970489"/>
      <w:bookmarkStart w:id="2" w:name="_Toc19686829"/>
    </w:p>
    <w:p w14:paraId="58C0E617">
      <w:pPr>
        <w:pStyle w:val="3"/>
        <w:keepNext w:val="0"/>
        <w:keepLines w:val="0"/>
        <w:tabs>
          <w:tab w:val="left" w:pos="345"/>
        </w:tabs>
        <w:spacing w:before="480" w:line="415" w:lineRule="auto"/>
        <w:jc w:val="center"/>
        <w:rPr>
          <w:rFonts w:hint="eastAsia" w:ascii="仿宋" w:hAnsi="仿宋" w:eastAsia="仿宋" w:cs="仿宋"/>
          <w:b w:val="0"/>
          <w:color w:val="auto"/>
          <w:sz w:val="44"/>
          <w:szCs w:val="44"/>
          <w:highlight w:val="none"/>
        </w:rPr>
      </w:pPr>
      <w:bookmarkStart w:id="3" w:name="_Toc12150"/>
      <w:bookmarkStart w:id="4" w:name="_Toc11048"/>
      <w:bookmarkStart w:id="177" w:name="_GoBack"/>
      <w:bookmarkEnd w:id="177"/>
      <w:r>
        <w:rPr>
          <w:rFonts w:hint="eastAsia" w:ascii="仿宋" w:hAnsi="仿宋" w:eastAsia="仿宋" w:cs="仿宋"/>
          <w:color w:val="auto"/>
          <w:highlight w:val="none"/>
        </w:rPr>
        <w:t>第一章</w:t>
      </w:r>
      <w:bookmarkEnd w:id="0"/>
      <w:bookmarkEnd w:id="1"/>
      <w:bookmarkEnd w:id="2"/>
      <w:bookmarkStart w:id="5" w:name="_Toc28359001"/>
      <w:bookmarkStart w:id="6" w:name="_Toc35393789"/>
      <w:r>
        <w:rPr>
          <w:rFonts w:hint="eastAsia" w:ascii="仿宋" w:hAnsi="仿宋" w:eastAsia="仿宋" w:cs="仿宋"/>
          <w:color w:val="auto"/>
          <w:highlight w:val="none"/>
        </w:rPr>
        <w:t xml:space="preserve"> </w:t>
      </w:r>
      <w:bookmarkStart w:id="7" w:name="_Hlk118122539"/>
      <w:bookmarkStart w:id="8" w:name="_Hlk114670500"/>
      <w:r>
        <w:rPr>
          <w:rFonts w:hint="eastAsia" w:ascii="仿宋" w:hAnsi="仿宋" w:eastAsia="仿宋" w:cs="仿宋"/>
          <w:color w:val="auto"/>
          <w:highlight w:val="none"/>
        </w:rPr>
        <w:t>招标公告</w:t>
      </w:r>
      <w:bookmarkEnd w:id="3"/>
      <w:bookmarkEnd w:id="4"/>
      <w:bookmarkEnd w:id="5"/>
      <w:bookmarkEnd w:id="6"/>
    </w:p>
    <w:p w14:paraId="3A393542">
      <w:pPr>
        <w:pBdr>
          <w:top w:val="single" w:color="auto" w:sz="4" w:space="1"/>
          <w:left w:val="single" w:color="auto" w:sz="4" w:space="1"/>
          <w:bottom w:val="single" w:color="auto" w:sz="4" w:space="1"/>
          <w:right w:val="single" w:color="auto" w:sz="4" w:space="4"/>
        </w:pBd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项目概况</w:t>
      </w:r>
    </w:p>
    <w:p w14:paraId="07038F4B">
      <w:pPr>
        <w:pBdr>
          <w:top w:val="single" w:color="auto" w:sz="4" w:space="1"/>
          <w:left w:val="single" w:color="auto" w:sz="4" w:space="1"/>
          <w:bottom w:val="single" w:color="auto" w:sz="4" w:space="1"/>
          <w:right w:val="single" w:color="auto" w:sz="4" w:space="4"/>
        </w:pBdr>
        <w:spacing w:line="400" w:lineRule="exact"/>
        <w:ind w:firstLine="480" w:firstLineChars="200"/>
        <w:rPr>
          <w:rFonts w:hint="eastAsia" w:ascii="仿宋" w:hAnsi="仿宋" w:eastAsia="仿宋" w:cs="仿宋"/>
          <w:color w:val="auto"/>
          <w:sz w:val="24"/>
          <w:highlight w:val="none"/>
        </w:rPr>
      </w:pPr>
      <w:bookmarkStart w:id="9" w:name="_Toc28359002"/>
      <w:bookmarkStart w:id="10" w:name="_Toc28359079"/>
      <w:bookmarkStart w:id="11" w:name="_Toc35393790"/>
      <w:bookmarkStart w:id="12" w:name="_Toc35393621"/>
      <w:bookmarkStart w:id="13" w:name="_Hlk24379207"/>
      <w:r>
        <w:rPr>
          <w:rFonts w:hint="eastAsia" w:ascii="仿宋" w:hAnsi="仿宋" w:eastAsia="仿宋" w:cs="仿宋"/>
          <w:color w:val="auto"/>
          <w:sz w:val="24"/>
          <w:highlight w:val="none"/>
          <w:lang w:eastAsia="zh-CN"/>
        </w:rPr>
        <w:t>广西壮族自治区人民医院数字减影血管造影(DSA)设备采购</w:t>
      </w:r>
      <w:r>
        <w:rPr>
          <w:rFonts w:hint="eastAsia" w:ascii="仿宋" w:hAnsi="仿宋" w:eastAsia="仿宋" w:cs="仿宋"/>
          <w:color w:val="auto"/>
          <w:sz w:val="24"/>
          <w:highlight w:val="none"/>
        </w:rPr>
        <w:t>招标项目的潜在投标人应在广西政府采购云平台（https://www.gcy.zfcg.gxzf.gov.cn/）获取招标文件，并于</w:t>
      </w:r>
      <w:r>
        <w:rPr>
          <w:rFonts w:hint="eastAsia" w:ascii="仿宋" w:hAnsi="仿宋" w:eastAsia="仿宋" w:cs="仿宋"/>
          <w:color w:val="auto"/>
          <w:sz w:val="24"/>
          <w:highlight w:val="none"/>
          <w:u w:val="single"/>
        </w:rPr>
        <w:t>2025年</w:t>
      </w:r>
      <w:r>
        <w:rPr>
          <w:rFonts w:hint="eastAsia" w:ascii="仿宋" w:hAnsi="仿宋" w:eastAsia="仿宋" w:cs="仿宋"/>
          <w:color w:val="auto"/>
          <w:sz w:val="24"/>
          <w:highlight w:val="none"/>
          <w:u w:val="single"/>
          <w:lang w:val="en-US" w:eastAsia="zh-CN"/>
        </w:rPr>
        <w:t>11</w:t>
      </w:r>
      <w:r>
        <w:rPr>
          <w:rFonts w:hint="eastAsia" w:ascii="仿宋" w:hAnsi="仿宋" w:eastAsia="仿宋" w:cs="仿宋"/>
          <w:color w:val="auto"/>
          <w:sz w:val="24"/>
          <w:highlight w:val="none"/>
          <w:u w:val="single"/>
        </w:rPr>
        <w:t>月</w:t>
      </w:r>
      <w:r>
        <w:rPr>
          <w:rFonts w:hint="eastAsia" w:ascii="仿宋" w:hAnsi="仿宋" w:eastAsia="仿宋" w:cs="仿宋"/>
          <w:color w:val="auto"/>
          <w:sz w:val="24"/>
          <w:highlight w:val="none"/>
          <w:u w:val="single"/>
          <w:lang w:val="en-US" w:eastAsia="zh-CN"/>
        </w:rPr>
        <w:t>24</w:t>
      </w:r>
      <w:r>
        <w:rPr>
          <w:rFonts w:hint="eastAsia" w:ascii="仿宋" w:hAnsi="仿宋" w:eastAsia="仿宋" w:cs="仿宋"/>
          <w:color w:val="auto"/>
          <w:sz w:val="24"/>
          <w:highlight w:val="none"/>
          <w:u w:val="single"/>
        </w:rPr>
        <w:t>日9时30分</w:t>
      </w:r>
      <w:r>
        <w:rPr>
          <w:rFonts w:hint="eastAsia" w:ascii="仿宋" w:hAnsi="仿宋" w:eastAsia="仿宋" w:cs="仿宋"/>
          <w:bCs/>
          <w:color w:val="auto"/>
          <w:sz w:val="24"/>
          <w:highlight w:val="none"/>
          <w:u w:val="single"/>
        </w:rPr>
        <w:t>（</w:t>
      </w:r>
      <w:r>
        <w:rPr>
          <w:rFonts w:hint="eastAsia" w:ascii="仿宋" w:hAnsi="仿宋" w:eastAsia="仿宋" w:cs="仿宋"/>
          <w:bCs/>
          <w:color w:val="auto"/>
          <w:sz w:val="24"/>
          <w:highlight w:val="none"/>
        </w:rPr>
        <w:t>北京时间）前递交投标文件</w:t>
      </w:r>
      <w:r>
        <w:rPr>
          <w:rFonts w:hint="eastAsia" w:ascii="仿宋" w:hAnsi="仿宋" w:eastAsia="仿宋" w:cs="仿宋"/>
          <w:color w:val="auto"/>
          <w:sz w:val="24"/>
          <w:highlight w:val="none"/>
        </w:rPr>
        <w:t>。</w:t>
      </w:r>
    </w:p>
    <w:p w14:paraId="2206D692">
      <w:pPr>
        <w:spacing w:line="40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一、项目基本情</w:t>
      </w:r>
      <w:bookmarkEnd w:id="9"/>
      <w:bookmarkEnd w:id="10"/>
      <w:bookmarkEnd w:id="11"/>
      <w:bookmarkEnd w:id="12"/>
      <w:r>
        <w:rPr>
          <w:rFonts w:hint="eastAsia" w:ascii="仿宋" w:hAnsi="仿宋" w:eastAsia="仿宋" w:cs="仿宋"/>
          <w:b/>
          <w:bCs/>
          <w:color w:val="auto"/>
          <w:sz w:val="24"/>
          <w:highlight w:val="none"/>
        </w:rPr>
        <w:t>况</w:t>
      </w:r>
    </w:p>
    <w:bookmarkEnd w:id="13"/>
    <w:p w14:paraId="07A5C355">
      <w:pPr>
        <w:tabs>
          <w:tab w:val="left" w:pos="3633"/>
        </w:tabs>
        <w:spacing w:line="400" w:lineRule="exact"/>
        <w:ind w:firstLine="480" w:firstLineChars="200"/>
        <w:rPr>
          <w:rFonts w:hint="eastAsia" w:ascii="仿宋" w:hAnsi="仿宋" w:eastAsia="仿宋" w:cs="仿宋"/>
          <w:color w:val="auto"/>
          <w:sz w:val="24"/>
          <w:highlight w:val="none"/>
          <w:lang w:eastAsia="zh-CN"/>
        </w:rPr>
      </w:pPr>
      <w:bookmarkStart w:id="14" w:name="_Toc35393791"/>
      <w:bookmarkStart w:id="15" w:name="_Toc28359080"/>
      <w:bookmarkStart w:id="16" w:name="_Toc28359003"/>
      <w:bookmarkStart w:id="17" w:name="_Toc35393622"/>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lang w:eastAsia="zh-CN"/>
        </w:rPr>
        <w:t>GXZC2025-G1-003081-GCZX</w:t>
      </w:r>
    </w:p>
    <w:p w14:paraId="51AB6698">
      <w:pPr>
        <w:spacing w:line="400" w:lineRule="exact"/>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项目名称：</w:t>
      </w:r>
      <w:bookmarkStart w:id="18" w:name="_Hlk171670178"/>
      <w:r>
        <w:rPr>
          <w:rFonts w:hint="eastAsia" w:ascii="仿宋" w:hAnsi="仿宋" w:eastAsia="仿宋" w:cs="仿宋"/>
          <w:color w:val="auto"/>
          <w:sz w:val="24"/>
          <w:highlight w:val="none"/>
          <w:lang w:eastAsia="zh-CN"/>
        </w:rPr>
        <w:t>广西壮族自治区人民医院数字减影血管造影(DSA)设备采购</w:t>
      </w:r>
    </w:p>
    <w:bookmarkEnd w:id="18"/>
    <w:p w14:paraId="07CF5741">
      <w:pPr>
        <w:spacing w:line="400" w:lineRule="exact"/>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预算金额：</w:t>
      </w:r>
      <w:r>
        <w:rPr>
          <w:rFonts w:hint="eastAsia" w:ascii="仿宋" w:hAnsi="仿宋" w:eastAsia="仿宋" w:cs="仿宋"/>
          <w:color w:val="auto"/>
          <w:sz w:val="24"/>
          <w:highlight w:val="none"/>
          <w:lang w:eastAsia="zh-CN"/>
        </w:rPr>
        <w:t>8200000.00</w:t>
      </w:r>
      <w:r>
        <w:rPr>
          <w:rFonts w:hint="eastAsia" w:ascii="仿宋" w:hAnsi="仿宋" w:eastAsia="仿宋" w:cs="仿宋"/>
          <w:color w:val="auto"/>
          <w:sz w:val="24"/>
          <w:highlight w:val="none"/>
        </w:rPr>
        <w:t>元。</w:t>
      </w:r>
    </w:p>
    <w:p w14:paraId="46B6BC28">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最高限价（如有）：</w:t>
      </w:r>
      <w:r>
        <w:rPr>
          <w:rFonts w:hint="eastAsia" w:ascii="仿宋" w:hAnsi="仿宋" w:eastAsia="仿宋" w:cs="仿宋"/>
          <w:color w:val="auto"/>
          <w:sz w:val="24"/>
          <w:highlight w:val="none"/>
          <w:lang w:eastAsia="zh-CN"/>
        </w:rPr>
        <w:t>8200000.00</w:t>
      </w:r>
      <w:r>
        <w:rPr>
          <w:rFonts w:hint="eastAsia" w:ascii="仿宋" w:hAnsi="仿宋" w:eastAsia="仿宋" w:cs="仿宋"/>
          <w:color w:val="auto"/>
          <w:sz w:val="24"/>
          <w:highlight w:val="none"/>
        </w:rPr>
        <w:t>元。</w:t>
      </w:r>
    </w:p>
    <w:p w14:paraId="5A40FC11">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采购需求：</w:t>
      </w:r>
    </w:p>
    <w:p w14:paraId="6266FBFF">
      <w:pPr>
        <w:spacing w:line="400" w:lineRule="exact"/>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 xml:space="preserve">标项名称: </w:t>
      </w:r>
      <w:r>
        <w:rPr>
          <w:rFonts w:hint="eastAsia" w:ascii="仿宋" w:hAnsi="仿宋" w:eastAsia="仿宋" w:cs="仿宋"/>
          <w:color w:val="auto"/>
          <w:sz w:val="24"/>
          <w:highlight w:val="none"/>
          <w:lang w:eastAsia="zh-CN"/>
        </w:rPr>
        <w:t>数字减影血管造影(DSA)</w:t>
      </w:r>
    </w:p>
    <w:p w14:paraId="18CCEC96">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数量: 1套</w:t>
      </w:r>
    </w:p>
    <w:p w14:paraId="6141FB7C">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预算金额（元）:</w:t>
      </w:r>
      <w:r>
        <w:rPr>
          <w:rFonts w:hint="eastAsia" w:ascii="仿宋" w:hAnsi="仿宋" w:eastAsia="仿宋" w:cs="仿宋"/>
          <w:color w:val="auto"/>
          <w:sz w:val="24"/>
          <w:highlight w:val="none"/>
          <w:lang w:eastAsia="zh-CN"/>
        </w:rPr>
        <w:t>8200000.00</w:t>
      </w:r>
      <w:r>
        <w:rPr>
          <w:rFonts w:hint="eastAsia" w:ascii="仿宋" w:hAnsi="仿宋" w:eastAsia="仿宋" w:cs="仿宋"/>
          <w:color w:val="auto"/>
          <w:sz w:val="24"/>
          <w:highlight w:val="none"/>
        </w:rPr>
        <w:t>元</w:t>
      </w:r>
    </w:p>
    <w:p w14:paraId="61266EA9">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简要规格描述或项目基本概况介绍、用途：</w:t>
      </w:r>
      <w:r>
        <w:rPr>
          <w:rFonts w:hint="eastAsia" w:ascii="仿宋" w:hAnsi="仿宋" w:eastAsia="仿宋" w:cs="仿宋"/>
          <w:color w:val="auto"/>
          <w:sz w:val="24"/>
          <w:highlight w:val="none"/>
          <w:lang w:eastAsia="zh-CN"/>
        </w:rPr>
        <w:t>数字减影血管造影(DSA)</w:t>
      </w:r>
      <w:r>
        <w:rPr>
          <w:rFonts w:hint="eastAsia" w:ascii="仿宋" w:hAnsi="仿宋" w:eastAsia="仿宋" w:cs="仿宋"/>
          <w:color w:val="auto"/>
          <w:sz w:val="24"/>
          <w:highlight w:val="none"/>
        </w:rPr>
        <w:t>1套；具体详见招标文件第二章采购需求。</w:t>
      </w:r>
    </w:p>
    <w:p w14:paraId="5773A43E">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最高限价（如有）：</w:t>
      </w:r>
      <w:r>
        <w:rPr>
          <w:rFonts w:hint="eastAsia" w:ascii="仿宋" w:hAnsi="仿宋" w:eastAsia="仿宋" w:cs="仿宋"/>
          <w:color w:val="auto"/>
          <w:sz w:val="24"/>
          <w:highlight w:val="none"/>
          <w:lang w:eastAsia="zh-CN"/>
        </w:rPr>
        <w:t>8200000.00</w:t>
      </w:r>
      <w:r>
        <w:rPr>
          <w:rFonts w:hint="eastAsia" w:ascii="仿宋" w:hAnsi="仿宋" w:eastAsia="仿宋" w:cs="仿宋"/>
          <w:color w:val="auto"/>
          <w:sz w:val="24"/>
          <w:highlight w:val="none"/>
        </w:rPr>
        <w:t>元</w:t>
      </w:r>
    </w:p>
    <w:p w14:paraId="21EFC922">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合同履约期限：</w:t>
      </w:r>
      <w:r>
        <w:rPr>
          <w:rFonts w:hint="eastAsia" w:ascii="仿宋" w:hAnsi="仿宋" w:eastAsia="仿宋" w:cs="仿宋"/>
          <w:color w:val="auto"/>
          <w:sz w:val="24"/>
          <w:highlight w:val="none"/>
          <w:lang w:eastAsia="zh-CN"/>
        </w:rPr>
        <w:t>自合同签订之日起</w:t>
      </w:r>
      <w:r>
        <w:rPr>
          <w:rFonts w:hint="eastAsia" w:ascii="仿宋" w:hAnsi="仿宋" w:eastAsia="仿宋" w:cs="仿宋"/>
          <w:color w:val="auto"/>
          <w:sz w:val="24"/>
          <w:highlight w:val="none"/>
          <w:lang w:val="en-US" w:eastAsia="zh-CN"/>
        </w:rPr>
        <w:t>30</w:t>
      </w:r>
      <w:r>
        <w:rPr>
          <w:rFonts w:hint="eastAsia" w:ascii="仿宋" w:hAnsi="仿宋" w:eastAsia="仿宋" w:cs="仿宋"/>
          <w:color w:val="auto"/>
          <w:sz w:val="24"/>
          <w:highlight w:val="none"/>
          <w:lang w:eastAsia="zh-CN"/>
        </w:rPr>
        <w:t>日历天内全部货物交货并安装调试完毕</w:t>
      </w:r>
      <w:r>
        <w:rPr>
          <w:rFonts w:hint="eastAsia" w:ascii="仿宋" w:hAnsi="仿宋" w:eastAsia="仿宋" w:cs="仿宋"/>
          <w:color w:val="auto"/>
          <w:sz w:val="24"/>
          <w:highlight w:val="none"/>
        </w:rPr>
        <w:t>。</w:t>
      </w:r>
    </w:p>
    <w:p w14:paraId="3405FC7D">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本标项（否）接受联合体投标</w:t>
      </w:r>
    </w:p>
    <w:p w14:paraId="67F64808">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p w14:paraId="681081DF">
      <w:pPr>
        <w:spacing w:line="40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二、</w:t>
      </w:r>
      <w:bookmarkEnd w:id="14"/>
      <w:bookmarkEnd w:id="15"/>
      <w:bookmarkEnd w:id="16"/>
      <w:bookmarkEnd w:id="17"/>
      <w:r>
        <w:rPr>
          <w:rFonts w:hint="eastAsia" w:ascii="仿宋" w:hAnsi="仿宋" w:eastAsia="仿宋" w:cs="仿宋"/>
          <w:b/>
          <w:bCs/>
          <w:color w:val="auto"/>
          <w:sz w:val="24"/>
          <w:highlight w:val="none"/>
        </w:rPr>
        <w:t>申请人的资格要求</w:t>
      </w:r>
    </w:p>
    <w:p w14:paraId="156D7338">
      <w:pPr>
        <w:spacing w:line="400" w:lineRule="exact"/>
        <w:ind w:firstLine="648" w:firstLineChars="270"/>
        <w:rPr>
          <w:rFonts w:hint="eastAsia" w:ascii="仿宋" w:hAnsi="仿宋" w:eastAsia="仿宋" w:cs="仿宋"/>
          <w:color w:val="auto"/>
          <w:sz w:val="24"/>
          <w:highlight w:val="none"/>
        </w:rPr>
      </w:pPr>
      <w:bookmarkStart w:id="19" w:name="_Toc35393792"/>
      <w:bookmarkStart w:id="20" w:name="_Toc28359081"/>
      <w:bookmarkStart w:id="21" w:name="_Toc35393623"/>
      <w:bookmarkStart w:id="22" w:name="_Toc28359004"/>
      <w:r>
        <w:rPr>
          <w:rFonts w:hint="eastAsia" w:ascii="仿宋" w:hAnsi="仿宋" w:eastAsia="仿宋" w:cs="仿宋"/>
          <w:color w:val="auto"/>
          <w:sz w:val="24"/>
          <w:highlight w:val="none"/>
        </w:rPr>
        <w:t>1.满足《中华人民共和国政府采购法》第二十二条规定；</w:t>
      </w:r>
    </w:p>
    <w:p w14:paraId="2557D8E4">
      <w:pPr>
        <w:spacing w:line="400" w:lineRule="exact"/>
        <w:ind w:firstLine="648" w:firstLineChars="270"/>
        <w:rPr>
          <w:rFonts w:hint="eastAsia" w:ascii="仿宋" w:hAnsi="仿宋" w:eastAsia="仿宋" w:cs="仿宋"/>
          <w:color w:val="auto"/>
          <w:sz w:val="24"/>
          <w:highlight w:val="none"/>
        </w:rPr>
      </w:pPr>
      <w:r>
        <w:rPr>
          <w:rFonts w:hint="eastAsia" w:ascii="仿宋" w:hAnsi="仿宋" w:eastAsia="仿宋" w:cs="仿宋"/>
          <w:color w:val="auto"/>
          <w:sz w:val="24"/>
          <w:highlight w:val="none"/>
        </w:rPr>
        <w:t>2.落实政府采购政策需满足的资格要求：本项目为非专门面向中小企业采购的项目。</w:t>
      </w:r>
    </w:p>
    <w:p w14:paraId="60222D6C">
      <w:pPr>
        <w:spacing w:line="400" w:lineRule="exact"/>
        <w:ind w:firstLine="648" w:firstLineChars="270"/>
        <w:rPr>
          <w:rFonts w:hint="eastAsia" w:ascii="仿宋" w:hAnsi="仿宋" w:eastAsia="仿宋" w:cs="仿宋"/>
          <w:color w:val="auto"/>
          <w:sz w:val="24"/>
          <w:highlight w:val="none"/>
        </w:rPr>
      </w:pPr>
      <w:r>
        <w:rPr>
          <w:rFonts w:hint="eastAsia" w:ascii="仿宋" w:hAnsi="仿宋" w:eastAsia="仿宋" w:cs="仿宋"/>
          <w:color w:val="auto"/>
          <w:sz w:val="24"/>
          <w:highlight w:val="none"/>
        </w:rPr>
        <w:t>3.本项目的特定资格要求：</w:t>
      </w:r>
    </w:p>
    <w:p w14:paraId="41151F7E">
      <w:pPr>
        <w:spacing w:line="400" w:lineRule="exact"/>
        <w:ind w:firstLine="648" w:firstLineChars="270"/>
        <w:rPr>
          <w:rFonts w:hint="eastAsia" w:ascii="仿宋" w:hAnsi="仿宋" w:eastAsia="仿宋" w:cs="仿宋"/>
          <w:color w:val="auto"/>
          <w:sz w:val="24"/>
          <w:highlight w:val="none"/>
        </w:rPr>
      </w:pPr>
      <w:r>
        <w:rPr>
          <w:rFonts w:hint="eastAsia" w:ascii="仿宋" w:hAnsi="仿宋" w:eastAsia="仿宋" w:cs="仿宋"/>
          <w:color w:val="auto"/>
          <w:sz w:val="24"/>
          <w:highlight w:val="none"/>
        </w:rPr>
        <w:t>（1）供应商按《医疗器械监督管理条例》（国务院令第739号）医疗器械分类管理要求具备有效的医疗器械经营备案凭证（或承诺供货前取得医疗器械经营备案凭证）或者经营许可证（符合《医疗器械监督管理条例》（国务院令第739号）第四十一</w:t>
      </w:r>
      <w:r>
        <w:rPr>
          <w:rFonts w:hint="eastAsia" w:ascii="仿宋" w:hAnsi="仿宋" w:eastAsia="仿宋" w:cs="仿宋"/>
          <w:color w:val="auto"/>
          <w:sz w:val="24"/>
          <w:highlight w:val="none"/>
          <w:lang w:val="en-US" w:eastAsia="zh-CN"/>
        </w:rPr>
        <w:t>条</w:t>
      </w:r>
      <w:r>
        <w:rPr>
          <w:rFonts w:hint="eastAsia" w:ascii="仿宋" w:hAnsi="仿宋" w:eastAsia="仿宋" w:cs="仿宋"/>
          <w:color w:val="auto"/>
          <w:sz w:val="24"/>
          <w:highlight w:val="none"/>
        </w:rPr>
        <w:t>第二款规定或所投产品属于第一类医疗器械的除外）；或者供应商符合《医疗器械监督管理条例》（国务院令第739号）第四十三条规定的，应具备医疗器械注册证。</w:t>
      </w:r>
    </w:p>
    <w:p w14:paraId="0E086C6D">
      <w:pPr>
        <w:spacing w:line="400" w:lineRule="exact"/>
        <w:ind w:firstLine="648" w:firstLineChars="27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供应商</w:t>
      </w:r>
      <w:r>
        <w:rPr>
          <w:rFonts w:hint="eastAsia" w:ascii="仿宋" w:hAnsi="仿宋" w:eastAsia="仿宋" w:cs="仿宋"/>
          <w:color w:val="auto"/>
          <w:sz w:val="24"/>
          <w:highlight w:val="none"/>
          <w:lang w:val="en-US" w:eastAsia="zh-CN"/>
        </w:rPr>
        <w:t>所投产品</w:t>
      </w:r>
      <w:r>
        <w:rPr>
          <w:rFonts w:hint="eastAsia" w:ascii="仿宋" w:hAnsi="仿宋" w:eastAsia="仿宋" w:cs="仿宋"/>
          <w:color w:val="auto"/>
          <w:sz w:val="24"/>
          <w:highlight w:val="none"/>
        </w:rPr>
        <w:t>属于射线装置的，</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为投标产品制造商的须具备有效的《辐射安全许可证》（许可种类和范围至少包含生产、销售）；</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为投标产品经销商的须具备有效的《辐射安全许可证》（许可种类和范围至少包含销售）</w:t>
      </w:r>
      <w:r>
        <w:rPr>
          <w:rFonts w:hint="eastAsia" w:ascii="仿宋" w:hAnsi="仿宋" w:eastAsia="仿宋" w:cs="仿宋"/>
          <w:color w:val="auto"/>
          <w:sz w:val="24"/>
          <w:highlight w:val="none"/>
          <w:lang w:eastAsia="zh-CN"/>
        </w:rPr>
        <w:t>。</w:t>
      </w:r>
    </w:p>
    <w:p w14:paraId="219E0876">
      <w:pPr>
        <w:spacing w:line="400" w:lineRule="exact"/>
        <w:ind w:firstLine="648" w:firstLineChars="270"/>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3564E6A7">
      <w:pPr>
        <w:spacing w:line="400" w:lineRule="exact"/>
        <w:ind w:firstLine="648" w:firstLineChars="270"/>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）在“信用中国”网站(www.creditchina.gov.cn) 被列入失信被执行人、重大税收违法失信主体；中国政府采购网(www.ccgp.gov.cn)被列入政府采购严重违法失信行为记录名单及其他不符合《中华人民共和国政府采购法》第二十二条规定条件的供应商，不得参与政府采购活动。</w:t>
      </w:r>
    </w:p>
    <w:p w14:paraId="5D777BB7">
      <w:pPr>
        <w:spacing w:line="40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三、获取招标文件</w:t>
      </w:r>
      <w:bookmarkEnd w:id="19"/>
      <w:bookmarkEnd w:id="20"/>
      <w:bookmarkEnd w:id="21"/>
      <w:bookmarkEnd w:id="22"/>
    </w:p>
    <w:p w14:paraId="08901F94">
      <w:pPr>
        <w:spacing w:line="400" w:lineRule="exact"/>
        <w:ind w:firstLine="540"/>
        <w:rPr>
          <w:rFonts w:hint="eastAsia" w:ascii="仿宋" w:hAnsi="仿宋" w:eastAsia="仿宋" w:cs="仿宋"/>
          <w:bCs/>
          <w:color w:val="auto"/>
          <w:kern w:val="0"/>
          <w:sz w:val="24"/>
          <w:highlight w:val="none"/>
        </w:rPr>
      </w:pPr>
      <w:bookmarkStart w:id="23" w:name="_Toc28359005"/>
      <w:bookmarkStart w:id="24" w:name="_Toc28359082"/>
      <w:bookmarkStart w:id="25" w:name="_Toc35393624"/>
      <w:bookmarkStart w:id="26" w:name="_Toc35393793"/>
      <w:r>
        <w:rPr>
          <w:rFonts w:hint="eastAsia" w:ascii="仿宋" w:hAnsi="仿宋" w:eastAsia="仿宋" w:cs="仿宋"/>
          <w:bCs/>
          <w:color w:val="auto"/>
          <w:kern w:val="0"/>
          <w:sz w:val="24"/>
          <w:highlight w:val="none"/>
        </w:rPr>
        <w:t xml:space="preserve">时间： </w:t>
      </w:r>
      <w:r>
        <w:rPr>
          <w:rFonts w:hint="eastAsia" w:ascii="仿宋" w:hAnsi="仿宋" w:eastAsia="仿宋" w:cs="仿宋"/>
          <w:bCs/>
          <w:color w:val="auto"/>
          <w:kern w:val="0"/>
          <w:sz w:val="24"/>
          <w:highlight w:val="none"/>
          <w:u w:val="single"/>
        </w:rPr>
        <w:t>2025年</w:t>
      </w:r>
      <w:r>
        <w:rPr>
          <w:rFonts w:hint="eastAsia" w:ascii="仿宋" w:hAnsi="仿宋" w:eastAsia="仿宋" w:cs="仿宋"/>
          <w:bCs/>
          <w:color w:val="auto"/>
          <w:kern w:val="0"/>
          <w:sz w:val="24"/>
          <w:highlight w:val="none"/>
          <w:u w:val="single"/>
          <w:lang w:val="en-US" w:eastAsia="zh-CN"/>
        </w:rPr>
        <w:t>11</w:t>
      </w:r>
      <w:r>
        <w:rPr>
          <w:rFonts w:hint="eastAsia" w:ascii="仿宋" w:hAnsi="仿宋" w:eastAsia="仿宋" w:cs="仿宋"/>
          <w:bCs/>
          <w:color w:val="auto"/>
          <w:kern w:val="0"/>
          <w:sz w:val="24"/>
          <w:highlight w:val="none"/>
          <w:u w:val="single"/>
        </w:rPr>
        <w:t>月</w:t>
      </w:r>
      <w:r>
        <w:rPr>
          <w:rFonts w:hint="eastAsia" w:ascii="仿宋" w:hAnsi="仿宋" w:eastAsia="仿宋" w:cs="仿宋"/>
          <w:bCs/>
          <w:color w:val="auto"/>
          <w:kern w:val="0"/>
          <w:sz w:val="24"/>
          <w:highlight w:val="none"/>
          <w:u w:val="single"/>
          <w:lang w:val="en-US" w:eastAsia="zh-CN"/>
        </w:rPr>
        <w:t>03</w:t>
      </w:r>
      <w:r>
        <w:rPr>
          <w:rFonts w:hint="eastAsia" w:ascii="仿宋" w:hAnsi="仿宋" w:eastAsia="仿宋" w:cs="仿宋"/>
          <w:bCs/>
          <w:color w:val="auto"/>
          <w:kern w:val="0"/>
          <w:sz w:val="24"/>
          <w:highlight w:val="none"/>
          <w:u w:val="single"/>
        </w:rPr>
        <w:t>日</w:t>
      </w:r>
      <w:r>
        <w:rPr>
          <w:rFonts w:hint="eastAsia" w:ascii="仿宋" w:hAnsi="仿宋" w:eastAsia="仿宋" w:cs="仿宋"/>
          <w:bCs/>
          <w:color w:val="auto"/>
          <w:kern w:val="0"/>
          <w:sz w:val="24"/>
          <w:highlight w:val="none"/>
        </w:rPr>
        <w:t>至</w:t>
      </w:r>
      <w:r>
        <w:rPr>
          <w:rFonts w:hint="eastAsia" w:ascii="仿宋" w:hAnsi="仿宋" w:eastAsia="仿宋" w:cs="仿宋"/>
          <w:bCs/>
          <w:color w:val="auto"/>
          <w:kern w:val="0"/>
          <w:sz w:val="24"/>
          <w:highlight w:val="none"/>
          <w:u w:val="single"/>
        </w:rPr>
        <w:t>2025年</w:t>
      </w:r>
      <w:r>
        <w:rPr>
          <w:rFonts w:hint="eastAsia" w:ascii="仿宋" w:hAnsi="仿宋" w:eastAsia="仿宋" w:cs="仿宋"/>
          <w:bCs/>
          <w:color w:val="auto"/>
          <w:kern w:val="0"/>
          <w:sz w:val="24"/>
          <w:highlight w:val="none"/>
          <w:u w:val="single"/>
          <w:lang w:val="en-US" w:eastAsia="zh-CN"/>
        </w:rPr>
        <w:t>11</w:t>
      </w:r>
      <w:r>
        <w:rPr>
          <w:rFonts w:hint="eastAsia" w:ascii="仿宋" w:hAnsi="仿宋" w:eastAsia="仿宋" w:cs="仿宋"/>
          <w:bCs/>
          <w:color w:val="auto"/>
          <w:kern w:val="0"/>
          <w:sz w:val="24"/>
          <w:highlight w:val="none"/>
          <w:u w:val="single"/>
        </w:rPr>
        <w:t>月</w:t>
      </w:r>
      <w:r>
        <w:rPr>
          <w:rFonts w:hint="eastAsia" w:ascii="仿宋" w:hAnsi="仿宋" w:eastAsia="仿宋" w:cs="仿宋"/>
          <w:bCs/>
          <w:color w:val="auto"/>
          <w:kern w:val="0"/>
          <w:sz w:val="24"/>
          <w:highlight w:val="none"/>
          <w:u w:val="single"/>
          <w:lang w:val="en-US" w:eastAsia="zh-CN"/>
        </w:rPr>
        <w:t>10</w:t>
      </w:r>
      <w:r>
        <w:rPr>
          <w:rFonts w:hint="eastAsia" w:ascii="仿宋" w:hAnsi="仿宋" w:eastAsia="仿宋" w:cs="仿宋"/>
          <w:bCs/>
          <w:color w:val="auto"/>
          <w:kern w:val="0"/>
          <w:sz w:val="24"/>
          <w:highlight w:val="none"/>
          <w:u w:val="single"/>
        </w:rPr>
        <w:t>日</w:t>
      </w:r>
      <w:r>
        <w:rPr>
          <w:rFonts w:hint="eastAsia" w:ascii="仿宋" w:hAnsi="仿宋" w:eastAsia="仿宋" w:cs="仿宋"/>
          <w:bCs/>
          <w:color w:val="auto"/>
          <w:kern w:val="0"/>
          <w:sz w:val="24"/>
          <w:highlight w:val="none"/>
        </w:rPr>
        <w:t>，每天上午</w:t>
      </w:r>
      <w:r>
        <w:rPr>
          <w:rFonts w:hint="eastAsia" w:ascii="仿宋" w:hAnsi="仿宋" w:eastAsia="仿宋" w:cs="仿宋"/>
          <w:bCs/>
          <w:color w:val="auto"/>
          <w:kern w:val="0"/>
          <w:sz w:val="24"/>
          <w:highlight w:val="none"/>
          <w:u w:val="single"/>
        </w:rPr>
        <w:t>0：00至11：59</w:t>
      </w:r>
      <w:r>
        <w:rPr>
          <w:rFonts w:hint="eastAsia" w:ascii="仿宋" w:hAnsi="仿宋" w:eastAsia="仿宋" w:cs="仿宋"/>
          <w:bCs/>
          <w:color w:val="auto"/>
          <w:kern w:val="0"/>
          <w:sz w:val="24"/>
          <w:highlight w:val="none"/>
        </w:rPr>
        <w:t>，</w:t>
      </w:r>
      <w:r>
        <w:rPr>
          <w:rFonts w:hint="eastAsia" w:ascii="仿宋" w:hAnsi="仿宋" w:eastAsia="仿宋" w:cs="仿宋"/>
          <w:bCs/>
          <w:color w:val="auto"/>
          <w:kern w:val="0"/>
          <w:sz w:val="24"/>
          <w:highlight w:val="none"/>
          <w:u w:val="single"/>
        </w:rPr>
        <w:t>下午12：00至23:59</w:t>
      </w:r>
      <w:r>
        <w:rPr>
          <w:rFonts w:hint="eastAsia" w:ascii="仿宋" w:hAnsi="仿宋" w:eastAsia="仿宋" w:cs="仿宋"/>
          <w:bCs/>
          <w:color w:val="auto"/>
          <w:kern w:val="0"/>
          <w:sz w:val="24"/>
          <w:highlight w:val="none"/>
        </w:rPr>
        <w:t>（北京时间，法定节假日除外）</w:t>
      </w:r>
    </w:p>
    <w:p w14:paraId="11F2FB2D">
      <w:pPr>
        <w:spacing w:line="400" w:lineRule="exact"/>
        <w:ind w:firstLine="540"/>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地点：广西政府采购云平台（https://www.gcy.zfcg.gxzf.gov.cn/）</w:t>
      </w:r>
    </w:p>
    <w:p w14:paraId="43D5BECC">
      <w:pPr>
        <w:spacing w:line="400" w:lineRule="exact"/>
        <w:ind w:firstLine="540"/>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方式：网上下载。本项目不发放纸质文件，潜在投标人可自行在广西政府采购云平台（https://www.gcy.zfcg.gxzf.gov.cn/）下载招标文件（操作路径：登录广西政府采购云平台-项目采购-获取采购文件-找到本项目-点击“申请获取采购文件”），电子投标文件制作需要基于广西政府采购云平台获取的招标文件编制。</w:t>
      </w:r>
    </w:p>
    <w:p w14:paraId="765F1C03">
      <w:pPr>
        <w:spacing w:line="400" w:lineRule="exact"/>
        <w:ind w:firstLine="540"/>
        <w:rPr>
          <w:rFonts w:hint="eastAsia" w:ascii="仿宋" w:hAnsi="仿宋" w:eastAsia="仿宋" w:cs="仿宋"/>
          <w:color w:val="auto"/>
          <w:sz w:val="24"/>
          <w:highlight w:val="none"/>
        </w:rPr>
      </w:pPr>
      <w:r>
        <w:rPr>
          <w:rFonts w:hint="eastAsia" w:ascii="仿宋" w:hAnsi="仿宋" w:eastAsia="仿宋" w:cs="仿宋"/>
          <w:bCs/>
          <w:color w:val="auto"/>
          <w:kern w:val="0"/>
          <w:sz w:val="24"/>
          <w:highlight w:val="none"/>
        </w:rPr>
        <w:t>售价（元）：0</w:t>
      </w:r>
    </w:p>
    <w:p w14:paraId="2B280FCE">
      <w:pPr>
        <w:spacing w:line="40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四、提交投标文件</w:t>
      </w:r>
      <w:bookmarkEnd w:id="23"/>
      <w:bookmarkEnd w:id="24"/>
      <w:r>
        <w:rPr>
          <w:rFonts w:hint="eastAsia" w:ascii="仿宋" w:hAnsi="仿宋" w:eastAsia="仿宋" w:cs="仿宋"/>
          <w:b/>
          <w:bCs/>
          <w:color w:val="auto"/>
          <w:sz w:val="24"/>
          <w:highlight w:val="none"/>
        </w:rPr>
        <w:t>截止时间、开标时间和地点</w:t>
      </w:r>
      <w:bookmarkEnd w:id="25"/>
      <w:bookmarkEnd w:id="26"/>
    </w:p>
    <w:p w14:paraId="371279BA">
      <w:pPr>
        <w:spacing w:line="400" w:lineRule="exact"/>
        <w:ind w:firstLine="480" w:firstLineChars="200"/>
        <w:rPr>
          <w:rFonts w:hint="eastAsia" w:ascii="仿宋" w:hAnsi="仿宋" w:eastAsia="仿宋" w:cs="仿宋"/>
          <w:color w:val="auto"/>
          <w:sz w:val="24"/>
          <w:highlight w:val="none"/>
        </w:rPr>
      </w:pPr>
      <w:bookmarkStart w:id="27" w:name="_Toc28359084"/>
      <w:bookmarkStart w:id="28" w:name="_Toc28359007"/>
      <w:bookmarkStart w:id="29" w:name="_Toc35393794"/>
      <w:bookmarkStart w:id="30" w:name="_Toc35393625"/>
      <w:r>
        <w:rPr>
          <w:rFonts w:hint="eastAsia" w:ascii="仿宋" w:hAnsi="仿宋" w:eastAsia="仿宋" w:cs="仿宋"/>
          <w:bCs/>
          <w:color w:val="auto"/>
          <w:sz w:val="24"/>
          <w:highlight w:val="none"/>
        </w:rPr>
        <w:t>提交投标文件截止时间：</w:t>
      </w:r>
      <w:bookmarkStart w:id="31" w:name="_Hlk85632302"/>
      <w:r>
        <w:rPr>
          <w:rFonts w:hint="eastAsia" w:ascii="仿宋" w:hAnsi="仿宋" w:eastAsia="仿宋" w:cs="仿宋"/>
          <w:bCs/>
          <w:color w:val="auto"/>
          <w:kern w:val="0"/>
          <w:sz w:val="24"/>
          <w:highlight w:val="none"/>
          <w:u w:val="single"/>
        </w:rPr>
        <w:t>2025年</w:t>
      </w:r>
      <w:r>
        <w:rPr>
          <w:rFonts w:hint="eastAsia" w:ascii="仿宋" w:hAnsi="仿宋" w:eastAsia="仿宋" w:cs="仿宋"/>
          <w:bCs/>
          <w:color w:val="auto"/>
          <w:kern w:val="0"/>
          <w:sz w:val="24"/>
          <w:highlight w:val="none"/>
          <w:u w:val="single"/>
          <w:lang w:val="en-US" w:eastAsia="zh-CN"/>
        </w:rPr>
        <w:t>11</w:t>
      </w:r>
      <w:r>
        <w:rPr>
          <w:rFonts w:hint="eastAsia" w:ascii="仿宋" w:hAnsi="仿宋" w:eastAsia="仿宋" w:cs="仿宋"/>
          <w:bCs/>
          <w:color w:val="auto"/>
          <w:kern w:val="0"/>
          <w:sz w:val="24"/>
          <w:highlight w:val="none"/>
          <w:u w:val="single"/>
        </w:rPr>
        <w:t>月</w:t>
      </w:r>
      <w:r>
        <w:rPr>
          <w:rFonts w:hint="eastAsia" w:ascii="仿宋" w:hAnsi="仿宋" w:eastAsia="仿宋" w:cs="仿宋"/>
          <w:bCs/>
          <w:color w:val="auto"/>
          <w:kern w:val="0"/>
          <w:sz w:val="24"/>
          <w:highlight w:val="none"/>
          <w:u w:val="single"/>
          <w:lang w:val="en-US" w:eastAsia="zh-CN"/>
        </w:rPr>
        <w:t>24</w:t>
      </w:r>
      <w:r>
        <w:rPr>
          <w:rFonts w:hint="eastAsia" w:ascii="仿宋" w:hAnsi="仿宋" w:eastAsia="仿宋" w:cs="仿宋"/>
          <w:bCs/>
          <w:color w:val="auto"/>
          <w:kern w:val="0"/>
          <w:sz w:val="24"/>
          <w:highlight w:val="none"/>
          <w:u w:val="single"/>
        </w:rPr>
        <w:t>日</w:t>
      </w:r>
      <w:r>
        <w:rPr>
          <w:rFonts w:hint="eastAsia" w:ascii="仿宋" w:hAnsi="仿宋" w:eastAsia="仿宋" w:cs="仿宋"/>
          <w:bCs/>
          <w:color w:val="auto"/>
          <w:sz w:val="24"/>
          <w:highlight w:val="none"/>
          <w:u w:val="single"/>
        </w:rPr>
        <w:t>9时30分</w:t>
      </w:r>
      <w:bookmarkEnd w:id="31"/>
      <w:r>
        <w:rPr>
          <w:rFonts w:hint="eastAsia" w:ascii="仿宋" w:hAnsi="仿宋" w:eastAsia="仿宋" w:cs="仿宋"/>
          <w:bCs/>
          <w:color w:val="auto"/>
          <w:sz w:val="24"/>
          <w:highlight w:val="none"/>
        </w:rPr>
        <w:t>（北京时间）</w:t>
      </w:r>
    </w:p>
    <w:p w14:paraId="791B824B">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地点（网址）：本项目为全流程电子化政府采购项目，没有现场递交投标文件及现场开标环节，通过广西政府采购云平台（https://www.gcy.zfcg.gxzf.gov.cn/）实行在线电子投标，供应商应先安装广西政府采购云平台新版客户端（新版客户端下载路径：广西政府采购网（访问地址http://zfcg.gxzf.gov.cn/）—办事服务—下载专区），并按照本项目招标文件和广西政府采购云平台的要求编制、加密后在投标截止时间前通过网络上传至广西政府采购云平台，投标人在广西政府采购云平台提交电子版投标文件时，请填写参加远程开标活动经办人联系方式。</w:t>
      </w:r>
    </w:p>
    <w:p w14:paraId="7A966126">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开标时间：</w:t>
      </w:r>
      <w:r>
        <w:rPr>
          <w:rFonts w:hint="eastAsia" w:ascii="仿宋" w:hAnsi="仿宋" w:eastAsia="仿宋" w:cs="仿宋"/>
          <w:bCs/>
          <w:color w:val="auto"/>
          <w:kern w:val="0"/>
          <w:sz w:val="24"/>
          <w:highlight w:val="none"/>
          <w:u w:val="single"/>
        </w:rPr>
        <w:t>2025年</w:t>
      </w:r>
      <w:r>
        <w:rPr>
          <w:rFonts w:hint="eastAsia" w:ascii="仿宋" w:hAnsi="仿宋" w:eastAsia="仿宋" w:cs="仿宋"/>
          <w:bCs/>
          <w:color w:val="auto"/>
          <w:kern w:val="0"/>
          <w:sz w:val="24"/>
          <w:highlight w:val="none"/>
          <w:u w:val="single"/>
          <w:lang w:val="en-US" w:eastAsia="zh-CN"/>
        </w:rPr>
        <w:t>11</w:t>
      </w:r>
      <w:r>
        <w:rPr>
          <w:rFonts w:hint="eastAsia" w:ascii="仿宋" w:hAnsi="仿宋" w:eastAsia="仿宋" w:cs="仿宋"/>
          <w:bCs/>
          <w:color w:val="auto"/>
          <w:kern w:val="0"/>
          <w:sz w:val="24"/>
          <w:highlight w:val="none"/>
          <w:u w:val="single"/>
        </w:rPr>
        <w:t>月</w:t>
      </w:r>
      <w:r>
        <w:rPr>
          <w:rFonts w:hint="eastAsia" w:ascii="仿宋" w:hAnsi="仿宋" w:eastAsia="仿宋" w:cs="仿宋"/>
          <w:bCs/>
          <w:color w:val="auto"/>
          <w:kern w:val="0"/>
          <w:sz w:val="24"/>
          <w:highlight w:val="none"/>
          <w:u w:val="single"/>
          <w:lang w:val="en-US" w:eastAsia="zh-CN"/>
        </w:rPr>
        <w:t>24</w:t>
      </w:r>
      <w:r>
        <w:rPr>
          <w:rFonts w:hint="eastAsia" w:ascii="仿宋" w:hAnsi="仿宋" w:eastAsia="仿宋" w:cs="仿宋"/>
          <w:bCs/>
          <w:color w:val="auto"/>
          <w:kern w:val="0"/>
          <w:sz w:val="24"/>
          <w:highlight w:val="none"/>
          <w:u w:val="single"/>
        </w:rPr>
        <w:t>日</w:t>
      </w:r>
      <w:r>
        <w:rPr>
          <w:rFonts w:hint="eastAsia" w:ascii="仿宋" w:hAnsi="仿宋" w:eastAsia="仿宋" w:cs="仿宋"/>
          <w:bCs/>
          <w:color w:val="auto"/>
          <w:sz w:val="24"/>
          <w:highlight w:val="none"/>
          <w:u w:val="single"/>
        </w:rPr>
        <w:t>9时30分</w:t>
      </w:r>
      <w:r>
        <w:rPr>
          <w:rFonts w:hint="eastAsia" w:ascii="仿宋" w:hAnsi="仿宋" w:eastAsia="仿宋" w:cs="仿宋"/>
          <w:bCs/>
          <w:color w:val="auto"/>
          <w:sz w:val="24"/>
          <w:highlight w:val="none"/>
        </w:rPr>
        <w:t>（北京时间）</w:t>
      </w:r>
    </w:p>
    <w:p w14:paraId="3B7C102B">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开标地点：本项目将在广西政府采购云平台（https://www.gcy.zfcg.gxzf.gov.cn/）电子开标大厅解密、开标。</w:t>
      </w:r>
    </w:p>
    <w:p w14:paraId="4C99FEB8">
      <w:pPr>
        <w:spacing w:line="40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五、公告期限</w:t>
      </w:r>
      <w:bookmarkEnd w:id="27"/>
      <w:bookmarkEnd w:id="28"/>
      <w:bookmarkEnd w:id="29"/>
      <w:bookmarkEnd w:id="30"/>
    </w:p>
    <w:p w14:paraId="3305ED3A">
      <w:pPr>
        <w:spacing w:line="40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自本公告发布之日起5个工作日。</w:t>
      </w:r>
    </w:p>
    <w:p w14:paraId="5E241E8D">
      <w:pPr>
        <w:spacing w:line="400" w:lineRule="exact"/>
        <w:rPr>
          <w:rFonts w:hint="eastAsia" w:ascii="仿宋" w:hAnsi="仿宋" w:eastAsia="仿宋" w:cs="仿宋"/>
          <w:b/>
          <w:bCs/>
          <w:color w:val="auto"/>
          <w:sz w:val="24"/>
          <w:highlight w:val="none"/>
        </w:rPr>
      </w:pPr>
      <w:bookmarkStart w:id="32" w:name="_Toc35393795"/>
      <w:bookmarkStart w:id="33" w:name="_Toc35393626"/>
      <w:r>
        <w:rPr>
          <w:rFonts w:hint="eastAsia" w:ascii="仿宋" w:hAnsi="仿宋" w:eastAsia="仿宋" w:cs="仿宋"/>
          <w:b/>
          <w:bCs/>
          <w:color w:val="auto"/>
          <w:sz w:val="24"/>
          <w:highlight w:val="none"/>
        </w:rPr>
        <w:t>六、其他补充事宜</w:t>
      </w:r>
      <w:bookmarkEnd w:id="32"/>
      <w:bookmarkEnd w:id="33"/>
    </w:p>
    <w:p w14:paraId="575B3F3A">
      <w:pPr>
        <w:spacing w:line="400" w:lineRule="exact"/>
        <w:ind w:firstLine="480" w:firstLineChars="200"/>
        <w:rPr>
          <w:rFonts w:hint="eastAsia" w:ascii="仿宋" w:hAnsi="仿宋" w:eastAsia="仿宋" w:cs="仿宋"/>
          <w:color w:val="auto"/>
          <w:sz w:val="24"/>
          <w:highlight w:val="none"/>
        </w:rPr>
      </w:pPr>
      <w:bookmarkStart w:id="34" w:name="_Toc35393796"/>
      <w:bookmarkStart w:id="35" w:name="_Toc28359085"/>
      <w:bookmarkStart w:id="36" w:name="_Toc28359008"/>
      <w:bookmarkStart w:id="37" w:name="_Toc35393627"/>
      <w:r>
        <w:rPr>
          <w:rFonts w:hint="eastAsia" w:ascii="仿宋" w:hAnsi="仿宋" w:eastAsia="仿宋" w:cs="仿宋"/>
          <w:color w:val="auto"/>
          <w:sz w:val="24"/>
          <w:highlight w:val="none"/>
        </w:rPr>
        <w:t>1.投标保证金</w:t>
      </w:r>
    </w:p>
    <w:p w14:paraId="2929A985">
      <w:pPr>
        <w:spacing w:line="40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投标保证金金额：人民币大写</w:t>
      </w:r>
      <w:r>
        <w:rPr>
          <w:rFonts w:hint="eastAsia" w:ascii="仿宋" w:hAnsi="仿宋" w:eastAsia="仿宋" w:cs="仿宋"/>
          <w:color w:val="auto"/>
          <w:kern w:val="0"/>
          <w:sz w:val="24"/>
          <w:highlight w:val="none"/>
          <w:lang w:val="en-US" w:eastAsia="zh-CN"/>
        </w:rPr>
        <w:t>肆万元整</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eastAsia="zh-CN"/>
        </w:rPr>
        <w:t>40000.00</w:t>
      </w:r>
      <w:r>
        <w:rPr>
          <w:rFonts w:hint="eastAsia" w:ascii="仿宋" w:hAnsi="仿宋" w:eastAsia="仿宋" w:cs="仿宋"/>
          <w:color w:val="auto"/>
          <w:kern w:val="0"/>
          <w:sz w:val="24"/>
          <w:highlight w:val="none"/>
        </w:rPr>
        <w:t>）。</w:t>
      </w:r>
    </w:p>
    <w:p w14:paraId="386D12E6">
      <w:pPr>
        <w:spacing w:line="40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投标保证金的交纳方式：银行转账、支票、汇票、本票或者金融、担保机构出具的保函、保险机构的保单，禁止采用现钞方式。采用银行转账方式的，在投标文件递交截至时间前交至采购代理机构指定账户并且到账（开户银行：中信银行广州花园支行，开户名称：公诚管理咨询有限公司，银行账号：3110910037672507587；采用支票、汇票、本票或者保函等方式的，投标人必须将支票、汇票、本票或者金融、担保机构出具的保函、保险机构保单的原件在投标文件递交截至时间前单独密封递交至广西壮族自治区公共资源交易中心开标室（具体详见当天大厅显示屏）提交给采购人或代理机构，否则视为无效投标保证金。</w:t>
      </w:r>
    </w:p>
    <w:p w14:paraId="592C12D6">
      <w:pPr>
        <w:spacing w:line="400" w:lineRule="exact"/>
        <w:ind w:firstLine="480" w:firstLineChars="200"/>
        <w:rPr>
          <w:rFonts w:hint="eastAsia" w:ascii="仿宋" w:hAnsi="仿宋" w:eastAsia="仿宋" w:cs="仿宋"/>
          <w:color w:val="auto"/>
          <w:sz w:val="24"/>
          <w:highlight w:val="none"/>
        </w:rPr>
      </w:pPr>
      <w:bookmarkStart w:id="38" w:name="_Hlk37429585"/>
      <w:r>
        <w:rPr>
          <w:rFonts w:hint="eastAsia" w:ascii="仿宋" w:hAnsi="仿宋" w:eastAsia="仿宋" w:cs="仿宋"/>
          <w:color w:val="auto"/>
          <w:sz w:val="24"/>
          <w:highlight w:val="none"/>
        </w:rPr>
        <w:t>2.</w:t>
      </w:r>
      <w:bookmarkStart w:id="39" w:name="_Hlk37429595"/>
      <w:r>
        <w:rPr>
          <w:rFonts w:hint="eastAsia" w:ascii="仿宋" w:hAnsi="仿宋" w:eastAsia="仿宋" w:cs="仿宋"/>
          <w:color w:val="auto"/>
          <w:sz w:val="24"/>
          <w:highlight w:val="none"/>
        </w:rPr>
        <w:t>网上查询地址：</w:t>
      </w:r>
      <w:r>
        <w:rPr>
          <w:rFonts w:hint="eastAsia" w:ascii="仿宋" w:hAnsi="仿宋" w:eastAsia="仿宋" w:cs="仿宋"/>
          <w:color w:val="auto"/>
          <w:kern w:val="0"/>
          <w:sz w:val="24"/>
          <w:highlight w:val="none"/>
        </w:rPr>
        <w:t>www.ccgp.gov.cn（中国政府采购网）、zfcg.gxzf.gov.cn（广西壮族自治区政府采购网）</w:t>
      </w:r>
      <w:bookmarkEnd w:id="38"/>
      <w:r>
        <w:rPr>
          <w:rFonts w:hint="eastAsia" w:ascii="仿宋" w:hAnsi="仿宋" w:eastAsia="仿宋" w:cs="仿宋"/>
          <w:color w:val="auto"/>
          <w:kern w:val="0"/>
          <w:sz w:val="24"/>
          <w:highlight w:val="none"/>
        </w:rPr>
        <w:t>、gxggzy.gxzf.gov.cn（广西壮族自治区公共资源交易中心）。</w:t>
      </w:r>
    </w:p>
    <w:bookmarkEnd w:id="39"/>
    <w:p w14:paraId="5733FC7D">
      <w:pPr>
        <w:spacing w:line="400" w:lineRule="exact"/>
        <w:ind w:firstLine="480" w:firstLineChars="200"/>
        <w:rPr>
          <w:rFonts w:hint="eastAsia" w:ascii="仿宋" w:hAnsi="仿宋" w:eastAsia="仿宋" w:cs="仿宋"/>
          <w:color w:val="auto"/>
          <w:sz w:val="24"/>
          <w:highlight w:val="none"/>
        </w:rPr>
      </w:pPr>
      <w:bookmarkStart w:id="40" w:name="_Hlk37429674"/>
      <w:r>
        <w:rPr>
          <w:rFonts w:hint="eastAsia" w:ascii="仿宋" w:hAnsi="仿宋" w:eastAsia="仿宋" w:cs="仿宋"/>
          <w:color w:val="auto"/>
          <w:sz w:val="24"/>
          <w:highlight w:val="none"/>
        </w:rPr>
        <w:t>3.本项目需要落实的政府采购政策</w:t>
      </w:r>
    </w:p>
    <w:p w14:paraId="20878348">
      <w:pPr>
        <w:pStyle w:val="106"/>
        <w:spacing w:line="400" w:lineRule="exact"/>
        <w:ind w:firstLine="48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（1）政府采购促进中小企业发展。</w:t>
      </w:r>
    </w:p>
    <w:p w14:paraId="735C1E92">
      <w:pPr>
        <w:pStyle w:val="106"/>
        <w:spacing w:line="400" w:lineRule="exact"/>
        <w:ind w:firstLine="48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（2）政府采购支持采用本国产品的政策。</w:t>
      </w:r>
    </w:p>
    <w:p w14:paraId="161168CC">
      <w:pPr>
        <w:pStyle w:val="106"/>
        <w:spacing w:line="400" w:lineRule="exact"/>
        <w:ind w:firstLine="48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（3）强制采购节能产品；优先采购节能产品、环境标志产品。</w:t>
      </w:r>
    </w:p>
    <w:p w14:paraId="06B3DD32">
      <w:pPr>
        <w:pStyle w:val="106"/>
        <w:spacing w:line="400" w:lineRule="exact"/>
        <w:ind w:firstLine="48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（4）政府采购促进残疾人就业政策。</w:t>
      </w:r>
    </w:p>
    <w:p w14:paraId="144EA18F">
      <w:pPr>
        <w:pStyle w:val="106"/>
        <w:spacing w:line="400" w:lineRule="exact"/>
        <w:ind w:firstLine="48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（5）政府采购支持监狱企业发展。</w:t>
      </w:r>
      <w:bookmarkEnd w:id="40"/>
    </w:p>
    <w:p w14:paraId="581BAB0B">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4.注意事项：</w:t>
      </w:r>
    </w:p>
    <w:p w14:paraId="28E6EA6F">
      <w:pPr>
        <w:spacing w:line="40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未进行网上注册并办理数字证书（CA认证）的供应商将无法参与本项目政府采购活动，潜在供应商应当在投标截止时间前，完成政采云平台上的CA数字证书办理及投标文件的提交。完成CA数字证书办理预计7日左右，建议各供应商抓紧时间办理。</w:t>
      </w:r>
    </w:p>
    <w:p w14:paraId="17AE84AA">
      <w:pPr>
        <w:spacing w:line="40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（2）为确保网上操作合法、有效和安全，请供应商确保在电子投标过程中能够对相关数据电文进行加密和使用电子签章，妥善保管CA数字证书并使用有效的CA数字证书参与整个招标活动。</w:t>
      </w:r>
    </w:p>
    <w:p w14:paraId="289EFD17">
      <w:pPr>
        <w:spacing w:line="40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（3）CA证书在线解密：投标人投标时，需携带制作投标文件时用来加密的有效数字证书（CA认证）登录广西政府采购云平台电子开标大厅现场按规定时间对加密的投标文件进行解密。</w:t>
      </w:r>
    </w:p>
    <w:p w14:paraId="3358C4F1">
      <w:pPr>
        <w:spacing w:line="40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若对项目采购电子交易系统操作有疑问，可登录广西政府采购云平台（https://www.gcy.zfcg.gxzf.gov.cn/），点击右侧咨询小采，获取采小蜜智能服务管家帮助，或拨打广西政府采购云平台服务热线95763获取热线服务帮助。</w:t>
      </w:r>
    </w:p>
    <w:p w14:paraId="1FCF2244">
      <w:pPr>
        <w:spacing w:line="400" w:lineRule="exact"/>
        <w:ind w:firstLine="482" w:firstLineChars="200"/>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5.本项目非专门面向中小企业采购项目。</w:t>
      </w:r>
    </w:p>
    <w:p w14:paraId="6104AD37">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6.监督部门</w:t>
      </w:r>
    </w:p>
    <w:p w14:paraId="630C249D">
      <w:pPr>
        <w:pStyle w:val="106"/>
        <w:spacing w:line="400" w:lineRule="exact"/>
        <w:ind w:firstLine="48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名    称：广西壮族自治区财政厅政府采购监督管理处</w:t>
      </w:r>
    </w:p>
    <w:p w14:paraId="37730083">
      <w:pPr>
        <w:pStyle w:val="106"/>
        <w:spacing w:line="400" w:lineRule="exact"/>
        <w:ind w:firstLine="48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电    话：0771-5331544</w:t>
      </w:r>
    </w:p>
    <w:p w14:paraId="26ADB953">
      <w:pPr>
        <w:spacing w:line="40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七、对本次招标提出询问，请按以下方式联系。</w:t>
      </w:r>
      <w:bookmarkEnd w:id="34"/>
      <w:bookmarkEnd w:id="35"/>
      <w:bookmarkEnd w:id="36"/>
      <w:bookmarkEnd w:id="37"/>
    </w:p>
    <w:p w14:paraId="1D533DA3">
      <w:pPr>
        <w:tabs>
          <w:tab w:val="left" w:pos="426"/>
        </w:tabs>
        <w:spacing w:line="40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1.采购人信息</w:t>
      </w:r>
    </w:p>
    <w:p w14:paraId="299E5C44">
      <w:pPr>
        <w:tabs>
          <w:tab w:val="left" w:pos="426"/>
        </w:tabs>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名    称：</w:t>
      </w:r>
      <w:r>
        <w:rPr>
          <w:rFonts w:hint="eastAsia" w:ascii="仿宋" w:hAnsi="仿宋" w:eastAsia="仿宋" w:cs="仿宋"/>
          <w:color w:val="auto"/>
          <w:kern w:val="0"/>
          <w:sz w:val="24"/>
          <w:highlight w:val="none"/>
        </w:rPr>
        <w:t>广西壮族自治区人民医院</w:t>
      </w:r>
    </w:p>
    <w:p w14:paraId="78A017E0">
      <w:pPr>
        <w:tabs>
          <w:tab w:val="left" w:pos="426"/>
        </w:tabs>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地    址：南宁市桃源路6号</w:t>
      </w:r>
    </w:p>
    <w:p w14:paraId="3C3669B6">
      <w:pPr>
        <w:tabs>
          <w:tab w:val="left" w:pos="426"/>
        </w:tabs>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联系方式：</w:t>
      </w:r>
      <w:bookmarkStart w:id="41" w:name="_Toc28359009"/>
      <w:bookmarkStart w:id="42" w:name="_Toc28359086"/>
      <w:r>
        <w:rPr>
          <w:rFonts w:hint="eastAsia" w:ascii="仿宋" w:hAnsi="仿宋" w:eastAsia="仿宋" w:cs="仿宋"/>
          <w:color w:val="auto"/>
          <w:sz w:val="24"/>
          <w:highlight w:val="none"/>
        </w:rPr>
        <w:t>钟老师  0771-5722430</w:t>
      </w:r>
    </w:p>
    <w:p w14:paraId="5673DDF5">
      <w:pPr>
        <w:tabs>
          <w:tab w:val="left" w:pos="426"/>
        </w:tabs>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2.采购代理机构信息</w:t>
      </w:r>
      <w:bookmarkEnd w:id="41"/>
      <w:bookmarkEnd w:id="42"/>
    </w:p>
    <w:p w14:paraId="1A527115">
      <w:pPr>
        <w:tabs>
          <w:tab w:val="left" w:pos="426"/>
        </w:tabs>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名    称：公诚管理咨询有限公司</w:t>
      </w:r>
    </w:p>
    <w:p w14:paraId="4186572E">
      <w:pPr>
        <w:tabs>
          <w:tab w:val="left" w:pos="426"/>
        </w:tabs>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地　  址：广西南宁市青秀区金湖北路52-1号东方曼哈顿25楼</w:t>
      </w:r>
    </w:p>
    <w:p w14:paraId="2FA67E72">
      <w:pPr>
        <w:tabs>
          <w:tab w:val="left" w:pos="426"/>
        </w:tabs>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联系方式：</w:t>
      </w:r>
      <w:bookmarkStart w:id="43" w:name="_Toc28359010"/>
      <w:bookmarkStart w:id="44" w:name="_Toc28359087"/>
      <w:r>
        <w:rPr>
          <w:rFonts w:hint="eastAsia" w:ascii="仿宋" w:hAnsi="仿宋" w:eastAsia="仿宋" w:cs="仿宋"/>
          <w:color w:val="auto"/>
          <w:sz w:val="24"/>
          <w:highlight w:val="none"/>
          <w:lang w:val="en-US" w:eastAsia="zh-CN"/>
        </w:rPr>
        <w:t>陈雅冰</w:t>
      </w:r>
      <w:r>
        <w:rPr>
          <w:rFonts w:hint="eastAsia" w:ascii="仿宋" w:hAnsi="仿宋" w:eastAsia="仿宋" w:cs="仿宋"/>
          <w:color w:val="auto"/>
          <w:sz w:val="24"/>
          <w:highlight w:val="none"/>
        </w:rPr>
        <w:t xml:space="preserve">、劳德、王鹏程、盛菲、李涛 </w:t>
      </w:r>
      <w:r>
        <w:rPr>
          <w:rFonts w:hint="eastAsia" w:ascii="仿宋" w:hAnsi="仿宋" w:eastAsia="仿宋" w:cs="仿宋"/>
          <w:color w:val="auto"/>
          <w:sz w:val="24"/>
          <w:highlight w:val="none"/>
          <w:lang w:val="en-US" w:eastAsia="zh-CN"/>
        </w:rPr>
        <w:t>15078828204</w:t>
      </w:r>
      <w:r>
        <w:rPr>
          <w:rFonts w:hint="eastAsia" w:ascii="仿宋" w:hAnsi="仿宋" w:eastAsia="仿宋" w:cs="仿宋"/>
          <w:color w:val="auto"/>
          <w:sz w:val="24"/>
          <w:highlight w:val="none"/>
        </w:rPr>
        <w:t>/0771-5583003</w:t>
      </w:r>
    </w:p>
    <w:p w14:paraId="7B776869">
      <w:pPr>
        <w:tabs>
          <w:tab w:val="left" w:pos="426"/>
        </w:tabs>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3.项目联系方式</w:t>
      </w:r>
      <w:bookmarkEnd w:id="43"/>
      <w:bookmarkEnd w:id="44"/>
    </w:p>
    <w:p w14:paraId="3F26A6AC">
      <w:pPr>
        <w:tabs>
          <w:tab w:val="left" w:pos="426"/>
        </w:tabs>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项目联系人：</w:t>
      </w:r>
      <w:r>
        <w:rPr>
          <w:rFonts w:hint="eastAsia" w:ascii="仿宋" w:hAnsi="仿宋" w:eastAsia="仿宋" w:cs="仿宋"/>
          <w:color w:val="auto"/>
          <w:sz w:val="24"/>
          <w:highlight w:val="none"/>
          <w:lang w:val="en-US" w:eastAsia="zh-CN"/>
        </w:rPr>
        <w:t>陈雅冰</w:t>
      </w:r>
      <w:r>
        <w:rPr>
          <w:rFonts w:hint="eastAsia" w:ascii="仿宋" w:hAnsi="仿宋" w:eastAsia="仿宋" w:cs="仿宋"/>
          <w:color w:val="auto"/>
          <w:sz w:val="24"/>
          <w:highlight w:val="none"/>
        </w:rPr>
        <w:t>、劳德、王鹏程、盛菲、李涛</w:t>
      </w:r>
    </w:p>
    <w:p w14:paraId="761123A4">
      <w:pPr>
        <w:tabs>
          <w:tab w:val="left" w:pos="426"/>
        </w:tabs>
        <w:spacing w:line="4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sz w:val="24"/>
          <w:highlight w:val="none"/>
        </w:rPr>
        <w:t>电　  话：</w:t>
      </w:r>
      <w:r>
        <w:rPr>
          <w:rFonts w:hint="eastAsia" w:ascii="仿宋" w:hAnsi="仿宋" w:eastAsia="仿宋" w:cs="仿宋"/>
          <w:color w:val="auto"/>
          <w:sz w:val="24"/>
          <w:highlight w:val="none"/>
          <w:lang w:val="en-US" w:eastAsia="zh-CN"/>
        </w:rPr>
        <w:t>15078828204</w:t>
      </w:r>
      <w:r>
        <w:rPr>
          <w:rFonts w:hint="eastAsia" w:ascii="仿宋" w:hAnsi="仿宋" w:eastAsia="仿宋" w:cs="仿宋"/>
          <w:color w:val="auto"/>
          <w:sz w:val="24"/>
          <w:highlight w:val="none"/>
        </w:rPr>
        <w:t>/0771-5583003</w:t>
      </w:r>
      <w:bookmarkEnd w:id="7"/>
    </w:p>
    <w:bookmarkEnd w:id="8"/>
    <w:p w14:paraId="1C47BB1D">
      <w:pPr>
        <w:rPr>
          <w:rFonts w:hint="eastAsia" w:ascii="仿宋" w:hAnsi="仿宋" w:eastAsia="仿宋" w:cs="仿宋"/>
          <w:color w:val="auto"/>
          <w:highlight w:val="none"/>
        </w:rPr>
      </w:pPr>
      <w:bookmarkStart w:id="45" w:name="_Toc254970526"/>
      <w:bookmarkStart w:id="46" w:name="_Toc254970667"/>
      <w:r>
        <w:rPr>
          <w:rFonts w:hint="eastAsia" w:ascii="仿宋" w:hAnsi="仿宋" w:eastAsia="仿宋" w:cs="仿宋"/>
          <w:color w:val="auto"/>
          <w:highlight w:val="none"/>
        </w:rPr>
        <w:br w:type="page"/>
      </w:r>
    </w:p>
    <w:bookmarkEnd w:id="45"/>
    <w:bookmarkEnd w:id="46"/>
    <w:p w14:paraId="4A7FA4DF">
      <w:pPr>
        <w:pStyle w:val="3"/>
        <w:keepNext w:val="0"/>
        <w:keepLines w:val="0"/>
        <w:tabs>
          <w:tab w:val="center" w:pos="4766"/>
          <w:tab w:val="left" w:pos="8409"/>
        </w:tabs>
        <w:jc w:val="center"/>
        <w:rPr>
          <w:rFonts w:hint="eastAsia" w:ascii="仿宋" w:hAnsi="仿宋" w:eastAsia="仿宋" w:cs="仿宋"/>
          <w:color w:val="auto"/>
          <w:sz w:val="30"/>
          <w:szCs w:val="30"/>
          <w:highlight w:val="none"/>
          <w:lang w:eastAsia="zh-CN"/>
        </w:rPr>
      </w:pPr>
      <w:bookmarkStart w:id="47" w:name="_Toc14535"/>
      <w:bookmarkStart w:id="48" w:name="_Toc32145"/>
      <w:bookmarkStart w:id="49" w:name="_Toc19686830"/>
      <w:r>
        <w:rPr>
          <w:rFonts w:hint="eastAsia" w:ascii="仿宋" w:hAnsi="仿宋" w:eastAsia="仿宋" w:cs="仿宋"/>
          <w:color w:val="auto"/>
          <w:highlight w:val="none"/>
        </w:rPr>
        <w:t>第二章  采购需求</w:t>
      </w:r>
      <w:bookmarkEnd w:id="47"/>
      <w:bookmarkEnd w:id="48"/>
      <w:bookmarkEnd w:id="49"/>
    </w:p>
    <w:p w14:paraId="78A0CA34">
      <w:pPr>
        <w:spacing w:line="360" w:lineRule="auto"/>
        <w:jc w:val="left"/>
        <w:rPr>
          <w:rFonts w:hint="eastAsia" w:ascii="仿宋" w:hAnsi="仿宋" w:eastAsia="仿宋" w:cs="仿宋"/>
          <w:color w:val="auto"/>
          <w:sz w:val="24"/>
          <w:highlight w:val="none"/>
        </w:rPr>
      </w:pPr>
      <w:bookmarkStart w:id="50" w:name="_Toc254970631"/>
      <w:bookmarkStart w:id="51" w:name="_Toc254970490"/>
      <w:r>
        <w:rPr>
          <w:rFonts w:hint="eastAsia" w:ascii="仿宋" w:hAnsi="仿宋" w:eastAsia="仿宋" w:cs="仿宋"/>
          <w:color w:val="auto"/>
          <w:sz w:val="24"/>
          <w:highlight w:val="none"/>
        </w:rPr>
        <w:t>说明：</w:t>
      </w:r>
    </w:p>
    <w:p w14:paraId="6AAF021D">
      <w:pPr>
        <w:spacing w:line="360" w:lineRule="auto"/>
        <w:ind w:firstLine="484" w:firstLineChars="202"/>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1.根据《财政部 发展改革委 生态环境部 市场监管总局关于调整优化节能产品、环境标志产品政府采购执行机制的通知》（财库〔2019〕9号）和《关于印发节能产品政府采购品目清单的通知》（财库〔2019〕19号）的规定，节能产品政府采购品目清单内标注“★”的品目属于政府强制采购节能产品，如本项目包含的货物属于品目清单内标注“★”的产品时，投标人的投标货物必须使用政府强制采购的节能产品，投标人必须在投标文件中提供所投标产品的节能产品认证证书复印件（加盖投标人公章），否则投标文件作无效处理。如本项目包含的货物属于品目清单内非标注“★”的产品时，应优先采购，具体详见“第四章 评标方法和评标标准”。</w:t>
      </w:r>
    </w:p>
    <w:p w14:paraId="446123B5">
      <w:pPr>
        <w:spacing w:line="360" w:lineRule="auto"/>
        <w:ind w:firstLine="484" w:firstLineChars="202"/>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b/>
          <w:bCs/>
          <w:color w:val="auto"/>
          <w:sz w:val="24"/>
          <w:highlight w:val="none"/>
        </w:rPr>
        <w:t>“实质性要求”</w:t>
      </w:r>
      <w:r>
        <w:rPr>
          <w:rFonts w:hint="eastAsia" w:ascii="仿宋" w:hAnsi="仿宋" w:eastAsia="仿宋" w:cs="仿宋"/>
          <w:color w:val="auto"/>
          <w:sz w:val="24"/>
          <w:highlight w:val="none"/>
        </w:rPr>
        <w:t>是指招标文件中已经指明不满足则投标无效的条款，或者不能负偏离的条款，或者采购需求中带“▲”的条款。</w:t>
      </w:r>
    </w:p>
    <w:p w14:paraId="43DE3B5D">
      <w:pPr>
        <w:spacing w:line="360" w:lineRule="auto"/>
        <w:ind w:firstLine="484" w:firstLineChars="202"/>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3.投标人应根据自身实际情况响应招标文件采购需求中的各项需求，</w:t>
      </w:r>
      <w:r>
        <w:rPr>
          <w:rFonts w:hint="eastAsia" w:ascii="仿宋" w:hAnsi="仿宋" w:eastAsia="仿宋" w:cs="仿宋"/>
          <w:b/>
          <w:bCs/>
          <w:color w:val="auto"/>
          <w:sz w:val="24"/>
          <w:highlight w:val="none"/>
        </w:rPr>
        <w:t>对于重要技术条款（标注“◆”的条款）应当在投标文件中提供技术支持资料。技术支持资料以投标货物生产厂家公开发布的印刷资料或检测机构出具的检测报告或招标文件中允许的其它形式为准。</w:t>
      </w:r>
      <w:r>
        <w:rPr>
          <w:rFonts w:hint="eastAsia" w:ascii="仿宋" w:hAnsi="仿宋" w:eastAsia="仿宋" w:cs="仿宋"/>
          <w:color w:val="auto"/>
          <w:sz w:val="24"/>
          <w:highlight w:val="none"/>
        </w:rPr>
        <w:t>凡不符合上述要求的，将视为无效技术支持资料。</w:t>
      </w:r>
      <w:bookmarkEnd w:id="50"/>
      <w:bookmarkEnd w:id="51"/>
    </w:p>
    <w:tbl>
      <w:tblPr>
        <w:tblStyle w:val="45"/>
        <w:tblW w:w="90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6"/>
        <w:gridCol w:w="934"/>
        <w:gridCol w:w="850"/>
        <w:gridCol w:w="613"/>
        <w:gridCol w:w="5713"/>
        <w:gridCol w:w="475"/>
      </w:tblGrid>
      <w:tr w14:paraId="47A6C2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9011" w:type="dxa"/>
            <w:gridSpan w:val="6"/>
            <w:tcBorders>
              <w:right w:val="single" w:color="auto" w:sz="4" w:space="0"/>
            </w:tcBorders>
            <w:vAlign w:val="center"/>
          </w:tcPr>
          <w:p w14:paraId="45BC996E">
            <w:pPr>
              <w:spacing w:line="40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一、技术条款</w:t>
            </w:r>
          </w:p>
        </w:tc>
      </w:tr>
      <w:tr w14:paraId="2004A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426" w:type="dxa"/>
            <w:vAlign w:val="center"/>
          </w:tcPr>
          <w:p w14:paraId="45EBB841">
            <w:pPr>
              <w:spacing w:line="400" w:lineRule="exact"/>
              <w:jc w:val="center"/>
              <w:rPr>
                <w:rFonts w:hint="eastAsia" w:ascii="仿宋" w:hAnsi="仿宋" w:eastAsia="仿宋" w:cs="仿宋"/>
                <w:color w:val="auto"/>
                <w:sz w:val="24"/>
                <w:highlight w:val="none"/>
              </w:rPr>
            </w:pPr>
            <w:bookmarkStart w:id="52" w:name="_Hlk117247000"/>
            <w:r>
              <w:rPr>
                <w:rFonts w:hint="eastAsia" w:ascii="仿宋" w:hAnsi="仿宋" w:eastAsia="仿宋" w:cs="仿宋"/>
                <w:color w:val="auto"/>
                <w:sz w:val="24"/>
                <w:highlight w:val="none"/>
              </w:rPr>
              <w:t>序号</w:t>
            </w:r>
          </w:p>
        </w:tc>
        <w:tc>
          <w:tcPr>
            <w:tcW w:w="934" w:type="dxa"/>
            <w:vAlign w:val="center"/>
          </w:tcPr>
          <w:p w14:paraId="024A5329">
            <w:pPr>
              <w:spacing w:line="400" w:lineRule="exact"/>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采购标的</w:t>
            </w:r>
          </w:p>
        </w:tc>
        <w:tc>
          <w:tcPr>
            <w:tcW w:w="850" w:type="dxa"/>
            <w:tcBorders>
              <w:right w:val="single" w:color="auto" w:sz="4" w:space="0"/>
            </w:tcBorders>
            <w:vAlign w:val="center"/>
          </w:tcPr>
          <w:p w14:paraId="7AB9C16F">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数量/单位</w:t>
            </w:r>
          </w:p>
        </w:tc>
        <w:tc>
          <w:tcPr>
            <w:tcW w:w="6326" w:type="dxa"/>
            <w:gridSpan w:val="2"/>
            <w:tcBorders>
              <w:left w:val="single" w:color="auto" w:sz="4" w:space="0"/>
              <w:right w:val="single" w:color="auto" w:sz="4" w:space="0"/>
            </w:tcBorders>
            <w:vAlign w:val="center"/>
          </w:tcPr>
          <w:p w14:paraId="2804DF6B">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技术指标要求</w:t>
            </w:r>
          </w:p>
        </w:tc>
        <w:tc>
          <w:tcPr>
            <w:tcW w:w="475" w:type="dxa"/>
            <w:tcBorders>
              <w:left w:val="single" w:color="auto" w:sz="4" w:space="0"/>
              <w:right w:val="single" w:color="auto" w:sz="4" w:space="0"/>
            </w:tcBorders>
            <w:vAlign w:val="center"/>
          </w:tcPr>
          <w:p w14:paraId="2E278450">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r>
      <w:tr w14:paraId="2E9B02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426" w:type="dxa"/>
            <w:vAlign w:val="center"/>
          </w:tcPr>
          <w:p w14:paraId="603A8EDC">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934" w:type="dxa"/>
            <w:vAlign w:val="center"/>
          </w:tcPr>
          <w:p w14:paraId="7407A7D1">
            <w:pPr>
              <w:spacing w:line="400" w:lineRule="exact"/>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数字减影血管造影(DSA)</w:t>
            </w:r>
          </w:p>
        </w:tc>
        <w:tc>
          <w:tcPr>
            <w:tcW w:w="850" w:type="dxa"/>
            <w:tcBorders>
              <w:right w:val="single" w:color="auto" w:sz="4" w:space="0"/>
            </w:tcBorders>
            <w:vAlign w:val="center"/>
          </w:tcPr>
          <w:p w14:paraId="01E7B499">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1套</w:t>
            </w:r>
          </w:p>
        </w:tc>
        <w:tc>
          <w:tcPr>
            <w:tcW w:w="6326" w:type="dxa"/>
            <w:gridSpan w:val="2"/>
            <w:tcBorders>
              <w:left w:val="single" w:color="auto" w:sz="4" w:space="0"/>
              <w:right w:val="single" w:color="auto" w:sz="4" w:space="0"/>
            </w:tcBorders>
            <w:vAlign w:val="center"/>
          </w:tcPr>
          <w:p w14:paraId="13D680FC">
            <w:pPr>
              <w:spacing w:line="400" w:lineRule="exact"/>
              <w:rPr>
                <w:rFonts w:hint="eastAsia" w:ascii="仿宋" w:hAnsi="仿宋" w:eastAsia="仿宋" w:cs="仿宋"/>
                <w:b w:val="0"/>
                <w:bCs w:val="0"/>
                <w:color w:val="auto"/>
                <w:sz w:val="24"/>
                <w:highlight w:val="none"/>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设备用途</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可以满足肿瘤、周围血管、心血管、脑血管性疾病的介入</w:t>
            </w:r>
            <w:r>
              <w:rPr>
                <w:rFonts w:hint="eastAsia" w:ascii="仿宋" w:hAnsi="仿宋" w:eastAsia="仿宋" w:cs="仿宋"/>
                <w:b w:val="0"/>
                <w:bCs w:val="0"/>
                <w:color w:val="auto"/>
                <w:sz w:val="24"/>
                <w:highlight w:val="none"/>
              </w:rPr>
              <w:t>放射学检查与治疗；</w:t>
            </w:r>
          </w:p>
          <w:p w14:paraId="215B58E6">
            <w:pPr>
              <w:spacing w:line="400" w:lineRule="exact"/>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2.机架系统（C型臂）</w:t>
            </w:r>
          </w:p>
          <w:p w14:paraId="02835186">
            <w:pPr>
              <w:spacing w:line="400" w:lineRule="exact"/>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2.1 悬吊式或落地机架，机架运动方向≥3轴；</w:t>
            </w:r>
          </w:p>
          <w:p w14:paraId="6BA0611E">
            <w:pPr>
              <w:spacing w:line="400" w:lineRule="exact"/>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2.2</w:t>
            </w:r>
            <w:r>
              <w:rPr>
                <w:rFonts w:hint="eastAsia" w:ascii="仿宋" w:hAnsi="仿宋" w:eastAsia="仿宋" w:cs="仿宋"/>
                <w:b w:val="0"/>
                <w:bCs w:val="0"/>
                <w:color w:val="auto"/>
                <w:sz w:val="24"/>
                <w:highlight w:val="none"/>
                <w:lang w:val="en-US" w:eastAsia="zh-CN"/>
              </w:rPr>
              <w:t xml:space="preserve"> </w:t>
            </w:r>
            <w:r>
              <w:rPr>
                <w:rFonts w:hint="eastAsia" w:ascii="仿宋" w:hAnsi="仿宋" w:eastAsia="仿宋" w:cs="仿宋"/>
                <w:b w:val="0"/>
                <w:bCs w:val="0"/>
                <w:color w:val="auto"/>
                <w:sz w:val="24"/>
                <w:highlight w:val="none"/>
              </w:rPr>
              <w:t>机架系统所有轴全部为电动而非手动；</w:t>
            </w:r>
          </w:p>
          <w:p w14:paraId="050E333E">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2.3</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为了满足医生手术站位需求，机架可旋转至床左、右侧≥90度；</w:t>
            </w:r>
          </w:p>
          <w:p w14:paraId="4C473E30">
            <w:pPr>
              <w:spacing w:line="400" w:lineRule="exact"/>
              <w:rPr>
                <w:rFonts w:hint="eastAsia" w:ascii="仿宋" w:hAnsi="仿宋" w:eastAsia="仿宋" w:cs="仿宋"/>
                <w:b w:val="0"/>
                <w:bCs w:val="0"/>
                <w:color w:val="auto"/>
                <w:sz w:val="24"/>
                <w:highlight w:val="none"/>
              </w:rPr>
            </w:pPr>
            <w:r>
              <w:rPr>
                <w:rFonts w:hint="eastAsia" w:ascii="仿宋" w:hAnsi="仿宋" w:eastAsia="仿宋" w:cs="仿宋"/>
                <w:color w:val="auto"/>
                <w:sz w:val="24"/>
                <w:highlight w:val="none"/>
              </w:rPr>
              <w:t>2.4</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机架斜位旋转角</w:t>
            </w:r>
            <w:r>
              <w:rPr>
                <w:rFonts w:hint="eastAsia" w:ascii="仿宋" w:hAnsi="仿宋" w:eastAsia="仿宋" w:cs="仿宋"/>
                <w:b w:val="0"/>
                <w:bCs w:val="0"/>
                <w:color w:val="auto"/>
                <w:sz w:val="24"/>
                <w:highlight w:val="none"/>
              </w:rPr>
              <w:t>度范围：LAO≥100°, RAO≥130°；</w:t>
            </w:r>
          </w:p>
          <w:p w14:paraId="7A691A73">
            <w:pPr>
              <w:spacing w:line="400" w:lineRule="exact"/>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2.5</w:t>
            </w:r>
            <w:r>
              <w:rPr>
                <w:rFonts w:hint="eastAsia" w:ascii="仿宋" w:hAnsi="仿宋" w:eastAsia="仿宋" w:cs="仿宋"/>
                <w:b w:val="0"/>
                <w:bCs w:val="0"/>
                <w:color w:val="auto"/>
                <w:sz w:val="24"/>
                <w:highlight w:val="none"/>
                <w:lang w:val="en-US" w:eastAsia="zh-CN"/>
              </w:rPr>
              <w:t xml:space="preserve"> </w:t>
            </w:r>
            <w:r>
              <w:rPr>
                <w:rFonts w:hint="eastAsia" w:ascii="仿宋" w:hAnsi="仿宋" w:eastAsia="仿宋" w:cs="仿宋"/>
                <w:b w:val="0"/>
                <w:bCs w:val="0"/>
                <w:color w:val="auto"/>
                <w:sz w:val="24"/>
                <w:highlight w:val="none"/>
              </w:rPr>
              <w:t>机架头足位旋转角度范围：CRA≥90°，CAU≥90°；</w:t>
            </w:r>
          </w:p>
          <w:p w14:paraId="73EC3EE2">
            <w:pPr>
              <w:spacing w:line="400" w:lineRule="exact"/>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2.6 机架多预设位，用户自定义存储位置≥55种；</w:t>
            </w:r>
          </w:p>
          <w:p w14:paraId="1C77AE96">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 xml:space="preserve"> C臂旋转速度（非旋转采集）LAO/RAO≥25°/秒；</w:t>
            </w:r>
          </w:p>
          <w:p w14:paraId="1788D277">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 xml:space="preserve"> C臂弧深≥95cm。</w:t>
            </w:r>
          </w:p>
          <w:p w14:paraId="307C3459">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导管床系统</w:t>
            </w:r>
          </w:p>
          <w:p w14:paraId="3D2EF699">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落地式导管床，床面为碳纤维材质并有床垫；</w:t>
            </w:r>
          </w:p>
          <w:p w14:paraId="20A73661">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承重：≥300KG；</w:t>
            </w:r>
          </w:p>
          <w:p w14:paraId="1978823B">
            <w:pPr>
              <w:spacing w:line="400" w:lineRule="exact"/>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w:t>
            </w:r>
            <w:r>
              <w:rPr>
                <w:rFonts w:hint="eastAsia" w:ascii="仿宋" w:hAnsi="仿宋" w:eastAsia="仿宋" w:cs="仿宋"/>
                <w:b w:val="0"/>
                <w:bCs w:val="0"/>
                <w:color w:val="auto"/>
                <w:sz w:val="24"/>
                <w:highlight w:val="none"/>
                <w:lang w:val="en-US" w:eastAsia="zh-CN"/>
              </w:rPr>
              <w:t>3</w:t>
            </w:r>
            <w:r>
              <w:rPr>
                <w:rFonts w:hint="eastAsia" w:ascii="仿宋" w:hAnsi="仿宋" w:eastAsia="仿宋" w:cs="仿宋"/>
                <w:b w:val="0"/>
                <w:bCs w:val="0"/>
                <w:color w:val="auto"/>
                <w:sz w:val="24"/>
                <w:highlight w:val="none"/>
              </w:rPr>
              <w:t>.3</w:t>
            </w:r>
            <w:r>
              <w:rPr>
                <w:rFonts w:hint="eastAsia" w:ascii="仿宋" w:hAnsi="仿宋" w:eastAsia="仿宋" w:cs="仿宋"/>
                <w:b w:val="0"/>
                <w:bCs w:val="0"/>
                <w:color w:val="auto"/>
                <w:sz w:val="24"/>
                <w:highlight w:val="none"/>
                <w:lang w:val="en-US" w:eastAsia="zh-CN"/>
              </w:rPr>
              <w:t xml:space="preserve"> </w:t>
            </w:r>
            <w:r>
              <w:rPr>
                <w:rFonts w:hint="eastAsia" w:ascii="仿宋" w:hAnsi="仿宋" w:eastAsia="仿宋" w:cs="仿宋"/>
                <w:b w:val="0"/>
                <w:bCs w:val="0"/>
                <w:color w:val="auto"/>
                <w:sz w:val="24"/>
                <w:highlight w:val="none"/>
              </w:rPr>
              <w:t>床长（不含延长板）≥300cm；</w:t>
            </w:r>
          </w:p>
          <w:p w14:paraId="78E57985">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.4</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导管床旋转角度范围≥270°；</w:t>
            </w:r>
          </w:p>
          <w:p w14:paraId="290A51D3">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.5</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导管床纵向运动范围≥120cm；横向运动范围≥35cm。</w:t>
            </w:r>
          </w:p>
          <w:p w14:paraId="2FCBFA2F">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X线发生器系统</w:t>
            </w:r>
          </w:p>
          <w:p w14:paraId="6CCCF799">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.1 高频逆变高压发生器, 最大输出功率≥100KW；</w:t>
            </w:r>
          </w:p>
          <w:p w14:paraId="729EBEA2">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最大管电流≥1000mA；</w:t>
            </w:r>
          </w:p>
          <w:p w14:paraId="173680CC">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管电压范围≥40-125kVp；</w:t>
            </w:r>
          </w:p>
          <w:p w14:paraId="1A8FD6BA">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.4</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最短曝光时间≤1ms。</w:t>
            </w:r>
          </w:p>
          <w:p w14:paraId="443F3762">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球管系统</w:t>
            </w:r>
          </w:p>
          <w:p w14:paraId="3219EF1E">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高速旋转阳极球管，阳极转速≥9600转/分；</w:t>
            </w:r>
          </w:p>
          <w:p w14:paraId="57BDFEFF">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球管阳极热容量≥3MHU；</w:t>
            </w:r>
          </w:p>
          <w:p w14:paraId="2314583E">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球管阳极散热功率≥5000W；</w:t>
            </w:r>
          </w:p>
          <w:p w14:paraId="6CC83FC1">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.4</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管套热容量≥4.9MHU；</w:t>
            </w:r>
          </w:p>
          <w:p w14:paraId="5B27BCD8">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.5</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球管焦点≥2个, 带有焦点自动切换功能；</w:t>
            </w:r>
          </w:p>
          <w:p w14:paraId="389494D1">
            <w:pPr>
              <w:spacing w:line="40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en-US" w:eastAsia="zh-CN"/>
              </w:rPr>
              <w:t>5</w:t>
            </w:r>
            <w:r>
              <w:rPr>
                <w:rFonts w:hint="eastAsia" w:ascii="仿宋" w:hAnsi="仿宋" w:eastAsia="仿宋" w:cs="仿宋"/>
                <w:b/>
                <w:bCs/>
                <w:color w:val="auto"/>
                <w:sz w:val="24"/>
                <w:highlight w:val="none"/>
              </w:rPr>
              <w:t>.6</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小焦点≤0.</w:t>
            </w:r>
            <w:r>
              <w:rPr>
                <w:rFonts w:hint="eastAsia" w:ascii="仿宋" w:hAnsi="仿宋" w:eastAsia="仿宋" w:cs="仿宋"/>
                <w:b/>
                <w:bCs/>
                <w:color w:val="auto"/>
                <w:sz w:val="24"/>
                <w:highlight w:val="none"/>
                <w:lang w:val="en-US" w:eastAsia="zh-CN"/>
              </w:rPr>
              <w:t>3</w:t>
            </w:r>
            <w:r>
              <w:rPr>
                <w:rFonts w:hint="eastAsia" w:ascii="仿宋" w:hAnsi="仿宋" w:eastAsia="仿宋" w:cs="仿宋"/>
                <w:b/>
                <w:bCs/>
                <w:color w:val="auto"/>
                <w:sz w:val="24"/>
                <w:highlight w:val="none"/>
              </w:rPr>
              <w:t xml:space="preserve">mm； </w:t>
            </w:r>
          </w:p>
          <w:p w14:paraId="41101053">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.7</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大焦点≥0.7mm；</w:t>
            </w:r>
          </w:p>
          <w:p w14:paraId="69347D44">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.8 最大透视电流≥160mA；</w:t>
            </w:r>
          </w:p>
          <w:p w14:paraId="3F70D926">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.9 小焦点功率≥18kW；</w:t>
            </w:r>
          </w:p>
          <w:p w14:paraId="05FF4211">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.10 大焦点功率≥65kW；</w:t>
            </w:r>
          </w:p>
          <w:p w14:paraId="18E32C49">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.11</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自动实时调节铜滤片≥3档，最厚≥0.9mm。</w:t>
            </w:r>
          </w:p>
          <w:p w14:paraId="16475136">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数字化平板探测器：</w:t>
            </w:r>
          </w:p>
          <w:p w14:paraId="3821E1B6">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采用非晶体硅数字化平板探测技术；</w:t>
            </w:r>
          </w:p>
          <w:p w14:paraId="23A1D39C">
            <w:pPr>
              <w:spacing w:line="40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en-US" w:eastAsia="zh-CN"/>
              </w:rPr>
              <w:t>6</w:t>
            </w:r>
            <w:r>
              <w:rPr>
                <w:rFonts w:hint="eastAsia" w:ascii="仿宋" w:hAnsi="仿宋" w:eastAsia="仿宋" w:cs="仿宋"/>
                <w:b/>
                <w:bCs/>
                <w:color w:val="auto"/>
                <w:sz w:val="24"/>
                <w:highlight w:val="none"/>
              </w:rPr>
              <w:t>.2</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平板的有效探测面积尺寸≥29cmX38cm；</w:t>
            </w:r>
          </w:p>
          <w:p w14:paraId="731D7D49">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≥四视野可变；</w:t>
            </w:r>
          </w:p>
          <w:p w14:paraId="1E671A66">
            <w:pPr>
              <w:spacing w:line="400" w:lineRule="exact"/>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lang w:val="en-US" w:eastAsia="zh-CN"/>
              </w:rPr>
              <w:t>6</w:t>
            </w:r>
            <w:r>
              <w:rPr>
                <w:rFonts w:hint="eastAsia" w:ascii="仿宋" w:hAnsi="仿宋" w:eastAsia="仿宋" w:cs="仿宋"/>
                <w:b w:val="0"/>
                <w:bCs w:val="0"/>
                <w:color w:val="auto"/>
                <w:sz w:val="24"/>
                <w:highlight w:val="none"/>
              </w:rPr>
              <w:t>.4</w:t>
            </w:r>
            <w:r>
              <w:rPr>
                <w:rFonts w:hint="eastAsia" w:ascii="仿宋" w:hAnsi="仿宋" w:eastAsia="仿宋" w:cs="仿宋"/>
                <w:b w:val="0"/>
                <w:bCs w:val="0"/>
                <w:color w:val="auto"/>
                <w:sz w:val="24"/>
                <w:highlight w:val="none"/>
                <w:lang w:val="en-US" w:eastAsia="zh-CN"/>
              </w:rPr>
              <w:t xml:space="preserve"> </w:t>
            </w:r>
            <w:r>
              <w:rPr>
                <w:rFonts w:hint="eastAsia" w:ascii="仿宋" w:hAnsi="仿宋" w:eastAsia="仿宋" w:cs="仿宋"/>
                <w:b w:val="0"/>
                <w:bCs w:val="0"/>
                <w:color w:val="auto"/>
                <w:sz w:val="24"/>
                <w:highlight w:val="none"/>
              </w:rPr>
              <w:t>显示最小视野≤12cmx12cm；</w:t>
            </w:r>
          </w:p>
          <w:p w14:paraId="62BD7125">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.5</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平板像素尺寸≤154微米；</w:t>
            </w:r>
          </w:p>
          <w:p w14:paraId="32C620D2">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.6</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平板物理矩阵≥1024X1024；</w:t>
            </w:r>
          </w:p>
          <w:p w14:paraId="63B46B60">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.7</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平板采集模式DQE≥77%；</w:t>
            </w:r>
          </w:p>
          <w:p w14:paraId="344D9AC8">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.8 限速器与平板探测器同步伺服，确保显示器上的临床影像始终直立。</w:t>
            </w:r>
          </w:p>
          <w:p w14:paraId="3D5FDCB7">
            <w:pPr>
              <w:spacing w:line="40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7.</w:t>
            </w:r>
            <w:r>
              <w:rPr>
                <w:rFonts w:hint="eastAsia" w:ascii="仿宋" w:hAnsi="仿宋" w:eastAsia="仿宋" w:cs="仿宋"/>
                <w:b/>
                <w:bCs/>
                <w:color w:val="auto"/>
                <w:sz w:val="24"/>
                <w:highlight w:val="none"/>
              </w:rPr>
              <w:t>图像显示系统</w:t>
            </w:r>
          </w:p>
          <w:p w14:paraId="4AD7E191">
            <w:pPr>
              <w:spacing w:line="40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en-US" w:eastAsia="zh-CN"/>
              </w:rPr>
              <w:t>7</w:t>
            </w:r>
            <w:r>
              <w:rPr>
                <w:rFonts w:hint="eastAsia" w:ascii="仿宋" w:hAnsi="仿宋" w:eastAsia="仿宋" w:cs="仿宋"/>
                <w:b/>
                <w:bCs/>
                <w:color w:val="auto"/>
                <w:sz w:val="24"/>
                <w:highlight w:val="none"/>
              </w:rPr>
              <w:t>.1</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操作室：≥55英寸液晶医用高分辨率</w:t>
            </w:r>
            <w:r>
              <w:rPr>
                <w:rFonts w:hint="eastAsia" w:ascii="仿宋" w:hAnsi="仿宋" w:eastAsia="仿宋" w:cs="仿宋"/>
                <w:b/>
                <w:bCs/>
                <w:color w:val="auto"/>
                <w:sz w:val="24"/>
                <w:highlight w:val="none"/>
                <w:lang w:val="en-US" w:eastAsia="zh-CN"/>
              </w:rPr>
              <w:t>显示屏</w:t>
            </w:r>
            <w:r>
              <w:rPr>
                <w:rFonts w:hint="eastAsia" w:ascii="仿宋" w:hAnsi="仿宋" w:eastAsia="仿宋" w:cs="仿宋"/>
                <w:b/>
                <w:bCs/>
                <w:color w:val="auto"/>
                <w:sz w:val="24"/>
                <w:highlight w:val="none"/>
              </w:rPr>
              <w:t>一台；</w:t>
            </w:r>
          </w:p>
          <w:p w14:paraId="7D2B733E">
            <w:pPr>
              <w:spacing w:line="40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en-US" w:eastAsia="zh-CN"/>
              </w:rPr>
              <w:t>7</w:t>
            </w:r>
            <w:r>
              <w:rPr>
                <w:rFonts w:hint="eastAsia" w:ascii="仿宋" w:hAnsi="仿宋" w:eastAsia="仿宋" w:cs="仿宋"/>
                <w:b/>
                <w:bCs/>
                <w:color w:val="auto"/>
                <w:sz w:val="24"/>
                <w:highlight w:val="none"/>
              </w:rPr>
              <w:t>.2</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控制室：≥24英寸液晶医用高分辨率</w:t>
            </w:r>
            <w:r>
              <w:rPr>
                <w:rFonts w:hint="eastAsia" w:ascii="仿宋" w:hAnsi="仿宋" w:eastAsia="仿宋" w:cs="仿宋"/>
                <w:b/>
                <w:bCs/>
                <w:color w:val="auto"/>
                <w:sz w:val="24"/>
                <w:highlight w:val="none"/>
                <w:lang w:val="en-US" w:eastAsia="zh-CN"/>
              </w:rPr>
              <w:t>显示屏</w:t>
            </w:r>
            <w:r>
              <w:rPr>
                <w:rFonts w:hint="eastAsia" w:ascii="仿宋" w:hAnsi="仿宋" w:eastAsia="仿宋" w:cs="仿宋"/>
                <w:b/>
                <w:bCs/>
                <w:color w:val="auto"/>
                <w:sz w:val="24"/>
                <w:highlight w:val="none"/>
              </w:rPr>
              <w:t>四台。</w:t>
            </w:r>
          </w:p>
          <w:p w14:paraId="1F2B06C3">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图像采集及处理系统：</w:t>
            </w:r>
          </w:p>
          <w:p w14:paraId="71325F2A">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最大脉冲透视频率≥30帧/秒；</w:t>
            </w:r>
          </w:p>
          <w:p w14:paraId="5EE718D8">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提供路图功能；</w:t>
            </w:r>
          </w:p>
          <w:p w14:paraId="6A20C78D">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透视末帧图像保持；</w:t>
            </w:r>
          </w:p>
          <w:p w14:paraId="44D023DE">
            <w:pPr>
              <w:spacing w:line="400" w:lineRule="exact"/>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lang w:val="en-US" w:eastAsia="zh-CN"/>
              </w:rPr>
              <w:t>8</w:t>
            </w:r>
            <w:r>
              <w:rPr>
                <w:rFonts w:hint="eastAsia" w:ascii="仿宋" w:hAnsi="仿宋" w:eastAsia="仿宋" w:cs="仿宋"/>
                <w:b w:val="0"/>
                <w:bCs w:val="0"/>
                <w:color w:val="auto"/>
                <w:sz w:val="24"/>
                <w:highlight w:val="none"/>
              </w:rPr>
              <w:t>.4</w:t>
            </w:r>
            <w:r>
              <w:rPr>
                <w:rFonts w:hint="eastAsia" w:ascii="仿宋" w:hAnsi="仿宋" w:eastAsia="仿宋" w:cs="仿宋"/>
                <w:b w:val="0"/>
                <w:bCs w:val="0"/>
                <w:color w:val="auto"/>
                <w:sz w:val="24"/>
                <w:highlight w:val="none"/>
                <w:lang w:val="en-US" w:eastAsia="zh-CN"/>
              </w:rPr>
              <w:t xml:space="preserve"> </w:t>
            </w:r>
            <w:r>
              <w:rPr>
                <w:rFonts w:hint="eastAsia" w:ascii="仿宋" w:hAnsi="仿宋" w:eastAsia="仿宋" w:cs="仿宋"/>
                <w:b w:val="0"/>
                <w:bCs w:val="0"/>
                <w:color w:val="auto"/>
                <w:sz w:val="24"/>
                <w:highlight w:val="none"/>
              </w:rPr>
              <w:t>采集矩阵：≥1024x1024，≥16bit；</w:t>
            </w:r>
          </w:p>
          <w:p w14:paraId="11055871">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.5</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心脏采集：≥30帧/秒；</w:t>
            </w:r>
          </w:p>
          <w:p w14:paraId="7DF858C3">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.6</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外周采集模式：0.5~6帧/秒；</w:t>
            </w:r>
          </w:p>
          <w:p w14:paraId="569DD401">
            <w:pPr>
              <w:spacing w:line="40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en-US" w:eastAsia="zh-CN"/>
              </w:rPr>
              <w:t>8</w:t>
            </w:r>
            <w:r>
              <w:rPr>
                <w:rFonts w:hint="eastAsia" w:ascii="仿宋" w:hAnsi="仿宋" w:eastAsia="仿宋" w:cs="仿宋"/>
                <w:b/>
                <w:bCs/>
                <w:color w:val="auto"/>
                <w:sz w:val="24"/>
                <w:highlight w:val="none"/>
              </w:rPr>
              <w:t>.7 下肢跟踪造影；</w:t>
            </w:r>
          </w:p>
          <w:p w14:paraId="0D6DB26D">
            <w:pPr>
              <w:spacing w:line="400" w:lineRule="exact"/>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lang w:val="en-US" w:eastAsia="zh-CN"/>
              </w:rPr>
              <w:t>8</w:t>
            </w:r>
            <w:r>
              <w:rPr>
                <w:rFonts w:hint="eastAsia" w:ascii="仿宋" w:hAnsi="仿宋" w:eastAsia="仿宋" w:cs="仿宋"/>
                <w:b w:val="0"/>
                <w:bCs w:val="0"/>
                <w:color w:val="auto"/>
                <w:sz w:val="24"/>
                <w:highlight w:val="none"/>
              </w:rPr>
              <w:t>.8</w:t>
            </w:r>
            <w:r>
              <w:rPr>
                <w:rFonts w:hint="eastAsia" w:ascii="仿宋" w:hAnsi="仿宋" w:eastAsia="仿宋" w:cs="仿宋"/>
                <w:b w:val="0"/>
                <w:bCs w:val="0"/>
                <w:color w:val="auto"/>
                <w:sz w:val="24"/>
                <w:highlight w:val="none"/>
                <w:lang w:val="en-US" w:eastAsia="zh-CN"/>
              </w:rPr>
              <w:t xml:space="preserve"> </w:t>
            </w:r>
            <w:r>
              <w:rPr>
                <w:rFonts w:hint="eastAsia" w:ascii="仿宋" w:hAnsi="仿宋" w:eastAsia="仿宋" w:cs="仿宋"/>
                <w:b w:val="0"/>
                <w:bCs w:val="0"/>
                <w:color w:val="auto"/>
                <w:sz w:val="24"/>
                <w:highlight w:val="none"/>
              </w:rPr>
              <w:t>具备最新低剂量技术：如西门子Care&amp;Clear技术、飞利浦Dosewise技术，GE Assist技术，东软IDM技术，其他厂家提供相应最新技术。</w:t>
            </w:r>
          </w:p>
          <w:p w14:paraId="279DB31C">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主机系统工作站</w:t>
            </w:r>
          </w:p>
          <w:p w14:paraId="4A979E86">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病人登录及检索功能；</w:t>
            </w:r>
          </w:p>
          <w:p w14:paraId="6B628344">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主机图像处理、调节功能。</w:t>
            </w:r>
          </w:p>
          <w:p w14:paraId="7FB0FBDE">
            <w:pPr>
              <w:spacing w:line="40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en-US" w:eastAsia="zh-CN"/>
              </w:rPr>
              <w:t>10.</w:t>
            </w:r>
            <w:r>
              <w:rPr>
                <w:rFonts w:hint="eastAsia" w:ascii="仿宋" w:hAnsi="仿宋" w:eastAsia="仿宋" w:cs="仿宋"/>
                <w:b/>
                <w:bCs/>
                <w:color w:val="auto"/>
                <w:sz w:val="24"/>
                <w:highlight w:val="none"/>
              </w:rPr>
              <w:t>三维功能：三维采集、重建、三维路图、类CT重建和影像融合功能。</w:t>
            </w:r>
          </w:p>
          <w:p w14:paraId="29A5EE83">
            <w:pPr>
              <w:spacing w:line="40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en-US" w:eastAsia="zh-CN"/>
              </w:rPr>
              <w:t>11.</w:t>
            </w:r>
            <w:r>
              <w:rPr>
                <w:rFonts w:hint="eastAsia" w:ascii="仿宋" w:hAnsi="仿宋" w:eastAsia="仿宋" w:cs="仿宋"/>
                <w:b/>
                <w:bCs/>
                <w:color w:val="auto"/>
                <w:sz w:val="24"/>
                <w:highlight w:val="none"/>
              </w:rPr>
              <w:t>图像融合：</w:t>
            </w:r>
          </w:p>
          <w:p w14:paraId="21FF3564">
            <w:pPr>
              <w:spacing w:line="400" w:lineRule="exact"/>
              <w:rPr>
                <w:rFonts w:hint="eastAsia" w:ascii="仿宋" w:hAnsi="仿宋" w:eastAsia="仿宋" w:cs="仿宋"/>
                <w:b w:val="0"/>
                <w:bCs w:val="0"/>
                <w:color w:val="auto"/>
                <w:sz w:val="24"/>
                <w:highlight w:val="none"/>
              </w:rPr>
            </w:pPr>
            <w:r>
              <w:rPr>
                <w:rFonts w:hint="eastAsia" w:ascii="仿宋" w:hAnsi="仿宋" w:eastAsia="仿宋" w:cs="仿宋"/>
                <w:b/>
                <w:bCs/>
                <w:color w:val="auto"/>
                <w:sz w:val="24"/>
                <w:highlight w:val="none"/>
              </w:rPr>
              <w:t>对来自计算机断层成像 (CT)、磁共振(MR)和数字平板血管造影(XA)成像设备的体积数据影像和2D实时透视影像进行精确融合显示。具备类CT重建功能。</w:t>
            </w:r>
          </w:p>
          <w:p w14:paraId="3A314555">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12.</w:t>
            </w:r>
            <w:r>
              <w:rPr>
                <w:rFonts w:hint="eastAsia" w:ascii="仿宋" w:hAnsi="仿宋" w:eastAsia="仿宋" w:cs="仿宋"/>
                <w:color w:val="auto"/>
                <w:sz w:val="24"/>
                <w:highlight w:val="none"/>
              </w:rPr>
              <w:t>床旁中央控制系统</w:t>
            </w:r>
          </w:p>
          <w:p w14:paraId="6A0BD868">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12</w:t>
            </w: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床旁液晶触摸屏；</w:t>
            </w:r>
          </w:p>
          <w:p w14:paraId="3981529E">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12</w:t>
            </w: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床旁操作实现图像回放功能；</w:t>
            </w:r>
          </w:p>
          <w:p w14:paraId="60B1E599">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12</w:t>
            </w: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床旁操作实现系统控制功能。</w:t>
            </w:r>
          </w:p>
          <w:p w14:paraId="09C5AAD8">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13.</w:t>
            </w:r>
            <w:r>
              <w:rPr>
                <w:rFonts w:hint="eastAsia" w:ascii="仿宋" w:hAnsi="仿宋" w:eastAsia="仿宋" w:cs="仿宋"/>
                <w:color w:val="auto"/>
                <w:sz w:val="24"/>
                <w:highlight w:val="none"/>
              </w:rPr>
              <w:t>后处理工作站</w:t>
            </w:r>
          </w:p>
          <w:p w14:paraId="46329BDE">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13</w:t>
            </w: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可进行图像后处理，包括图像全幅和局部放大；多幅图像显示；图像边缘增强、边缘平缓；图像正负像切换；</w:t>
            </w:r>
          </w:p>
          <w:p w14:paraId="0C2CA401">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14.</w:t>
            </w:r>
            <w:r>
              <w:rPr>
                <w:rFonts w:hint="eastAsia" w:ascii="仿宋" w:hAnsi="仿宋" w:eastAsia="仿宋" w:cs="仿宋"/>
                <w:color w:val="auto"/>
                <w:sz w:val="24"/>
                <w:highlight w:val="none"/>
              </w:rPr>
              <w:t>射线防护</w:t>
            </w:r>
          </w:p>
          <w:p w14:paraId="342DCBFE">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14</w:t>
            </w: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床旁射线防护帘；</w:t>
            </w:r>
          </w:p>
          <w:p w14:paraId="378CE29C">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14</w:t>
            </w: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悬吊式射线防护屏。</w:t>
            </w:r>
          </w:p>
          <w:p w14:paraId="5B1A9ED9">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15.</w:t>
            </w:r>
            <w:r>
              <w:rPr>
                <w:rFonts w:hint="eastAsia" w:ascii="仿宋" w:hAnsi="仿宋" w:eastAsia="仿宋" w:cs="仿宋"/>
                <w:color w:val="auto"/>
                <w:sz w:val="24"/>
                <w:highlight w:val="none"/>
              </w:rPr>
              <w:t>其它</w:t>
            </w:r>
          </w:p>
          <w:p w14:paraId="2679A4B5">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具有DICOM Send；Print功能（激光打印机DICOM3.0接口）； Query/Retrieve；DICOM Worklist功能。</w:t>
            </w:r>
          </w:p>
          <w:p w14:paraId="423A6B20">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16</w:t>
            </w:r>
            <w:r>
              <w:rPr>
                <w:rFonts w:hint="eastAsia" w:ascii="仿宋" w:hAnsi="仿宋" w:eastAsia="仿宋" w:cs="仿宋"/>
                <w:color w:val="auto"/>
                <w:sz w:val="24"/>
                <w:highlight w:val="none"/>
              </w:rPr>
              <w:t>.配置清单</w:t>
            </w:r>
          </w:p>
          <w:p w14:paraId="646AF34C">
            <w:pPr>
              <w:spacing w:line="40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 xml:space="preserve">16.1 </w:t>
            </w:r>
            <w:r>
              <w:rPr>
                <w:rFonts w:hint="eastAsia" w:ascii="仿宋" w:hAnsi="仿宋" w:eastAsia="仿宋" w:cs="仿宋"/>
                <w:color w:val="auto"/>
                <w:sz w:val="24"/>
                <w:highlight w:val="none"/>
              </w:rPr>
              <w:t>DSA主机</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套</w:t>
            </w:r>
            <w:r>
              <w:rPr>
                <w:rFonts w:hint="eastAsia" w:ascii="仿宋" w:hAnsi="仿宋" w:eastAsia="仿宋" w:cs="仿宋"/>
                <w:color w:val="auto"/>
                <w:sz w:val="24"/>
                <w:highlight w:val="none"/>
                <w:lang w:eastAsia="zh-CN"/>
              </w:rPr>
              <w:t>；</w:t>
            </w:r>
          </w:p>
          <w:p w14:paraId="4F0BF93A">
            <w:pPr>
              <w:spacing w:line="40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 xml:space="preserve">16.2 </w:t>
            </w:r>
            <w:r>
              <w:rPr>
                <w:rFonts w:hint="eastAsia" w:ascii="仿宋" w:hAnsi="仿宋" w:eastAsia="仿宋" w:cs="仿宋"/>
                <w:color w:val="auto"/>
                <w:sz w:val="24"/>
                <w:highlight w:val="none"/>
              </w:rPr>
              <w:t>后处理工作站1套</w:t>
            </w:r>
            <w:r>
              <w:rPr>
                <w:rFonts w:hint="eastAsia" w:ascii="仿宋" w:hAnsi="仿宋" w:eastAsia="仿宋" w:cs="仿宋"/>
                <w:color w:val="auto"/>
                <w:sz w:val="24"/>
                <w:highlight w:val="none"/>
                <w:lang w:eastAsia="zh-CN"/>
              </w:rPr>
              <w:t>；</w:t>
            </w:r>
          </w:p>
          <w:p w14:paraId="64C04626">
            <w:pPr>
              <w:spacing w:line="40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 xml:space="preserve">16.3 </w:t>
            </w:r>
            <w:r>
              <w:rPr>
                <w:rFonts w:hint="eastAsia" w:ascii="仿宋" w:hAnsi="仿宋" w:eastAsia="仿宋" w:cs="仿宋"/>
                <w:color w:val="auto"/>
                <w:sz w:val="24"/>
                <w:highlight w:val="none"/>
              </w:rPr>
              <w:t>高压注射器1套</w:t>
            </w:r>
            <w:r>
              <w:rPr>
                <w:rFonts w:hint="eastAsia" w:ascii="仿宋" w:hAnsi="仿宋" w:eastAsia="仿宋" w:cs="仿宋"/>
                <w:color w:val="auto"/>
                <w:sz w:val="24"/>
                <w:highlight w:val="none"/>
                <w:lang w:eastAsia="zh-CN"/>
              </w:rPr>
              <w:t>：</w:t>
            </w:r>
          </w:p>
          <w:p w14:paraId="2966050A">
            <w:pPr>
              <w:spacing w:line="40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容量≥150ml；最大注射速度≥45ml/s，0.1ml/s可调；最大压力≥1200psi；最大吸药速率≥20ml/s，1ml/s可调；最大注射、曝光延迟≥99s，增量为0.1s；最大上升时间≥9.9s，0.1s递增；注射时相≥4个</w:t>
            </w:r>
            <w:r>
              <w:rPr>
                <w:rFonts w:hint="eastAsia" w:ascii="仿宋" w:hAnsi="仿宋" w:eastAsia="仿宋" w:cs="仿宋"/>
                <w:color w:val="auto"/>
                <w:sz w:val="24"/>
                <w:highlight w:val="none"/>
                <w:lang w:eastAsia="zh-CN"/>
              </w:rPr>
              <w:t>；</w:t>
            </w:r>
          </w:p>
          <w:p w14:paraId="073DADE5">
            <w:pPr>
              <w:spacing w:line="40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注射头配备彩色触摸显示屏，可在注射头显示注射状态及实时压力曲线；注射时注射头和控制室内显示屏实时同步显示，双屏操作权限管理，防止双屏同时操作导致数据冲突</w:t>
            </w:r>
            <w:r>
              <w:rPr>
                <w:rFonts w:hint="eastAsia" w:ascii="仿宋" w:hAnsi="仿宋" w:eastAsia="仿宋" w:cs="仿宋"/>
                <w:color w:val="auto"/>
                <w:sz w:val="24"/>
                <w:highlight w:val="none"/>
                <w:lang w:eastAsia="zh-CN"/>
              </w:rPr>
              <w:t>；</w:t>
            </w:r>
          </w:p>
          <w:p w14:paraId="192349EB">
            <w:pPr>
              <w:spacing w:line="40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操作室内控制屏为真彩LCD显示，不同颜色显示造影剂和盐水，可在控制屏显示注射状态及实时压力曲线</w:t>
            </w:r>
            <w:r>
              <w:rPr>
                <w:rFonts w:hint="eastAsia" w:ascii="仿宋" w:hAnsi="仿宋" w:eastAsia="仿宋" w:cs="仿宋"/>
                <w:color w:val="auto"/>
                <w:sz w:val="24"/>
                <w:highlight w:val="none"/>
                <w:lang w:eastAsia="zh-CN"/>
              </w:rPr>
              <w:t>；</w:t>
            </w:r>
          </w:p>
          <w:p w14:paraId="11516CAA">
            <w:pPr>
              <w:spacing w:line="40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注射器可储存：预设方案≥100，历史记录≥500</w:t>
            </w:r>
            <w:r>
              <w:rPr>
                <w:rFonts w:hint="eastAsia" w:ascii="仿宋" w:hAnsi="仿宋" w:eastAsia="仿宋" w:cs="仿宋"/>
                <w:color w:val="auto"/>
                <w:sz w:val="24"/>
                <w:highlight w:val="none"/>
                <w:lang w:eastAsia="zh-CN"/>
              </w:rPr>
              <w:t>；</w:t>
            </w:r>
          </w:p>
          <w:p w14:paraId="25DB5EDE">
            <w:pPr>
              <w:spacing w:line="40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多时相联动控制，实现可变流速</w:t>
            </w:r>
            <w:r>
              <w:rPr>
                <w:rFonts w:hint="eastAsia" w:ascii="仿宋" w:hAnsi="仿宋" w:eastAsia="仿宋" w:cs="仿宋"/>
                <w:color w:val="auto"/>
                <w:sz w:val="24"/>
                <w:highlight w:val="none"/>
                <w:lang w:eastAsia="zh-CN"/>
              </w:rPr>
              <w:t>；</w:t>
            </w:r>
          </w:p>
          <w:p w14:paraId="25F92939">
            <w:pPr>
              <w:spacing w:line="40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具备防渗漏报警功能</w:t>
            </w:r>
            <w:r>
              <w:rPr>
                <w:rFonts w:hint="eastAsia" w:ascii="仿宋" w:hAnsi="仿宋" w:eastAsia="仿宋" w:cs="仿宋"/>
                <w:color w:val="auto"/>
                <w:sz w:val="24"/>
                <w:highlight w:val="none"/>
                <w:lang w:eastAsia="zh-CN"/>
              </w:rPr>
              <w:t>；</w:t>
            </w:r>
          </w:p>
          <w:p w14:paraId="6B5E81DC">
            <w:pPr>
              <w:spacing w:line="40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 xml:space="preserve">16.4 </w:t>
            </w:r>
            <w:r>
              <w:rPr>
                <w:rFonts w:hint="eastAsia" w:ascii="仿宋" w:hAnsi="仿宋" w:eastAsia="仿宋" w:cs="仿宋"/>
                <w:color w:val="auto"/>
                <w:sz w:val="24"/>
                <w:highlight w:val="none"/>
              </w:rPr>
              <w:t>远程手术直播系统1套</w:t>
            </w:r>
            <w:r>
              <w:rPr>
                <w:rFonts w:hint="eastAsia" w:ascii="仿宋" w:hAnsi="仿宋" w:eastAsia="仿宋" w:cs="仿宋"/>
                <w:color w:val="auto"/>
                <w:sz w:val="24"/>
                <w:highlight w:val="none"/>
                <w:lang w:eastAsia="zh-CN"/>
              </w:rPr>
              <w:t>；</w:t>
            </w:r>
          </w:p>
          <w:p w14:paraId="27787B02">
            <w:pPr>
              <w:spacing w:line="40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 xml:space="preserve">16.5 </w:t>
            </w:r>
            <w:r>
              <w:rPr>
                <w:rFonts w:hint="eastAsia" w:ascii="仿宋" w:hAnsi="仿宋" w:eastAsia="仿宋" w:cs="仿宋"/>
                <w:color w:val="auto"/>
                <w:sz w:val="24"/>
                <w:highlight w:val="none"/>
              </w:rPr>
              <w:t>图像存储工作站（胶片打印、资料存储、查询）1套</w:t>
            </w:r>
            <w:r>
              <w:rPr>
                <w:rFonts w:hint="eastAsia" w:ascii="仿宋" w:hAnsi="仿宋" w:eastAsia="仿宋" w:cs="仿宋"/>
                <w:color w:val="auto"/>
                <w:sz w:val="24"/>
                <w:highlight w:val="none"/>
                <w:lang w:eastAsia="zh-CN"/>
              </w:rPr>
              <w:t>；</w:t>
            </w:r>
          </w:p>
          <w:p w14:paraId="48AE7475">
            <w:pPr>
              <w:spacing w:line="40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 xml:space="preserve">16.6 </w:t>
            </w:r>
            <w:r>
              <w:rPr>
                <w:rFonts w:hint="eastAsia" w:ascii="仿宋" w:hAnsi="仿宋" w:eastAsia="仿宋" w:cs="仿宋"/>
                <w:color w:val="auto"/>
                <w:sz w:val="24"/>
                <w:highlight w:val="none"/>
              </w:rPr>
              <w:t>心电监护仪（包含外接电脑显示器）1套</w:t>
            </w:r>
            <w:r>
              <w:rPr>
                <w:rFonts w:hint="eastAsia" w:ascii="仿宋" w:hAnsi="仿宋" w:eastAsia="仿宋" w:cs="仿宋"/>
                <w:color w:val="auto"/>
                <w:sz w:val="24"/>
                <w:highlight w:val="none"/>
                <w:lang w:eastAsia="zh-CN"/>
              </w:rPr>
              <w:t>；</w:t>
            </w:r>
          </w:p>
          <w:p w14:paraId="6E45217F">
            <w:pPr>
              <w:spacing w:line="40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 xml:space="preserve">16.7 </w:t>
            </w:r>
            <w:r>
              <w:rPr>
                <w:rFonts w:hint="eastAsia" w:ascii="仿宋" w:hAnsi="仿宋" w:eastAsia="仿宋" w:cs="仿宋"/>
                <w:color w:val="auto"/>
                <w:sz w:val="24"/>
                <w:highlight w:val="none"/>
              </w:rPr>
              <w:t>除颤仪1套</w:t>
            </w:r>
            <w:r>
              <w:rPr>
                <w:rFonts w:hint="eastAsia" w:ascii="仿宋" w:hAnsi="仿宋" w:eastAsia="仿宋" w:cs="仿宋"/>
                <w:color w:val="auto"/>
                <w:sz w:val="24"/>
                <w:highlight w:val="none"/>
                <w:lang w:eastAsia="zh-CN"/>
              </w:rPr>
              <w:t>；</w:t>
            </w:r>
          </w:p>
          <w:p w14:paraId="20AE764F">
            <w:pPr>
              <w:spacing w:line="40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 xml:space="preserve">16.8 </w:t>
            </w:r>
            <w:r>
              <w:rPr>
                <w:rFonts w:hint="eastAsia" w:ascii="仿宋" w:hAnsi="仿宋" w:eastAsia="仿宋" w:cs="仿宋"/>
                <w:color w:val="auto"/>
                <w:sz w:val="24"/>
                <w:highlight w:val="none"/>
              </w:rPr>
              <w:t>标的包含机房、控制间、设备间屏蔽及整体</w:t>
            </w:r>
            <w:r>
              <w:rPr>
                <w:rFonts w:hint="eastAsia" w:ascii="仿宋" w:hAnsi="仿宋" w:eastAsia="仿宋" w:cs="仿宋"/>
                <w:color w:val="auto"/>
                <w:sz w:val="24"/>
                <w:highlight w:val="none"/>
                <w:lang w:val="en-US" w:eastAsia="zh-CN"/>
              </w:rPr>
              <w:t>安装改造。</w:t>
            </w:r>
          </w:p>
        </w:tc>
        <w:tc>
          <w:tcPr>
            <w:tcW w:w="475" w:type="dxa"/>
            <w:tcBorders>
              <w:left w:val="single" w:color="auto" w:sz="4" w:space="0"/>
              <w:right w:val="single" w:color="auto" w:sz="4" w:space="0"/>
            </w:tcBorders>
            <w:vAlign w:val="center"/>
          </w:tcPr>
          <w:p w14:paraId="1EA8A5C9">
            <w:pPr>
              <w:spacing w:line="400" w:lineRule="exact"/>
              <w:rPr>
                <w:rFonts w:hint="eastAsia" w:ascii="仿宋" w:hAnsi="仿宋" w:eastAsia="仿宋" w:cs="仿宋"/>
                <w:color w:val="auto"/>
                <w:sz w:val="24"/>
                <w:highlight w:val="none"/>
              </w:rPr>
            </w:pPr>
          </w:p>
        </w:tc>
      </w:tr>
      <w:tr w14:paraId="2D2CA2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9011" w:type="dxa"/>
            <w:gridSpan w:val="6"/>
            <w:tcBorders>
              <w:top w:val="single" w:color="auto" w:sz="4" w:space="0"/>
              <w:left w:val="single" w:color="auto" w:sz="4" w:space="0"/>
              <w:bottom w:val="single" w:color="auto" w:sz="4" w:space="0"/>
              <w:right w:val="single" w:color="auto" w:sz="4" w:space="0"/>
            </w:tcBorders>
            <w:vAlign w:val="center"/>
          </w:tcPr>
          <w:p w14:paraId="577D5DBE">
            <w:pPr>
              <w:spacing w:line="400" w:lineRule="exact"/>
              <w:rPr>
                <w:rFonts w:hint="eastAsia" w:ascii="仿宋" w:hAnsi="仿宋" w:eastAsia="仿宋" w:cs="仿宋"/>
                <w:color w:val="auto"/>
                <w:sz w:val="24"/>
                <w:highlight w:val="none"/>
              </w:rPr>
            </w:pPr>
            <w:r>
              <w:rPr>
                <w:rFonts w:hint="eastAsia" w:ascii="仿宋" w:hAnsi="仿宋" w:eastAsia="仿宋" w:cs="仿宋"/>
                <w:b/>
                <w:color w:val="auto"/>
                <w:sz w:val="24"/>
                <w:highlight w:val="none"/>
              </w:rPr>
              <w:t>二、商务条款</w:t>
            </w:r>
          </w:p>
        </w:tc>
      </w:tr>
      <w:tr w14:paraId="31769E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2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55BC5E3">
            <w:pPr>
              <w:spacing w:line="40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w:t>
            </w:r>
            <w:r>
              <w:rPr>
                <w:rFonts w:hint="eastAsia" w:ascii="仿宋" w:hAnsi="仿宋" w:eastAsia="仿宋" w:cs="仿宋"/>
                <w:b/>
                <w:bCs/>
                <w:color w:val="auto"/>
                <w:sz w:val="24"/>
                <w:highlight w:val="none"/>
              </w:rPr>
              <w:t>合同签订时间</w:t>
            </w:r>
          </w:p>
        </w:tc>
        <w:tc>
          <w:tcPr>
            <w:tcW w:w="61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1B88909">
            <w:pPr>
              <w:spacing w:line="40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自中标通知书发出之日起</w:t>
            </w:r>
            <w:r>
              <w:rPr>
                <w:rFonts w:hint="eastAsia" w:ascii="仿宋" w:hAnsi="仿宋" w:eastAsia="仿宋" w:cs="仿宋"/>
                <w:color w:val="auto"/>
                <w:sz w:val="24"/>
                <w:highlight w:val="none"/>
                <w:u w:val="single"/>
              </w:rPr>
              <w:t xml:space="preserve"> 25 </w:t>
            </w:r>
            <w:r>
              <w:rPr>
                <w:rFonts w:hint="eastAsia" w:ascii="仿宋" w:hAnsi="仿宋" w:eastAsia="仿宋" w:cs="仿宋"/>
                <w:color w:val="auto"/>
                <w:sz w:val="24"/>
                <w:highlight w:val="none"/>
              </w:rPr>
              <w:t>日内。</w:t>
            </w:r>
          </w:p>
        </w:tc>
      </w:tr>
      <w:tr w14:paraId="65A422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2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BF9ADE9">
            <w:pPr>
              <w:spacing w:line="40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w:t>
            </w:r>
            <w:r>
              <w:rPr>
                <w:rFonts w:hint="eastAsia" w:ascii="仿宋" w:hAnsi="仿宋" w:eastAsia="仿宋" w:cs="仿宋"/>
                <w:b/>
                <w:bCs/>
                <w:color w:val="auto"/>
                <w:sz w:val="24"/>
                <w:highlight w:val="none"/>
              </w:rPr>
              <w:t>交付时间及地点</w:t>
            </w:r>
          </w:p>
        </w:tc>
        <w:tc>
          <w:tcPr>
            <w:tcW w:w="61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27F1C85">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1.交付时间：</w:t>
            </w:r>
            <w:r>
              <w:rPr>
                <w:rFonts w:hint="eastAsia" w:ascii="仿宋" w:hAnsi="仿宋" w:eastAsia="仿宋" w:cs="仿宋"/>
                <w:color w:val="auto"/>
                <w:sz w:val="24"/>
                <w:highlight w:val="none"/>
                <w:lang w:eastAsia="zh-CN"/>
              </w:rPr>
              <w:t>自合同签订之日起</w:t>
            </w:r>
            <w:r>
              <w:rPr>
                <w:rFonts w:hint="eastAsia" w:ascii="仿宋" w:hAnsi="仿宋" w:eastAsia="仿宋" w:cs="仿宋"/>
                <w:color w:val="auto"/>
                <w:sz w:val="24"/>
                <w:highlight w:val="none"/>
                <w:lang w:val="en-US" w:eastAsia="zh-CN"/>
              </w:rPr>
              <w:t>30</w:t>
            </w:r>
            <w:r>
              <w:rPr>
                <w:rFonts w:hint="eastAsia" w:ascii="仿宋" w:hAnsi="仿宋" w:eastAsia="仿宋" w:cs="仿宋"/>
                <w:color w:val="auto"/>
                <w:sz w:val="24"/>
                <w:highlight w:val="none"/>
                <w:lang w:eastAsia="zh-CN"/>
              </w:rPr>
              <w:t>日历天内全部货物交货并安装调试完毕</w:t>
            </w:r>
            <w:r>
              <w:rPr>
                <w:rFonts w:hint="eastAsia" w:ascii="仿宋" w:hAnsi="仿宋" w:eastAsia="仿宋" w:cs="仿宋"/>
                <w:color w:val="auto"/>
                <w:sz w:val="24"/>
                <w:highlight w:val="none"/>
              </w:rPr>
              <w:t>。</w:t>
            </w:r>
          </w:p>
          <w:p w14:paraId="6439F115">
            <w:pPr>
              <w:spacing w:line="40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2.交付地点：广西南宁市采购人指定地点。</w:t>
            </w:r>
          </w:p>
        </w:tc>
      </w:tr>
      <w:tr w14:paraId="19BF26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2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7589B97">
            <w:pPr>
              <w:spacing w:line="400" w:lineRule="exact"/>
              <w:jc w:val="center"/>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sz w:val="24"/>
                <w:highlight w:val="none"/>
              </w:rPr>
              <w:t>▲付款方式</w:t>
            </w:r>
          </w:p>
        </w:tc>
        <w:tc>
          <w:tcPr>
            <w:tcW w:w="61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354197B">
            <w:pPr>
              <w:spacing w:line="40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合同签订后，采购人支付合同金额的30%作为预付款，</w:t>
            </w:r>
            <w:r>
              <w:rPr>
                <w:rFonts w:hint="eastAsia" w:ascii="仿宋" w:hAnsi="仿宋" w:eastAsia="仿宋" w:cs="仿宋"/>
                <w:color w:val="auto"/>
                <w:sz w:val="24"/>
                <w:highlight w:val="none"/>
                <w:lang w:eastAsia="zh-CN"/>
              </w:rPr>
              <w:t>中标人</w:t>
            </w:r>
            <w:r>
              <w:rPr>
                <w:rFonts w:hint="eastAsia" w:ascii="仿宋" w:hAnsi="仿宋" w:eastAsia="仿宋" w:cs="仿宋"/>
                <w:color w:val="auto"/>
                <w:sz w:val="24"/>
                <w:highlight w:val="none"/>
              </w:rPr>
              <w:t>所有货物交货安装调试完毕并验收合格后支付剩余合同款。每次支付前，</w:t>
            </w:r>
            <w:r>
              <w:rPr>
                <w:rFonts w:hint="eastAsia" w:ascii="仿宋" w:hAnsi="仿宋" w:eastAsia="仿宋" w:cs="仿宋"/>
                <w:color w:val="auto"/>
                <w:sz w:val="24"/>
                <w:highlight w:val="none"/>
                <w:lang w:eastAsia="zh-CN"/>
              </w:rPr>
              <w:t>中标人</w:t>
            </w:r>
            <w:r>
              <w:rPr>
                <w:rFonts w:hint="eastAsia" w:ascii="仿宋" w:hAnsi="仿宋" w:eastAsia="仿宋" w:cs="仿宋"/>
                <w:color w:val="auto"/>
                <w:sz w:val="24"/>
                <w:highlight w:val="none"/>
              </w:rPr>
              <w:t>需开具合法有效的全额发票，</w:t>
            </w:r>
            <w:r>
              <w:rPr>
                <w:rFonts w:hint="eastAsia" w:ascii="仿宋" w:hAnsi="仿宋" w:eastAsia="仿宋" w:cs="仿宋"/>
                <w:color w:val="auto"/>
                <w:sz w:val="24"/>
                <w:highlight w:val="none"/>
                <w:lang w:eastAsia="zh-CN"/>
              </w:rPr>
              <w:t>中标人</w:t>
            </w:r>
            <w:r>
              <w:rPr>
                <w:rFonts w:hint="eastAsia" w:ascii="仿宋" w:hAnsi="仿宋" w:eastAsia="仿宋" w:cs="仿宋"/>
                <w:color w:val="auto"/>
                <w:sz w:val="24"/>
                <w:highlight w:val="none"/>
              </w:rPr>
              <w:t>未开具合法有效的全额发票的，采购人有权不支付合同款。</w:t>
            </w:r>
          </w:p>
        </w:tc>
      </w:tr>
      <w:tr w14:paraId="0899ED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23" w:type="dxa"/>
            <w:gridSpan w:val="4"/>
            <w:tcBorders>
              <w:top w:val="single" w:color="auto" w:sz="4" w:space="0"/>
              <w:left w:val="single" w:color="auto" w:sz="4" w:space="0"/>
              <w:bottom w:val="single" w:color="auto" w:sz="4" w:space="0"/>
              <w:right w:val="single" w:color="auto" w:sz="4" w:space="0"/>
            </w:tcBorders>
            <w:vAlign w:val="center"/>
          </w:tcPr>
          <w:p w14:paraId="167F875B">
            <w:pPr>
              <w:spacing w:line="400" w:lineRule="exact"/>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▲售后服务要求</w:t>
            </w:r>
          </w:p>
        </w:tc>
        <w:tc>
          <w:tcPr>
            <w:tcW w:w="6188" w:type="dxa"/>
            <w:gridSpan w:val="2"/>
            <w:tcBorders>
              <w:top w:val="single" w:color="auto" w:sz="4" w:space="0"/>
              <w:left w:val="single" w:color="auto" w:sz="4" w:space="0"/>
              <w:bottom w:val="single" w:color="auto" w:sz="4" w:space="0"/>
              <w:right w:val="single" w:color="auto" w:sz="4" w:space="0"/>
            </w:tcBorders>
            <w:vAlign w:val="center"/>
          </w:tcPr>
          <w:p w14:paraId="4434B7B8">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1.提供维护手册、维修手册、软件备份、故障代码表、备件清单。保修期外，中标</w:t>
            </w:r>
            <w:r>
              <w:rPr>
                <w:rFonts w:hint="eastAsia" w:ascii="仿宋" w:hAnsi="仿宋" w:eastAsia="仿宋" w:cs="仿宋"/>
                <w:color w:val="auto"/>
                <w:sz w:val="24"/>
                <w:highlight w:val="none"/>
                <w:lang w:val="en-US" w:eastAsia="zh-CN"/>
              </w:rPr>
              <w:t>人</w:t>
            </w:r>
            <w:r>
              <w:rPr>
                <w:rFonts w:hint="eastAsia" w:ascii="仿宋" w:hAnsi="仿宋" w:eastAsia="仿宋" w:cs="仿宋"/>
                <w:color w:val="auto"/>
                <w:sz w:val="24"/>
                <w:highlight w:val="none"/>
              </w:rPr>
              <w:t>提供维修密码及所附软件在该项目的永久使用权并承担相应费用。</w:t>
            </w:r>
          </w:p>
          <w:p w14:paraId="102FE1B4">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2.相关人员培训:标的包含医护人员及工程人员的培训计划费用，设备装机验收后，现场提供对</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的1次或多次基本培训，使</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使用人员及工程人员，熟练掌握全部功能及基本维修。</w:t>
            </w:r>
          </w:p>
          <w:p w14:paraId="089992B1">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其中医务人员专项培训3人次，工程人员专项培训1人次，视</w:t>
            </w: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rPr>
              <w:t>时间安排确定。</w:t>
            </w:r>
          </w:p>
          <w:p w14:paraId="6A569712">
            <w:pPr>
              <w:spacing w:line="40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3.中标</w:t>
            </w:r>
            <w:r>
              <w:rPr>
                <w:rFonts w:hint="eastAsia" w:ascii="仿宋" w:hAnsi="仿宋" w:eastAsia="仿宋" w:cs="仿宋"/>
                <w:color w:val="auto"/>
                <w:sz w:val="24"/>
                <w:highlight w:val="none"/>
                <w:lang w:val="en-US" w:eastAsia="zh-CN"/>
              </w:rPr>
              <w:t>人</w:t>
            </w:r>
            <w:r>
              <w:rPr>
                <w:rFonts w:hint="eastAsia" w:ascii="仿宋" w:hAnsi="仿宋" w:eastAsia="仿宋" w:cs="仿宋"/>
                <w:color w:val="auto"/>
                <w:sz w:val="24"/>
                <w:highlight w:val="none"/>
              </w:rPr>
              <w:t>提供7*24小时售后服务，质保期内仪器设备出现故障，在接到电话通知后，2小时内做出响应（远程解决或做出预备维护动作），24小时内到达维修现场。一般问题应在24小时内解决，重大问题或其它无法迅速解决的问题应在5个工作日内解决，以保证采购人的正常工作。</w:t>
            </w:r>
            <w:r>
              <w:rPr>
                <w:rFonts w:hint="eastAsia" w:ascii="仿宋" w:hAnsi="仿宋" w:eastAsia="仿宋" w:cs="仿宋"/>
                <w:color w:val="auto"/>
                <w:sz w:val="24"/>
                <w:highlight w:val="none"/>
                <w:lang w:val="en-US" w:eastAsia="zh-CN"/>
              </w:rPr>
              <w:t>中标人</w:t>
            </w:r>
            <w:r>
              <w:rPr>
                <w:rFonts w:hint="eastAsia" w:ascii="仿宋" w:hAnsi="仿宋" w:eastAsia="仿宋" w:cs="仿宋"/>
                <w:color w:val="auto"/>
                <w:sz w:val="24"/>
                <w:highlight w:val="none"/>
              </w:rPr>
              <w:t>在接到采购人通知后拒不响应或解决故障的，采购人有权聘请第三方进行维修，由此产生的费用由</w:t>
            </w:r>
            <w:r>
              <w:rPr>
                <w:rFonts w:hint="eastAsia" w:ascii="仿宋" w:hAnsi="仿宋" w:eastAsia="仿宋" w:cs="仿宋"/>
                <w:color w:val="auto"/>
                <w:sz w:val="24"/>
                <w:highlight w:val="none"/>
                <w:lang w:val="en-US" w:eastAsia="zh-CN"/>
              </w:rPr>
              <w:t>中标人</w:t>
            </w:r>
            <w:r>
              <w:rPr>
                <w:rFonts w:hint="eastAsia" w:ascii="仿宋" w:hAnsi="仿宋" w:eastAsia="仿宋" w:cs="仿宋"/>
                <w:color w:val="auto"/>
                <w:sz w:val="24"/>
                <w:highlight w:val="none"/>
              </w:rPr>
              <w:t>承担。</w:t>
            </w:r>
          </w:p>
          <w:p w14:paraId="1B84BB2E">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设备保修期（质保期）内因售后服务（包括但不限于原厂商服务和非原厂商服务，其中硬件的售后服务包括但不限于，硬件维护维修、配件更换、整机更换、硬件升级、提供替代品；应用软件的售后服务包括但不限于应用软件维护升级以及非结构性修改）所产生的费用，均包含在响应报价中，采购人不再承担任何费用。</w:t>
            </w:r>
          </w:p>
          <w:p w14:paraId="76F1282B">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.保修：设备整机保修年限≥5年。</w:t>
            </w:r>
          </w:p>
          <w:p w14:paraId="221C957D">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总体项目要求：交钥匙工程：中标人负责全部产品的安装调试后直接交付运行。在保修期内，中标人保证采购人能够合法应用该器械/服务。在此过程中，采购人应当提供一切必要支持。若可能出现的后续证件、手续，中标人必须提供办理的流程及方法。</w:t>
            </w:r>
          </w:p>
        </w:tc>
      </w:tr>
      <w:tr w14:paraId="252665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2823" w:type="dxa"/>
            <w:gridSpan w:val="4"/>
            <w:tcBorders>
              <w:top w:val="single" w:color="auto" w:sz="4" w:space="0"/>
              <w:left w:val="single" w:color="auto" w:sz="4" w:space="0"/>
              <w:bottom w:val="single" w:color="auto" w:sz="4" w:space="0"/>
              <w:right w:val="single" w:color="auto" w:sz="4" w:space="0"/>
            </w:tcBorders>
            <w:vAlign w:val="center"/>
          </w:tcPr>
          <w:p w14:paraId="5AD56336">
            <w:pPr>
              <w:spacing w:line="400" w:lineRule="exact"/>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▲投标报价</w:t>
            </w:r>
          </w:p>
        </w:tc>
        <w:tc>
          <w:tcPr>
            <w:tcW w:w="6188" w:type="dxa"/>
            <w:gridSpan w:val="2"/>
            <w:tcBorders>
              <w:top w:val="single" w:color="auto" w:sz="4" w:space="0"/>
              <w:left w:val="single" w:color="auto" w:sz="4" w:space="0"/>
              <w:bottom w:val="single" w:color="auto" w:sz="4" w:space="0"/>
              <w:right w:val="single" w:color="auto" w:sz="4" w:space="0"/>
            </w:tcBorders>
            <w:vAlign w:val="center"/>
          </w:tcPr>
          <w:p w14:paraId="38DC774F">
            <w:pPr>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1.投标报价是履行合同的最终价格，包含货物、货物标准附件、机房装机改造（含机房、控制间、设备间屏蔽及整体安装改造）</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备品备件、专用工具、设备安装辅材、施工辅材、包装、运输、装卸、保险、货到就位的各种费用以及安装、调试等本采购文件所列设备材料需进行补充完善才能完成本项目的功能配置或实际采购中产品材料有任何遗漏的费用（含本项目需要但本文件中未列出的设备材料、功能配置）、税金、售后服务、技术培训及其他所有成本费用，以及合同约定的所有责任、义务和一般风险等一切费用。</w:t>
            </w:r>
          </w:p>
          <w:p w14:paraId="04EFE418">
            <w:pPr>
              <w:snapToGrid w:val="0"/>
              <w:spacing w:line="400" w:lineRule="exact"/>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2.投标报价包含验收费用。</w:t>
            </w:r>
          </w:p>
        </w:tc>
      </w:tr>
      <w:tr w14:paraId="6F197C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23" w:type="dxa"/>
            <w:gridSpan w:val="4"/>
            <w:tcBorders>
              <w:top w:val="single" w:color="auto" w:sz="4" w:space="0"/>
              <w:left w:val="single" w:color="auto" w:sz="4" w:space="0"/>
              <w:bottom w:val="single" w:color="auto" w:sz="4" w:space="0"/>
              <w:right w:val="single" w:color="auto" w:sz="4" w:space="0"/>
            </w:tcBorders>
            <w:vAlign w:val="center"/>
          </w:tcPr>
          <w:p w14:paraId="4B848AB4">
            <w:pPr>
              <w:spacing w:line="400" w:lineRule="exact"/>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▲验收标准、验收方法</w:t>
            </w:r>
          </w:p>
        </w:tc>
        <w:tc>
          <w:tcPr>
            <w:tcW w:w="6188" w:type="dxa"/>
            <w:gridSpan w:val="2"/>
            <w:tcBorders>
              <w:top w:val="single" w:color="auto" w:sz="4" w:space="0"/>
              <w:left w:val="single" w:color="auto" w:sz="4" w:space="0"/>
              <w:bottom w:val="single" w:color="auto" w:sz="4" w:space="0"/>
              <w:right w:val="single" w:color="auto" w:sz="4" w:space="0"/>
            </w:tcBorders>
            <w:vAlign w:val="center"/>
          </w:tcPr>
          <w:p w14:paraId="5FAC2596">
            <w:pPr>
              <w:spacing w:line="400" w:lineRule="exact"/>
              <w:rPr>
                <w:rFonts w:hint="eastAsia" w:ascii="仿宋" w:hAnsi="仿宋" w:eastAsia="仿宋" w:cs="仿宋"/>
                <w:color w:val="auto"/>
                <w:sz w:val="24"/>
                <w:highlight w:val="none"/>
              </w:rPr>
            </w:pPr>
            <w:bookmarkStart w:id="53" w:name="_Hlk117247198"/>
            <w:r>
              <w:rPr>
                <w:rFonts w:hint="eastAsia" w:ascii="仿宋" w:hAnsi="仿宋" w:eastAsia="仿宋" w:cs="仿宋"/>
                <w:color w:val="auto"/>
                <w:sz w:val="24"/>
                <w:highlight w:val="none"/>
              </w:rPr>
              <w:t>1.采购人在中标人交货并提交验收申请后组织验收。</w:t>
            </w:r>
          </w:p>
          <w:p w14:paraId="6A2ACDDF">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2.采购人对中标人提交的货物依据投标文件响应的技术规格要求和国家有关质量标准进行现场签收，外观、说明书符合投标文件响应的技术规格要求的，给予签收，不合格的不予签收。</w:t>
            </w:r>
          </w:p>
          <w:p w14:paraId="0728D0D0">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3.中标人交货前应对产品作出全面检查和对验收文件进行整理，并列出清单，作为采购人收货验收和使用的技术条件依据，检验的结果应随货物交采购人。中标人不能完整交付货物及本款规定的单证和工具的，必须负责补齐，否则视为未按合同约定交货。</w:t>
            </w:r>
          </w:p>
          <w:p w14:paraId="43DF6526">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4.中标人需负责安装、调试，并培训采购人的使用操作人员，直到设备运行符合技术要求，</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使用人员熟练掌握全部功能及基本维修，采购人方可验收。</w:t>
            </w:r>
          </w:p>
          <w:p w14:paraId="6C383560">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5.采购人组织验收，中标人必须到场配合，验收合格后双方签署验收合格凭证。</w:t>
            </w:r>
          </w:p>
          <w:p w14:paraId="43648428">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6.其他未尽事宜应严格按照《关于印发广西壮族自治区政府采购项目履约验收管理办法的通知》[桂财采〔2015〕22号]以及《财政部关于进一步加强政府采购需求和履约验收管理的指导意见》[财库〔2016〕205号]规定执行。</w:t>
            </w:r>
          </w:p>
          <w:p w14:paraId="0CD4B2AD">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7.验收产生的费用中标人负责。</w:t>
            </w:r>
            <w:bookmarkEnd w:id="53"/>
          </w:p>
        </w:tc>
      </w:tr>
      <w:tr w14:paraId="05FEA1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23" w:type="dxa"/>
            <w:gridSpan w:val="4"/>
            <w:tcBorders>
              <w:top w:val="single" w:color="auto" w:sz="4" w:space="0"/>
              <w:left w:val="single" w:color="auto" w:sz="4" w:space="0"/>
              <w:bottom w:val="single" w:color="auto" w:sz="4" w:space="0"/>
              <w:right w:val="single" w:color="auto" w:sz="4" w:space="0"/>
            </w:tcBorders>
            <w:vAlign w:val="center"/>
          </w:tcPr>
          <w:p w14:paraId="398B1045">
            <w:pPr>
              <w:spacing w:line="400" w:lineRule="exact"/>
              <w:jc w:val="center"/>
              <w:rPr>
                <w:rFonts w:hint="eastAsia" w:ascii="仿宋" w:hAnsi="仿宋" w:eastAsia="仿宋" w:cs="仿宋"/>
                <w:b/>
                <w:bCs/>
                <w:color w:val="auto"/>
                <w:sz w:val="24"/>
                <w:highlight w:val="none"/>
              </w:rPr>
            </w:pPr>
            <w:r>
              <w:rPr>
                <w:rFonts w:hint="eastAsia" w:ascii="仿宋" w:hAnsi="仿宋" w:eastAsia="仿宋" w:cs="仿宋"/>
                <w:b/>
                <w:color w:val="auto"/>
                <w:sz w:val="24"/>
                <w:highlight w:val="none"/>
              </w:rPr>
              <w:t>▲</w:t>
            </w:r>
            <w:r>
              <w:rPr>
                <w:rFonts w:hint="eastAsia" w:ascii="仿宋" w:hAnsi="仿宋" w:eastAsia="仿宋" w:cs="仿宋"/>
                <w:b/>
                <w:bCs/>
                <w:color w:val="auto"/>
                <w:sz w:val="24"/>
                <w:highlight w:val="none"/>
              </w:rPr>
              <w:t>商务条款其他要求</w:t>
            </w:r>
          </w:p>
        </w:tc>
        <w:tc>
          <w:tcPr>
            <w:tcW w:w="6188" w:type="dxa"/>
            <w:gridSpan w:val="2"/>
            <w:tcBorders>
              <w:top w:val="single" w:color="auto" w:sz="4" w:space="0"/>
              <w:left w:val="single" w:color="auto" w:sz="4" w:space="0"/>
              <w:bottom w:val="single" w:color="auto" w:sz="4" w:space="0"/>
              <w:right w:val="single" w:color="auto" w:sz="4" w:space="0"/>
            </w:tcBorders>
            <w:vAlign w:val="center"/>
          </w:tcPr>
          <w:p w14:paraId="3B549372">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中标人保证向采购人提供的货物是合格、全新、完整、未使用过的。到货前，中标人向采购人告知并提供必要的安装前准备材料。如安装过程中损坏了机房、控制间、设备间装修，由中标人及厂家负责承担维修恢复工作。</w:t>
            </w:r>
          </w:p>
          <w:p w14:paraId="549150E1">
            <w:pPr>
              <w:spacing w:line="40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2.本标项“</w:t>
            </w:r>
            <w:r>
              <w:rPr>
                <w:rFonts w:hint="eastAsia" w:ascii="仿宋" w:hAnsi="仿宋" w:eastAsia="仿宋" w:cs="仿宋"/>
                <w:b/>
                <w:bCs/>
                <w:color w:val="auto"/>
                <w:sz w:val="24"/>
                <w:highlight w:val="none"/>
                <w:lang w:eastAsia="zh-CN"/>
              </w:rPr>
              <w:t>数字减影血管造影(DSA)</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en-US" w:eastAsia="zh-CN"/>
              </w:rPr>
              <w:t>不</w:t>
            </w:r>
            <w:r>
              <w:rPr>
                <w:rFonts w:hint="eastAsia" w:ascii="仿宋" w:hAnsi="仿宋" w:eastAsia="仿宋" w:cs="仿宋"/>
                <w:b/>
                <w:bCs/>
                <w:color w:val="auto"/>
                <w:sz w:val="24"/>
                <w:highlight w:val="none"/>
              </w:rPr>
              <w:t>接受进口设备参与投标。</w:t>
            </w:r>
          </w:p>
          <w:p w14:paraId="72A3E355">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3.采购人在货物交货验收阶段发现货物的技术参数指标达不到投标文件响应的技术规格要求的，属虚假应标行为，采购人将终止合同拒收货物，追究该</w:t>
            </w:r>
            <w:r>
              <w:rPr>
                <w:rFonts w:hint="eastAsia" w:ascii="仿宋" w:hAnsi="仿宋" w:eastAsia="仿宋" w:cs="仿宋"/>
                <w:color w:val="auto"/>
                <w:sz w:val="24"/>
                <w:highlight w:val="none"/>
                <w:lang w:eastAsia="zh-CN"/>
              </w:rPr>
              <w:t>中标人</w:t>
            </w:r>
            <w:r>
              <w:rPr>
                <w:rFonts w:hint="eastAsia" w:ascii="仿宋" w:hAnsi="仿宋" w:eastAsia="仿宋" w:cs="仿宋"/>
                <w:color w:val="auto"/>
                <w:sz w:val="24"/>
                <w:highlight w:val="none"/>
              </w:rPr>
              <w:t>违约责任，赔偿采购人因采购时间延长造成采购人经济等方面损失，视情况采购人将违约情况上报政府采购监督管理部门。</w:t>
            </w:r>
          </w:p>
          <w:p w14:paraId="08F94791">
            <w:pPr>
              <w:spacing w:line="40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4.供应商所投产品属于医疗器械管理范畴的，须按《医疗器械注册与备案管理办法》（国家市场监督管理总局令第47号）医疗器械注册与备案要求提供有效的医疗器械注册备案凭证或医疗器械注册证。</w:t>
            </w:r>
          </w:p>
          <w:p w14:paraId="43AC1DEB">
            <w:pPr>
              <w:spacing w:line="40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5.提供投标产品对外公开的产品彩页或说明书（体现技术参数，可以是从生产厂家网页下载的PDF或HTM文件或在食品药品监督管理部门备案的技术参数或检测报告），以供评标时核对。当投标文件提供的仪器性能参数与该仪器生产商提供的性能参数不符合时，以后者为准。</w:t>
            </w:r>
          </w:p>
          <w:p w14:paraId="249255FE">
            <w:pPr>
              <w:spacing w:line="400" w:lineRule="exact"/>
              <w:rPr>
                <w:rFonts w:hint="eastAsia" w:ascii="仿宋" w:hAnsi="仿宋" w:eastAsia="仿宋" w:cs="仿宋"/>
                <w:color w:val="auto"/>
                <w:highlight w:val="none"/>
                <w:lang w:val="en-US" w:eastAsia="zh-CN"/>
              </w:rPr>
            </w:pPr>
            <w:r>
              <w:rPr>
                <w:rFonts w:hint="eastAsia" w:ascii="仿宋" w:hAnsi="仿宋" w:eastAsia="仿宋" w:cs="仿宋"/>
                <w:b/>
                <w:color w:val="auto"/>
                <w:sz w:val="24"/>
                <w:highlight w:val="none"/>
              </w:rPr>
              <w:t>6.投标人</w:t>
            </w:r>
            <w:r>
              <w:rPr>
                <w:rFonts w:hint="eastAsia" w:ascii="仿宋" w:hAnsi="仿宋" w:eastAsia="仿宋" w:cs="仿宋"/>
                <w:b/>
                <w:color w:val="auto"/>
                <w:sz w:val="24"/>
                <w:highlight w:val="none"/>
                <w:lang w:val="en-US" w:eastAsia="zh-CN"/>
              </w:rPr>
              <w:t>如非产品制造商，</w:t>
            </w:r>
            <w:r>
              <w:rPr>
                <w:rFonts w:hint="eastAsia" w:ascii="仿宋" w:hAnsi="仿宋" w:eastAsia="仿宋" w:cs="仿宋"/>
                <w:b/>
                <w:color w:val="auto"/>
                <w:sz w:val="24"/>
                <w:highlight w:val="none"/>
              </w:rPr>
              <w:t>在供货时必须提供所投标产品生产厂家合法授权的厂家代理商出具的授权书，原件备查。</w:t>
            </w:r>
          </w:p>
        </w:tc>
      </w:tr>
      <w:tr w14:paraId="4AB117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11" w:type="dxa"/>
            <w:gridSpan w:val="6"/>
            <w:tcBorders>
              <w:top w:val="single" w:color="auto" w:sz="4" w:space="0"/>
              <w:left w:val="single" w:color="auto" w:sz="4" w:space="0"/>
              <w:bottom w:val="single" w:color="auto" w:sz="4" w:space="0"/>
              <w:right w:val="single" w:color="auto" w:sz="4" w:space="0"/>
            </w:tcBorders>
            <w:vAlign w:val="center"/>
          </w:tcPr>
          <w:p w14:paraId="118466AA">
            <w:pPr>
              <w:spacing w:line="40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三、核心产品</w:t>
            </w:r>
          </w:p>
        </w:tc>
      </w:tr>
      <w:tr w14:paraId="627D21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11" w:type="dxa"/>
            <w:gridSpan w:val="6"/>
            <w:tcBorders>
              <w:top w:val="single" w:color="auto" w:sz="4" w:space="0"/>
              <w:left w:val="single" w:color="auto" w:sz="4" w:space="0"/>
              <w:bottom w:val="single" w:color="auto" w:sz="4" w:space="0"/>
              <w:right w:val="single" w:color="auto" w:sz="4" w:space="0"/>
            </w:tcBorders>
            <w:vAlign w:val="center"/>
          </w:tcPr>
          <w:p w14:paraId="476E0674">
            <w:pPr>
              <w:spacing w:line="40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本标项核心产品为：</w:t>
            </w:r>
            <w:r>
              <w:rPr>
                <w:rFonts w:hint="eastAsia" w:ascii="仿宋" w:hAnsi="仿宋" w:eastAsia="仿宋" w:cs="仿宋"/>
                <w:b/>
                <w:color w:val="auto"/>
                <w:sz w:val="24"/>
                <w:highlight w:val="none"/>
                <w:lang w:eastAsia="zh-CN"/>
              </w:rPr>
              <w:t>数字减影血管造影(DSA)</w:t>
            </w:r>
            <w:r>
              <w:rPr>
                <w:rFonts w:hint="eastAsia" w:ascii="仿宋" w:hAnsi="仿宋" w:eastAsia="仿宋" w:cs="仿宋"/>
                <w:b/>
                <w:color w:val="auto"/>
                <w:sz w:val="24"/>
                <w:highlight w:val="none"/>
              </w:rPr>
              <w:t>。</w:t>
            </w:r>
          </w:p>
        </w:tc>
      </w:tr>
      <w:tr w14:paraId="043E7F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9011" w:type="dxa"/>
            <w:gridSpan w:val="6"/>
            <w:tcBorders>
              <w:top w:val="single" w:color="auto" w:sz="4" w:space="0"/>
              <w:left w:val="single" w:color="auto" w:sz="4" w:space="0"/>
              <w:bottom w:val="single" w:color="auto" w:sz="4" w:space="0"/>
              <w:right w:val="single" w:color="auto" w:sz="4" w:space="0"/>
            </w:tcBorders>
            <w:vAlign w:val="center"/>
          </w:tcPr>
          <w:p w14:paraId="78ABE87E">
            <w:pPr>
              <w:spacing w:line="400" w:lineRule="exact"/>
              <w:rPr>
                <w:rFonts w:hint="eastAsia" w:ascii="仿宋" w:hAnsi="仿宋" w:eastAsia="仿宋" w:cs="仿宋"/>
                <w:color w:val="auto"/>
                <w:sz w:val="24"/>
                <w:highlight w:val="none"/>
              </w:rPr>
            </w:pPr>
            <w:r>
              <w:rPr>
                <w:rFonts w:hint="eastAsia" w:ascii="仿宋" w:hAnsi="仿宋" w:eastAsia="仿宋" w:cs="仿宋"/>
                <w:b/>
                <w:color w:val="auto"/>
                <w:sz w:val="24"/>
                <w:highlight w:val="none"/>
              </w:rPr>
              <w:t>四、其他要求</w:t>
            </w:r>
          </w:p>
        </w:tc>
      </w:tr>
      <w:tr w14:paraId="702975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2210" w:type="dxa"/>
            <w:gridSpan w:val="3"/>
            <w:tcBorders>
              <w:top w:val="single" w:color="auto" w:sz="4" w:space="0"/>
              <w:left w:val="single" w:color="auto" w:sz="4" w:space="0"/>
              <w:bottom w:val="single" w:color="auto" w:sz="4" w:space="0"/>
              <w:right w:val="single" w:color="auto" w:sz="4" w:space="0"/>
            </w:tcBorders>
            <w:vAlign w:val="center"/>
          </w:tcPr>
          <w:p w14:paraId="5DAF000C">
            <w:pPr>
              <w:spacing w:line="400" w:lineRule="exact"/>
              <w:rPr>
                <w:rFonts w:hint="eastAsia" w:ascii="仿宋" w:hAnsi="仿宋" w:eastAsia="仿宋" w:cs="仿宋"/>
                <w:bCs/>
                <w:color w:val="auto"/>
                <w:sz w:val="24"/>
                <w:highlight w:val="none"/>
              </w:rPr>
            </w:pPr>
            <w:r>
              <w:rPr>
                <w:rFonts w:hint="eastAsia" w:ascii="仿宋" w:hAnsi="仿宋" w:eastAsia="仿宋" w:cs="仿宋"/>
                <w:color w:val="auto"/>
                <w:sz w:val="24"/>
                <w:highlight w:val="none"/>
              </w:rPr>
              <w:t>其他技术及服务要求</w:t>
            </w:r>
          </w:p>
        </w:tc>
        <w:tc>
          <w:tcPr>
            <w:tcW w:w="6801" w:type="dxa"/>
            <w:gridSpan w:val="3"/>
            <w:tcBorders>
              <w:top w:val="single" w:color="auto" w:sz="4" w:space="0"/>
              <w:left w:val="single" w:color="auto" w:sz="4" w:space="0"/>
              <w:bottom w:val="single" w:color="auto" w:sz="4" w:space="0"/>
              <w:right w:val="single" w:color="auto" w:sz="4" w:space="0"/>
            </w:tcBorders>
            <w:vAlign w:val="center"/>
          </w:tcPr>
          <w:p w14:paraId="70A908F3">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投标人根据自身情况提供技术及项目实施方案（包含但不限于管理措施、具体实施流程、进度安排、质量保证措施、风险防范措施等）。</w:t>
            </w:r>
          </w:p>
        </w:tc>
      </w:tr>
      <w:tr w14:paraId="2C51E7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11" w:type="dxa"/>
            <w:gridSpan w:val="6"/>
            <w:tcBorders>
              <w:top w:val="single" w:color="auto" w:sz="4" w:space="0"/>
              <w:left w:val="single" w:color="auto" w:sz="4" w:space="0"/>
              <w:bottom w:val="single" w:color="auto" w:sz="4" w:space="0"/>
              <w:right w:val="single" w:color="auto" w:sz="4" w:space="0"/>
            </w:tcBorders>
            <w:vAlign w:val="center"/>
          </w:tcPr>
          <w:p w14:paraId="2F0710EA">
            <w:pPr>
              <w:spacing w:line="400" w:lineRule="exact"/>
              <w:rPr>
                <w:rFonts w:hint="eastAsia" w:ascii="仿宋" w:hAnsi="仿宋" w:eastAsia="仿宋" w:cs="仿宋"/>
                <w:color w:val="auto"/>
                <w:sz w:val="24"/>
                <w:highlight w:val="none"/>
              </w:rPr>
            </w:pPr>
            <w:r>
              <w:rPr>
                <w:rFonts w:hint="eastAsia" w:ascii="仿宋" w:hAnsi="仿宋" w:eastAsia="仿宋" w:cs="仿宋"/>
                <w:b/>
                <w:color w:val="auto"/>
                <w:sz w:val="24"/>
                <w:highlight w:val="none"/>
                <w:lang w:bidi="ar"/>
              </w:rPr>
              <w:t>五、本项目标的所属行业</w:t>
            </w:r>
          </w:p>
        </w:tc>
      </w:tr>
      <w:tr w14:paraId="6DA745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11" w:type="dxa"/>
            <w:gridSpan w:val="6"/>
            <w:tcBorders>
              <w:top w:val="single" w:color="auto" w:sz="4" w:space="0"/>
              <w:left w:val="single" w:color="auto" w:sz="4" w:space="0"/>
              <w:bottom w:val="single" w:color="auto" w:sz="4" w:space="0"/>
              <w:right w:val="single" w:color="auto" w:sz="4" w:space="0"/>
            </w:tcBorders>
            <w:vAlign w:val="center"/>
          </w:tcPr>
          <w:p w14:paraId="28662D8C">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工业（包括采矿业，制造业，电力、热力、燃气及水生产和供应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c>
      </w:tr>
      <w:tr w14:paraId="7DA4B6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11" w:type="dxa"/>
            <w:gridSpan w:val="6"/>
            <w:tcBorders>
              <w:top w:val="single" w:color="auto" w:sz="4" w:space="0"/>
              <w:left w:val="single" w:color="auto" w:sz="4" w:space="0"/>
              <w:bottom w:val="single" w:color="auto" w:sz="4" w:space="0"/>
              <w:right w:val="single" w:color="auto" w:sz="4" w:space="0"/>
            </w:tcBorders>
            <w:vAlign w:val="center"/>
          </w:tcPr>
          <w:p w14:paraId="4ED2877D">
            <w:pPr>
              <w:spacing w:line="400" w:lineRule="exact"/>
              <w:rPr>
                <w:rFonts w:hint="eastAsia" w:ascii="仿宋" w:hAnsi="仿宋" w:eastAsia="仿宋" w:cs="仿宋"/>
                <w:color w:val="auto"/>
                <w:sz w:val="24"/>
                <w:highlight w:val="none"/>
              </w:rPr>
            </w:pPr>
            <w:r>
              <w:rPr>
                <w:rFonts w:hint="eastAsia" w:ascii="仿宋" w:hAnsi="仿宋" w:eastAsia="仿宋" w:cs="仿宋"/>
                <w:b/>
                <w:color w:val="auto"/>
                <w:sz w:val="24"/>
                <w:highlight w:val="none"/>
                <w:lang w:bidi="ar"/>
              </w:rPr>
              <w:t>六、进口产品说明</w:t>
            </w:r>
          </w:p>
        </w:tc>
      </w:tr>
      <w:tr w14:paraId="35198C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11" w:type="dxa"/>
            <w:gridSpan w:val="6"/>
            <w:tcBorders>
              <w:top w:val="single" w:color="auto" w:sz="4" w:space="0"/>
              <w:left w:val="single" w:color="auto" w:sz="4" w:space="0"/>
              <w:bottom w:val="single" w:color="auto" w:sz="4" w:space="0"/>
              <w:right w:val="single" w:color="auto" w:sz="4" w:space="0"/>
            </w:tcBorders>
            <w:vAlign w:val="center"/>
          </w:tcPr>
          <w:p w14:paraId="53105855">
            <w:pPr>
              <w:spacing w:line="400" w:lineRule="exact"/>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本标项“</w:t>
            </w:r>
            <w:r>
              <w:rPr>
                <w:rFonts w:hint="eastAsia" w:ascii="仿宋" w:hAnsi="仿宋" w:eastAsia="仿宋" w:cs="仿宋"/>
                <w:b/>
                <w:bCs/>
                <w:color w:val="auto"/>
                <w:sz w:val="24"/>
                <w:highlight w:val="none"/>
                <w:lang w:eastAsia="zh-CN"/>
              </w:rPr>
              <w:t>数字减影血管造影(DSA)</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en-US" w:eastAsia="zh-CN"/>
              </w:rPr>
              <w:t>不</w:t>
            </w:r>
            <w:r>
              <w:rPr>
                <w:rFonts w:hint="eastAsia" w:ascii="仿宋" w:hAnsi="仿宋" w:eastAsia="仿宋" w:cs="仿宋"/>
                <w:b/>
                <w:bCs/>
                <w:color w:val="auto"/>
                <w:sz w:val="24"/>
                <w:highlight w:val="none"/>
              </w:rPr>
              <w:t>接受进口设备参与投标。</w:t>
            </w:r>
          </w:p>
        </w:tc>
      </w:tr>
      <w:bookmarkEnd w:id="52"/>
    </w:tbl>
    <w:p w14:paraId="424B32E1">
      <w:pPr>
        <w:rPr>
          <w:rFonts w:hint="eastAsia" w:ascii="仿宋" w:hAnsi="仿宋" w:eastAsia="仿宋" w:cs="仿宋"/>
          <w:color w:val="auto"/>
          <w:highlight w:val="none"/>
        </w:rPr>
      </w:pPr>
    </w:p>
    <w:p w14:paraId="25D26FD7">
      <w:pPr>
        <w:rPr>
          <w:rFonts w:hint="eastAsia" w:ascii="仿宋" w:hAnsi="仿宋" w:eastAsia="仿宋" w:cs="仿宋"/>
          <w:color w:val="auto"/>
          <w:highlight w:val="none"/>
        </w:rPr>
      </w:pPr>
    </w:p>
    <w:p w14:paraId="6A233C3E">
      <w:pPr>
        <w:pStyle w:val="3"/>
        <w:keepNext w:val="0"/>
        <w:keepLines w:val="0"/>
        <w:jc w:val="center"/>
        <w:rPr>
          <w:rFonts w:hint="eastAsia" w:ascii="仿宋" w:hAnsi="仿宋" w:eastAsia="仿宋" w:cs="仿宋"/>
          <w:color w:val="auto"/>
          <w:highlight w:val="none"/>
        </w:rPr>
      </w:pPr>
      <w:r>
        <w:rPr>
          <w:rFonts w:hint="eastAsia" w:ascii="仿宋" w:hAnsi="仿宋" w:eastAsia="仿宋" w:cs="仿宋"/>
          <w:color w:val="auto"/>
          <w:highlight w:val="none"/>
        </w:rPr>
        <w:br w:type="page"/>
      </w:r>
      <w:bookmarkStart w:id="54" w:name="_Toc23477"/>
      <w:bookmarkStart w:id="55" w:name="_Toc14005"/>
      <w:bookmarkStart w:id="56" w:name="_Toc19686831"/>
      <w:r>
        <w:rPr>
          <w:rFonts w:hint="eastAsia" w:ascii="仿宋" w:hAnsi="仿宋" w:eastAsia="仿宋" w:cs="仿宋"/>
          <w:color w:val="auto"/>
          <w:highlight w:val="none"/>
        </w:rPr>
        <w:t>第三章  投标人须知</w:t>
      </w:r>
      <w:bookmarkEnd w:id="54"/>
      <w:bookmarkEnd w:id="55"/>
      <w:bookmarkEnd w:id="56"/>
    </w:p>
    <w:p w14:paraId="65732DC8">
      <w:pPr>
        <w:pStyle w:val="4"/>
        <w:keepNext w:val="0"/>
        <w:keepLines w:val="0"/>
        <w:jc w:val="center"/>
        <w:rPr>
          <w:rFonts w:hint="eastAsia" w:ascii="仿宋" w:hAnsi="仿宋" w:eastAsia="仿宋" w:cs="仿宋"/>
          <w:color w:val="auto"/>
          <w:highlight w:val="none"/>
        </w:rPr>
      </w:pPr>
      <w:r>
        <w:rPr>
          <w:rFonts w:hint="eastAsia" w:ascii="仿宋" w:hAnsi="仿宋" w:eastAsia="仿宋" w:cs="仿宋"/>
          <w:color w:val="auto"/>
          <w:highlight w:val="none"/>
        </w:rPr>
        <w:t>投标人须知前附表</w:t>
      </w:r>
    </w:p>
    <w:tbl>
      <w:tblPr>
        <w:tblStyle w:val="45"/>
        <w:tblW w:w="956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59"/>
        <w:gridCol w:w="8606"/>
      </w:tblGrid>
      <w:tr w14:paraId="782631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blHeader/>
          <w:jc w:val="center"/>
        </w:trPr>
        <w:tc>
          <w:tcPr>
            <w:tcW w:w="959" w:type="dxa"/>
            <w:tcBorders>
              <w:top w:val="single" w:color="auto" w:sz="4" w:space="0"/>
              <w:left w:val="single" w:color="auto" w:sz="4" w:space="0"/>
              <w:bottom w:val="single" w:color="auto" w:sz="4" w:space="0"/>
              <w:right w:val="single" w:color="auto" w:sz="4" w:space="0"/>
            </w:tcBorders>
            <w:shd w:val="clear" w:color="auto" w:fill="D9D9D9"/>
            <w:vAlign w:val="center"/>
          </w:tcPr>
          <w:p w14:paraId="2E170315">
            <w:pPr>
              <w:snapToGrid w:val="0"/>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条款号</w:t>
            </w:r>
          </w:p>
        </w:tc>
        <w:tc>
          <w:tcPr>
            <w:tcW w:w="8606" w:type="dxa"/>
            <w:tcBorders>
              <w:top w:val="single" w:color="auto" w:sz="4" w:space="0"/>
              <w:left w:val="single" w:color="auto" w:sz="4" w:space="0"/>
              <w:bottom w:val="single" w:color="auto" w:sz="4" w:space="0"/>
              <w:right w:val="single" w:color="auto" w:sz="4" w:space="0"/>
            </w:tcBorders>
            <w:shd w:val="clear" w:color="auto" w:fill="D9D9D9"/>
            <w:vAlign w:val="center"/>
          </w:tcPr>
          <w:p w14:paraId="05EFD02C">
            <w:pPr>
              <w:snapToGrid w:val="0"/>
              <w:spacing w:line="400" w:lineRule="exact"/>
              <w:ind w:firstLine="480" w:firstLineChars="20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编列内容</w:t>
            </w:r>
          </w:p>
        </w:tc>
      </w:tr>
      <w:tr w14:paraId="133AAD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14:paraId="046B02FE">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8606" w:type="dxa"/>
            <w:tcBorders>
              <w:top w:val="single" w:color="auto" w:sz="4" w:space="0"/>
              <w:left w:val="single" w:color="auto" w:sz="4" w:space="0"/>
              <w:bottom w:val="single" w:color="auto" w:sz="4" w:space="0"/>
              <w:right w:val="single" w:color="auto" w:sz="4" w:space="0"/>
            </w:tcBorders>
            <w:vAlign w:val="center"/>
          </w:tcPr>
          <w:p w14:paraId="315C9734">
            <w:pPr>
              <w:snapToGrid w:val="0"/>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投标人的资格要求：详见招标公告。</w:t>
            </w:r>
          </w:p>
        </w:tc>
      </w:tr>
      <w:tr w14:paraId="0E6865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14:paraId="17F060E7">
            <w:pPr>
              <w:spacing w:line="400" w:lineRule="exact"/>
              <w:jc w:val="center"/>
              <w:rPr>
                <w:rFonts w:hint="eastAsia" w:ascii="仿宋" w:hAnsi="仿宋" w:eastAsia="仿宋" w:cs="仿宋"/>
                <w:color w:val="auto"/>
                <w:sz w:val="24"/>
                <w:highlight w:val="none"/>
              </w:rPr>
            </w:pPr>
            <w:bookmarkStart w:id="57" w:name="_8.1"/>
            <w:bookmarkEnd w:id="57"/>
            <w:bookmarkStart w:id="58" w:name="_9.2"/>
            <w:bookmarkEnd w:id="58"/>
            <w:bookmarkStart w:id="59" w:name="_5"/>
            <w:bookmarkEnd w:id="59"/>
            <w:r>
              <w:rPr>
                <w:rFonts w:hint="eastAsia" w:ascii="仿宋" w:hAnsi="仿宋" w:eastAsia="仿宋" w:cs="仿宋"/>
                <w:color w:val="auto"/>
                <w:sz w:val="24"/>
                <w:highlight w:val="none"/>
              </w:rPr>
              <w:t>6.1</w:t>
            </w:r>
          </w:p>
        </w:tc>
        <w:tc>
          <w:tcPr>
            <w:tcW w:w="8606" w:type="dxa"/>
            <w:tcBorders>
              <w:top w:val="single" w:color="auto" w:sz="4" w:space="0"/>
              <w:left w:val="single" w:color="auto" w:sz="4" w:space="0"/>
              <w:bottom w:val="single" w:color="auto" w:sz="4" w:space="0"/>
              <w:right w:val="single" w:color="auto" w:sz="4" w:space="0"/>
            </w:tcBorders>
            <w:vAlign w:val="center"/>
          </w:tcPr>
          <w:p w14:paraId="29FA0131">
            <w:pPr>
              <w:pStyle w:val="14"/>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本项目是否接受联合体投标：详见招标公告。</w:t>
            </w:r>
          </w:p>
        </w:tc>
      </w:tr>
      <w:tr w14:paraId="5AE22E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14:paraId="6CA182EF">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6.2</w:t>
            </w:r>
          </w:p>
        </w:tc>
        <w:tc>
          <w:tcPr>
            <w:tcW w:w="8606" w:type="dxa"/>
            <w:tcBorders>
              <w:top w:val="single" w:color="auto" w:sz="4" w:space="0"/>
              <w:left w:val="single" w:color="auto" w:sz="4" w:space="0"/>
              <w:bottom w:val="single" w:color="auto" w:sz="4" w:space="0"/>
              <w:right w:val="single" w:color="auto" w:sz="4" w:space="0"/>
            </w:tcBorders>
            <w:vAlign w:val="center"/>
          </w:tcPr>
          <w:p w14:paraId="7ADE5A09">
            <w:pPr>
              <w:pStyle w:val="14"/>
              <w:spacing w:line="400" w:lineRule="exact"/>
              <w:rPr>
                <w:rFonts w:hint="eastAsia" w:ascii="仿宋" w:hAnsi="仿宋" w:eastAsia="仿宋" w:cs="仿宋"/>
                <w:color w:val="auto"/>
                <w:sz w:val="24"/>
                <w:highlight w:val="none"/>
              </w:rPr>
            </w:pPr>
            <w:bookmarkStart w:id="60" w:name="_Hlk54105293"/>
            <w:r>
              <w:rPr>
                <w:rFonts w:hint="eastAsia" w:ascii="仿宋" w:hAnsi="仿宋" w:eastAsia="仿宋" w:cs="仿宋"/>
                <w:color w:val="auto"/>
                <w:sz w:val="24"/>
                <w:highlight w:val="none"/>
              </w:rPr>
              <w:t>如接受联合体投标，</w:t>
            </w:r>
            <w:bookmarkEnd w:id="60"/>
            <w:r>
              <w:rPr>
                <w:rFonts w:hint="eastAsia" w:ascii="仿宋" w:hAnsi="仿宋" w:eastAsia="仿宋" w:cs="仿宋"/>
                <w:color w:val="auto"/>
                <w:sz w:val="24"/>
                <w:highlight w:val="none"/>
              </w:rPr>
              <w:t>联合体投标要求如下：无</w:t>
            </w:r>
          </w:p>
        </w:tc>
      </w:tr>
      <w:tr w14:paraId="26EA02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14:paraId="5F652A6E">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7.2</w:t>
            </w:r>
          </w:p>
        </w:tc>
        <w:tc>
          <w:tcPr>
            <w:tcW w:w="8606" w:type="dxa"/>
            <w:tcBorders>
              <w:top w:val="single" w:color="auto" w:sz="4" w:space="0"/>
              <w:left w:val="single" w:color="auto" w:sz="4" w:space="0"/>
              <w:bottom w:val="single" w:color="auto" w:sz="4" w:space="0"/>
              <w:right w:val="single" w:color="auto" w:sz="4" w:space="0"/>
            </w:tcBorders>
            <w:vAlign w:val="center"/>
          </w:tcPr>
          <w:p w14:paraId="003B2770">
            <w:pPr>
              <w:pStyle w:val="14"/>
              <w:spacing w:line="400" w:lineRule="exact"/>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w:t>
            </w:r>
            <w:r>
              <w:rPr>
                <w:rFonts w:hint="eastAsia" w:ascii="仿宋" w:hAnsi="仿宋" w:eastAsia="仿宋" w:cs="仿宋"/>
                <w:color w:val="auto"/>
                <w:sz w:val="24"/>
                <w:highlight w:val="none"/>
              </w:rPr>
              <w:t>不允许分包</w:t>
            </w:r>
          </w:p>
          <w:p w14:paraId="490DCBE6">
            <w:pPr>
              <w:pStyle w:val="14"/>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□允许分包</w:t>
            </w:r>
          </w:p>
          <w:p w14:paraId="2167E9AB">
            <w:pPr>
              <w:pStyle w:val="14"/>
              <w:spacing w:line="40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分包内容：</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6429345B">
            <w:pPr>
              <w:pStyle w:val="14"/>
              <w:spacing w:line="40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分包金额或者比例：</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tc>
      </w:tr>
      <w:tr w14:paraId="53705F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14:paraId="1A592002">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11.2</w:t>
            </w:r>
          </w:p>
        </w:tc>
        <w:tc>
          <w:tcPr>
            <w:tcW w:w="8606" w:type="dxa"/>
            <w:tcBorders>
              <w:top w:val="single" w:color="auto" w:sz="4" w:space="0"/>
              <w:left w:val="single" w:color="auto" w:sz="4" w:space="0"/>
              <w:bottom w:val="single" w:color="auto" w:sz="4" w:space="0"/>
              <w:right w:val="single" w:color="auto" w:sz="4" w:space="0"/>
            </w:tcBorders>
            <w:vAlign w:val="center"/>
          </w:tcPr>
          <w:p w14:paraId="4C634A8A">
            <w:pPr>
              <w:snapToGrid w:val="0"/>
              <w:spacing w:line="400" w:lineRule="exact"/>
              <w:jc w:val="left"/>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w:t>
            </w:r>
            <w:r>
              <w:rPr>
                <w:rFonts w:hint="eastAsia" w:ascii="仿宋" w:hAnsi="仿宋" w:eastAsia="仿宋" w:cs="仿宋"/>
                <w:color w:val="auto"/>
                <w:sz w:val="24"/>
                <w:highlight w:val="none"/>
              </w:rPr>
              <w:t>不组织现场考察</w:t>
            </w:r>
          </w:p>
          <w:p w14:paraId="493E7D4E">
            <w:pPr>
              <w:snapToGrid w:val="0"/>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□组织现场考察：</w:t>
            </w:r>
          </w:p>
          <w:p w14:paraId="06830372">
            <w:pPr>
              <w:snapToGrid w:val="0"/>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集中时间：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日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时</w:t>
            </w:r>
            <w:r>
              <w:rPr>
                <w:rFonts w:hint="eastAsia" w:ascii="仿宋" w:hAnsi="仿宋" w:eastAsia="仿宋" w:cs="仿宋"/>
                <w:color w:val="auto"/>
                <w:sz w:val="24"/>
                <w:highlight w:val="none"/>
                <w:u w:val="single"/>
              </w:rPr>
              <w:t xml:space="preserve">  分</w:t>
            </w:r>
            <w:r>
              <w:rPr>
                <w:rFonts w:hint="eastAsia" w:ascii="仿宋" w:hAnsi="仿宋" w:eastAsia="仿宋" w:cs="仿宋"/>
                <w:color w:val="auto"/>
                <w:sz w:val="24"/>
                <w:highlight w:val="none"/>
              </w:rPr>
              <w:t>，逾期后果自负。</w:t>
            </w:r>
          </w:p>
          <w:p w14:paraId="208D3479">
            <w:pPr>
              <w:snapToGrid w:val="0"/>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集中地点：</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60B2E2D7">
            <w:pPr>
              <w:snapToGrid w:val="0"/>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联 系 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652AEA75">
            <w:pPr>
              <w:snapToGrid w:val="0"/>
              <w:spacing w:line="400" w:lineRule="exact"/>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55B74682">
            <w:pPr>
              <w:snapToGrid w:val="0"/>
              <w:spacing w:line="400" w:lineRule="exact"/>
              <w:jc w:val="left"/>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w:t>
            </w:r>
            <w:r>
              <w:rPr>
                <w:rFonts w:hint="eastAsia" w:ascii="仿宋" w:hAnsi="仿宋" w:eastAsia="仿宋" w:cs="仿宋"/>
                <w:color w:val="auto"/>
                <w:sz w:val="24"/>
                <w:highlight w:val="none"/>
              </w:rPr>
              <w:t>不组织召开开标前答疑会</w:t>
            </w:r>
          </w:p>
          <w:p w14:paraId="7E7CCCE6">
            <w:pPr>
              <w:snapToGrid w:val="0"/>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□组织召开开标前答疑会</w:t>
            </w:r>
          </w:p>
          <w:p w14:paraId="5F407952">
            <w:pPr>
              <w:snapToGrid w:val="0"/>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会议开始时间：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日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时</w:t>
            </w:r>
            <w:r>
              <w:rPr>
                <w:rFonts w:hint="eastAsia" w:ascii="仿宋" w:hAnsi="仿宋" w:eastAsia="仿宋" w:cs="仿宋"/>
                <w:color w:val="auto"/>
                <w:sz w:val="24"/>
                <w:highlight w:val="none"/>
                <w:u w:val="single"/>
              </w:rPr>
              <w:t xml:space="preserve">  分</w:t>
            </w:r>
            <w:r>
              <w:rPr>
                <w:rFonts w:hint="eastAsia" w:ascii="仿宋" w:hAnsi="仿宋" w:eastAsia="仿宋" w:cs="仿宋"/>
                <w:color w:val="auto"/>
                <w:sz w:val="24"/>
                <w:highlight w:val="none"/>
              </w:rPr>
              <w:t>，逾期后果自负。</w:t>
            </w:r>
          </w:p>
          <w:p w14:paraId="24AB42BD">
            <w:pPr>
              <w:snapToGrid w:val="0"/>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会议地点：</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tc>
      </w:tr>
      <w:tr w14:paraId="12B3F2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vMerge w:val="restart"/>
            <w:tcBorders>
              <w:top w:val="single" w:color="auto" w:sz="4" w:space="0"/>
              <w:left w:val="single" w:color="auto" w:sz="4" w:space="0"/>
              <w:right w:val="single" w:color="auto" w:sz="4" w:space="0"/>
            </w:tcBorders>
            <w:vAlign w:val="center"/>
          </w:tcPr>
          <w:p w14:paraId="1AA09916">
            <w:pPr>
              <w:spacing w:line="400" w:lineRule="exact"/>
              <w:jc w:val="center"/>
              <w:rPr>
                <w:rFonts w:hint="eastAsia" w:ascii="仿宋" w:hAnsi="仿宋" w:eastAsia="仿宋" w:cs="仿宋"/>
                <w:color w:val="auto"/>
                <w:sz w:val="24"/>
                <w:highlight w:val="none"/>
              </w:rPr>
            </w:pPr>
            <w:bookmarkStart w:id="61" w:name="_13.1"/>
            <w:bookmarkEnd w:id="61"/>
            <w:r>
              <w:rPr>
                <w:rFonts w:hint="eastAsia" w:ascii="仿宋" w:hAnsi="仿宋" w:eastAsia="仿宋" w:cs="仿宋"/>
                <w:color w:val="auto"/>
                <w:sz w:val="24"/>
                <w:highlight w:val="none"/>
              </w:rPr>
              <w:t>13.</w:t>
            </w:r>
            <w:bookmarkStart w:id="62" w:name="_Hlt19632543"/>
            <w:r>
              <w:rPr>
                <w:rFonts w:hint="eastAsia" w:ascii="仿宋" w:hAnsi="仿宋" w:eastAsia="仿宋" w:cs="仿宋"/>
                <w:color w:val="auto"/>
                <w:sz w:val="24"/>
                <w:highlight w:val="none"/>
              </w:rPr>
              <w:t>1</w:t>
            </w:r>
            <w:bookmarkEnd w:id="62"/>
          </w:p>
        </w:tc>
        <w:tc>
          <w:tcPr>
            <w:tcW w:w="8606" w:type="dxa"/>
            <w:tcBorders>
              <w:top w:val="single" w:color="auto" w:sz="4" w:space="0"/>
              <w:left w:val="single" w:color="auto" w:sz="4" w:space="0"/>
              <w:bottom w:val="single" w:color="auto" w:sz="4" w:space="0"/>
              <w:right w:val="single" w:color="auto" w:sz="4" w:space="0"/>
            </w:tcBorders>
            <w:vAlign w:val="center"/>
          </w:tcPr>
          <w:p w14:paraId="693DCCD5">
            <w:pPr>
              <w:snapToGrid w:val="0"/>
              <w:spacing w:line="40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报价文件：</w:t>
            </w:r>
          </w:p>
          <w:p w14:paraId="09C54B09">
            <w:pPr>
              <w:snapToGrid w:val="0"/>
              <w:spacing w:line="40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w:t>
            </w:r>
            <w:r>
              <w:rPr>
                <w:rFonts w:hint="eastAsia" w:ascii="仿宋" w:hAnsi="仿宋" w:eastAsia="仿宋" w:cs="仿宋"/>
                <w:bCs/>
                <w:color w:val="auto"/>
                <w:sz w:val="24"/>
                <w:highlight w:val="none"/>
              </w:rPr>
              <w:t xml:space="preserve">开标一览表（格式后附）； </w:t>
            </w:r>
            <w:r>
              <w:rPr>
                <w:rFonts w:hint="eastAsia" w:ascii="仿宋" w:hAnsi="仿宋" w:eastAsia="仿宋" w:cs="仿宋"/>
                <w:b/>
                <w:color w:val="auto"/>
                <w:sz w:val="24"/>
                <w:highlight w:val="none"/>
              </w:rPr>
              <w:t>（必须提供，否则作无效投标处理）</w:t>
            </w:r>
          </w:p>
          <w:p w14:paraId="5DE9AAC4">
            <w:pPr>
              <w:snapToGrid w:val="0"/>
              <w:spacing w:line="400" w:lineRule="exact"/>
              <w:jc w:val="left"/>
              <w:rPr>
                <w:rFonts w:hint="eastAsia" w:ascii="仿宋" w:hAnsi="仿宋" w:eastAsia="仿宋" w:cs="仿宋"/>
                <w:bCs/>
                <w:color w:val="auto"/>
                <w:sz w:val="24"/>
                <w:highlight w:val="none"/>
              </w:rPr>
            </w:pPr>
            <w:r>
              <w:rPr>
                <w:rFonts w:hint="eastAsia" w:ascii="仿宋" w:hAnsi="仿宋" w:eastAsia="仿宋" w:cs="仿宋"/>
                <w:b/>
                <w:color w:val="auto"/>
                <w:sz w:val="24"/>
                <w:highlight w:val="none"/>
              </w:rPr>
              <w:t>2.</w:t>
            </w:r>
            <w:r>
              <w:rPr>
                <w:rFonts w:hint="eastAsia" w:ascii="仿宋" w:hAnsi="仿宋" w:eastAsia="仿宋" w:cs="仿宋"/>
                <w:bCs/>
                <w:color w:val="auto"/>
                <w:sz w:val="24"/>
                <w:highlight w:val="none"/>
              </w:rPr>
              <w:t xml:space="preserve">报价明细表（格式后附）； </w:t>
            </w:r>
            <w:r>
              <w:rPr>
                <w:rFonts w:hint="eastAsia" w:ascii="仿宋" w:hAnsi="仿宋" w:eastAsia="仿宋" w:cs="仿宋"/>
                <w:b/>
                <w:color w:val="auto"/>
                <w:sz w:val="24"/>
                <w:highlight w:val="none"/>
              </w:rPr>
              <w:t>（必须提供，否则作无效投标处理）</w:t>
            </w:r>
          </w:p>
          <w:p w14:paraId="50AFEAD5">
            <w:pPr>
              <w:snapToGrid w:val="0"/>
              <w:spacing w:line="40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3.</w:t>
            </w:r>
            <w:r>
              <w:rPr>
                <w:rFonts w:hint="eastAsia" w:ascii="仿宋" w:hAnsi="仿宋" w:eastAsia="仿宋" w:cs="仿宋"/>
                <w:bCs/>
                <w:color w:val="auto"/>
                <w:sz w:val="24"/>
                <w:highlight w:val="none"/>
              </w:rPr>
              <w:t>投标</w:t>
            </w:r>
            <w:r>
              <w:rPr>
                <w:rFonts w:hint="eastAsia" w:ascii="仿宋" w:hAnsi="仿宋" w:eastAsia="仿宋" w:cs="仿宋"/>
                <w:color w:val="auto"/>
                <w:sz w:val="24"/>
                <w:highlight w:val="none"/>
              </w:rPr>
              <w:t>人针对报价需要说明的其他文件和说明（格式自拟）。</w:t>
            </w:r>
          </w:p>
          <w:p w14:paraId="6790F373">
            <w:pPr>
              <w:snapToGrid w:val="0"/>
              <w:spacing w:line="400" w:lineRule="exact"/>
              <w:jc w:val="left"/>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注：开标一览表必须由法定代表人或者委托代理人在规定签章处逐一签字（或者电子签名）并加盖投标人公章（或电子签章），否则</w:t>
            </w:r>
            <w:r>
              <w:rPr>
                <w:rFonts w:hint="eastAsia" w:ascii="仿宋" w:hAnsi="仿宋" w:eastAsia="仿宋" w:cs="仿宋"/>
                <w:b/>
                <w:color w:val="auto"/>
                <w:sz w:val="24"/>
                <w:highlight w:val="none"/>
              </w:rPr>
              <w:t>作无效投标处理</w:t>
            </w:r>
            <w:r>
              <w:rPr>
                <w:rFonts w:hint="eastAsia" w:ascii="仿宋" w:hAnsi="仿宋" w:eastAsia="仿宋" w:cs="仿宋"/>
                <w:b/>
                <w:bCs/>
                <w:color w:val="auto"/>
                <w:sz w:val="24"/>
                <w:highlight w:val="none"/>
              </w:rPr>
              <w:t>。</w:t>
            </w:r>
          </w:p>
        </w:tc>
      </w:tr>
      <w:tr w14:paraId="4AAC44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vMerge w:val="continue"/>
            <w:tcBorders>
              <w:left w:val="single" w:color="auto" w:sz="4" w:space="0"/>
              <w:right w:val="single" w:color="auto" w:sz="4" w:space="0"/>
            </w:tcBorders>
            <w:vAlign w:val="center"/>
          </w:tcPr>
          <w:p w14:paraId="445506EA">
            <w:pPr>
              <w:spacing w:line="400" w:lineRule="exact"/>
              <w:ind w:firstLine="480" w:firstLineChars="200"/>
              <w:rPr>
                <w:rFonts w:hint="eastAsia" w:ascii="仿宋" w:hAnsi="仿宋" w:eastAsia="仿宋" w:cs="仿宋"/>
                <w:color w:val="auto"/>
                <w:sz w:val="24"/>
                <w:highlight w:val="none"/>
              </w:rPr>
            </w:pPr>
            <w:bookmarkStart w:id="63" w:name="_13.2"/>
            <w:bookmarkEnd w:id="63"/>
          </w:p>
        </w:tc>
        <w:tc>
          <w:tcPr>
            <w:tcW w:w="8606" w:type="dxa"/>
            <w:tcBorders>
              <w:top w:val="single" w:color="auto" w:sz="4" w:space="0"/>
              <w:left w:val="single" w:color="auto" w:sz="4" w:space="0"/>
              <w:bottom w:val="single" w:color="auto" w:sz="4" w:space="0"/>
              <w:right w:val="single" w:color="auto" w:sz="4" w:space="0"/>
            </w:tcBorders>
            <w:vAlign w:val="center"/>
          </w:tcPr>
          <w:p w14:paraId="585BB689">
            <w:pPr>
              <w:snapToGrid w:val="0"/>
              <w:spacing w:line="40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资格证明文件</w:t>
            </w:r>
          </w:p>
          <w:p w14:paraId="7D1C3DED">
            <w:pPr>
              <w:snapToGrid w:val="0"/>
              <w:spacing w:line="400" w:lineRule="exact"/>
              <w:jc w:val="left"/>
              <w:rPr>
                <w:rFonts w:hint="eastAsia" w:ascii="仿宋" w:hAnsi="仿宋" w:eastAsia="仿宋" w:cs="仿宋"/>
                <w:color w:val="auto"/>
                <w:sz w:val="24"/>
                <w:highlight w:val="none"/>
              </w:rPr>
            </w:pPr>
            <w:r>
              <w:rPr>
                <w:rFonts w:hint="eastAsia" w:ascii="仿宋" w:hAnsi="仿宋" w:eastAsia="仿宋" w:cs="仿宋"/>
                <w:b/>
                <w:color w:val="auto"/>
                <w:sz w:val="24"/>
                <w:highlight w:val="none"/>
              </w:rPr>
              <w:t>1.</w:t>
            </w:r>
            <w:r>
              <w:rPr>
                <w:rFonts w:hint="eastAsia" w:ascii="仿宋" w:hAnsi="仿宋" w:eastAsia="仿宋" w:cs="仿宋"/>
                <w:color w:val="auto"/>
                <w:sz w:val="24"/>
                <w:highlight w:val="none"/>
              </w:rPr>
              <w:t>投标人为法人或者其他组织的提供营业执照等证明文件（如营业执照或者事业单位法人证书或者</w:t>
            </w:r>
            <w:r>
              <w:rPr>
                <w:rStyle w:val="87"/>
                <w:rFonts w:hint="eastAsia" w:ascii="仿宋" w:hAnsi="仿宋" w:eastAsia="仿宋" w:cs="仿宋"/>
                <w:color w:val="auto"/>
                <w:sz w:val="24"/>
                <w:szCs w:val="24"/>
                <w:highlight w:val="none"/>
              </w:rPr>
              <w:t>执业许可证</w:t>
            </w:r>
            <w:r>
              <w:rPr>
                <w:rFonts w:hint="eastAsia" w:ascii="仿宋" w:hAnsi="仿宋" w:eastAsia="仿宋" w:cs="仿宋"/>
                <w:color w:val="auto"/>
                <w:sz w:val="24"/>
                <w:highlight w:val="none"/>
              </w:rPr>
              <w:t>等），投标人为自然人的，提供身份证扫描件；（</w:t>
            </w:r>
            <w:r>
              <w:rPr>
                <w:rFonts w:hint="eastAsia" w:ascii="仿宋" w:hAnsi="仿宋" w:eastAsia="仿宋" w:cs="仿宋"/>
                <w:b/>
                <w:color w:val="auto"/>
                <w:sz w:val="24"/>
                <w:highlight w:val="none"/>
              </w:rPr>
              <w:t>必须提供，否则作无效投标处理</w:t>
            </w:r>
            <w:r>
              <w:rPr>
                <w:rFonts w:hint="eastAsia" w:ascii="仿宋" w:hAnsi="仿宋" w:eastAsia="仿宋" w:cs="仿宋"/>
                <w:color w:val="auto"/>
                <w:sz w:val="24"/>
                <w:highlight w:val="none"/>
              </w:rPr>
              <w:t>）</w:t>
            </w:r>
          </w:p>
          <w:p w14:paraId="09E58ADF">
            <w:pPr>
              <w:snapToGrid w:val="0"/>
              <w:spacing w:line="400" w:lineRule="exact"/>
              <w:jc w:val="left"/>
              <w:rPr>
                <w:rFonts w:hint="eastAsia" w:ascii="仿宋" w:hAnsi="仿宋" w:eastAsia="仿宋" w:cs="仿宋"/>
                <w:color w:val="auto"/>
                <w:sz w:val="24"/>
                <w:highlight w:val="none"/>
              </w:rPr>
            </w:pPr>
            <w:r>
              <w:rPr>
                <w:rFonts w:hint="eastAsia" w:ascii="仿宋" w:hAnsi="仿宋" w:eastAsia="仿宋" w:cs="仿宋"/>
                <w:b/>
                <w:color w:val="auto"/>
                <w:sz w:val="24"/>
                <w:highlight w:val="none"/>
              </w:rPr>
              <w:t>2.</w:t>
            </w:r>
            <w:r>
              <w:rPr>
                <w:rFonts w:hint="eastAsia" w:ascii="仿宋" w:hAnsi="仿宋" w:eastAsia="仿宋" w:cs="仿宋"/>
                <w:color w:val="auto"/>
                <w:sz w:val="24"/>
                <w:highlight w:val="none"/>
              </w:rPr>
              <w:t xml:space="preserve"> 供应商按《医疗器械监督管理条例》（国务院令第739号）医疗器械分类管理要求具备有效的医疗器械经营备案凭证（或承诺供货前取得医疗器械经营备案凭证）或者经营许可证（符合《医疗器械监督管理条例》（国务院令第739号）第四十一</w:t>
            </w:r>
            <w:r>
              <w:rPr>
                <w:rFonts w:hint="eastAsia" w:ascii="仿宋" w:hAnsi="仿宋" w:eastAsia="仿宋" w:cs="仿宋"/>
                <w:color w:val="auto"/>
                <w:sz w:val="24"/>
                <w:highlight w:val="none"/>
                <w:lang w:val="en-US" w:eastAsia="zh-CN"/>
              </w:rPr>
              <w:t>条</w:t>
            </w:r>
            <w:r>
              <w:rPr>
                <w:rFonts w:hint="eastAsia" w:ascii="仿宋" w:hAnsi="仿宋" w:eastAsia="仿宋" w:cs="仿宋"/>
                <w:color w:val="auto"/>
                <w:sz w:val="24"/>
                <w:highlight w:val="none"/>
              </w:rPr>
              <w:t>第二款规定或所投产品属于第一类医疗器械的除外）；或者供应商符合《医疗器械监督管理条例》（国务院令第739号）第四十三条规定的，应具备医疗器械注册证；（</w:t>
            </w:r>
            <w:r>
              <w:rPr>
                <w:rFonts w:hint="eastAsia" w:ascii="仿宋" w:hAnsi="仿宋" w:eastAsia="仿宋" w:cs="仿宋"/>
                <w:b/>
                <w:color w:val="auto"/>
                <w:sz w:val="24"/>
                <w:highlight w:val="none"/>
              </w:rPr>
              <w:t>必须提供，否则作无效投标处理</w:t>
            </w:r>
            <w:r>
              <w:rPr>
                <w:rFonts w:hint="eastAsia" w:ascii="仿宋" w:hAnsi="仿宋" w:eastAsia="仿宋" w:cs="仿宋"/>
                <w:color w:val="auto"/>
                <w:sz w:val="24"/>
                <w:highlight w:val="none"/>
              </w:rPr>
              <w:t>）</w:t>
            </w:r>
          </w:p>
          <w:p w14:paraId="19BE789C">
            <w:pPr>
              <w:snapToGrid w:val="0"/>
              <w:spacing w:line="400" w:lineRule="exact"/>
              <w:jc w:val="left"/>
              <w:rPr>
                <w:rFonts w:hint="default" w:ascii="仿宋" w:hAnsi="仿宋" w:eastAsia="仿宋" w:cs="仿宋"/>
                <w:color w:val="auto"/>
                <w:sz w:val="24"/>
                <w:highlight w:val="none"/>
                <w:lang w:val="en-US" w:eastAsia="zh-CN"/>
              </w:rPr>
            </w:pPr>
            <w:r>
              <w:rPr>
                <w:rFonts w:hint="eastAsia" w:ascii="仿宋" w:hAnsi="仿宋" w:eastAsia="仿宋" w:cs="仿宋"/>
                <w:b/>
                <w:bCs/>
                <w:color w:val="auto"/>
                <w:sz w:val="24"/>
                <w:highlight w:val="none"/>
                <w:lang w:val="en-US" w:eastAsia="zh-CN"/>
              </w:rPr>
              <w:t>3.</w:t>
            </w:r>
            <w:r>
              <w:rPr>
                <w:rFonts w:hint="eastAsia" w:ascii="仿宋" w:hAnsi="仿宋" w:eastAsia="仿宋" w:cs="仿宋"/>
                <w:color w:val="auto"/>
                <w:sz w:val="24"/>
                <w:highlight w:val="none"/>
                <w:lang w:val="en-US" w:eastAsia="zh-CN"/>
              </w:rPr>
              <w:t>供应商所投产品属于射线装置的，供应商为投标产品制造商的须具备有效的《辐射安全许可证》（许可种类和范围至少包含生产、销售）；供应商为投标产品经销商的须具备有效的《辐射安全许可证》（许可种类和范围至少包含销售）；</w:t>
            </w:r>
            <w:r>
              <w:rPr>
                <w:rFonts w:hint="eastAsia" w:ascii="仿宋" w:hAnsi="仿宋" w:eastAsia="仿宋" w:cs="仿宋"/>
                <w:color w:val="auto"/>
                <w:sz w:val="24"/>
                <w:highlight w:val="none"/>
              </w:rPr>
              <w:t>（</w:t>
            </w:r>
            <w:r>
              <w:rPr>
                <w:rFonts w:hint="eastAsia" w:ascii="仿宋" w:hAnsi="仿宋" w:eastAsia="仿宋" w:cs="仿宋"/>
                <w:b/>
                <w:color w:val="auto"/>
                <w:sz w:val="24"/>
                <w:highlight w:val="none"/>
              </w:rPr>
              <w:t>必须提供，否则作无效投标处理</w:t>
            </w:r>
            <w:r>
              <w:rPr>
                <w:rFonts w:hint="eastAsia" w:ascii="仿宋" w:hAnsi="仿宋" w:eastAsia="仿宋" w:cs="仿宋"/>
                <w:color w:val="auto"/>
                <w:sz w:val="24"/>
                <w:highlight w:val="none"/>
              </w:rPr>
              <w:t>）</w:t>
            </w:r>
          </w:p>
          <w:p w14:paraId="43A978EA">
            <w:pPr>
              <w:snapToGrid w:val="0"/>
              <w:spacing w:line="400" w:lineRule="exact"/>
              <w:jc w:val="left"/>
              <w:rPr>
                <w:rFonts w:hint="eastAsia" w:ascii="仿宋" w:hAnsi="仿宋" w:eastAsia="仿宋" w:cs="仿宋"/>
                <w:b/>
                <w:bCs/>
                <w:color w:val="auto"/>
                <w:sz w:val="24"/>
                <w:highlight w:val="none"/>
              </w:rPr>
            </w:pPr>
            <w:r>
              <w:rPr>
                <w:rFonts w:hint="eastAsia" w:ascii="仿宋" w:hAnsi="仿宋" w:eastAsia="仿宋" w:cs="仿宋"/>
                <w:b/>
                <w:color w:val="auto"/>
                <w:sz w:val="24"/>
                <w:highlight w:val="none"/>
                <w:lang w:val="en-US" w:eastAsia="zh-CN"/>
              </w:rPr>
              <w:t>4</w:t>
            </w:r>
            <w:r>
              <w:rPr>
                <w:rFonts w:hint="eastAsia" w:ascii="仿宋" w:hAnsi="仿宋" w:eastAsia="仿宋" w:cs="仿宋"/>
                <w:b/>
                <w:color w:val="auto"/>
                <w:sz w:val="24"/>
                <w:highlight w:val="none"/>
              </w:rPr>
              <w:t>.</w:t>
            </w:r>
            <w:r>
              <w:rPr>
                <w:rFonts w:hint="eastAsia" w:ascii="仿宋" w:hAnsi="仿宋" w:eastAsia="仿宋" w:cs="仿宋"/>
                <w:color w:val="auto"/>
                <w:sz w:val="24"/>
                <w:highlight w:val="none"/>
              </w:rPr>
              <w:t>投标人依法缴纳税收的相关材料（2025年</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月至投标文件提交截止时间内任意1个月的依法缴纳税收的凭据复印件；依法免税的供应商，必须提供相应文件证明其依法免税。从成立之日起到投标文件提交截止时间止不足要求月数的，只需提供从成立之日起的依法缴纳税收相应证明文件）；</w:t>
            </w:r>
            <w:r>
              <w:rPr>
                <w:rFonts w:hint="eastAsia" w:ascii="仿宋" w:hAnsi="仿宋" w:eastAsia="仿宋" w:cs="仿宋"/>
                <w:b/>
                <w:bCs/>
                <w:color w:val="auto"/>
                <w:sz w:val="24"/>
                <w:highlight w:val="none"/>
              </w:rPr>
              <w:t>（必须提供，否则作无效投标处理）</w:t>
            </w:r>
          </w:p>
          <w:p w14:paraId="3697FBC4">
            <w:pPr>
              <w:snapToGrid w:val="0"/>
              <w:spacing w:line="40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5</w:t>
            </w:r>
            <w:r>
              <w:rPr>
                <w:rFonts w:hint="eastAsia" w:ascii="仿宋" w:hAnsi="仿宋" w:eastAsia="仿宋" w:cs="仿宋"/>
                <w:b/>
                <w:color w:val="auto"/>
                <w:sz w:val="24"/>
                <w:highlight w:val="none"/>
              </w:rPr>
              <w:t>.</w:t>
            </w:r>
            <w:r>
              <w:rPr>
                <w:rFonts w:hint="eastAsia" w:ascii="仿宋" w:hAnsi="仿宋" w:eastAsia="仿宋" w:cs="仿宋"/>
                <w:color w:val="auto"/>
                <w:sz w:val="24"/>
                <w:highlight w:val="none"/>
              </w:rPr>
              <w:t>投标人依法缴纳社会保障资金的相关材料（</w:t>
            </w:r>
            <w:r>
              <w:rPr>
                <w:rFonts w:hint="eastAsia" w:ascii="仿宋" w:hAnsi="仿宋" w:eastAsia="仿宋" w:cs="仿宋"/>
                <w:color w:val="auto"/>
                <w:sz w:val="24"/>
                <w:highlight w:val="none"/>
                <w:lang w:eastAsia="zh-CN"/>
              </w:rPr>
              <w:t>2025年2月</w:t>
            </w:r>
            <w:r>
              <w:rPr>
                <w:rFonts w:hint="eastAsia" w:ascii="仿宋" w:hAnsi="仿宋" w:eastAsia="仿宋" w:cs="仿宋"/>
                <w:color w:val="auto"/>
                <w:sz w:val="24"/>
                <w:highlight w:val="none"/>
              </w:rPr>
              <w:t>至投标文件提交截止时间内任意1个月的依法缴纳社会保障资金的缴费凭证复印件；依法不需要缴纳社会保障资金的供应商，必须提供相应文件证明不需要缴纳社会保障资金。从成立之日起到</w:t>
            </w:r>
            <w:bookmarkStart w:id="64" w:name="_Hlk166139661"/>
            <w:r>
              <w:rPr>
                <w:rFonts w:hint="eastAsia" w:ascii="仿宋" w:hAnsi="仿宋" w:eastAsia="仿宋" w:cs="仿宋"/>
                <w:color w:val="auto"/>
                <w:sz w:val="24"/>
                <w:highlight w:val="none"/>
              </w:rPr>
              <w:t>投标文件提交截止时间</w:t>
            </w:r>
            <w:bookmarkEnd w:id="64"/>
            <w:r>
              <w:rPr>
                <w:rFonts w:hint="eastAsia" w:ascii="仿宋" w:hAnsi="仿宋" w:eastAsia="仿宋" w:cs="仿宋"/>
                <w:color w:val="auto"/>
                <w:sz w:val="24"/>
                <w:highlight w:val="none"/>
              </w:rPr>
              <w:t>止不足要求月数的只需提供从成立之日起的依法缴纳社会保障资金的相应证明文件）；（</w:t>
            </w:r>
            <w:r>
              <w:rPr>
                <w:rFonts w:hint="eastAsia" w:ascii="仿宋" w:hAnsi="仿宋" w:eastAsia="仿宋" w:cs="仿宋"/>
                <w:b/>
                <w:color w:val="auto"/>
                <w:sz w:val="24"/>
                <w:highlight w:val="none"/>
              </w:rPr>
              <w:t>必须提供，否则作无效投标处理</w:t>
            </w:r>
            <w:r>
              <w:rPr>
                <w:rFonts w:hint="eastAsia" w:ascii="仿宋" w:hAnsi="仿宋" w:eastAsia="仿宋" w:cs="仿宋"/>
                <w:color w:val="auto"/>
                <w:sz w:val="24"/>
                <w:highlight w:val="none"/>
              </w:rPr>
              <w:t>）</w:t>
            </w:r>
          </w:p>
          <w:p w14:paraId="3D85F0A5">
            <w:pPr>
              <w:snapToGrid w:val="0"/>
              <w:spacing w:line="40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6</w:t>
            </w:r>
            <w:r>
              <w:rPr>
                <w:rFonts w:hint="eastAsia" w:ascii="仿宋" w:hAnsi="仿宋" w:eastAsia="仿宋" w:cs="仿宋"/>
                <w:b/>
                <w:color w:val="auto"/>
                <w:sz w:val="24"/>
                <w:highlight w:val="none"/>
              </w:rPr>
              <w:t>.</w:t>
            </w:r>
            <w:r>
              <w:rPr>
                <w:rFonts w:hint="eastAsia" w:ascii="仿宋" w:hAnsi="仿宋" w:eastAsia="仿宋" w:cs="仿宋"/>
                <w:color w:val="auto"/>
                <w:sz w:val="24"/>
                <w:highlight w:val="none"/>
              </w:rPr>
              <w:t>投标人财务状况报告（应提供</w:t>
            </w:r>
            <w:r>
              <w:rPr>
                <w:rFonts w:hint="eastAsia" w:ascii="仿宋" w:hAnsi="仿宋" w:eastAsia="仿宋" w:cs="仿宋"/>
                <w:b/>
                <w:bCs/>
                <w:color w:val="auto"/>
                <w:sz w:val="24"/>
                <w:highlight w:val="none"/>
              </w:rPr>
              <w:t>2024年</w:t>
            </w:r>
            <w:r>
              <w:rPr>
                <w:rFonts w:hint="eastAsia" w:ascii="仿宋" w:hAnsi="仿宋" w:eastAsia="仿宋" w:cs="仿宋"/>
                <w:color w:val="auto"/>
                <w:sz w:val="24"/>
                <w:highlight w:val="none"/>
              </w:rPr>
              <w:t>的财务报表或经审计的财务报告或者银行出具的资信证明扫描件；供应商属于成立时间在规定年度之后的，需提供成立之日起至</w:t>
            </w:r>
            <w:r>
              <w:rPr>
                <w:rFonts w:hint="eastAsia" w:ascii="仿宋" w:hAnsi="仿宋" w:eastAsia="仿宋" w:cs="仿宋"/>
                <w:color w:val="auto"/>
                <w:sz w:val="24"/>
                <w:highlight w:val="none"/>
                <w:lang w:eastAsia="zh-CN"/>
              </w:rPr>
              <w:t>投标文件</w:t>
            </w:r>
            <w:r>
              <w:rPr>
                <w:rFonts w:hint="eastAsia" w:ascii="仿宋" w:hAnsi="仿宋" w:eastAsia="仿宋" w:cs="仿宋"/>
                <w:color w:val="auto"/>
                <w:sz w:val="24"/>
                <w:highlight w:val="none"/>
              </w:rPr>
              <w:t>提交截止时间前的月报表或银行出具的资信证明；资信证明应在有效期内，未注明有效期的，银行出具时间至</w:t>
            </w:r>
            <w:r>
              <w:rPr>
                <w:rFonts w:hint="eastAsia" w:ascii="仿宋" w:hAnsi="仿宋" w:eastAsia="仿宋" w:cs="仿宋"/>
                <w:color w:val="auto"/>
                <w:sz w:val="24"/>
                <w:highlight w:val="none"/>
                <w:lang w:eastAsia="zh-CN"/>
              </w:rPr>
              <w:t>投标文件</w:t>
            </w:r>
            <w:r>
              <w:rPr>
                <w:rFonts w:hint="eastAsia" w:ascii="仿宋" w:hAnsi="仿宋" w:eastAsia="仿宋" w:cs="仿宋"/>
                <w:color w:val="auto"/>
                <w:sz w:val="24"/>
                <w:highlight w:val="none"/>
              </w:rPr>
              <w:t>提交截止时间不超过一年。）；（</w:t>
            </w:r>
            <w:r>
              <w:rPr>
                <w:rFonts w:hint="eastAsia" w:ascii="仿宋" w:hAnsi="仿宋" w:eastAsia="仿宋" w:cs="仿宋"/>
                <w:b/>
                <w:color w:val="auto"/>
                <w:sz w:val="24"/>
                <w:highlight w:val="none"/>
              </w:rPr>
              <w:t>必须提供，否则作无效投标处理</w:t>
            </w:r>
            <w:r>
              <w:rPr>
                <w:rFonts w:hint="eastAsia" w:ascii="仿宋" w:hAnsi="仿宋" w:eastAsia="仿宋" w:cs="仿宋"/>
                <w:color w:val="auto"/>
                <w:sz w:val="24"/>
                <w:highlight w:val="none"/>
              </w:rPr>
              <w:t>）。</w:t>
            </w:r>
          </w:p>
          <w:p w14:paraId="7DEBC632">
            <w:pPr>
              <w:snapToGrid w:val="0"/>
              <w:spacing w:line="40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7</w:t>
            </w:r>
            <w:r>
              <w:rPr>
                <w:rFonts w:hint="eastAsia" w:ascii="仿宋" w:hAnsi="仿宋" w:eastAsia="仿宋" w:cs="仿宋"/>
                <w:b/>
                <w:color w:val="auto"/>
                <w:sz w:val="24"/>
                <w:highlight w:val="none"/>
              </w:rPr>
              <w:t>.</w:t>
            </w:r>
            <w:r>
              <w:rPr>
                <w:rFonts w:hint="eastAsia" w:ascii="仿宋" w:hAnsi="仿宋" w:eastAsia="仿宋" w:cs="仿宋"/>
                <w:color w:val="auto"/>
                <w:sz w:val="24"/>
                <w:highlight w:val="none"/>
              </w:rPr>
              <w:t>投标人直接控股、管理关系信息表（格式后附）；（</w:t>
            </w:r>
            <w:r>
              <w:rPr>
                <w:rFonts w:hint="eastAsia" w:ascii="仿宋" w:hAnsi="仿宋" w:eastAsia="仿宋" w:cs="仿宋"/>
                <w:b/>
                <w:color w:val="auto"/>
                <w:sz w:val="24"/>
                <w:highlight w:val="none"/>
              </w:rPr>
              <w:t>必须提供，否则作无效投标处理</w:t>
            </w:r>
            <w:r>
              <w:rPr>
                <w:rFonts w:hint="eastAsia" w:ascii="仿宋" w:hAnsi="仿宋" w:eastAsia="仿宋" w:cs="仿宋"/>
                <w:color w:val="auto"/>
                <w:sz w:val="24"/>
                <w:highlight w:val="none"/>
              </w:rPr>
              <w:t>）</w:t>
            </w:r>
          </w:p>
          <w:p w14:paraId="7105888B">
            <w:pPr>
              <w:snapToGrid w:val="0"/>
              <w:spacing w:line="400" w:lineRule="exact"/>
              <w:jc w:val="left"/>
              <w:rPr>
                <w:rFonts w:hint="eastAsia" w:ascii="仿宋" w:hAnsi="仿宋" w:eastAsia="仿宋" w:cs="仿宋"/>
                <w:color w:val="auto"/>
                <w:sz w:val="24"/>
                <w:highlight w:val="none"/>
              </w:rPr>
            </w:pPr>
            <w:r>
              <w:rPr>
                <w:rFonts w:hint="eastAsia" w:ascii="仿宋" w:hAnsi="仿宋" w:eastAsia="仿宋" w:cs="仿宋"/>
                <w:b/>
                <w:color w:val="auto"/>
                <w:sz w:val="24"/>
                <w:highlight w:val="none"/>
                <w:lang w:val="en-US" w:eastAsia="zh-CN"/>
              </w:rPr>
              <w:t>8</w:t>
            </w:r>
            <w:r>
              <w:rPr>
                <w:rFonts w:hint="eastAsia" w:ascii="仿宋" w:hAnsi="仿宋" w:eastAsia="仿宋" w:cs="仿宋"/>
                <w:b/>
                <w:color w:val="auto"/>
                <w:sz w:val="24"/>
                <w:highlight w:val="none"/>
              </w:rPr>
              <w:t>.</w:t>
            </w:r>
            <w:r>
              <w:rPr>
                <w:rFonts w:hint="eastAsia" w:ascii="仿宋" w:hAnsi="仿宋" w:eastAsia="仿宋" w:cs="仿宋"/>
                <w:color w:val="auto"/>
                <w:sz w:val="24"/>
                <w:highlight w:val="none"/>
              </w:rPr>
              <w:t>投标声明（格式后附）；（</w:t>
            </w:r>
            <w:r>
              <w:rPr>
                <w:rFonts w:hint="eastAsia" w:ascii="仿宋" w:hAnsi="仿宋" w:eastAsia="仿宋" w:cs="仿宋"/>
                <w:b/>
                <w:color w:val="auto"/>
                <w:sz w:val="24"/>
                <w:highlight w:val="none"/>
              </w:rPr>
              <w:t>必须提供，否则作无效投标处理</w:t>
            </w:r>
            <w:r>
              <w:rPr>
                <w:rFonts w:hint="eastAsia" w:ascii="仿宋" w:hAnsi="仿宋" w:eastAsia="仿宋" w:cs="仿宋"/>
                <w:color w:val="auto"/>
                <w:sz w:val="24"/>
                <w:highlight w:val="none"/>
              </w:rPr>
              <w:t>）</w:t>
            </w:r>
          </w:p>
          <w:p w14:paraId="5F46974E">
            <w:pPr>
              <w:snapToGrid w:val="0"/>
              <w:spacing w:line="40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9</w:t>
            </w:r>
            <w:r>
              <w:rPr>
                <w:rFonts w:hint="eastAsia" w:ascii="仿宋" w:hAnsi="仿宋" w:eastAsia="仿宋" w:cs="仿宋"/>
                <w:b/>
                <w:color w:val="auto"/>
                <w:sz w:val="24"/>
                <w:highlight w:val="none"/>
              </w:rPr>
              <w:t>.</w:t>
            </w:r>
            <w:r>
              <w:rPr>
                <w:rFonts w:hint="eastAsia" w:ascii="仿宋" w:hAnsi="仿宋" w:eastAsia="仿宋" w:cs="仿宋"/>
                <w:color w:val="auto"/>
                <w:sz w:val="24"/>
                <w:highlight w:val="none"/>
              </w:rPr>
              <w:t>除招标文件规定必须提供以外，投标人认为需要提供的其他证明材料。</w:t>
            </w:r>
          </w:p>
          <w:p w14:paraId="72065BBA">
            <w:pPr>
              <w:snapToGrid w:val="0"/>
              <w:spacing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注：</w:t>
            </w:r>
          </w:p>
          <w:p w14:paraId="153E24F2">
            <w:pPr>
              <w:snapToGrid w:val="0"/>
              <w:spacing w:line="400" w:lineRule="exact"/>
              <w:jc w:val="left"/>
              <w:rPr>
                <w:rFonts w:hint="eastAsia" w:ascii="仿宋" w:hAnsi="仿宋" w:eastAsia="仿宋" w:cs="仿宋"/>
                <w:b/>
                <w:color w:val="auto"/>
                <w:sz w:val="24"/>
                <w:highlight w:val="none"/>
              </w:rPr>
            </w:pPr>
            <w:r>
              <w:rPr>
                <w:rFonts w:hint="eastAsia" w:ascii="仿宋" w:hAnsi="仿宋" w:eastAsia="仿宋" w:cs="仿宋"/>
                <w:b/>
                <w:bCs/>
                <w:color w:val="auto"/>
                <w:sz w:val="24"/>
                <w:highlight w:val="none"/>
              </w:rPr>
              <w:t>1.</w:t>
            </w:r>
            <w:r>
              <w:rPr>
                <w:rFonts w:hint="eastAsia" w:ascii="仿宋" w:hAnsi="仿宋" w:eastAsia="仿宋" w:cs="仿宋"/>
                <w:b/>
                <w:color w:val="auto"/>
                <w:sz w:val="24"/>
                <w:highlight w:val="none"/>
              </w:rPr>
              <w:t xml:space="preserve"> 以上标明“必须提供”的材料，必须加盖投标人公章（或电子签章）；必须提供的材料在第六章“投标文件格式”中有要求法定代表人或委托代理人签字的，必须由法定代表人或委托代理人签字</w:t>
            </w:r>
            <w:r>
              <w:rPr>
                <w:rFonts w:hint="eastAsia" w:ascii="仿宋" w:hAnsi="仿宋" w:eastAsia="仿宋" w:cs="仿宋"/>
                <w:b/>
                <w:bCs/>
                <w:color w:val="auto"/>
                <w:sz w:val="24"/>
                <w:highlight w:val="none"/>
              </w:rPr>
              <w:t>（或者电子签名）</w:t>
            </w:r>
            <w:r>
              <w:rPr>
                <w:rFonts w:hint="eastAsia" w:ascii="仿宋" w:hAnsi="仿宋" w:eastAsia="仿宋" w:cs="仿宋"/>
                <w:b/>
                <w:color w:val="auto"/>
                <w:sz w:val="24"/>
                <w:highlight w:val="none"/>
              </w:rPr>
              <w:t>，否则按无效投标处理。</w:t>
            </w:r>
          </w:p>
          <w:p w14:paraId="4C1900A3">
            <w:pPr>
              <w:snapToGrid w:val="0"/>
              <w:spacing w:line="40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2.投标声明必须由法定代表人</w:t>
            </w:r>
            <w:r>
              <w:rPr>
                <w:rFonts w:hint="eastAsia" w:ascii="仿宋" w:hAnsi="仿宋" w:eastAsia="仿宋" w:cs="仿宋"/>
                <w:b/>
                <w:bCs/>
                <w:color w:val="auto"/>
                <w:sz w:val="24"/>
                <w:highlight w:val="none"/>
              </w:rPr>
              <w:t>或委托代理人</w:t>
            </w:r>
            <w:r>
              <w:rPr>
                <w:rFonts w:hint="eastAsia" w:ascii="仿宋" w:hAnsi="仿宋" w:eastAsia="仿宋" w:cs="仿宋"/>
                <w:b/>
                <w:color w:val="auto"/>
                <w:sz w:val="24"/>
                <w:highlight w:val="none"/>
              </w:rPr>
              <w:t>在规定签章处签字</w:t>
            </w:r>
            <w:r>
              <w:rPr>
                <w:rFonts w:hint="eastAsia" w:ascii="仿宋" w:hAnsi="仿宋" w:eastAsia="仿宋" w:cs="仿宋"/>
                <w:b/>
                <w:bCs/>
                <w:color w:val="auto"/>
                <w:sz w:val="24"/>
                <w:highlight w:val="none"/>
              </w:rPr>
              <w:t>（或者电子签名）</w:t>
            </w:r>
            <w:r>
              <w:rPr>
                <w:rFonts w:hint="eastAsia" w:ascii="仿宋" w:hAnsi="仿宋" w:eastAsia="仿宋" w:cs="仿宋"/>
                <w:b/>
                <w:color w:val="auto"/>
                <w:sz w:val="24"/>
                <w:highlight w:val="none"/>
              </w:rPr>
              <w:t>并加盖投标人公章（或电子签章），否则作无效投标处理。</w:t>
            </w:r>
          </w:p>
          <w:p w14:paraId="1C374D67">
            <w:pPr>
              <w:snapToGrid w:val="0"/>
              <w:spacing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3.投标人直接控股、管理关系信息表必须由法定代表人或者委托代理人在规定签章处签字（或者电子签名）并加盖投标人</w:t>
            </w:r>
            <w:r>
              <w:rPr>
                <w:rFonts w:hint="eastAsia" w:ascii="仿宋" w:hAnsi="仿宋" w:eastAsia="仿宋" w:cs="仿宋"/>
                <w:b/>
                <w:color w:val="auto"/>
                <w:sz w:val="24"/>
                <w:highlight w:val="none"/>
              </w:rPr>
              <w:t>公章（或电子签章）</w:t>
            </w:r>
            <w:r>
              <w:rPr>
                <w:rFonts w:hint="eastAsia" w:ascii="仿宋" w:hAnsi="仿宋" w:eastAsia="仿宋" w:cs="仿宋"/>
                <w:b/>
                <w:bCs/>
                <w:color w:val="auto"/>
                <w:sz w:val="24"/>
                <w:highlight w:val="none"/>
              </w:rPr>
              <w:t>，否则</w:t>
            </w:r>
            <w:r>
              <w:rPr>
                <w:rFonts w:hint="eastAsia" w:ascii="仿宋" w:hAnsi="仿宋" w:eastAsia="仿宋" w:cs="仿宋"/>
                <w:b/>
                <w:color w:val="auto"/>
                <w:sz w:val="24"/>
                <w:highlight w:val="none"/>
              </w:rPr>
              <w:t>作无效投标处理</w:t>
            </w:r>
            <w:r>
              <w:rPr>
                <w:rFonts w:hint="eastAsia" w:ascii="仿宋" w:hAnsi="仿宋" w:eastAsia="仿宋" w:cs="仿宋"/>
                <w:b/>
                <w:bCs/>
                <w:color w:val="auto"/>
                <w:sz w:val="24"/>
                <w:highlight w:val="none"/>
              </w:rPr>
              <w:t>。</w:t>
            </w:r>
          </w:p>
        </w:tc>
      </w:tr>
      <w:tr w14:paraId="0EFFF8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vMerge w:val="continue"/>
            <w:tcBorders>
              <w:left w:val="single" w:color="auto" w:sz="4" w:space="0"/>
              <w:right w:val="single" w:color="auto" w:sz="4" w:space="0"/>
            </w:tcBorders>
            <w:vAlign w:val="center"/>
          </w:tcPr>
          <w:p w14:paraId="0F621795">
            <w:pPr>
              <w:spacing w:line="400" w:lineRule="exact"/>
              <w:ind w:firstLine="480" w:firstLineChars="200"/>
              <w:rPr>
                <w:rFonts w:hint="eastAsia" w:ascii="仿宋" w:hAnsi="仿宋" w:eastAsia="仿宋" w:cs="仿宋"/>
                <w:color w:val="auto"/>
                <w:sz w:val="24"/>
                <w:highlight w:val="none"/>
              </w:rPr>
            </w:pPr>
          </w:p>
        </w:tc>
        <w:tc>
          <w:tcPr>
            <w:tcW w:w="8606" w:type="dxa"/>
            <w:tcBorders>
              <w:top w:val="single" w:color="auto" w:sz="4" w:space="0"/>
              <w:left w:val="single" w:color="auto" w:sz="4" w:space="0"/>
              <w:bottom w:val="single" w:color="auto" w:sz="4" w:space="0"/>
              <w:right w:val="single" w:color="auto" w:sz="4" w:space="0"/>
            </w:tcBorders>
            <w:vAlign w:val="center"/>
          </w:tcPr>
          <w:p w14:paraId="4F755224">
            <w:pPr>
              <w:snapToGrid w:val="0"/>
              <w:spacing w:line="40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商务文件：</w:t>
            </w:r>
          </w:p>
          <w:p w14:paraId="4E49BDD6">
            <w:pPr>
              <w:snapToGrid w:val="0"/>
              <w:spacing w:line="400" w:lineRule="exact"/>
              <w:jc w:val="left"/>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1.</w:t>
            </w:r>
            <w:r>
              <w:rPr>
                <w:rFonts w:hint="eastAsia" w:ascii="仿宋" w:hAnsi="仿宋" w:eastAsia="仿宋" w:cs="仿宋"/>
                <w:color w:val="auto"/>
                <w:sz w:val="24"/>
                <w:highlight w:val="none"/>
              </w:rPr>
              <w:t>无串通投标行为的承诺函（格式后附）；（</w:t>
            </w:r>
            <w:r>
              <w:rPr>
                <w:rFonts w:hint="eastAsia" w:ascii="仿宋" w:hAnsi="仿宋" w:eastAsia="仿宋" w:cs="仿宋"/>
                <w:b/>
                <w:color w:val="auto"/>
                <w:sz w:val="24"/>
                <w:highlight w:val="none"/>
              </w:rPr>
              <w:t>必须提供，否则作无效投标处理</w:t>
            </w:r>
            <w:r>
              <w:rPr>
                <w:rFonts w:hint="eastAsia" w:ascii="仿宋" w:hAnsi="仿宋" w:eastAsia="仿宋" w:cs="仿宋"/>
                <w:color w:val="auto"/>
                <w:sz w:val="24"/>
                <w:highlight w:val="none"/>
              </w:rPr>
              <w:t>）</w:t>
            </w:r>
          </w:p>
          <w:p w14:paraId="60C057C3">
            <w:pPr>
              <w:snapToGrid w:val="0"/>
              <w:spacing w:line="400" w:lineRule="exact"/>
              <w:jc w:val="left"/>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2.</w:t>
            </w:r>
            <w:r>
              <w:rPr>
                <w:rFonts w:hint="eastAsia" w:ascii="仿宋" w:hAnsi="仿宋" w:eastAsia="仿宋" w:cs="仿宋"/>
                <w:color w:val="auto"/>
                <w:sz w:val="24"/>
                <w:highlight w:val="none"/>
              </w:rPr>
              <w:t>投标函（格式后附）；（</w:t>
            </w:r>
            <w:r>
              <w:rPr>
                <w:rFonts w:hint="eastAsia" w:ascii="仿宋" w:hAnsi="仿宋" w:eastAsia="仿宋" w:cs="仿宋"/>
                <w:b/>
                <w:color w:val="auto"/>
                <w:sz w:val="24"/>
                <w:highlight w:val="none"/>
              </w:rPr>
              <w:t>必须提供，否则作无效投标处理</w:t>
            </w:r>
            <w:r>
              <w:rPr>
                <w:rFonts w:hint="eastAsia" w:ascii="仿宋" w:hAnsi="仿宋" w:eastAsia="仿宋" w:cs="仿宋"/>
                <w:color w:val="auto"/>
                <w:sz w:val="24"/>
                <w:highlight w:val="none"/>
              </w:rPr>
              <w:t>）</w:t>
            </w:r>
          </w:p>
          <w:p w14:paraId="53958E9A">
            <w:pPr>
              <w:snapToGrid w:val="0"/>
              <w:spacing w:line="400" w:lineRule="exact"/>
              <w:jc w:val="left"/>
              <w:rPr>
                <w:rFonts w:hint="eastAsia" w:ascii="仿宋" w:hAnsi="仿宋" w:eastAsia="仿宋" w:cs="仿宋"/>
                <w:b/>
                <w:color w:val="auto"/>
                <w:sz w:val="24"/>
                <w:highlight w:val="none"/>
              </w:rPr>
            </w:pPr>
            <w:r>
              <w:rPr>
                <w:rFonts w:hint="eastAsia" w:ascii="仿宋" w:hAnsi="仿宋" w:eastAsia="仿宋" w:cs="仿宋"/>
                <w:b/>
                <w:bCs/>
                <w:color w:val="auto"/>
                <w:sz w:val="24"/>
                <w:highlight w:val="none"/>
              </w:rPr>
              <w:t>3.</w:t>
            </w:r>
            <w:r>
              <w:rPr>
                <w:rFonts w:hint="eastAsia" w:ascii="仿宋" w:hAnsi="仿宋" w:eastAsia="仿宋" w:cs="仿宋"/>
                <w:color w:val="auto"/>
                <w:sz w:val="24"/>
                <w:highlight w:val="none"/>
              </w:rPr>
              <w:t>投标保证金提交凭证；</w:t>
            </w:r>
            <w:r>
              <w:rPr>
                <w:rFonts w:hint="eastAsia" w:ascii="仿宋" w:hAnsi="仿宋" w:eastAsia="仿宋" w:cs="仿宋"/>
                <w:b/>
                <w:color w:val="auto"/>
                <w:sz w:val="24"/>
                <w:highlight w:val="none"/>
              </w:rPr>
              <w:t>（必须提供，否则作无效投标处理）</w:t>
            </w:r>
          </w:p>
          <w:p w14:paraId="16DD24BD">
            <w:pPr>
              <w:snapToGrid w:val="0"/>
              <w:spacing w:line="400" w:lineRule="exact"/>
              <w:jc w:val="left"/>
              <w:rPr>
                <w:rFonts w:hint="eastAsia" w:ascii="仿宋" w:hAnsi="仿宋" w:eastAsia="仿宋" w:cs="仿宋"/>
                <w:b/>
                <w:color w:val="auto"/>
                <w:sz w:val="24"/>
                <w:highlight w:val="none"/>
              </w:rPr>
            </w:pPr>
            <w:r>
              <w:rPr>
                <w:rFonts w:hint="eastAsia" w:ascii="仿宋" w:hAnsi="仿宋" w:eastAsia="仿宋" w:cs="仿宋"/>
                <w:b/>
                <w:bCs/>
                <w:color w:val="auto"/>
                <w:sz w:val="24"/>
                <w:highlight w:val="none"/>
              </w:rPr>
              <w:t>4.</w:t>
            </w:r>
            <w:r>
              <w:rPr>
                <w:rFonts w:hint="eastAsia" w:ascii="仿宋" w:hAnsi="仿宋" w:eastAsia="仿宋" w:cs="仿宋"/>
                <w:color w:val="auto"/>
                <w:sz w:val="24"/>
                <w:highlight w:val="none"/>
              </w:rPr>
              <w:t>法定代表人身份证明及法定代表人有效身份证正反面复印件（格式后附）；（</w:t>
            </w:r>
            <w:r>
              <w:rPr>
                <w:rFonts w:hint="eastAsia" w:ascii="仿宋" w:hAnsi="仿宋" w:eastAsia="仿宋" w:cs="仿宋"/>
                <w:b/>
                <w:bCs/>
                <w:color w:val="auto"/>
                <w:sz w:val="24"/>
                <w:highlight w:val="none"/>
              </w:rPr>
              <w:t>除自然人投标外</w:t>
            </w:r>
            <w:r>
              <w:rPr>
                <w:rFonts w:hint="eastAsia" w:ascii="仿宋" w:hAnsi="仿宋" w:eastAsia="仿宋" w:cs="仿宋"/>
                <w:b/>
                <w:color w:val="auto"/>
                <w:sz w:val="24"/>
                <w:highlight w:val="none"/>
              </w:rPr>
              <w:t>必须提供，否则作无效投标处理</w:t>
            </w:r>
            <w:r>
              <w:rPr>
                <w:rFonts w:hint="eastAsia" w:ascii="仿宋" w:hAnsi="仿宋" w:eastAsia="仿宋" w:cs="仿宋"/>
                <w:color w:val="auto"/>
                <w:sz w:val="24"/>
                <w:highlight w:val="none"/>
              </w:rPr>
              <w:t>）</w:t>
            </w:r>
          </w:p>
          <w:p w14:paraId="29825EE0">
            <w:pPr>
              <w:snapToGrid w:val="0"/>
              <w:spacing w:line="400" w:lineRule="exact"/>
              <w:jc w:val="left"/>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5.</w:t>
            </w:r>
            <w:r>
              <w:rPr>
                <w:rFonts w:hint="eastAsia" w:ascii="仿宋" w:hAnsi="仿宋" w:eastAsia="仿宋" w:cs="仿宋"/>
                <w:color w:val="auto"/>
                <w:sz w:val="24"/>
                <w:highlight w:val="none"/>
              </w:rPr>
              <w:t>法定代表人授权委托书及委托代理人有效身份证正反面复印件（格式后附）；（</w:t>
            </w:r>
            <w:r>
              <w:rPr>
                <w:rFonts w:hint="eastAsia" w:ascii="仿宋" w:hAnsi="仿宋" w:eastAsia="仿宋" w:cs="仿宋"/>
                <w:b/>
                <w:color w:val="auto"/>
                <w:sz w:val="24"/>
                <w:highlight w:val="none"/>
              </w:rPr>
              <w:t>委托时必须提供，否则作无效投标处理</w:t>
            </w:r>
            <w:r>
              <w:rPr>
                <w:rFonts w:hint="eastAsia" w:ascii="仿宋" w:hAnsi="仿宋" w:eastAsia="仿宋" w:cs="仿宋"/>
                <w:color w:val="auto"/>
                <w:sz w:val="24"/>
                <w:highlight w:val="none"/>
              </w:rPr>
              <w:t>）</w:t>
            </w:r>
          </w:p>
          <w:p w14:paraId="46322C04">
            <w:pPr>
              <w:snapToGrid w:val="0"/>
              <w:spacing w:line="400" w:lineRule="exact"/>
              <w:jc w:val="left"/>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6.</w:t>
            </w:r>
            <w:r>
              <w:rPr>
                <w:rFonts w:hint="eastAsia" w:ascii="仿宋" w:hAnsi="仿宋" w:eastAsia="仿宋" w:cs="仿宋"/>
                <w:color w:val="auto"/>
                <w:sz w:val="24"/>
                <w:highlight w:val="none"/>
              </w:rPr>
              <w:t>商务条款偏离表（格式后附）；（</w:t>
            </w:r>
            <w:r>
              <w:rPr>
                <w:rFonts w:hint="eastAsia" w:ascii="仿宋" w:hAnsi="仿宋" w:eastAsia="仿宋" w:cs="仿宋"/>
                <w:b/>
                <w:color w:val="auto"/>
                <w:sz w:val="24"/>
                <w:highlight w:val="none"/>
              </w:rPr>
              <w:t>必须提供，否则作无效投标处理</w:t>
            </w:r>
            <w:r>
              <w:rPr>
                <w:rFonts w:hint="eastAsia" w:ascii="仿宋" w:hAnsi="仿宋" w:eastAsia="仿宋" w:cs="仿宋"/>
                <w:color w:val="auto"/>
                <w:sz w:val="24"/>
                <w:highlight w:val="none"/>
              </w:rPr>
              <w:t>）</w:t>
            </w:r>
          </w:p>
          <w:p w14:paraId="347301A5">
            <w:pPr>
              <w:snapToGrid w:val="0"/>
              <w:spacing w:line="400" w:lineRule="exact"/>
              <w:jc w:val="left"/>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7.</w:t>
            </w:r>
            <w:r>
              <w:rPr>
                <w:rFonts w:hint="eastAsia" w:ascii="仿宋" w:hAnsi="仿宋" w:eastAsia="仿宋" w:cs="仿宋"/>
                <w:color w:val="auto"/>
                <w:sz w:val="24"/>
                <w:highlight w:val="none"/>
              </w:rPr>
              <w:t>投标人情况介绍（格式自拟）；</w:t>
            </w:r>
          </w:p>
          <w:p w14:paraId="3E64D4AA">
            <w:pPr>
              <w:snapToGrid w:val="0"/>
              <w:spacing w:line="400" w:lineRule="exact"/>
              <w:jc w:val="left"/>
              <w:rPr>
                <w:rFonts w:hint="eastAsia" w:ascii="仿宋" w:hAnsi="仿宋" w:eastAsia="仿宋" w:cs="仿宋"/>
                <w:b/>
                <w:color w:val="auto"/>
                <w:sz w:val="24"/>
                <w:highlight w:val="none"/>
              </w:rPr>
            </w:pPr>
            <w:r>
              <w:rPr>
                <w:rFonts w:hint="eastAsia" w:ascii="仿宋" w:hAnsi="仿宋" w:eastAsia="仿宋" w:cs="仿宋"/>
                <w:b/>
                <w:bCs/>
                <w:color w:val="auto"/>
                <w:sz w:val="24"/>
                <w:highlight w:val="none"/>
              </w:rPr>
              <w:t>8.</w:t>
            </w:r>
            <w:r>
              <w:rPr>
                <w:rFonts w:hint="eastAsia" w:ascii="仿宋" w:hAnsi="仿宋" w:eastAsia="仿宋" w:cs="仿宋"/>
                <w:color w:val="auto"/>
                <w:sz w:val="24"/>
                <w:highlight w:val="none"/>
              </w:rPr>
              <w:t>中小企业声明函（格式后附）；（如有，请提供）</w:t>
            </w:r>
            <w:r>
              <w:rPr>
                <w:rFonts w:hint="eastAsia" w:ascii="仿宋" w:hAnsi="仿宋" w:eastAsia="仿宋" w:cs="仿宋"/>
                <w:b/>
                <w:color w:val="auto"/>
                <w:sz w:val="24"/>
                <w:highlight w:val="none"/>
              </w:rPr>
              <w:t xml:space="preserve"> </w:t>
            </w:r>
          </w:p>
          <w:p w14:paraId="1581E931">
            <w:pPr>
              <w:snapToGrid w:val="0"/>
              <w:spacing w:line="400" w:lineRule="exact"/>
              <w:jc w:val="left"/>
              <w:rPr>
                <w:rFonts w:hint="eastAsia" w:ascii="仿宋" w:hAnsi="仿宋" w:eastAsia="仿宋" w:cs="仿宋"/>
                <w:b/>
                <w:bCs/>
                <w:color w:val="auto"/>
                <w:sz w:val="24"/>
                <w:highlight w:val="none"/>
              </w:rPr>
            </w:pPr>
            <w:r>
              <w:rPr>
                <w:rFonts w:hint="eastAsia" w:ascii="仿宋" w:hAnsi="仿宋" w:eastAsia="仿宋" w:cs="仿宋"/>
                <w:b/>
                <w:color w:val="auto"/>
                <w:sz w:val="24"/>
                <w:highlight w:val="none"/>
              </w:rPr>
              <w:t>9.</w:t>
            </w:r>
            <w:r>
              <w:rPr>
                <w:rFonts w:hint="eastAsia" w:ascii="仿宋" w:hAnsi="仿宋" w:eastAsia="仿宋" w:cs="仿宋"/>
                <w:color w:val="auto"/>
                <w:sz w:val="24"/>
                <w:highlight w:val="none"/>
              </w:rPr>
              <w:t>除招标文件规定必须提供以外，投标人认为需要提供的其他证明材料（格式自拟）。（投标人根据“第二章 采购需求”及“第四章 评标方法及评标标准”提供有关证明材料）。</w:t>
            </w:r>
          </w:p>
          <w:p w14:paraId="66847FC9">
            <w:pPr>
              <w:snapToGrid w:val="0"/>
              <w:spacing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注：</w:t>
            </w:r>
          </w:p>
          <w:p w14:paraId="29B69209">
            <w:pPr>
              <w:snapToGrid w:val="0"/>
              <w:spacing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1.投标函必须由法定代表人或者委托代理人在规定签章处逐一签字（或者电子签名）并加盖投标人</w:t>
            </w:r>
            <w:r>
              <w:rPr>
                <w:rFonts w:hint="eastAsia" w:ascii="仿宋" w:hAnsi="仿宋" w:eastAsia="仿宋" w:cs="仿宋"/>
                <w:b/>
                <w:color w:val="auto"/>
                <w:sz w:val="24"/>
                <w:highlight w:val="none"/>
              </w:rPr>
              <w:t>公章（或电子签章）</w:t>
            </w:r>
            <w:r>
              <w:rPr>
                <w:rFonts w:hint="eastAsia" w:ascii="仿宋" w:hAnsi="仿宋" w:eastAsia="仿宋" w:cs="仿宋"/>
                <w:b/>
                <w:bCs/>
                <w:color w:val="auto"/>
                <w:sz w:val="24"/>
                <w:highlight w:val="none"/>
              </w:rPr>
              <w:t>，否则</w:t>
            </w:r>
            <w:r>
              <w:rPr>
                <w:rFonts w:hint="eastAsia" w:ascii="仿宋" w:hAnsi="仿宋" w:eastAsia="仿宋" w:cs="仿宋"/>
                <w:b/>
                <w:color w:val="auto"/>
                <w:sz w:val="24"/>
                <w:highlight w:val="none"/>
              </w:rPr>
              <w:t>作无效投标处理</w:t>
            </w:r>
            <w:r>
              <w:rPr>
                <w:rFonts w:hint="eastAsia" w:ascii="仿宋" w:hAnsi="仿宋" w:eastAsia="仿宋" w:cs="仿宋"/>
                <w:b/>
                <w:bCs/>
                <w:color w:val="auto"/>
                <w:sz w:val="24"/>
                <w:highlight w:val="none"/>
              </w:rPr>
              <w:t>。</w:t>
            </w:r>
          </w:p>
          <w:p w14:paraId="46787C3E">
            <w:pPr>
              <w:snapToGrid w:val="0"/>
              <w:spacing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2.法定代表人授权委托书必须由法定代表人及委托代理人签字（或者电子签名）并加盖投标人</w:t>
            </w:r>
            <w:r>
              <w:rPr>
                <w:rFonts w:hint="eastAsia" w:ascii="仿宋" w:hAnsi="仿宋" w:eastAsia="仿宋" w:cs="仿宋"/>
                <w:b/>
                <w:color w:val="auto"/>
                <w:sz w:val="24"/>
                <w:highlight w:val="none"/>
              </w:rPr>
              <w:t>公章（或电子签章）</w:t>
            </w:r>
            <w:r>
              <w:rPr>
                <w:rFonts w:hint="eastAsia" w:ascii="仿宋" w:hAnsi="仿宋" w:eastAsia="仿宋" w:cs="仿宋"/>
                <w:b/>
                <w:bCs/>
                <w:color w:val="auto"/>
                <w:sz w:val="24"/>
                <w:highlight w:val="none"/>
              </w:rPr>
              <w:t>，否则作无效投标处理。</w:t>
            </w:r>
          </w:p>
          <w:p w14:paraId="602F9CAF">
            <w:pPr>
              <w:snapToGrid w:val="0"/>
              <w:spacing w:line="400" w:lineRule="exact"/>
              <w:jc w:val="left"/>
              <w:rPr>
                <w:rFonts w:hint="eastAsia" w:ascii="仿宋" w:hAnsi="仿宋" w:eastAsia="仿宋" w:cs="仿宋"/>
                <w:b/>
                <w:color w:val="auto"/>
                <w:sz w:val="24"/>
                <w:highlight w:val="none"/>
              </w:rPr>
            </w:pPr>
            <w:r>
              <w:rPr>
                <w:rFonts w:hint="eastAsia" w:ascii="仿宋" w:hAnsi="仿宋" w:eastAsia="仿宋" w:cs="仿宋"/>
                <w:b/>
                <w:bCs/>
                <w:color w:val="auto"/>
                <w:sz w:val="24"/>
                <w:highlight w:val="none"/>
              </w:rPr>
              <w:t>3.以上标明“必须提供”的材料属于复印件的，必须加盖投标人</w:t>
            </w:r>
            <w:r>
              <w:rPr>
                <w:rFonts w:hint="eastAsia" w:ascii="仿宋" w:hAnsi="仿宋" w:eastAsia="仿宋" w:cs="仿宋"/>
                <w:b/>
                <w:color w:val="auto"/>
                <w:sz w:val="24"/>
                <w:highlight w:val="none"/>
              </w:rPr>
              <w:t>公章（或电子签章）</w:t>
            </w:r>
            <w:r>
              <w:rPr>
                <w:rFonts w:hint="eastAsia" w:ascii="仿宋" w:hAnsi="仿宋" w:eastAsia="仿宋" w:cs="仿宋"/>
                <w:b/>
                <w:bCs/>
                <w:color w:val="auto"/>
                <w:sz w:val="24"/>
                <w:highlight w:val="none"/>
              </w:rPr>
              <w:t>，否则</w:t>
            </w:r>
            <w:r>
              <w:rPr>
                <w:rFonts w:hint="eastAsia" w:ascii="仿宋" w:hAnsi="仿宋" w:eastAsia="仿宋" w:cs="仿宋"/>
                <w:b/>
                <w:color w:val="auto"/>
                <w:sz w:val="24"/>
                <w:highlight w:val="none"/>
              </w:rPr>
              <w:t>作无效投标处理</w:t>
            </w:r>
            <w:r>
              <w:rPr>
                <w:rFonts w:hint="eastAsia" w:ascii="仿宋" w:hAnsi="仿宋" w:eastAsia="仿宋" w:cs="仿宋"/>
                <w:b/>
                <w:bCs/>
                <w:color w:val="auto"/>
                <w:sz w:val="24"/>
                <w:highlight w:val="none"/>
              </w:rPr>
              <w:t>。</w:t>
            </w:r>
          </w:p>
        </w:tc>
      </w:tr>
      <w:tr w14:paraId="0AA7FB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vMerge w:val="continue"/>
            <w:tcBorders>
              <w:left w:val="single" w:color="auto" w:sz="4" w:space="0"/>
              <w:right w:val="single" w:color="auto" w:sz="4" w:space="0"/>
            </w:tcBorders>
            <w:vAlign w:val="center"/>
          </w:tcPr>
          <w:p w14:paraId="21DE0A27">
            <w:pPr>
              <w:spacing w:line="400" w:lineRule="exact"/>
              <w:ind w:firstLine="480" w:firstLineChars="200"/>
              <w:rPr>
                <w:rFonts w:hint="eastAsia" w:ascii="仿宋" w:hAnsi="仿宋" w:eastAsia="仿宋" w:cs="仿宋"/>
                <w:color w:val="auto"/>
                <w:sz w:val="24"/>
                <w:highlight w:val="none"/>
              </w:rPr>
            </w:pPr>
            <w:bookmarkStart w:id="65" w:name="_13.3"/>
            <w:bookmarkEnd w:id="65"/>
          </w:p>
        </w:tc>
        <w:tc>
          <w:tcPr>
            <w:tcW w:w="8606" w:type="dxa"/>
            <w:tcBorders>
              <w:top w:val="single" w:color="auto" w:sz="4" w:space="0"/>
              <w:left w:val="single" w:color="auto" w:sz="4" w:space="0"/>
              <w:bottom w:val="single" w:color="auto" w:sz="4" w:space="0"/>
              <w:right w:val="single" w:color="auto" w:sz="4" w:space="0"/>
            </w:tcBorders>
            <w:vAlign w:val="center"/>
          </w:tcPr>
          <w:p w14:paraId="0BB39A29">
            <w:pPr>
              <w:snapToGrid w:val="0"/>
              <w:spacing w:line="40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技术文件：</w:t>
            </w:r>
          </w:p>
          <w:p w14:paraId="69E7D72E">
            <w:pPr>
              <w:snapToGrid w:val="0"/>
              <w:spacing w:line="400" w:lineRule="exact"/>
              <w:jc w:val="left"/>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1.</w:t>
            </w:r>
            <w:r>
              <w:rPr>
                <w:rFonts w:hint="eastAsia" w:ascii="仿宋" w:hAnsi="仿宋" w:eastAsia="仿宋" w:cs="仿宋"/>
                <w:color w:val="auto"/>
                <w:sz w:val="24"/>
                <w:highlight w:val="none"/>
              </w:rPr>
              <w:t>技术偏离表（格式后附）；（</w:t>
            </w:r>
            <w:r>
              <w:rPr>
                <w:rFonts w:hint="eastAsia" w:ascii="仿宋" w:hAnsi="仿宋" w:eastAsia="仿宋" w:cs="仿宋"/>
                <w:b/>
                <w:color w:val="auto"/>
                <w:sz w:val="24"/>
                <w:highlight w:val="none"/>
              </w:rPr>
              <w:t>必须提供，否则作无效投标处理</w:t>
            </w:r>
            <w:r>
              <w:rPr>
                <w:rFonts w:hint="eastAsia" w:ascii="仿宋" w:hAnsi="仿宋" w:eastAsia="仿宋" w:cs="仿宋"/>
                <w:color w:val="auto"/>
                <w:sz w:val="24"/>
                <w:highlight w:val="none"/>
              </w:rPr>
              <w:t>）</w:t>
            </w:r>
          </w:p>
          <w:p w14:paraId="441677A7">
            <w:pPr>
              <w:snapToGrid w:val="0"/>
              <w:spacing w:line="400" w:lineRule="exact"/>
              <w:jc w:val="left"/>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2.</w:t>
            </w:r>
            <w:r>
              <w:rPr>
                <w:rFonts w:hint="eastAsia" w:ascii="仿宋" w:hAnsi="仿宋" w:eastAsia="仿宋" w:cs="仿宋"/>
                <w:color w:val="auto"/>
                <w:sz w:val="24"/>
                <w:highlight w:val="none"/>
              </w:rPr>
              <w:t>设备性能配置清单（格式后附）；（</w:t>
            </w:r>
            <w:r>
              <w:rPr>
                <w:rFonts w:hint="eastAsia" w:ascii="仿宋" w:hAnsi="仿宋" w:eastAsia="仿宋" w:cs="仿宋"/>
                <w:b/>
                <w:color w:val="auto"/>
                <w:sz w:val="24"/>
                <w:highlight w:val="none"/>
              </w:rPr>
              <w:t>必须提供，否则作无效投标处理</w:t>
            </w:r>
            <w:r>
              <w:rPr>
                <w:rFonts w:hint="eastAsia" w:ascii="仿宋" w:hAnsi="仿宋" w:eastAsia="仿宋" w:cs="仿宋"/>
                <w:color w:val="auto"/>
                <w:sz w:val="24"/>
                <w:highlight w:val="none"/>
              </w:rPr>
              <w:t>）</w:t>
            </w:r>
          </w:p>
          <w:p w14:paraId="57E99BA0">
            <w:pPr>
              <w:snapToGrid w:val="0"/>
              <w:spacing w:line="400" w:lineRule="exact"/>
              <w:jc w:val="left"/>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3.</w:t>
            </w:r>
            <w:r>
              <w:rPr>
                <w:rFonts w:hint="eastAsia" w:ascii="仿宋" w:hAnsi="仿宋" w:eastAsia="仿宋" w:cs="仿宋"/>
                <w:color w:val="auto"/>
                <w:sz w:val="24"/>
                <w:highlight w:val="none"/>
              </w:rPr>
              <w:t xml:space="preserve">售后服务承诺（格式自拟）； </w:t>
            </w:r>
          </w:p>
          <w:p w14:paraId="512D1BB7">
            <w:pPr>
              <w:snapToGrid w:val="0"/>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4.项目实施方案（格式自拟）；</w:t>
            </w:r>
          </w:p>
          <w:p w14:paraId="5D418E28">
            <w:pPr>
              <w:snapToGrid w:val="0"/>
              <w:spacing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5.</w:t>
            </w:r>
            <w:r>
              <w:rPr>
                <w:rFonts w:hint="eastAsia" w:ascii="仿宋" w:hAnsi="仿宋" w:eastAsia="仿宋" w:cs="仿宋"/>
                <w:color w:val="auto"/>
                <w:sz w:val="24"/>
                <w:highlight w:val="none"/>
              </w:rPr>
              <w:t>除招标文件规定必须提供以外，投标人认为需要提供的其他证明材料（格式自拟）。（投标人根据“第二章 采购需求”及“第四章 评标方法及评标标准”提供有关证明材料）。</w:t>
            </w:r>
          </w:p>
          <w:p w14:paraId="66A39405">
            <w:pPr>
              <w:snapToGrid w:val="0"/>
              <w:spacing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注：</w:t>
            </w:r>
          </w:p>
          <w:p w14:paraId="0A872272">
            <w:pPr>
              <w:snapToGrid w:val="0"/>
              <w:spacing w:line="400" w:lineRule="exact"/>
              <w:jc w:val="left"/>
              <w:rPr>
                <w:rFonts w:hint="eastAsia" w:ascii="仿宋" w:hAnsi="仿宋" w:eastAsia="仿宋" w:cs="仿宋"/>
                <w:b/>
                <w:color w:val="auto"/>
                <w:sz w:val="24"/>
                <w:highlight w:val="none"/>
              </w:rPr>
            </w:pPr>
            <w:r>
              <w:rPr>
                <w:rFonts w:hint="eastAsia" w:ascii="仿宋" w:hAnsi="仿宋" w:eastAsia="仿宋" w:cs="仿宋"/>
                <w:b/>
                <w:bCs/>
                <w:color w:val="auto"/>
                <w:sz w:val="24"/>
                <w:highlight w:val="none"/>
              </w:rPr>
              <w:t>1.以上标明“必须提供”的材料属于复印件的，必须加盖投标人</w:t>
            </w:r>
            <w:r>
              <w:rPr>
                <w:rFonts w:hint="eastAsia" w:ascii="仿宋" w:hAnsi="仿宋" w:eastAsia="仿宋" w:cs="仿宋"/>
                <w:b/>
                <w:color w:val="auto"/>
                <w:sz w:val="24"/>
                <w:highlight w:val="none"/>
              </w:rPr>
              <w:t>公章（或电子签章）</w:t>
            </w:r>
            <w:r>
              <w:rPr>
                <w:rFonts w:hint="eastAsia" w:ascii="仿宋" w:hAnsi="仿宋" w:eastAsia="仿宋" w:cs="仿宋"/>
                <w:b/>
                <w:bCs/>
                <w:color w:val="auto"/>
                <w:sz w:val="24"/>
                <w:highlight w:val="none"/>
              </w:rPr>
              <w:t>，否则</w:t>
            </w:r>
            <w:r>
              <w:rPr>
                <w:rFonts w:hint="eastAsia" w:ascii="仿宋" w:hAnsi="仿宋" w:eastAsia="仿宋" w:cs="仿宋"/>
                <w:b/>
                <w:color w:val="auto"/>
                <w:sz w:val="24"/>
                <w:highlight w:val="none"/>
              </w:rPr>
              <w:t>作无效投标处理</w:t>
            </w:r>
            <w:r>
              <w:rPr>
                <w:rFonts w:hint="eastAsia" w:ascii="仿宋" w:hAnsi="仿宋" w:eastAsia="仿宋" w:cs="仿宋"/>
                <w:b/>
                <w:bCs/>
                <w:color w:val="auto"/>
                <w:sz w:val="24"/>
                <w:highlight w:val="none"/>
              </w:rPr>
              <w:t>。</w:t>
            </w:r>
          </w:p>
        </w:tc>
      </w:tr>
      <w:tr w14:paraId="7B8FA8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14:paraId="757DED9C">
            <w:pPr>
              <w:spacing w:line="400" w:lineRule="exact"/>
              <w:jc w:val="center"/>
              <w:rPr>
                <w:rFonts w:hint="eastAsia" w:ascii="仿宋" w:hAnsi="仿宋" w:eastAsia="仿宋" w:cs="仿宋"/>
                <w:color w:val="auto"/>
                <w:sz w:val="24"/>
                <w:highlight w:val="none"/>
              </w:rPr>
            </w:pPr>
            <w:bookmarkStart w:id="66" w:name="_13.4"/>
            <w:bookmarkEnd w:id="66"/>
            <w:bookmarkStart w:id="67" w:name="_13.5"/>
            <w:bookmarkEnd w:id="67"/>
            <w:r>
              <w:rPr>
                <w:rFonts w:hint="eastAsia" w:ascii="仿宋" w:hAnsi="仿宋" w:eastAsia="仿宋" w:cs="仿宋"/>
                <w:color w:val="auto"/>
                <w:sz w:val="24"/>
                <w:highlight w:val="none"/>
              </w:rPr>
              <w:t>13.2</w:t>
            </w:r>
          </w:p>
        </w:tc>
        <w:tc>
          <w:tcPr>
            <w:tcW w:w="8606" w:type="dxa"/>
            <w:tcBorders>
              <w:top w:val="single" w:color="auto" w:sz="4" w:space="0"/>
              <w:left w:val="single" w:color="auto" w:sz="4" w:space="0"/>
              <w:bottom w:val="single" w:color="auto" w:sz="4" w:space="0"/>
              <w:right w:val="single" w:color="auto" w:sz="4" w:space="0"/>
            </w:tcBorders>
            <w:vAlign w:val="center"/>
          </w:tcPr>
          <w:p w14:paraId="5B7995AD">
            <w:pPr>
              <w:snapToGrid w:val="0"/>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投标文件编制要求：</w:t>
            </w:r>
          </w:p>
          <w:p w14:paraId="1360557A">
            <w:pPr>
              <w:snapToGrid w:val="0"/>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投标文件应按报价文件、资格证明文件、商务文件、技术文件分别编制，报价文件、资格证明文件分别生成电子文件，商务文件和技术文件按顺序合并生成电子文件。</w:t>
            </w:r>
          </w:p>
          <w:p w14:paraId="1371B5C6">
            <w:pPr>
              <w:snapToGrid w:val="0"/>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投标文件提交方式：本项目为全流程电子化项目，通过广西政府采购云平台（https://www.gcy.zfcg.gxzf.gov.cn/）实行在线电子投标，潜在投标人应先安装“政采云电子交易客户端”（请自行前往广西政府采购云平台进行下载），并按照本项目招标文件和广西政府采购云平台的要求编制、加密后在投标文件提交截止时间前通过网络上传至广西政府采购云平台，潜在投标人在广西政府采购云平台提交电子版投标文件时，请填写参加远程开标活动经办人联系方式。</w:t>
            </w:r>
          </w:p>
          <w:p w14:paraId="77620A05">
            <w:pPr>
              <w:snapToGrid w:val="0"/>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未进行网上注册并办理数字证书（CA认证）的潜在投标人将无法参与本项目政府采购活动，潜在投标人应当在投标文件提交截止时间前，完成电子交易平台上的CA数字证书办理及投标文件的提交。完成CA数字证书办理预计7日左右，潜在投标人只需办理其中一家CA数字证书及签章，建议各潜在投标人抓紧时间办理，且广西政府采购云平台电子投标具体操作流程如不懂，请提前熟悉，如有问题可拨打广西政府采购云平台客户服务热线95763进行咨询。</w:t>
            </w:r>
          </w:p>
          <w:p w14:paraId="7014FD72">
            <w:pPr>
              <w:snapToGrid w:val="0"/>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（3）为确保网上操作合法、有效和安全，请潜在投标人确保在电子投标过程中能够对相关数据电文进行加密和使用电子签章，妥善保管CA数字证书并使用有效的CA数字证书参与整个招标活动。</w:t>
            </w:r>
          </w:p>
        </w:tc>
      </w:tr>
      <w:tr w14:paraId="1B02F3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14:paraId="7C3C79D5">
            <w:pPr>
              <w:spacing w:line="400" w:lineRule="exact"/>
              <w:jc w:val="center"/>
              <w:rPr>
                <w:rFonts w:hint="eastAsia" w:ascii="仿宋" w:hAnsi="仿宋" w:eastAsia="仿宋" w:cs="仿宋"/>
                <w:color w:val="auto"/>
                <w:sz w:val="24"/>
                <w:highlight w:val="none"/>
              </w:rPr>
            </w:pPr>
            <w:bookmarkStart w:id="68" w:name="_16.2"/>
            <w:bookmarkEnd w:id="68"/>
            <w:r>
              <w:rPr>
                <w:rFonts w:hint="eastAsia" w:ascii="仿宋" w:hAnsi="仿宋" w:eastAsia="仿宋" w:cs="仿宋"/>
                <w:color w:val="auto"/>
                <w:sz w:val="24"/>
                <w:highlight w:val="none"/>
              </w:rPr>
              <w:t>16</w:t>
            </w:r>
            <w:bookmarkStart w:id="69" w:name="_Hlt19194067"/>
            <w:bookmarkStart w:id="70" w:name="_Hlt19693758"/>
            <w:bookmarkStart w:id="71" w:name="_Hlt19693759"/>
            <w:bookmarkStart w:id="72" w:name="_Hlt19194066"/>
            <w:r>
              <w:rPr>
                <w:rFonts w:hint="eastAsia" w:ascii="仿宋" w:hAnsi="仿宋" w:eastAsia="仿宋" w:cs="仿宋"/>
                <w:color w:val="auto"/>
                <w:sz w:val="24"/>
                <w:highlight w:val="none"/>
              </w:rPr>
              <w:t>.</w:t>
            </w:r>
            <w:bookmarkEnd w:id="69"/>
            <w:bookmarkEnd w:id="70"/>
            <w:bookmarkEnd w:id="71"/>
            <w:bookmarkEnd w:id="72"/>
            <w:r>
              <w:rPr>
                <w:rFonts w:hint="eastAsia" w:ascii="仿宋" w:hAnsi="仿宋" w:eastAsia="仿宋" w:cs="仿宋"/>
                <w:color w:val="auto"/>
                <w:sz w:val="24"/>
                <w:highlight w:val="none"/>
              </w:rPr>
              <w:t>2</w:t>
            </w:r>
          </w:p>
        </w:tc>
        <w:tc>
          <w:tcPr>
            <w:tcW w:w="8606" w:type="dxa"/>
            <w:tcBorders>
              <w:top w:val="single" w:color="auto" w:sz="4" w:space="0"/>
              <w:left w:val="single" w:color="auto" w:sz="4" w:space="0"/>
              <w:bottom w:val="single" w:color="auto" w:sz="4" w:space="0"/>
              <w:right w:val="single" w:color="auto" w:sz="4" w:space="0"/>
            </w:tcBorders>
            <w:vAlign w:val="center"/>
          </w:tcPr>
          <w:p w14:paraId="1FF42EB2">
            <w:pPr>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投标报价是履行合同的最终价格，包含货物、货物标准附件、机房装机改造（含机房、控制间、设备间屏蔽及整体安装改造）、备品备件、专用工具、设备安装辅材、施工辅材、包装、运输、装卸、保险、货到就位的各种费用以及安装、调试等本采购文件所列设备材料需进行补充完善才能完成本项目的功能配置或实际采购中产品材料有任何遗漏的费用（含本项目需要但本文件中未列出的设备材料、功能配置）、税金、售后服务、技术培训及其他所有成本费用，以及合同约定的所有责任、义务和一般风险等一切费用。</w:t>
            </w:r>
          </w:p>
          <w:p w14:paraId="219E5866">
            <w:pPr>
              <w:snapToGrid w:val="0"/>
              <w:spacing w:line="40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☑投标报价包含验收费用</w:t>
            </w:r>
          </w:p>
          <w:p w14:paraId="46BC859E">
            <w:pPr>
              <w:snapToGrid w:val="0"/>
              <w:spacing w:line="40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□投标报价不包含验收费用</w:t>
            </w:r>
          </w:p>
        </w:tc>
      </w:tr>
      <w:tr w14:paraId="13A0CE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14:paraId="5CB46EFA">
            <w:pPr>
              <w:spacing w:line="400" w:lineRule="exact"/>
              <w:jc w:val="center"/>
              <w:rPr>
                <w:rFonts w:hint="eastAsia" w:ascii="仿宋" w:hAnsi="仿宋" w:eastAsia="仿宋" w:cs="仿宋"/>
                <w:color w:val="auto"/>
                <w:sz w:val="24"/>
                <w:highlight w:val="none"/>
              </w:rPr>
            </w:pPr>
            <w:bookmarkStart w:id="73" w:name="_17.1"/>
            <w:bookmarkEnd w:id="73"/>
            <w:r>
              <w:rPr>
                <w:rFonts w:hint="eastAsia" w:ascii="仿宋" w:hAnsi="仿宋" w:eastAsia="仿宋" w:cs="仿宋"/>
                <w:color w:val="auto"/>
                <w:sz w:val="24"/>
                <w:highlight w:val="none"/>
              </w:rPr>
              <w:t>17.2</w:t>
            </w:r>
          </w:p>
        </w:tc>
        <w:tc>
          <w:tcPr>
            <w:tcW w:w="8606" w:type="dxa"/>
            <w:tcBorders>
              <w:top w:val="single" w:color="auto" w:sz="4" w:space="0"/>
              <w:left w:val="single" w:color="auto" w:sz="4" w:space="0"/>
              <w:bottom w:val="single" w:color="auto" w:sz="4" w:space="0"/>
              <w:right w:val="single" w:color="auto" w:sz="4" w:space="0"/>
            </w:tcBorders>
            <w:vAlign w:val="center"/>
          </w:tcPr>
          <w:p w14:paraId="603A7EFE">
            <w:pPr>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投标有效期：自投标截止之日起 120日。</w:t>
            </w:r>
          </w:p>
        </w:tc>
      </w:tr>
      <w:tr w14:paraId="4D6628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14:paraId="0D2B1DED">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18.1</w:t>
            </w:r>
          </w:p>
        </w:tc>
        <w:tc>
          <w:tcPr>
            <w:tcW w:w="8606" w:type="dxa"/>
            <w:tcBorders>
              <w:top w:val="single" w:color="auto" w:sz="4" w:space="0"/>
              <w:left w:val="single" w:color="auto" w:sz="4" w:space="0"/>
              <w:bottom w:val="single" w:color="auto" w:sz="4" w:space="0"/>
              <w:right w:val="single" w:color="auto" w:sz="4" w:space="0"/>
            </w:tcBorders>
            <w:vAlign w:val="center"/>
          </w:tcPr>
          <w:p w14:paraId="44E0FD64">
            <w:pPr>
              <w:spacing w:line="400" w:lineRule="exact"/>
              <w:rPr>
                <w:rFonts w:hint="eastAsia" w:ascii="仿宋" w:hAnsi="仿宋" w:eastAsia="仿宋" w:cs="仿宋"/>
                <w:b/>
                <w:bCs/>
                <w:color w:val="auto"/>
                <w:kern w:val="0"/>
                <w:sz w:val="24"/>
                <w:highlight w:val="none"/>
              </w:rPr>
            </w:pPr>
            <w:r>
              <w:rPr>
                <w:rFonts w:hint="eastAsia" w:ascii="仿宋" w:hAnsi="仿宋" w:eastAsia="仿宋" w:cs="仿宋"/>
                <w:color w:val="auto"/>
                <w:kern w:val="0"/>
                <w:sz w:val="24"/>
                <w:highlight w:val="none"/>
              </w:rPr>
              <w:t>投标保证金金额：</w:t>
            </w:r>
            <w:r>
              <w:rPr>
                <w:rFonts w:hint="eastAsia" w:ascii="仿宋" w:hAnsi="仿宋" w:eastAsia="仿宋" w:cs="仿宋"/>
                <w:b/>
                <w:bCs/>
                <w:color w:val="auto"/>
                <w:kern w:val="0"/>
                <w:sz w:val="24"/>
                <w:highlight w:val="none"/>
              </w:rPr>
              <w:t>人民币大写肆万元整（￥40000.00）。</w:t>
            </w:r>
          </w:p>
          <w:p w14:paraId="073607BA">
            <w:pPr>
              <w:spacing w:line="40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投标保证金的交纳方式：银行转账、支票、汇票、本票或者金融、担保机构出具的保函、保险机构的保单，禁止采用现钞方式。</w:t>
            </w:r>
          </w:p>
          <w:p w14:paraId="1037F6CF">
            <w:pPr>
              <w:spacing w:line="40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相关要求：</w:t>
            </w:r>
          </w:p>
          <w:p w14:paraId="36C0F234">
            <w:pPr>
              <w:spacing w:line="400" w:lineRule="exact"/>
              <w:rPr>
                <w:rFonts w:hint="eastAsia" w:ascii="仿宋" w:hAnsi="仿宋" w:eastAsia="仿宋" w:cs="仿宋"/>
                <w:b/>
                <w:bCs/>
                <w:color w:val="auto"/>
                <w:kern w:val="0"/>
                <w:sz w:val="24"/>
                <w:highlight w:val="none"/>
              </w:rPr>
            </w:pPr>
            <w:r>
              <w:rPr>
                <w:rFonts w:hint="eastAsia" w:ascii="仿宋" w:hAnsi="仿宋" w:eastAsia="仿宋" w:cs="仿宋"/>
                <w:color w:val="auto"/>
                <w:kern w:val="0"/>
                <w:sz w:val="24"/>
                <w:highlight w:val="none"/>
              </w:rPr>
              <w:t>1.采用银行转账方式的，在投标文件递交截至时间前交至采购代理机构指定账户并且到账银行转账底单扫描件作为投标保证金提交凭证，</w:t>
            </w:r>
            <w:r>
              <w:rPr>
                <w:rFonts w:hint="eastAsia" w:ascii="仿宋" w:hAnsi="仿宋" w:eastAsia="仿宋" w:cs="仿宋"/>
                <w:b/>
                <w:bCs/>
                <w:color w:val="auto"/>
                <w:kern w:val="0"/>
                <w:sz w:val="24"/>
                <w:highlight w:val="none"/>
              </w:rPr>
              <w:t>放置于投标文件中，否则视为无效投标保证金。</w:t>
            </w:r>
          </w:p>
          <w:p w14:paraId="76C0CDE0">
            <w:pPr>
              <w:spacing w:line="40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采用支票、汇票、本票或者保函等方式的，投标人应将支票、汇票、本票或者金融、担保机构出具的保函、保险机构的保单原件必须在投标文件递交截至时间前单独密封递交至广西壮族自治区公共资源交易中心开标室（具体详见当天大厅显示屏）提交给采购人或代理机构，</w:t>
            </w:r>
            <w:r>
              <w:rPr>
                <w:rFonts w:hint="eastAsia" w:ascii="仿宋" w:hAnsi="仿宋" w:eastAsia="仿宋" w:cs="仿宋"/>
                <w:color w:val="auto"/>
                <w:sz w:val="24"/>
                <w:highlight w:val="none"/>
              </w:rPr>
              <w:t>由采购人或者采购代理机构向投标人出具回执，并妥善保管。</w:t>
            </w:r>
            <w:r>
              <w:rPr>
                <w:rFonts w:hint="eastAsia" w:ascii="仿宋" w:hAnsi="仿宋" w:eastAsia="仿宋" w:cs="仿宋"/>
                <w:color w:val="auto"/>
                <w:kern w:val="0"/>
                <w:sz w:val="24"/>
                <w:highlight w:val="none"/>
              </w:rPr>
              <w:t>原件扫描件作为投标保证金提交、凭证，放置于投标文件中，否则视为无效投标保证金。</w:t>
            </w:r>
          </w:p>
          <w:p w14:paraId="717375EF">
            <w:pPr>
              <w:spacing w:line="40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3.代理机构指定账户：</w:t>
            </w:r>
          </w:p>
          <w:p w14:paraId="046FB20F">
            <w:pPr>
              <w:spacing w:line="40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开户银行：中信银行广州花园支行</w:t>
            </w:r>
          </w:p>
          <w:p w14:paraId="1CDA8488">
            <w:pPr>
              <w:spacing w:line="40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开户名称：公诚管理咨询有限公司</w:t>
            </w:r>
          </w:p>
          <w:p w14:paraId="4394F82A">
            <w:pPr>
              <w:spacing w:line="40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银行账号：3110910037672507587</w:t>
            </w:r>
          </w:p>
          <w:p w14:paraId="1EB40B0E">
            <w:pPr>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备注： </w:t>
            </w:r>
          </w:p>
          <w:p w14:paraId="3C689CC0">
            <w:pPr>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1、投标保证金在投标文件递交截止时间后提交的，或者不按规定交纳方式交纳的，或者未足额交纳的（包含保函额度不足的），视为无效投标保证金。</w:t>
            </w:r>
          </w:p>
          <w:p w14:paraId="7D60480B">
            <w:pPr>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2、投标人采用现钞方式或者从个人账户（自然人投标除外）转出的投标保证金，视为无效投标保证金。</w:t>
            </w:r>
          </w:p>
          <w:p w14:paraId="43AE4535">
            <w:pPr>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3、支票、汇票或者本票出现无效或者背书情形的，视为无效投标保证金。</w:t>
            </w:r>
          </w:p>
          <w:p w14:paraId="24783B6C">
            <w:pPr>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4、保函、保单有效期低于投标有效期的，视为无效投标保证金。</w:t>
            </w:r>
          </w:p>
          <w:p w14:paraId="73E5B36D">
            <w:pPr>
              <w:snapToGrid w:val="0"/>
              <w:spacing w:line="400" w:lineRule="exact"/>
              <w:rPr>
                <w:rFonts w:hint="eastAsia" w:ascii="仿宋" w:hAnsi="仿宋" w:eastAsia="仿宋" w:cs="仿宋"/>
                <w:bCs/>
                <w:color w:val="auto"/>
                <w:sz w:val="24"/>
                <w:highlight w:val="none"/>
              </w:rPr>
            </w:pPr>
            <w:r>
              <w:rPr>
                <w:rFonts w:hint="eastAsia" w:ascii="仿宋" w:hAnsi="仿宋" w:eastAsia="仿宋" w:cs="仿宋"/>
                <w:color w:val="auto"/>
                <w:sz w:val="24"/>
                <w:highlight w:val="none"/>
              </w:rPr>
              <w:t>5、采用金融、担保机构出具保函的，必须为无条件保函，否则视为无效投标保证金。</w:t>
            </w:r>
          </w:p>
        </w:tc>
      </w:tr>
      <w:tr w14:paraId="18243A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14:paraId="6AD3C77E">
            <w:pPr>
              <w:spacing w:line="400" w:lineRule="exact"/>
              <w:jc w:val="center"/>
              <w:rPr>
                <w:rFonts w:hint="eastAsia" w:ascii="仿宋" w:hAnsi="仿宋" w:eastAsia="仿宋" w:cs="仿宋"/>
                <w:color w:val="auto"/>
                <w:sz w:val="24"/>
                <w:highlight w:val="none"/>
              </w:rPr>
            </w:pPr>
            <w:bookmarkStart w:id="74" w:name="_18"/>
            <w:bookmarkEnd w:id="74"/>
            <w:r>
              <w:rPr>
                <w:rFonts w:hint="eastAsia" w:ascii="仿宋" w:hAnsi="仿宋" w:eastAsia="仿宋" w:cs="仿宋"/>
                <w:color w:val="auto"/>
                <w:sz w:val="24"/>
                <w:highlight w:val="none"/>
              </w:rPr>
              <w:t>20.0</w:t>
            </w:r>
          </w:p>
        </w:tc>
        <w:tc>
          <w:tcPr>
            <w:tcW w:w="8606" w:type="dxa"/>
            <w:tcBorders>
              <w:top w:val="single" w:color="auto" w:sz="4" w:space="0"/>
              <w:left w:val="single" w:color="auto" w:sz="4" w:space="0"/>
              <w:bottom w:val="single" w:color="auto" w:sz="4" w:space="0"/>
              <w:right w:val="single" w:color="auto" w:sz="4" w:space="0"/>
            </w:tcBorders>
            <w:vAlign w:val="center"/>
          </w:tcPr>
          <w:p w14:paraId="2B5662EA">
            <w:pPr>
              <w:autoSpaceDE w:val="0"/>
              <w:autoSpaceDN w:val="0"/>
              <w:snapToGrid w:val="0"/>
              <w:spacing w:line="400" w:lineRule="exact"/>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本项目不接受备份文件。</w:t>
            </w:r>
          </w:p>
        </w:tc>
      </w:tr>
      <w:tr w14:paraId="2E570F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765E378A">
            <w:pPr>
              <w:spacing w:line="400" w:lineRule="exact"/>
              <w:jc w:val="center"/>
              <w:rPr>
                <w:rFonts w:hint="eastAsia" w:ascii="仿宋" w:hAnsi="仿宋" w:eastAsia="仿宋" w:cs="仿宋"/>
                <w:color w:val="auto"/>
                <w:sz w:val="24"/>
                <w:highlight w:val="none"/>
              </w:rPr>
            </w:pPr>
            <w:bookmarkStart w:id="75" w:name="_19.2"/>
            <w:bookmarkEnd w:id="75"/>
            <w:bookmarkStart w:id="76" w:name="_21.1"/>
            <w:bookmarkEnd w:id="76"/>
            <w:r>
              <w:rPr>
                <w:rFonts w:hint="eastAsia" w:ascii="仿宋" w:hAnsi="仿宋" w:eastAsia="仿宋" w:cs="仿宋"/>
                <w:color w:val="auto"/>
                <w:sz w:val="24"/>
                <w:highlight w:val="none"/>
              </w:rPr>
              <w:t>21.1</w:t>
            </w:r>
          </w:p>
        </w:tc>
        <w:tc>
          <w:tcPr>
            <w:tcW w:w="8606" w:type="dxa"/>
            <w:tcBorders>
              <w:top w:val="single" w:color="auto" w:sz="4" w:space="0"/>
              <w:left w:val="single" w:color="auto" w:sz="4" w:space="0"/>
              <w:bottom w:val="single" w:color="auto" w:sz="4" w:space="0"/>
              <w:right w:val="single" w:color="auto" w:sz="4" w:space="0"/>
            </w:tcBorders>
            <w:vAlign w:val="center"/>
          </w:tcPr>
          <w:p w14:paraId="25923095">
            <w:pPr>
              <w:snapToGrid w:val="0"/>
              <w:spacing w:line="400" w:lineRule="exact"/>
              <w:rPr>
                <w:rFonts w:hint="eastAsia" w:ascii="仿宋" w:hAnsi="仿宋" w:eastAsia="仿宋" w:cs="仿宋"/>
                <w:color w:val="auto"/>
                <w:sz w:val="24"/>
                <w:highlight w:val="none"/>
                <w:u w:val="single"/>
              </w:rPr>
            </w:pPr>
            <w:r>
              <w:rPr>
                <w:rFonts w:hint="eastAsia" w:ascii="仿宋" w:hAnsi="仿宋" w:eastAsia="仿宋" w:cs="仿宋"/>
                <w:bCs/>
                <w:color w:val="auto"/>
                <w:sz w:val="24"/>
                <w:highlight w:val="none"/>
              </w:rPr>
              <w:t>提交投标文件截止时间</w:t>
            </w:r>
            <w:r>
              <w:rPr>
                <w:rFonts w:hint="eastAsia" w:ascii="仿宋" w:hAnsi="仿宋" w:eastAsia="仿宋" w:cs="仿宋"/>
                <w:color w:val="auto"/>
                <w:sz w:val="24"/>
                <w:highlight w:val="none"/>
              </w:rPr>
              <w:t>：详见招标公告</w:t>
            </w:r>
          </w:p>
          <w:p w14:paraId="0D604028">
            <w:pPr>
              <w:snapToGrid w:val="0"/>
              <w:spacing w:line="400" w:lineRule="exact"/>
              <w:rPr>
                <w:rFonts w:hint="eastAsia" w:ascii="仿宋" w:hAnsi="仿宋" w:eastAsia="仿宋" w:cs="仿宋"/>
                <w:color w:val="auto"/>
                <w:sz w:val="24"/>
                <w:highlight w:val="none"/>
              </w:rPr>
            </w:pPr>
            <w:r>
              <w:rPr>
                <w:rFonts w:hint="eastAsia" w:ascii="仿宋" w:hAnsi="仿宋" w:eastAsia="仿宋" w:cs="仿宋"/>
                <w:bCs/>
                <w:color w:val="auto"/>
                <w:sz w:val="24"/>
                <w:highlight w:val="none"/>
              </w:rPr>
              <w:t>提交投标文件截止地点</w:t>
            </w:r>
            <w:r>
              <w:rPr>
                <w:rFonts w:hint="eastAsia" w:ascii="仿宋" w:hAnsi="仿宋" w:eastAsia="仿宋" w:cs="仿宋"/>
                <w:color w:val="auto"/>
                <w:sz w:val="24"/>
                <w:highlight w:val="none"/>
              </w:rPr>
              <w:t>：详见招标公告</w:t>
            </w:r>
          </w:p>
        </w:tc>
      </w:tr>
      <w:tr w14:paraId="5C710F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14:paraId="3B9A0A59">
            <w:pPr>
              <w:spacing w:line="400" w:lineRule="exact"/>
              <w:jc w:val="center"/>
              <w:rPr>
                <w:rFonts w:hint="eastAsia" w:ascii="仿宋" w:hAnsi="仿宋" w:eastAsia="仿宋" w:cs="仿宋"/>
                <w:color w:val="auto"/>
                <w:sz w:val="24"/>
                <w:highlight w:val="none"/>
              </w:rPr>
            </w:pPr>
            <w:bookmarkStart w:id="77" w:name="_23"/>
            <w:bookmarkEnd w:id="77"/>
            <w:r>
              <w:rPr>
                <w:rFonts w:hint="eastAsia" w:ascii="仿宋" w:hAnsi="仿宋" w:eastAsia="仿宋" w:cs="仿宋"/>
                <w:color w:val="auto"/>
                <w:sz w:val="24"/>
                <w:highlight w:val="none"/>
              </w:rPr>
              <w:t>23</w:t>
            </w:r>
          </w:p>
        </w:tc>
        <w:tc>
          <w:tcPr>
            <w:tcW w:w="8606" w:type="dxa"/>
            <w:tcBorders>
              <w:top w:val="single" w:color="auto" w:sz="4" w:space="0"/>
              <w:left w:val="single" w:color="auto" w:sz="4" w:space="0"/>
              <w:bottom w:val="single" w:color="auto" w:sz="4" w:space="0"/>
              <w:right w:val="single" w:color="auto" w:sz="4" w:space="0"/>
            </w:tcBorders>
            <w:vAlign w:val="center"/>
          </w:tcPr>
          <w:p w14:paraId="07A122A3">
            <w:pPr>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开标时间：详见招标公告</w:t>
            </w:r>
          </w:p>
          <w:p w14:paraId="7262BB75">
            <w:pPr>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开标地点：详见招标公告</w:t>
            </w:r>
          </w:p>
        </w:tc>
      </w:tr>
      <w:tr w14:paraId="3682A2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14:paraId="6BFA37EA">
            <w:pPr>
              <w:spacing w:line="400" w:lineRule="exact"/>
              <w:jc w:val="center"/>
              <w:rPr>
                <w:rFonts w:hint="eastAsia" w:ascii="仿宋" w:hAnsi="仿宋" w:eastAsia="仿宋" w:cs="仿宋"/>
                <w:color w:val="auto"/>
                <w:sz w:val="24"/>
                <w:highlight w:val="none"/>
              </w:rPr>
            </w:pPr>
            <w:bookmarkStart w:id="78" w:name="_25.3"/>
            <w:bookmarkEnd w:id="78"/>
            <w:r>
              <w:rPr>
                <w:rFonts w:hint="eastAsia" w:ascii="仿宋" w:hAnsi="仿宋" w:eastAsia="仿宋" w:cs="仿宋"/>
                <w:color w:val="auto"/>
                <w:sz w:val="24"/>
                <w:highlight w:val="none"/>
              </w:rPr>
              <w:t>25.3（2）</w:t>
            </w:r>
          </w:p>
        </w:tc>
        <w:tc>
          <w:tcPr>
            <w:tcW w:w="8606" w:type="dxa"/>
            <w:tcBorders>
              <w:top w:val="single" w:color="auto" w:sz="4" w:space="0"/>
              <w:left w:val="single" w:color="auto" w:sz="4" w:space="0"/>
              <w:bottom w:val="single" w:color="auto" w:sz="4" w:space="0"/>
              <w:right w:val="single" w:color="auto" w:sz="4" w:space="0"/>
            </w:tcBorders>
            <w:vAlign w:val="center"/>
          </w:tcPr>
          <w:p w14:paraId="4952DF7D">
            <w:pPr>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采购人或者采购代理机构在资格审查结束前，对投标人进行信用查询。</w:t>
            </w:r>
          </w:p>
          <w:p w14:paraId="1441BD8A">
            <w:pPr>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查询渠道：“信用中国”网站(www.creditchina.gov.cn) 、中国政府采购网(www.ccgp.gov.cn)。</w:t>
            </w:r>
          </w:p>
          <w:p w14:paraId="525CDFD5">
            <w:pPr>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信用查询截止时点：资格审查结束前</w:t>
            </w:r>
          </w:p>
          <w:p w14:paraId="3F2B0A43">
            <w:pPr>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查询记录和证据留存方式：在查询网站中直接打印查询记录，打印材料作为评审资料保存。</w:t>
            </w:r>
          </w:p>
          <w:p w14:paraId="412A6A94">
            <w:pPr>
              <w:snapToGrid w:val="0"/>
              <w:spacing w:line="400" w:lineRule="exact"/>
              <w:rPr>
                <w:rFonts w:hint="eastAsia" w:ascii="仿宋" w:hAnsi="仿宋" w:eastAsia="仿宋" w:cs="仿宋"/>
                <w:b/>
                <w:color w:val="auto"/>
                <w:sz w:val="24"/>
                <w:highlight w:val="none"/>
              </w:rPr>
            </w:pPr>
            <w:r>
              <w:rPr>
                <w:rFonts w:hint="eastAsia" w:ascii="仿宋" w:hAnsi="仿宋" w:eastAsia="仿宋" w:cs="仿宋"/>
                <w:color w:val="auto"/>
                <w:sz w:val="24"/>
                <w:highlight w:val="none"/>
              </w:rPr>
              <w:t>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699A09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14:paraId="5A67D86D">
            <w:pPr>
              <w:spacing w:line="400" w:lineRule="exact"/>
              <w:jc w:val="center"/>
              <w:rPr>
                <w:rFonts w:hint="eastAsia" w:ascii="仿宋" w:hAnsi="仿宋" w:eastAsia="仿宋" w:cs="仿宋"/>
                <w:color w:val="auto"/>
                <w:sz w:val="24"/>
                <w:highlight w:val="none"/>
              </w:rPr>
            </w:pPr>
            <w:bookmarkStart w:id="79" w:name="_26"/>
            <w:bookmarkEnd w:id="79"/>
            <w:r>
              <w:rPr>
                <w:rFonts w:hint="eastAsia" w:ascii="仿宋" w:hAnsi="仿宋" w:eastAsia="仿宋" w:cs="仿宋"/>
                <w:color w:val="auto"/>
                <w:sz w:val="24"/>
                <w:highlight w:val="none"/>
              </w:rPr>
              <w:t>26</w:t>
            </w:r>
          </w:p>
        </w:tc>
        <w:tc>
          <w:tcPr>
            <w:tcW w:w="8606" w:type="dxa"/>
            <w:tcBorders>
              <w:top w:val="single" w:color="auto" w:sz="4" w:space="0"/>
              <w:left w:val="single" w:color="auto" w:sz="4" w:space="0"/>
              <w:bottom w:val="single" w:color="auto" w:sz="4" w:space="0"/>
              <w:right w:val="single" w:color="auto" w:sz="4" w:space="0"/>
            </w:tcBorders>
            <w:vAlign w:val="center"/>
          </w:tcPr>
          <w:p w14:paraId="39806DC5">
            <w:pPr>
              <w:autoSpaceDE w:val="0"/>
              <w:autoSpaceDN w:val="0"/>
              <w:snapToGrid w:val="0"/>
              <w:spacing w:line="400" w:lineRule="exact"/>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评标委员会的人数：</w:t>
            </w:r>
            <w:r>
              <w:rPr>
                <w:rFonts w:hint="eastAsia" w:ascii="仿宋" w:hAnsi="仿宋" w:eastAsia="仿宋" w:cs="仿宋"/>
                <w:color w:val="auto"/>
                <w:sz w:val="24"/>
                <w:highlight w:val="none"/>
                <w:u w:val="single"/>
              </w:rPr>
              <w:t xml:space="preserve"> 5 </w:t>
            </w:r>
            <w:r>
              <w:rPr>
                <w:rFonts w:hint="eastAsia" w:ascii="仿宋" w:hAnsi="仿宋" w:eastAsia="仿宋" w:cs="仿宋"/>
                <w:color w:val="auto"/>
                <w:sz w:val="24"/>
                <w:highlight w:val="none"/>
              </w:rPr>
              <w:t>人</w:t>
            </w:r>
          </w:p>
        </w:tc>
      </w:tr>
      <w:tr w14:paraId="4CEF33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14:paraId="63DBD784">
            <w:pPr>
              <w:spacing w:line="400" w:lineRule="exact"/>
              <w:jc w:val="center"/>
              <w:rPr>
                <w:rFonts w:hint="eastAsia" w:ascii="仿宋" w:hAnsi="仿宋" w:eastAsia="仿宋" w:cs="仿宋"/>
                <w:color w:val="auto"/>
                <w:sz w:val="24"/>
                <w:highlight w:val="none"/>
              </w:rPr>
            </w:pPr>
            <w:bookmarkStart w:id="80" w:name="_28.3"/>
            <w:bookmarkEnd w:id="80"/>
            <w:r>
              <w:rPr>
                <w:rFonts w:hint="eastAsia" w:ascii="仿宋" w:hAnsi="仿宋" w:eastAsia="仿宋" w:cs="仿宋"/>
                <w:color w:val="auto"/>
                <w:sz w:val="24"/>
                <w:highlight w:val="none"/>
              </w:rPr>
              <w:t>30.1</w:t>
            </w:r>
          </w:p>
        </w:tc>
        <w:tc>
          <w:tcPr>
            <w:tcW w:w="8606" w:type="dxa"/>
            <w:tcBorders>
              <w:top w:val="single" w:color="auto" w:sz="4" w:space="0"/>
              <w:left w:val="single" w:color="auto" w:sz="4" w:space="0"/>
              <w:bottom w:val="single" w:color="auto" w:sz="4" w:space="0"/>
              <w:right w:val="single" w:color="auto" w:sz="4" w:space="0"/>
            </w:tcBorders>
            <w:vAlign w:val="center"/>
          </w:tcPr>
          <w:p w14:paraId="68447E4D">
            <w:pPr>
              <w:autoSpaceDE w:val="0"/>
              <w:autoSpaceDN w:val="0"/>
              <w:snapToGrid w:val="0"/>
              <w:spacing w:line="400" w:lineRule="exact"/>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评标方法：    ☑综合评分法       □最低评标价法</w:t>
            </w:r>
          </w:p>
        </w:tc>
      </w:tr>
      <w:tr w14:paraId="0D081A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14:paraId="76BBF6AE">
            <w:pPr>
              <w:spacing w:line="400" w:lineRule="exact"/>
              <w:jc w:val="center"/>
              <w:rPr>
                <w:rFonts w:hint="eastAsia" w:ascii="仿宋" w:hAnsi="仿宋" w:eastAsia="仿宋" w:cs="仿宋"/>
                <w:color w:val="auto"/>
                <w:sz w:val="24"/>
                <w:highlight w:val="none"/>
              </w:rPr>
            </w:pPr>
            <w:bookmarkStart w:id="81" w:name="_29.2.2（2）"/>
            <w:bookmarkEnd w:id="81"/>
            <w:r>
              <w:rPr>
                <w:rFonts w:hint="eastAsia" w:ascii="仿宋" w:hAnsi="仿宋" w:eastAsia="仿宋" w:cs="仿宋"/>
                <w:color w:val="auto"/>
                <w:sz w:val="24"/>
                <w:highlight w:val="none"/>
              </w:rPr>
              <w:t>31.1</w:t>
            </w:r>
          </w:p>
        </w:tc>
        <w:tc>
          <w:tcPr>
            <w:tcW w:w="8606" w:type="dxa"/>
            <w:tcBorders>
              <w:top w:val="single" w:color="auto" w:sz="4" w:space="0"/>
              <w:left w:val="single" w:color="auto" w:sz="4" w:space="0"/>
              <w:bottom w:val="single" w:color="auto" w:sz="4" w:space="0"/>
              <w:right w:val="single" w:color="auto" w:sz="4" w:space="0"/>
            </w:tcBorders>
            <w:vAlign w:val="center"/>
          </w:tcPr>
          <w:p w14:paraId="7E260874">
            <w:pPr>
              <w:autoSpaceDE w:val="0"/>
              <w:autoSpaceDN w:val="0"/>
              <w:snapToGrid w:val="0"/>
              <w:spacing w:line="400" w:lineRule="exact"/>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采购人确定中标人时，出现中标候选人并列的情形，采购人按以下的方式确定中标人：</w:t>
            </w:r>
          </w:p>
          <w:p w14:paraId="5AA6C6A2">
            <w:pPr>
              <w:autoSpaceDE w:val="0"/>
              <w:autoSpaceDN w:val="0"/>
              <w:snapToGrid w:val="0"/>
              <w:spacing w:line="400" w:lineRule="exact"/>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☑政策分得分高的优先、技术评分高的优先、商务评分高的优先、项目质保期长优先、交货期短优先、故障响应时间短优先的顺序； </w:t>
            </w:r>
          </w:p>
          <w:p w14:paraId="2719DD5C">
            <w:pPr>
              <w:snapToGrid w:val="0"/>
              <w:spacing w:line="400" w:lineRule="exact"/>
              <w:rPr>
                <w:rFonts w:hint="eastAsia" w:ascii="仿宋" w:hAnsi="仿宋" w:eastAsia="仿宋" w:cs="仿宋"/>
                <w:b/>
                <w:color w:val="auto"/>
                <w:sz w:val="24"/>
                <w:highlight w:val="none"/>
              </w:rPr>
            </w:pPr>
            <w:r>
              <w:rPr>
                <w:rFonts w:hint="eastAsia" w:ascii="仿宋" w:hAnsi="仿宋" w:eastAsia="仿宋" w:cs="仿宋"/>
                <w:color w:val="auto"/>
                <w:sz w:val="24"/>
                <w:highlight w:val="none"/>
              </w:rPr>
              <w:t>□随机抽取</w:t>
            </w:r>
          </w:p>
        </w:tc>
      </w:tr>
      <w:tr w14:paraId="7EA409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693EA4CC">
            <w:pPr>
              <w:spacing w:line="400" w:lineRule="exact"/>
              <w:jc w:val="center"/>
              <w:rPr>
                <w:rFonts w:hint="eastAsia" w:ascii="仿宋" w:hAnsi="仿宋" w:eastAsia="仿宋" w:cs="仿宋"/>
                <w:color w:val="auto"/>
                <w:sz w:val="24"/>
                <w:highlight w:val="none"/>
              </w:rPr>
            </w:pPr>
            <w:bookmarkStart w:id="82" w:name="_39.1"/>
            <w:bookmarkEnd w:id="82"/>
            <w:r>
              <w:rPr>
                <w:rFonts w:hint="eastAsia" w:ascii="仿宋" w:hAnsi="仿宋" w:eastAsia="仿宋" w:cs="仿宋"/>
                <w:color w:val="auto"/>
                <w:sz w:val="24"/>
                <w:highlight w:val="none"/>
              </w:rPr>
              <w:t>36</w:t>
            </w:r>
          </w:p>
        </w:tc>
        <w:tc>
          <w:tcPr>
            <w:tcW w:w="8606" w:type="dxa"/>
            <w:tcBorders>
              <w:top w:val="single" w:color="auto" w:sz="4" w:space="0"/>
              <w:left w:val="single" w:color="auto" w:sz="4" w:space="0"/>
              <w:bottom w:val="single" w:color="auto" w:sz="4" w:space="0"/>
              <w:right w:val="single" w:color="auto" w:sz="4" w:space="0"/>
            </w:tcBorders>
            <w:vAlign w:val="center"/>
          </w:tcPr>
          <w:p w14:paraId="20064C03">
            <w:pPr>
              <w:autoSpaceDE w:val="0"/>
              <w:autoSpaceDN w:val="0"/>
              <w:snapToGrid w:val="0"/>
              <w:spacing w:line="400" w:lineRule="exact"/>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履约保证金金额：按中标金额的 5 %（如</w:t>
            </w:r>
            <w:r>
              <w:rPr>
                <w:rFonts w:hint="eastAsia" w:ascii="仿宋" w:hAnsi="仿宋" w:eastAsia="仿宋" w:cs="仿宋"/>
                <w:color w:val="auto"/>
                <w:sz w:val="24"/>
                <w:highlight w:val="none"/>
                <w:lang w:eastAsia="zh-CN"/>
              </w:rPr>
              <w:t>中标人</w:t>
            </w:r>
            <w:r>
              <w:rPr>
                <w:rFonts w:hint="eastAsia" w:ascii="仿宋" w:hAnsi="仿宋" w:eastAsia="仿宋" w:cs="仿宋"/>
                <w:color w:val="auto"/>
                <w:sz w:val="24"/>
                <w:highlight w:val="none"/>
              </w:rPr>
              <w:t>为中小微企业，按中标金额的2%）。</w:t>
            </w:r>
          </w:p>
          <w:p w14:paraId="19E0E6D0">
            <w:pPr>
              <w:autoSpaceDE w:val="0"/>
              <w:autoSpaceDN w:val="0"/>
              <w:snapToGrid w:val="0"/>
              <w:spacing w:line="400" w:lineRule="exact"/>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履约保证金提交方式：银行转账、支票、汇票、本票或者金融、担保机构出具的保函、保险机构的保单等方式。</w:t>
            </w:r>
          </w:p>
          <w:p w14:paraId="61ED70A3">
            <w:pPr>
              <w:autoSpaceDE w:val="0"/>
              <w:autoSpaceDN w:val="0"/>
              <w:snapToGrid w:val="0"/>
              <w:spacing w:line="400" w:lineRule="exact"/>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履约保证金退付方式、时间及条件：自项目验收合格及成交供应商履行完质保义务后，由成交供应商向履约保证金收取单位提供《广西壮族自治区政府采购项目合同验收书》（详见附件1）及《政府采购项目履约保证金退付意见书》（详见附件2），保证金收取单位在收到合格材料后无息退还。</w:t>
            </w:r>
          </w:p>
          <w:p w14:paraId="6D651786">
            <w:pPr>
              <w:autoSpaceDE w:val="0"/>
              <w:autoSpaceDN w:val="0"/>
              <w:snapToGrid w:val="0"/>
              <w:spacing w:line="400" w:lineRule="exact"/>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履约保证金指定账户：</w:t>
            </w:r>
          </w:p>
          <w:p w14:paraId="5F26E914">
            <w:pPr>
              <w:autoSpaceDE w:val="0"/>
              <w:autoSpaceDN w:val="0"/>
              <w:snapToGrid w:val="0"/>
              <w:spacing w:line="400" w:lineRule="exact"/>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开户名称：广西壮族自治区人民医院</w:t>
            </w:r>
          </w:p>
          <w:p w14:paraId="3E782800">
            <w:pPr>
              <w:autoSpaceDE w:val="0"/>
              <w:autoSpaceDN w:val="0"/>
              <w:snapToGrid w:val="0"/>
              <w:spacing w:line="400" w:lineRule="exact"/>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开户银行：中国民生银行股份有限公司南宁金湖支行</w:t>
            </w:r>
          </w:p>
          <w:p w14:paraId="6F43DCC1">
            <w:pPr>
              <w:autoSpaceDE w:val="0"/>
              <w:autoSpaceDN w:val="0"/>
              <w:snapToGrid w:val="0"/>
              <w:spacing w:line="400" w:lineRule="exact"/>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银行账号：631333260</w:t>
            </w:r>
          </w:p>
          <w:p w14:paraId="3A555AE7">
            <w:pPr>
              <w:autoSpaceDE w:val="0"/>
              <w:autoSpaceDN w:val="0"/>
              <w:snapToGrid w:val="0"/>
              <w:spacing w:line="400" w:lineRule="exact"/>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p w14:paraId="649E3608">
            <w:pPr>
              <w:autoSpaceDE w:val="0"/>
              <w:autoSpaceDN w:val="0"/>
              <w:snapToGrid w:val="0"/>
              <w:spacing w:line="400" w:lineRule="exact"/>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highlight w:val="none"/>
              </w:rPr>
              <w:t xml:space="preserve"> </w:t>
            </w:r>
            <w:bookmarkStart w:id="83" w:name="_Hlk166140633"/>
            <w:r>
              <w:rPr>
                <w:rFonts w:hint="eastAsia" w:ascii="仿宋" w:hAnsi="仿宋" w:eastAsia="仿宋" w:cs="仿宋"/>
                <w:color w:val="auto"/>
                <w:sz w:val="24"/>
                <w:highlight w:val="none"/>
              </w:rPr>
              <w:t>符合《广西壮族自治区财政厅关于规范政府采购货物和服务项目保证金管理的通知》桂财采〔2022〕8号 文件要求的，按照相关要求执行（中小企业收取的履约保证金数额为中标金额的2%）</w:t>
            </w:r>
            <w:bookmarkEnd w:id="83"/>
            <w:r>
              <w:rPr>
                <w:rFonts w:hint="eastAsia" w:ascii="仿宋" w:hAnsi="仿宋" w:eastAsia="仿宋" w:cs="仿宋"/>
                <w:color w:val="auto"/>
                <w:sz w:val="24"/>
                <w:highlight w:val="none"/>
              </w:rPr>
              <w:t>。</w:t>
            </w:r>
          </w:p>
          <w:p w14:paraId="53532FE2">
            <w:pPr>
              <w:autoSpaceDE w:val="0"/>
              <w:autoSpaceDN w:val="0"/>
              <w:snapToGrid w:val="0"/>
              <w:spacing w:line="400" w:lineRule="exact"/>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2. 中标人在签订合同之前，通过转账提交履约保证金的需把履约保证金足额交到采购人指定账户，履约保证金不足额缴纳的，或者金融、担保机构出具的保函、保险机构的保单额度不足的或者保函有效期低于合同履行期限（即签订采购合同之日起至履行完合同约定的权利及义务之日止）的，不予签订合同。采用金融、担保机构出具的保函的，必须为无条件保函，否则不予签订合同。履约保证金自项目验收合格后，待中标人履行完质保义务后无息退还。</w:t>
            </w:r>
          </w:p>
        </w:tc>
      </w:tr>
      <w:tr w14:paraId="581269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14:paraId="681E1CDC">
            <w:pPr>
              <w:spacing w:line="400" w:lineRule="exact"/>
              <w:jc w:val="center"/>
              <w:rPr>
                <w:rFonts w:hint="eastAsia" w:ascii="仿宋" w:hAnsi="仿宋" w:eastAsia="仿宋" w:cs="仿宋"/>
                <w:color w:val="auto"/>
                <w:sz w:val="24"/>
                <w:highlight w:val="none"/>
              </w:rPr>
            </w:pPr>
            <w:bookmarkStart w:id="84" w:name="_40.1"/>
            <w:bookmarkEnd w:id="84"/>
            <w:r>
              <w:rPr>
                <w:rFonts w:hint="eastAsia" w:ascii="仿宋" w:hAnsi="仿宋" w:eastAsia="仿宋" w:cs="仿宋"/>
                <w:color w:val="auto"/>
                <w:sz w:val="24"/>
                <w:highlight w:val="none"/>
              </w:rPr>
              <w:t>37.1</w:t>
            </w:r>
          </w:p>
        </w:tc>
        <w:tc>
          <w:tcPr>
            <w:tcW w:w="8606" w:type="dxa"/>
            <w:tcBorders>
              <w:top w:val="single" w:color="auto" w:sz="4" w:space="0"/>
              <w:left w:val="single" w:color="auto" w:sz="4" w:space="0"/>
              <w:bottom w:val="single" w:color="auto" w:sz="4" w:space="0"/>
              <w:right w:val="single" w:color="auto" w:sz="4" w:space="0"/>
            </w:tcBorders>
            <w:vAlign w:val="center"/>
          </w:tcPr>
          <w:p w14:paraId="7123314D">
            <w:pPr>
              <w:autoSpaceDE w:val="0"/>
              <w:autoSpaceDN w:val="0"/>
              <w:snapToGrid w:val="0"/>
              <w:spacing w:line="400" w:lineRule="exact"/>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签订合同携带的证明材料：</w:t>
            </w:r>
          </w:p>
          <w:p w14:paraId="22551B65">
            <w:pPr>
              <w:autoSpaceDE w:val="0"/>
              <w:autoSpaceDN w:val="0"/>
              <w:snapToGrid w:val="0"/>
              <w:spacing w:line="400" w:lineRule="exact"/>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委托代理人负责签订合同的，须携带授权委托书及委托代理人身份证原件等其他资格证件。</w:t>
            </w:r>
          </w:p>
          <w:p w14:paraId="1A7FF38F">
            <w:pPr>
              <w:autoSpaceDE w:val="0"/>
              <w:autoSpaceDN w:val="0"/>
              <w:snapToGrid w:val="0"/>
              <w:spacing w:line="400" w:lineRule="exact"/>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法定代表人负责签订合同的，须携带法定代表人身份证明原件及身份证原件等其他证明材料。</w:t>
            </w:r>
          </w:p>
        </w:tc>
      </w:tr>
      <w:tr w14:paraId="748D21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14:paraId="7A0ADE2D">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38.2</w:t>
            </w:r>
          </w:p>
        </w:tc>
        <w:tc>
          <w:tcPr>
            <w:tcW w:w="8606" w:type="dxa"/>
            <w:tcBorders>
              <w:top w:val="single" w:color="auto" w:sz="4" w:space="0"/>
              <w:left w:val="single" w:color="auto" w:sz="4" w:space="0"/>
              <w:bottom w:val="single" w:color="auto" w:sz="4" w:space="0"/>
              <w:right w:val="single" w:color="auto" w:sz="4" w:space="0"/>
            </w:tcBorders>
            <w:vAlign w:val="center"/>
          </w:tcPr>
          <w:p w14:paraId="34967188">
            <w:pPr>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接收质疑函方式：以书面形式</w:t>
            </w:r>
          </w:p>
          <w:p w14:paraId="45CA301B">
            <w:pPr>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质疑联系部门及联系方式：公诚管理咨询有限公司；联系人：</w:t>
            </w:r>
            <w:r>
              <w:rPr>
                <w:rFonts w:hint="eastAsia" w:ascii="仿宋" w:hAnsi="仿宋" w:eastAsia="仿宋" w:cs="仿宋"/>
                <w:color w:val="auto"/>
                <w:sz w:val="24"/>
                <w:highlight w:val="none"/>
                <w:lang w:val="en-US" w:eastAsia="zh-CN"/>
              </w:rPr>
              <w:t>陈雅冰</w:t>
            </w: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lang w:val="en-US" w:eastAsia="zh-CN"/>
              </w:rPr>
              <w:t>15078828204</w:t>
            </w:r>
            <w:r>
              <w:rPr>
                <w:rFonts w:hint="eastAsia" w:ascii="仿宋" w:hAnsi="仿宋" w:eastAsia="仿宋" w:cs="仿宋"/>
                <w:color w:val="auto"/>
                <w:sz w:val="24"/>
                <w:highlight w:val="none"/>
              </w:rPr>
              <w:t>/0771-5583003；邮箱：gcgxjkzb@163.com。</w:t>
            </w:r>
          </w:p>
          <w:p w14:paraId="597F169A">
            <w:pPr>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通讯地址：广西南宁市青秀区金湖北路52-1号东方曼哈顿25楼</w:t>
            </w:r>
          </w:p>
          <w:p w14:paraId="621CF5BB">
            <w:pPr>
              <w:autoSpaceDE w:val="0"/>
              <w:autoSpaceDN w:val="0"/>
              <w:snapToGrid w:val="0"/>
              <w:spacing w:line="400" w:lineRule="exact"/>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现场提交质疑办理业务时间：每天8时30分到12时00分，14时30分到18时 00分，业务时间以外、双休日和法定节假日不办理业务。</w:t>
            </w:r>
          </w:p>
        </w:tc>
      </w:tr>
      <w:tr w14:paraId="01E4E3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14:paraId="6EE36642">
            <w:pPr>
              <w:spacing w:line="400" w:lineRule="exact"/>
              <w:jc w:val="center"/>
              <w:rPr>
                <w:rFonts w:hint="eastAsia" w:ascii="仿宋" w:hAnsi="仿宋" w:eastAsia="仿宋" w:cs="仿宋"/>
                <w:color w:val="auto"/>
                <w:sz w:val="24"/>
                <w:highlight w:val="none"/>
              </w:rPr>
            </w:pPr>
            <w:bookmarkStart w:id="85" w:name="_42"/>
            <w:bookmarkEnd w:id="85"/>
            <w:bookmarkStart w:id="86" w:name="_41"/>
            <w:bookmarkEnd w:id="86"/>
            <w:r>
              <w:rPr>
                <w:rFonts w:hint="eastAsia" w:ascii="仿宋" w:hAnsi="仿宋" w:eastAsia="仿宋" w:cs="仿宋"/>
                <w:color w:val="auto"/>
                <w:sz w:val="24"/>
                <w:highlight w:val="none"/>
              </w:rPr>
              <w:t>40</w:t>
            </w:r>
          </w:p>
        </w:tc>
        <w:tc>
          <w:tcPr>
            <w:tcW w:w="8606" w:type="dxa"/>
            <w:tcBorders>
              <w:top w:val="single" w:color="auto" w:sz="4" w:space="0"/>
              <w:left w:val="single" w:color="auto" w:sz="4" w:space="0"/>
              <w:bottom w:val="single" w:color="auto" w:sz="4" w:space="0"/>
              <w:right w:val="single" w:color="auto" w:sz="4" w:space="0"/>
            </w:tcBorders>
            <w:vAlign w:val="center"/>
          </w:tcPr>
          <w:p w14:paraId="4AC161F4">
            <w:pPr>
              <w:pStyle w:val="23"/>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1.采购代理费支付方式：</w:t>
            </w:r>
          </w:p>
          <w:p w14:paraId="2E722E00">
            <w:pPr>
              <w:pStyle w:val="23"/>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☑本项目代理服务费由</w:t>
            </w:r>
            <w:r>
              <w:rPr>
                <w:rFonts w:hint="eastAsia" w:ascii="仿宋" w:hAnsi="仿宋" w:eastAsia="仿宋" w:cs="仿宋"/>
                <w:color w:val="auto"/>
                <w:sz w:val="24"/>
                <w:szCs w:val="24"/>
                <w:highlight w:val="none"/>
                <w:u w:val="single"/>
              </w:rPr>
              <w:t>中标人</w:t>
            </w:r>
            <w:r>
              <w:rPr>
                <w:rFonts w:hint="eastAsia" w:ascii="仿宋" w:hAnsi="仿宋" w:eastAsia="仿宋" w:cs="仿宋"/>
                <w:color w:val="auto"/>
                <w:sz w:val="24"/>
                <w:szCs w:val="24"/>
                <w:highlight w:val="none"/>
              </w:rPr>
              <w:t>向采购代理机构支付。</w:t>
            </w:r>
          </w:p>
          <w:p w14:paraId="290278CF">
            <w:pPr>
              <w:pStyle w:val="23"/>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□采购人支付。</w:t>
            </w:r>
          </w:p>
          <w:p w14:paraId="514E6229">
            <w:pPr>
              <w:pStyle w:val="23"/>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2.采购代理费收取标准：</w:t>
            </w:r>
          </w:p>
          <w:p w14:paraId="2E395124">
            <w:pPr>
              <w:pStyle w:val="23"/>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采购代理机构向中标人收取代理服务费。以项目中标金额为计费额，按</w:t>
            </w:r>
            <w:r>
              <w:rPr>
                <w:rFonts w:hint="eastAsia" w:ascii="仿宋" w:hAnsi="仿宋" w:eastAsia="仿宋" w:cs="仿宋"/>
                <w:b/>
                <w:bCs/>
                <w:color w:val="auto"/>
                <w:sz w:val="24"/>
                <w:szCs w:val="24"/>
                <w:highlight w:val="none"/>
                <w:u w:val="single"/>
              </w:rPr>
              <w:t>货物类</w:t>
            </w:r>
            <w:r>
              <w:rPr>
                <w:rFonts w:hint="eastAsia" w:ascii="仿宋" w:hAnsi="仿宋" w:eastAsia="仿宋" w:cs="仿宋"/>
                <w:color w:val="auto"/>
                <w:sz w:val="24"/>
                <w:szCs w:val="24"/>
                <w:highlight w:val="none"/>
              </w:rPr>
              <w:t xml:space="preserve"> 差额定率累进法下浮20%计取，具体详见投标人须知正文40。</w:t>
            </w:r>
          </w:p>
          <w:p w14:paraId="5882634E">
            <w:pPr>
              <w:snapToGrid w:val="0"/>
              <w:spacing w:line="40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开户名称：公诚管理咨询有限公司</w:t>
            </w:r>
          </w:p>
          <w:p w14:paraId="05F99197">
            <w:pPr>
              <w:snapToGrid w:val="0"/>
              <w:spacing w:line="40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开户银行：中信银行广州花园支行</w:t>
            </w:r>
          </w:p>
          <w:p w14:paraId="449CE86D">
            <w:pPr>
              <w:pStyle w:val="23"/>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rPr>
              <w:t>银行账号：</w:t>
            </w:r>
            <w:r>
              <w:rPr>
                <w:rFonts w:hint="eastAsia" w:ascii="仿宋" w:hAnsi="仿宋" w:eastAsia="仿宋" w:cs="仿宋"/>
                <w:color w:val="auto"/>
                <w:sz w:val="24"/>
                <w:szCs w:val="24"/>
                <w:highlight w:val="none"/>
              </w:rPr>
              <w:t>3110910037672507587</w:t>
            </w:r>
          </w:p>
        </w:tc>
      </w:tr>
      <w:tr w14:paraId="45E8BB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14:paraId="5BC8F57A">
            <w:pPr>
              <w:snapToGrid w:val="0"/>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41.1</w:t>
            </w:r>
          </w:p>
        </w:tc>
        <w:tc>
          <w:tcPr>
            <w:tcW w:w="8606" w:type="dxa"/>
            <w:tcBorders>
              <w:top w:val="single" w:color="auto" w:sz="4" w:space="0"/>
              <w:left w:val="single" w:color="auto" w:sz="4" w:space="0"/>
              <w:bottom w:val="single" w:color="auto" w:sz="4" w:space="0"/>
              <w:right w:val="single" w:color="auto" w:sz="4" w:space="0"/>
            </w:tcBorders>
            <w:vAlign w:val="center"/>
          </w:tcPr>
          <w:p w14:paraId="65044F4F">
            <w:pPr>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解释：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r w14:paraId="6B1BD0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14:paraId="547CDE58">
            <w:pPr>
              <w:snapToGrid w:val="0"/>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41.2</w:t>
            </w:r>
          </w:p>
        </w:tc>
        <w:tc>
          <w:tcPr>
            <w:tcW w:w="8606" w:type="dxa"/>
            <w:tcBorders>
              <w:top w:val="single" w:color="auto" w:sz="4" w:space="0"/>
              <w:left w:val="single" w:color="auto" w:sz="4" w:space="0"/>
              <w:bottom w:val="single" w:color="auto" w:sz="4" w:space="0"/>
              <w:right w:val="single" w:color="auto" w:sz="4" w:space="0"/>
            </w:tcBorders>
            <w:vAlign w:val="center"/>
          </w:tcPr>
          <w:p w14:paraId="3657D5B7">
            <w:pPr>
              <w:pStyle w:val="23"/>
              <w:numPr>
                <w:ilvl w:val="0"/>
                <w:numId w:val="3"/>
              </w:numPr>
              <w:adjustRightInd w:val="0"/>
              <w:spacing w:line="36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059964CE">
            <w:pPr>
              <w:pStyle w:val="23"/>
              <w:numPr>
                <w:ilvl w:val="0"/>
                <w:numId w:val="3"/>
              </w:numPr>
              <w:adjustRightInd w:val="0"/>
              <w:spacing w:line="36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本招标文件所称的“电子签章”、“电子签名”，是指经“政采云”平台认可的CA认证的电子签名数据为表现形式的印章，可用于签署电子投标文件，电子印章与实物印章具有同等法律效力，不因其采用电子化表现形式而否定其法律效力。</w:t>
            </w:r>
          </w:p>
          <w:p w14:paraId="45E95CAD">
            <w:pPr>
              <w:pStyle w:val="23"/>
              <w:adjustRightInd w:val="0"/>
              <w:spacing w:line="36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0EDAF32C">
            <w:pPr>
              <w:pStyle w:val="23"/>
              <w:snapToGrid w:val="0"/>
              <w:spacing w:line="40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4.自然人投标的，招标文件规定盖公章或电子签章处由自然人摁手指指印。</w:t>
            </w:r>
          </w:p>
          <w:p w14:paraId="720BBBF8">
            <w:pPr>
              <w:spacing w:line="40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5.本招标文件所称的“以上”“以下”“以内”“届满”，包括本数；所称的“不满”“超过”“以外”，不包括本数，法律、行政法规、管理办法等另有规定的，从其规定。</w:t>
            </w:r>
          </w:p>
          <w:p w14:paraId="2D48CC79">
            <w:pPr>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6.根据《关于印发中小企业划型标准规定的通知》（工信部联企业〔2011〕300号），</w:t>
            </w:r>
            <w:bookmarkStart w:id="87" w:name="_Hlk114736424"/>
            <w:r>
              <w:rPr>
                <w:rFonts w:hint="eastAsia" w:ascii="仿宋" w:hAnsi="仿宋" w:eastAsia="仿宋" w:cs="仿宋"/>
                <w:color w:val="auto"/>
                <w:sz w:val="24"/>
                <w:highlight w:val="none"/>
              </w:rPr>
              <w:t>本项目所属行业：</w:t>
            </w:r>
            <w:r>
              <w:rPr>
                <w:rFonts w:hint="eastAsia" w:ascii="仿宋" w:hAnsi="仿宋" w:eastAsia="仿宋" w:cs="仿宋"/>
                <w:b/>
                <w:bCs/>
                <w:color w:val="auto"/>
                <w:sz w:val="24"/>
                <w:highlight w:val="none"/>
                <w:u w:val="single"/>
              </w:rPr>
              <w:t>工业（包括采矿业，制造业，电力、热力、燃气及水生产和供应业）</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，行业划型标准为：</w:t>
            </w:r>
            <w:r>
              <w:rPr>
                <w:rFonts w:hint="eastAsia" w:ascii="仿宋" w:hAnsi="仿宋" w:eastAsia="仿宋" w:cs="仿宋"/>
                <w:color w:val="auto"/>
                <w:sz w:val="24"/>
                <w:highlight w:val="none"/>
                <w:u w:val="single"/>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仿宋" w:hAnsi="仿宋" w:eastAsia="仿宋" w:cs="仿宋"/>
                <w:color w:val="auto"/>
                <w:sz w:val="24"/>
                <w:highlight w:val="none"/>
              </w:rPr>
              <w:t>。</w:t>
            </w:r>
            <w:bookmarkEnd w:id="87"/>
          </w:p>
          <w:p w14:paraId="7EBE6539">
            <w:pPr>
              <w:spacing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7.偏离认定说明</w:t>
            </w:r>
          </w:p>
          <w:p w14:paraId="2FEF8E0A">
            <w:pPr>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投标人根据采购需求中技术参数为基准，填写响应表，对于响应表或证明材料与技术参数不符的，按如下规定：</w:t>
            </w:r>
          </w:p>
          <w:p w14:paraId="4D487585">
            <w:pPr>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实质性参数要求提交证明材料的，证明材料没有体现响应表中响应的内容的或未提供证明材料的，视为无效响应。非实质性参数要求提交证明材料的，证明材料没有体现响应表中响应的内容的或未提供证明材料的，视为负偏离。</w:t>
            </w:r>
          </w:p>
          <w:p w14:paraId="03C723F8">
            <w:pPr>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（2）响应表中响应的内容与证明材料不一致的，以证明材料为准作为评审依据。</w:t>
            </w:r>
          </w:p>
          <w:p w14:paraId="25176A4F">
            <w:pPr>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（3）同时出现以上两种情况的，按照（1）-（2）顺序认定。</w:t>
            </w:r>
          </w:p>
          <w:p w14:paraId="1E041FBA">
            <w:pPr>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（4）响应表与采购需求中技术参数比较有漏项的，如为实质性参数漏项，视为未响应；如为非实质性参数漏项，视为负偏离。</w:t>
            </w:r>
          </w:p>
          <w:p w14:paraId="4DF5F1C8">
            <w:pPr>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（5）一项技术参数有多条小项要求的，必须全部响应。如只响应部分参数，视为漏项，按照（4）判定。评审时以每一条技术参数为评审依据。</w:t>
            </w:r>
          </w:p>
          <w:p w14:paraId="45E996E0">
            <w:pPr>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6）对于区间涵盖值参数，例：电压“测量范围3V-5V”，同时满足下限值更低及上限值更高才视为正偏离，例：响应为“测量范围2V-6V”。如有一端负偏离，不管另一端如何，均视为负偏离，例：响应为“测量范围4V-6V”。</w:t>
            </w:r>
          </w:p>
          <w:p w14:paraId="2A9294AF">
            <w:pPr>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7）对于区间任意值参数，例“5mm≤间距≤10mm”或“间距7.5±2.5mm”，若间距响应值为5mm-10mm中任意区间值或任意一个数值（含本数）时为无偏离，例：“6mm≤间距≤8mm”、“8±2mm”、“8mm”。超过区间范围视为负偏离，例：“3mm≤间距≤12mm”、“8±4mm”、“3-12mm”、“3mm”。此类参数不存在正偏离。</w:t>
            </w:r>
          </w:p>
          <w:p w14:paraId="7D188A7E">
            <w:pPr>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（8）对于单边任意参数的要求，例“长度≥50cm”，若响应为50 cm均视为无偏离；若50cm以上任意一个数值，视为正偏离；若响应小于50cm，视为负偏离。</w:t>
            </w:r>
          </w:p>
          <w:p w14:paraId="7B06C5E6">
            <w:pPr>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（9）如采购需求中技术参数有特殊要求与上述说明不一致的，以特殊要求为准。</w:t>
            </w:r>
          </w:p>
        </w:tc>
      </w:tr>
    </w:tbl>
    <w:p w14:paraId="6FE6A3DA">
      <w:pPr>
        <w:snapToGrid w:val="0"/>
        <w:rPr>
          <w:rFonts w:hint="eastAsia" w:ascii="仿宋" w:hAnsi="仿宋" w:eastAsia="仿宋" w:cs="仿宋"/>
          <w:color w:val="auto"/>
          <w:sz w:val="24"/>
          <w:szCs w:val="20"/>
          <w:highlight w:val="none"/>
        </w:rPr>
      </w:pPr>
    </w:p>
    <w:p w14:paraId="1A88CF2C">
      <w:pPr>
        <w:jc w:val="center"/>
        <w:outlineLvl w:val="1"/>
        <w:rPr>
          <w:rFonts w:hint="eastAsia" w:ascii="仿宋" w:hAnsi="仿宋" w:eastAsia="仿宋" w:cs="仿宋"/>
          <w:color w:val="auto"/>
          <w:highlight w:val="none"/>
        </w:rPr>
      </w:pPr>
      <w:r>
        <w:rPr>
          <w:rFonts w:hint="eastAsia" w:ascii="仿宋" w:hAnsi="仿宋" w:eastAsia="仿宋" w:cs="仿宋"/>
          <w:color w:val="auto"/>
          <w:sz w:val="24"/>
          <w:szCs w:val="20"/>
          <w:highlight w:val="none"/>
        </w:rPr>
        <w:br w:type="page"/>
      </w:r>
      <w:bookmarkStart w:id="88" w:name="_Toc11898"/>
      <w:bookmarkStart w:id="89" w:name="_Toc11867"/>
      <w:r>
        <w:rPr>
          <w:rFonts w:hint="eastAsia" w:ascii="仿宋" w:hAnsi="仿宋" w:eastAsia="仿宋" w:cs="仿宋"/>
          <w:color w:val="auto"/>
          <w:sz w:val="36"/>
          <w:szCs w:val="36"/>
          <w:highlight w:val="none"/>
        </w:rPr>
        <w:t>投标人须知正文</w:t>
      </w:r>
      <w:bookmarkEnd w:id="88"/>
      <w:bookmarkEnd w:id="89"/>
    </w:p>
    <w:p w14:paraId="7B778D9A">
      <w:pPr>
        <w:pStyle w:val="4"/>
        <w:keepNext w:val="0"/>
        <w:keepLines w:val="0"/>
        <w:jc w:val="center"/>
        <w:rPr>
          <w:rFonts w:hint="eastAsia" w:ascii="仿宋" w:hAnsi="仿宋" w:eastAsia="仿宋" w:cs="仿宋"/>
          <w:color w:val="auto"/>
          <w:highlight w:val="none"/>
        </w:rPr>
      </w:pPr>
      <w:r>
        <w:rPr>
          <w:rFonts w:hint="eastAsia" w:ascii="仿宋" w:hAnsi="仿宋" w:eastAsia="仿宋" w:cs="仿宋"/>
          <w:color w:val="auto"/>
          <w:highlight w:val="none"/>
        </w:rPr>
        <w:t>一、总  则</w:t>
      </w:r>
    </w:p>
    <w:p w14:paraId="041736A7">
      <w:pPr>
        <w:pStyle w:val="5"/>
        <w:keepNext w:val="0"/>
        <w:keepLines w:val="0"/>
        <w:spacing w:before="0" w:after="0" w:line="360" w:lineRule="auto"/>
        <w:ind w:left="420" w:leftChars="200"/>
        <w:rPr>
          <w:rFonts w:hint="eastAsia" w:ascii="仿宋" w:hAnsi="仿宋" w:eastAsia="仿宋" w:cs="仿宋"/>
          <w:color w:val="auto"/>
          <w:sz w:val="24"/>
          <w:highlight w:val="none"/>
        </w:rPr>
      </w:pPr>
      <w:bookmarkStart w:id="90" w:name="_Toc254970668"/>
      <w:bookmarkStart w:id="91" w:name="_Toc254970527"/>
      <w:r>
        <w:rPr>
          <w:rFonts w:hint="eastAsia" w:ascii="仿宋" w:hAnsi="仿宋" w:eastAsia="仿宋" w:cs="仿宋"/>
          <w:color w:val="auto"/>
          <w:sz w:val="24"/>
          <w:highlight w:val="none"/>
        </w:rPr>
        <w:t>1.适用范围</w:t>
      </w:r>
      <w:bookmarkEnd w:id="90"/>
      <w:bookmarkEnd w:id="91"/>
    </w:p>
    <w:p w14:paraId="4069A51C">
      <w:pPr>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570AB2EA">
      <w:pPr>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1.2本招标文件</w:t>
      </w:r>
      <w:r>
        <w:rPr>
          <w:rFonts w:hint="eastAsia" w:ascii="仿宋" w:hAnsi="仿宋" w:eastAsia="仿宋" w:cs="仿宋"/>
          <w:color w:val="auto"/>
          <w:spacing w:val="-6"/>
          <w:sz w:val="24"/>
          <w:highlight w:val="none"/>
        </w:rPr>
        <w:t>适用于本项目的所有采购程序和环节（法律、法规另有规定的，从其规定）。</w:t>
      </w:r>
    </w:p>
    <w:p w14:paraId="5E04CC2C">
      <w:pPr>
        <w:pStyle w:val="5"/>
        <w:keepNext w:val="0"/>
        <w:keepLines w:val="0"/>
        <w:spacing w:before="0" w:after="0" w:line="360" w:lineRule="auto"/>
        <w:ind w:left="420" w:leftChars="200"/>
        <w:rPr>
          <w:rFonts w:hint="eastAsia" w:ascii="仿宋" w:hAnsi="仿宋" w:eastAsia="仿宋" w:cs="仿宋"/>
          <w:color w:val="auto"/>
          <w:sz w:val="24"/>
          <w:highlight w:val="none"/>
        </w:rPr>
      </w:pPr>
      <w:bookmarkStart w:id="92" w:name="_Toc254970528"/>
      <w:bookmarkStart w:id="93" w:name="_Toc254970669"/>
      <w:r>
        <w:rPr>
          <w:rFonts w:hint="eastAsia" w:ascii="仿宋" w:hAnsi="仿宋" w:eastAsia="仿宋" w:cs="仿宋"/>
          <w:color w:val="auto"/>
          <w:sz w:val="24"/>
          <w:highlight w:val="none"/>
        </w:rPr>
        <w:t>2.定义</w:t>
      </w:r>
      <w:bookmarkEnd w:id="92"/>
      <w:bookmarkEnd w:id="93"/>
    </w:p>
    <w:p w14:paraId="5580E81B">
      <w:pPr>
        <w:pStyle w:val="5"/>
        <w:keepNext w:val="0"/>
        <w:keepLines w:val="0"/>
        <w:spacing w:before="0" w:after="0" w:line="360" w:lineRule="auto"/>
        <w:ind w:left="420" w:leftChars="20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2.1“采购人”是指依法进行政府采购的国家机关、事业单位、团体组织。</w:t>
      </w:r>
    </w:p>
    <w:p w14:paraId="540BA1ED">
      <w:pPr>
        <w:pStyle w:val="5"/>
        <w:keepNext w:val="0"/>
        <w:keepLines w:val="0"/>
        <w:spacing w:before="0" w:after="0" w:line="360" w:lineRule="auto"/>
        <w:ind w:left="420" w:leftChars="20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2.2“采购代理机构”是指政府采购代理机构（以下简称采购代理机构）是指集中采购机构以外、受采购人委托从事政府采购代理业务的社会中介机构。</w:t>
      </w:r>
    </w:p>
    <w:p w14:paraId="585C7AD8">
      <w:pPr>
        <w:pStyle w:val="5"/>
        <w:keepNext w:val="0"/>
        <w:keepLines w:val="0"/>
        <w:spacing w:before="0" w:after="0" w:line="360" w:lineRule="auto"/>
        <w:ind w:left="420" w:leftChars="20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2.3“供应商”是指向采购人提供货物、工程或者服务的法人、其他组织或者自然人。</w:t>
      </w:r>
    </w:p>
    <w:p w14:paraId="1C0C0C83">
      <w:pPr>
        <w:pStyle w:val="6"/>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2.4“投标人”是指响应招标、参加投标竞争的法人、非法人组织或者自然人。</w:t>
      </w:r>
    </w:p>
    <w:p w14:paraId="202BF657">
      <w:pPr>
        <w:pStyle w:val="5"/>
        <w:keepNext w:val="0"/>
        <w:keepLines w:val="0"/>
        <w:spacing w:before="0" w:after="0" w:line="360" w:lineRule="auto"/>
        <w:ind w:firstLine="480" w:firstLineChars="20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2.5“货物”是指各种形态和种类的物品，包括原材料、燃料、设备、产品等。</w:t>
      </w:r>
    </w:p>
    <w:p w14:paraId="65FD3F4F">
      <w:pPr>
        <w:pStyle w:val="5"/>
        <w:keepNext w:val="0"/>
        <w:keepLines w:val="0"/>
        <w:spacing w:before="0" w:after="0" w:line="360" w:lineRule="auto"/>
        <w:ind w:firstLine="480" w:firstLineChars="20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2.6“售后服务” 是指商品出售以后所提供的各种服务，包含但不限于投标人须承担的备品备件、包装、运输、装卸、保险、货到就位以及安装、调试、培训、保修以及其他各种服务。</w:t>
      </w:r>
    </w:p>
    <w:p w14:paraId="43F0DD00">
      <w:pPr>
        <w:pStyle w:val="5"/>
        <w:keepNext w:val="0"/>
        <w:keepLines w:val="0"/>
        <w:numPr>
          <w:ilvl w:val="0"/>
          <w:numId w:val="0"/>
        </w:numPr>
        <w:spacing w:before="0" w:after="0" w:line="360" w:lineRule="auto"/>
        <w:ind w:firstLine="484" w:firstLineChars="202"/>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2.7“书面形式”是指合同书、信件和数据电文（包括电报、电传、传真、电子数据交换和电子邮件）等可以有形地表现所载内容的形式。</w:t>
      </w:r>
    </w:p>
    <w:p w14:paraId="0EF952E9">
      <w:pPr>
        <w:pStyle w:val="5"/>
        <w:keepNext w:val="0"/>
        <w:keepLines w:val="0"/>
        <w:spacing w:before="0" w:after="0" w:line="360" w:lineRule="auto"/>
        <w:ind w:firstLine="480" w:firstLineChars="20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2.8“实质性要求”是指招标文件中已经指明不满足则投标无效的条款，或者不能负偏离的条款，或者采购需求中带“▲”的条款。</w:t>
      </w:r>
    </w:p>
    <w:p w14:paraId="1949BB57">
      <w:pPr>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2.9 “正偏离”，是指投标文件对招标文件“采购需求”中有关条款作出的响应优于条款基础要求并有利于采购人的情形。</w:t>
      </w:r>
    </w:p>
    <w:p w14:paraId="3BCB7D35">
      <w:pPr>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2.10“负偏离”，是指投标文件对招标文件“采购需求”中有关条款作出的响应不满足条款要求，导致采购人要求不能得到满足的情形。</w:t>
      </w:r>
    </w:p>
    <w:p w14:paraId="3AF9FEAE">
      <w:pPr>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2.11“允许负偏离的条款”是指采购需求中的不属于“实质性要求”的条款。</w:t>
      </w:r>
      <w:bookmarkStart w:id="94" w:name="_Toc254970529"/>
      <w:bookmarkStart w:id="95" w:name="_Toc254970670"/>
    </w:p>
    <w:p w14:paraId="34F3CB6A">
      <w:pPr>
        <w:pStyle w:val="5"/>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bookmarkEnd w:id="94"/>
      <w:bookmarkEnd w:id="95"/>
      <w:r>
        <w:rPr>
          <w:rFonts w:hint="eastAsia" w:ascii="仿宋" w:hAnsi="仿宋" w:eastAsia="仿宋" w:cs="仿宋"/>
          <w:color w:val="auto"/>
          <w:sz w:val="24"/>
          <w:highlight w:val="none"/>
        </w:rPr>
        <w:t>投标人的资格要求</w:t>
      </w:r>
    </w:p>
    <w:p w14:paraId="552C8E48">
      <w:pPr>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投标人的资格要求详见“投标人须知前附表”。</w:t>
      </w:r>
    </w:p>
    <w:p w14:paraId="7657F52F">
      <w:pPr>
        <w:pStyle w:val="5"/>
        <w:keepNext w:val="0"/>
        <w:keepLines w:val="0"/>
        <w:spacing w:before="0" w:after="0" w:line="360" w:lineRule="auto"/>
        <w:ind w:left="420" w:leftChars="200"/>
        <w:rPr>
          <w:rFonts w:hint="eastAsia" w:ascii="仿宋" w:hAnsi="仿宋" w:eastAsia="仿宋" w:cs="仿宋"/>
          <w:color w:val="auto"/>
          <w:sz w:val="24"/>
          <w:highlight w:val="none"/>
        </w:rPr>
      </w:pPr>
      <w:bookmarkStart w:id="96" w:name="_Toc254970530"/>
      <w:bookmarkStart w:id="97" w:name="_Toc254970671"/>
      <w:r>
        <w:rPr>
          <w:rFonts w:hint="eastAsia" w:ascii="仿宋" w:hAnsi="仿宋" w:eastAsia="仿宋" w:cs="仿宋"/>
          <w:color w:val="auto"/>
          <w:sz w:val="24"/>
          <w:highlight w:val="none"/>
        </w:rPr>
        <w:t>4.投标委托</w:t>
      </w:r>
      <w:bookmarkEnd w:id="96"/>
      <w:bookmarkEnd w:id="97"/>
    </w:p>
    <w:p w14:paraId="3036E930">
      <w:pPr>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投标人代表参加投标活动过程中必须持个人有效身份证件。如投标人代表不是法定代表人，须持有法定代表人授权委托书（按第六章要求格式填写）。</w:t>
      </w:r>
    </w:p>
    <w:p w14:paraId="0422B65A">
      <w:pPr>
        <w:pStyle w:val="5"/>
        <w:keepNext w:val="0"/>
        <w:keepLines w:val="0"/>
        <w:spacing w:before="0" w:after="0" w:line="360" w:lineRule="auto"/>
        <w:ind w:left="420" w:leftChars="200"/>
        <w:rPr>
          <w:rFonts w:hint="eastAsia" w:ascii="仿宋" w:hAnsi="仿宋" w:eastAsia="仿宋" w:cs="仿宋"/>
          <w:color w:val="auto"/>
          <w:sz w:val="24"/>
          <w:highlight w:val="none"/>
        </w:rPr>
      </w:pPr>
      <w:bookmarkStart w:id="98" w:name="_5.投标费用"/>
      <w:bookmarkEnd w:id="98"/>
      <w:bookmarkStart w:id="99" w:name="_Toc254970672"/>
      <w:bookmarkStart w:id="100" w:name="_Toc254970531"/>
      <w:r>
        <w:rPr>
          <w:rFonts w:hint="eastAsia" w:ascii="仿宋" w:hAnsi="仿宋" w:eastAsia="仿宋" w:cs="仿宋"/>
          <w:color w:val="auto"/>
          <w:sz w:val="24"/>
          <w:highlight w:val="none"/>
        </w:rPr>
        <w:t>5.投标费用</w:t>
      </w:r>
      <w:bookmarkEnd w:id="99"/>
      <w:bookmarkEnd w:id="100"/>
    </w:p>
    <w:p w14:paraId="17BF7A98">
      <w:pPr>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投标费用：投标人应承担参与本次采购活动有关的所有费用，包括但不限于获取招标文件、勘查现场、编制和提交投标文件、参加澄清说明、签订合同等，不论投标结果如何，均应自行承担。</w:t>
      </w:r>
    </w:p>
    <w:p w14:paraId="3419DD7E">
      <w:pPr>
        <w:pStyle w:val="5"/>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6.联合体投标</w:t>
      </w:r>
    </w:p>
    <w:p w14:paraId="0BD4825F">
      <w:pPr>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6.1本项目是否接受联合体投标，详见“投标人须知前附表”。</w:t>
      </w:r>
    </w:p>
    <w:p w14:paraId="72F927A8">
      <w:pPr>
        <w:snapToGrid w:val="0"/>
        <w:spacing w:line="360" w:lineRule="auto"/>
        <w:ind w:firstLine="480" w:firstLineChars="20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6.2如接受联合体投标，联合体投标要求详见“投标人须知前附表”。</w:t>
      </w:r>
    </w:p>
    <w:p w14:paraId="18395E86">
      <w:pPr>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bCs/>
          <w:color w:val="auto"/>
          <w:sz w:val="24"/>
          <w:highlight w:val="none"/>
        </w:rPr>
        <w:t>6.3根据《政府采购促进中小企业发展管理办法》以及广西壮族自治区财政厅关于贯彻落实政府采购支持中小企业发展政策的通知（桂财采〔2022〕31号）规定，“鼓励大中型企业和其他自然人、法人或者其他组织与小型、微型企业组成联合体共同参加非专门面向中小企业的政府采购活动。联合协议中约定，小型、微型企业的协议合同金额占到联合体协议合同总金额30%以上的，可给予联合体4%-6%的价格扣除。联合体各方均为小型、微型企业的，联合体视同为小型、微型企业享受本办法第四条、第五条规定的扶持政策。组成联合体的大中型企业和其他自然人、法人或者其他组织，与小型、微型企业之间不得存在投资关系。”</w:t>
      </w:r>
    </w:p>
    <w:p w14:paraId="5B2471E3">
      <w:pPr>
        <w:pStyle w:val="5"/>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7.转包与分包</w:t>
      </w:r>
    </w:p>
    <w:p w14:paraId="31F0F1FE">
      <w:pPr>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7.1本项目不允许转包。</w:t>
      </w:r>
    </w:p>
    <w:p w14:paraId="4CAED4EB">
      <w:pPr>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7.2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49B96A07">
      <w:pPr>
        <w:pStyle w:val="5"/>
        <w:keepNext w:val="0"/>
        <w:keepLines w:val="0"/>
        <w:spacing w:before="0" w:after="0" w:line="360" w:lineRule="auto"/>
        <w:ind w:left="420" w:leftChars="200"/>
        <w:rPr>
          <w:rFonts w:hint="eastAsia" w:ascii="仿宋" w:hAnsi="仿宋" w:eastAsia="仿宋" w:cs="仿宋"/>
          <w:color w:val="auto"/>
          <w:sz w:val="24"/>
          <w:highlight w:val="none"/>
        </w:rPr>
      </w:pPr>
      <w:bookmarkStart w:id="101" w:name="_Toc254970673"/>
      <w:bookmarkStart w:id="102" w:name="_Toc254970532"/>
      <w:r>
        <w:rPr>
          <w:rFonts w:hint="eastAsia" w:ascii="仿宋" w:hAnsi="仿宋" w:eastAsia="仿宋" w:cs="仿宋"/>
          <w:color w:val="auto"/>
          <w:sz w:val="24"/>
          <w:highlight w:val="none"/>
        </w:rPr>
        <w:t>8.特别说明：</w:t>
      </w:r>
      <w:bookmarkEnd w:id="101"/>
      <w:bookmarkEnd w:id="102"/>
    </w:p>
    <w:p w14:paraId="011B9F2D">
      <w:pPr>
        <w:spacing w:line="360" w:lineRule="auto"/>
        <w:ind w:firstLine="482" w:firstLineChars="200"/>
        <w:rPr>
          <w:rFonts w:hint="eastAsia" w:ascii="仿宋" w:hAnsi="仿宋" w:eastAsia="仿宋" w:cs="仿宋"/>
          <w:b/>
          <w:bCs/>
          <w:color w:val="auto"/>
          <w:sz w:val="24"/>
          <w:highlight w:val="none"/>
        </w:rPr>
      </w:pPr>
      <w:bookmarkStart w:id="103" w:name="_8.1提供相同品牌产品且通过资格审查、符合性审查的不同投标人参加同一合"/>
      <w:bookmarkEnd w:id="103"/>
      <w:r>
        <w:rPr>
          <w:rFonts w:hint="eastAsia" w:ascii="仿宋" w:hAnsi="仿宋" w:eastAsia="仿宋" w:cs="仿宋"/>
          <w:b/>
          <w:bCs/>
          <w:color w:val="auto"/>
          <w:sz w:val="24"/>
          <w:highlight w:val="none"/>
        </w:rPr>
        <w:fldChar w:fldCharType="begin"/>
      </w:r>
      <w:r>
        <w:rPr>
          <w:rFonts w:hint="eastAsia" w:ascii="仿宋" w:hAnsi="仿宋" w:eastAsia="仿宋" w:cs="仿宋"/>
          <w:b/>
          <w:bCs/>
          <w:color w:val="auto"/>
          <w:sz w:val="24"/>
          <w:highlight w:val="none"/>
        </w:rPr>
        <w:instrText xml:space="preserve"> HYPERLINK  \l "_8.1" </w:instrText>
      </w:r>
      <w:r>
        <w:rPr>
          <w:rFonts w:hint="eastAsia" w:ascii="仿宋" w:hAnsi="仿宋" w:eastAsia="仿宋" w:cs="仿宋"/>
          <w:b/>
          <w:bCs/>
          <w:color w:val="auto"/>
          <w:sz w:val="24"/>
          <w:highlight w:val="none"/>
        </w:rPr>
        <w:fldChar w:fldCharType="separate"/>
      </w:r>
      <w:r>
        <w:rPr>
          <w:rStyle w:val="51"/>
          <w:rFonts w:hint="eastAsia" w:ascii="仿宋" w:hAnsi="仿宋" w:eastAsia="仿宋" w:cs="仿宋"/>
          <w:b/>
          <w:bCs/>
          <w:color w:val="auto"/>
          <w:sz w:val="24"/>
          <w:highlight w:val="none"/>
          <w:u w:val="none"/>
        </w:rPr>
        <w:t>8.1</w:t>
      </w:r>
      <w:r>
        <w:rPr>
          <w:rFonts w:hint="eastAsia" w:ascii="仿宋" w:hAnsi="仿宋" w:eastAsia="仿宋" w:cs="仿宋"/>
          <w:b/>
          <w:bCs/>
          <w:color w:val="auto"/>
          <w:sz w:val="24"/>
          <w:highlight w:val="none"/>
        </w:rPr>
        <w:fldChar w:fldCharType="end"/>
      </w:r>
      <w:r>
        <w:rPr>
          <w:rFonts w:hint="eastAsia" w:ascii="仿宋" w:hAnsi="仿宋" w:eastAsia="仿宋" w:cs="仿宋"/>
          <w:b/>
          <w:bCs/>
          <w:color w:val="auto"/>
          <w:sz w:val="24"/>
          <w:highlight w:val="none"/>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562D63DC">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非单一产品采购项目，多家投标人提供的核心产品品牌相同的，按前款规定处理。</w:t>
      </w:r>
    </w:p>
    <w:p w14:paraId="16B67472">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8.2如果本招标文件要求投标人提供资格、信誉、荣誉、业绩与企业认证等材料的，则投标人所提供的以上材料必须为投标人所拥有。</w:t>
      </w:r>
    </w:p>
    <w:p w14:paraId="50610DC2">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8.3投标人应仔细阅读招标文件的所有内容，按照招标文件的要求提交投标文件，并对所提供的全部资料的真实性承担法律责任。</w:t>
      </w:r>
    </w:p>
    <w:p w14:paraId="5077A0A4">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8.4投标人在投标活动中提供任何虚假材料，将报监管部门查处；中标后发现的，中标人须依照《中华人民共和国消费者权益保护法》规定赔偿采购人，且民事赔偿并不免除违法投标人的行政与刑事责任。</w:t>
      </w:r>
    </w:p>
    <w:p w14:paraId="65B964AA">
      <w:pPr>
        <w:pStyle w:val="5"/>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9.回避与串通投标</w:t>
      </w:r>
    </w:p>
    <w:p w14:paraId="61B2F66D">
      <w:pPr>
        <w:pStyle w:val="5"/>
        <w:keepNext w:val="0"/>
        <w:keepLines w:val="0"/>
        <w:spacing w:before="0" w:after="0" w:line="360" w:lineRule="auto"/>
        <w:ind w:firstLine="422" w:firstLineChars="175"/>
        <w:rPr>
          <w:rFonts w:hint="eastAsia" w:ascii="仿宋" w:hAnsi="仿宋" w:eastAsia="仿宋" w:cs="仿宋"/>
          <w:color w:val="auto"/>
          <w:sz w:val="24"/>
          <w:highlight w:val="none"/>
        </w:rPr>
      </w:pPr>
      <w:r>
        <w:rPr>
          <w:rFonts w:hint="eastAsia" w:ascii="仿宋" w:hAnsi="仿宋" w:eastAsia="仿宋" w:cs="仿宋"/>
          <w:color w:val="auto"/>
          <w:sz w:val="24"/>
          <w:highlight w:val="none"/>
        </w:rPr>
        <w:t>9.1在政府采购活动中，采购人员及相关人员与供应商有下列利害关系之一的，应当回避：</w:t>
      </w:r>
    </w:p>
    <w:p w14:paraId="4B6D202F">
      <w:pPr>
        <w:pStyle w:val="23"/>
        <w:snapToGrid w:val="0"/>
        <w:spacing w:line="360" w:lineRule="auto"/>
        <w:ind w:left="2" w:leftChars="1" w:firstLine="482" w:firstLineChars="200"/>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（1）参加采购活动前3年内与供应商存在劳动关系；</w:t>
      </w:r>
    </w:p>
    <w:p w14:paraId="2C62B33C">
      <w:pPr>
        <w:pStyle w:val="23"/>
        <w:snapToGrid w:val="0"/>
        <w:spacing w:line="360" w:lineRule="auto"/>
        <w:ind w:left="2" w:leftChars="1" w:firstLine="482" w:firstLineChars="200"/>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（2）参加采购活动前3年内担任供应商的董事、监事；</w:t>
      </w:r>
    </w:p>
    <w:p w14:paraId="273D17BA">
      <w:pPr>
        <w:pStyle w:val="23"/>
        <w:snapToGrid w:val="0"/>
        <w:spacing w:line="360" w:lineRule="auto"/>
        <w:ind w:left="2" w:leftChars="1" w:firstLine="482" w:firstLineChars="200"/>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（3）参加采购活动前3年内是供应商的控股股东或者实际控制人；</w:t>
      </w:r>
    </w:p>
    <w:p w14:paraId="27F68D62">
      <w:pPr>
        <w:pStyle w:val="23"/>
        <w:snapToGrid w:val="0"/>
        <w:spacing w:line="360" w:lineRule="auto"/>
        <w:ind w:left="2" w:leftChars="1" w:firstLine="482" w:firstLineChars="200"/>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（4）与供应商的法定代表人或者负责人有夫妻、直系血亲、三代以内旁系血亲或者近姻亲关系；</w:t>
      </w:r>
    </w:p>
    <w:p w14:paraId="7184C8FF">
      <w:pPr>
        <w:pStyle w:val="23"/>
        <w:snapToGrid w:val="0"/>
        <w:spacing w:line="360" w:lineRule="auto"/>
        <w:ind w:left="2" w:leftChars="1" w:firstLine="482" w:firstLineChars="200"/>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（5）与供应商有其他可能影响政府采购活动公平、公正进行的关系。</w:t>
      </w:r>
    </w:p>
    <w:p w14:paraId="195545C2">
      <w:pPr>
        <w:pStyle w:val="23"/>
        <w:snapToGrid w:val="0"/>
        <w:spacing w:line="360" w:lineRule="auto"/>
        <w:ind w:left="2" w:leftChars="1" w:firstLine="482" w:firstLineChars="200"/>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26D06177">
      <w:pPr>
        <w:pStyle w:val="5"/>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9.2有下列情形之一的视为投标人相互串通投标，投标文件将被视为无效：</w:t>
      </w:r>
    </w:p>
    <w:p w14:paraId="1F55DEB3">
      <w:pPr>
        <w:pStyle w:val="23"/>
        <w:snapToGrid w:val="0"/>
        <w:spacing w:line="360" w:lineRule="auto"/>
        <w:ind w:left="2" w:leftChars="1" w:firstLine="482" w:firstLineChars="200"/>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（1）不同投标人的投标文件由同一单位或者个人编制；或者不同投标人报名的IP地址一致的；或者编制标书硬件设备CPU编号、硬盘编号、网卡地址一致的情况；</w:t>
      </w:r>
    </w:p>
    <w:p w14:paraId="1ECFDC01">
      <w:pPr>
        <w:pStyle w:val="23"/>
        <w:snapToGrid w:val="0"/>
        <w:spacing w:line="360" w:lineRule="auto"/>
        <w:ind w:left="2" w:leftChars="1" w:firstLine="482" w:firstLineChars="200"/>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（2）不同投标人委托同一单位或者个人办理投标事宜；</w:t>
      </w:r>
    </w:p>
    <w:p w14:paraId="07CE5852">
      <w:pPr>
        <w:pStyle w:val="23"/>
        <w:snapToGrid w:val="0"/>
        <w:spacing w:line="360" w:lineRule="auto"/>
        <w:ind w:left="2" w:leftChars="1" w:firstLine="482" w:firstLineChars="200"/>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（3）不同的投标人的投标文件载明的项目管理员为同一个人；</w:t>
      </w:r>
    </w:p>
    <w:p w14:paraId="31D2EB78">
      <w:pPr>
        <w:pStyle w:val="23"/>
        <w:snapToGrid w:val="0"/>
        <w:spacing w:line="360" w:lineRule="auto"/>
        <w:ind w:left="2" w:leftChars="1" w:firstLine="482" w:firstLineChars="200"/>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（4）不同投标人的投标文件异常一致或者投标报价呈规律性差异；</w:t>
      </w:r>
    </w:p>
    <w:p w14:paraId="29CA0E45">
      <w:pPr>
        <w:pStyle w:val="23"/>
        <w:snapToGrid w:val="0"/>
        <w:spacing w:line="360" w:lineRule="auto"/>
        <w:ind w:left="2" w:leftChars="1" w:firstLine="482" w:firstLineChars="200"/>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（5）不同投标人的投标文件相互混装；</w:t>
      </w:r>
    </w:p>
    <w:p w14:paraId="2C508C7E">
      <w:pPr>
        <w:pStyle w:val="23"/>
        <w:snapToGrid w:val="0"/>
        <w:spacing w:line="360" w:lineRule="auto"/>
        <w:ind w:left="2" w:leftChars="1" w:firstLine="482" w:firstLineChars="200"/>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（6）不同投标人的投标保证金从同一单位或者个人账户转出。</w:t>
      </w:r>
    </w:p>
    <w:p w14:paraId="400063FB">
      <w:pPr>
        <w:pStyle w:val="5"/>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9.3供应商有下列情形之一的，属于恶意串通行为，将报同级监督管理部门：</w:t>
      </w:r>
    </w:p>
    <w:p w14:paraId="7A95675B">
      <w:pPr>
        <w:pStyle w:val="23"/>
        <w:snapToGrid w:val="0"/>
        <w:spacing w:line="360" w:lineRule="auto"/>
        <w:ind w:left="2" w:leftChars="1" w:firstLine="482" w:firstLineChars="200"/>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（1）供应商直接或者间接从采购人或者采购代理机构处获得其他供应商的相关信息并修改其投标文件或者响应文件；</w:t>
      </w:r>
    </w:p>
    <w:p w14:paraId="04B47C5C">
      <w:pPr>
        <w:pStyle w:val="23"/>
        <w:snapToGrid w:val="0"/>
        <w:spacing w:line="360" w:lineRule="auto"/>
        <w:ind w:left="2" w:leftChars="1" w:firstLine="482" w:firstLineChars="200"/>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（2）供应商按照采购人或者采购代理机构的授意撤换、修改投标文件或者响应文件；</w:t>
      </w:r>
    </w:p>
    <w:p w14:paraId="2712C4C4">
      <w:pPr>
        <w:pStyle w:val="23"/>
        <w:snapToGrid w:val="0"/>
        <w:spacing w:line="360" w:lineRule="auto"/>
        <w:ind w:left="2" w:leftChars="1" w:firstLine="482" w:firstLineChars="200"/>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（3）供应商之间协商报价、技术方案等投标文件或者响应文件的实质性内容；</w:t>
      </w:r>
    </w:p>
    <w:p w14:paraId="4F1D675C">
      <w:pPr>
        <w:pStyle w:val="23"/>
        <w:snapToGrid w:val="0"/>
        <w:spacing w:line="360" w:lineRule="auto"/>
        <w:ind w:left="2" w:leftChars="1" w:firstLine="482" w:firstLineChars="200"/>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（4）属于同一集团、协会、商会等组织成员的供应商按照该组织要求协同参加政府采购活动；</w:t>
      </w:r>
    </w:p>
    <w:p w14:paraId="200994F4">
      <w:pPr>
        <w:pStyle w:val="23"/>
        <w:snapToGrid w:val="0"/>
        <w:spacing w:line="360" w:lineRule="auto"/>
        <w:ind w:left="2" w:leftChars="1" w:firstLine="482" w:firstLineChars="200"/>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（5）供应商之间事先约定一致抬高或者压低投标报价，或者在招标项目中事先约定轮流以高价位或者低价位中标，或者事先约定由某一特定供应商中标，然后再参加投标；</w:t>
      </w:r>
    </w:p>
    <w:p w14:paraId="4EB26558">
      <w:pPr>
        <w:pStyle w:val="23"/>
        <w:snapToGrid w:val="0"/>
        <w:spacing w:line="360" w:lineRule="auto"/>
        <w:ind w:left="2" w:leftChars="1" w:firstLine="482" w:firstLineChars="200"/>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（6）供应商之间商定部分供应商放弃参加政府采购活动或者放弃中标；</w:t>
      </w:r>
    </w:p>
    <w:p w14:paraId="26107CFA">
      <w:pPr>
        <w:pStyle w:val="23"/>
        <w:snapToGrid w:val="0"/>
        <w:spacing w:line="360" w:lineRule="auto"/>
        <w:ind w:left="2" w:leftChars="1" w:firstLine="482" w:firstLineChars="200"/>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（7）供应商与采购人或者采购代理机构之间、供应商相互之间，为谋求特定供应商中标或者排斥其他供应商的其他串通行为。</w:t>
      </w:r>
    </w:p>
    <w:p w14:paraId="1C48BC7E">
      <w:pPr>
        <w:pStyle w:val="23"/>
        <w:snapToGrid w:val="0"/>
        <w:spacing w:line="360" w:lineRule="auto"/>
        <w:ind w:left="2" w:leftChars="1" w:firstLine="482" w:firstLineChars="200"/>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br w:type="column"/>
      </w:r>
    </w:p>
    <w:p w14:paraId="38148074">
      <w:pPr>
        <w:pStyle w:val="4"/>
        <w:keepNext w:val="0"/>
        <w:keepLines w:val="0"/>
        <w:jc w:val="center"/>
        <w:rPr>
          <w:rFonts w:hint="eastAsia" w:ascii="仿宋" w:hAnsi="仿宋" w:eastAsia="仿宋" w:cs="仿宋"/>
          <w:color w:val="auto"/>
          <w:sz w:val="24"/>
          <w:szCs w:val="24"/>
          <w:highlight w:val="none"/>
        </w:rPr>
      </w:pPr>
      <w:bookmarkStart w:id="104" w:name="_Toc254970534"/>
      <w:bookmarkStart w:id="105" w:name="_Toc254970675"/>
      <w:r>
        <w:rPr>
          <w:rFonts w:hint="eastAsia" w:ascii="仿宋" w:hAnsi="仿宋" w:eastAsia="仿宋" w:cs="仿宋"/>
          <w:color w:val="auto"/>
          <w:sz w:val="24"/>
          <w:szCs w:val="24"/>
          <w:highlight w:val="none"/>
        </w:rPr>
        <w:t>二、招标文件</w:t>
      </w:r>
      <w:bookmarkEnd w:id="104"/>
      <w:bookmarkEnd w:id="105"/>
    </w:p>
    <w:p w14:paraId="19FD620C">
      <w:pPr>
        <w:pStyle w:val="5"/>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10.招标文件的组成</w:t>
      </w:r>
    </w:p>
    <w:p w14:paraId="0483226F">
      <w:pPr>
        <w:snapToGrid w:val="0"/>
        <w:spacing w:line="360" w:lineRule="auto"/>
        <w:ind w:firstLine="42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10.1招标公告；</w:t>
      </w:r>
    </w:p>
    <w:p w14:paraId="73DA88BE">
      <w:pPr>
        <w:snapToGrid w:val="0"/>
        <w:spacing w:line="360" w:lineRule="auto"/>
        <w:ind w:firstLine="42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10.2采购需求； </w:t>
      </w:r>
    </w:p>
    <w:p w14:paraId="05DF608C">
      <w:pPr>
        <w:snapToGrid w:val="0"/>
        <w:spacing w:line="360" w:lineRule="auto"/>
        <w:ind w:firstLine="42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10.3投标人须知；</w:t>
      </w:r>
    </w:p>
    <w:p w14:paraId="34E6BDEB">
      <w:pPr>
        <w:snapToGrid w:val="0"/>
        <w:spacing w:line="360" w:lineRule="auto"/>
        <w:ind w:firstLine="42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10.4评标方法及评标标准；</w:t>
      </w:r>
    </w:p>
    <w:p w14:paraId="2CBE4D92">
      <w:pPr>
        <w:snapToGrid w:val="0"/>
        <w:spacing w:line="360" w:lineRule="auto"/>
        <w:ind w:firstLine="42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10.5拟签订的合同文本；</w:t>
      </w:r>
    </w:p>
    <w:p w14:paraId="7B26954C">
      <w:pPr>
        <w:snapToGrid w:val="0"/>
        <w:spacing w:line="360" w:lineRule="auto"/>
        <w:ind w:firstLine="42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10.6投标文件格式。</w:t>
      </w:r>
    </w:p>
    <w:p w14:paraId="0EDEC439">
      <w:pPr>
        <w:pStyle w:val="5"/>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11.招标文件的澄清、修改 、现场考察和答疑会</w:t>
      </w:r>
    </w:p>
    <w:p w14:paraId="7209D77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764811A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11.3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投标人应当按照桂财采【2007】65号文件第二十九条规定，在澄清或者修改通知发出后24小时内以书面形式进行确认（采用网上下载招标文件形式的除外），否则视为已经收到。</w:t>
      </w:r>
    </w:p>
    <w:p w14:paraId="23BAB1A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11.2</w:t>
      </w:r>
      <w:bookmarkStart w:id="106" w:name="_Hlk53134511"/>
      <w:r>
        <w:rPr>
          <w:rFonts w:hint="eastAsia" w:ascii="仿宋" w:hAnsi="仿宋" w:eastAsia="仿宋" w:cs="仿宋"/>
          <w:color w:val="auto"/>
          <w:sz w:val="24"/>
          <w:highlight w:val="none"/>
        </w:rPr>
        <w:t>采购人或者采购代理机构可以在招标文件提供期限截止后，组织已获取招标文件的潜在投标人现场考察或者召开开标前答疑会，具体详见“投标人须知前附表”。</w:t>
      </w:r>
    </w:p>
    <w:p w14:paraId="2ED4FAB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column"/>
      </w:r>
    </w:p>
    <w:bookmarkEnd w:id="106"/>
    <w:p w14:paraId="4D626F5F">
      <w:pPr>
        <w:pStyle w:val="4"/>
        <w:keepNext w:val="0"/>
        <w:keepLines w:val="0"/>
        <w:jc w:val="center"/>
        <w:rPr>
          <w:rFonts w:hint="eastAsia" w:ascii="仿宋" w:hAnsi="仿宋" w:eastAsia="仿宋" w:cs="仿宋"/>
          <w:color w:val="auto"/>
          <w:sz w:val="24"/>
          <w:szCs w:val="24"/>
          <w:highlight w:val="none"/>
        </w:rPr>
      </w:pPr>
      <w:bookmarkStart w:id="107" w:name="_Toc254970535"/>
      <w:bookmarkStart w:id="108" w:name="_Toc254970676"/>
      <w:r>
        <w:rPr>
          <w:rFonts w:hint="eastAsia" w:ascii="仿宋" w:hAnsi="仿宋" w:eastAsia="仿宋" w:cs="仿宋"/>
          <w:color w:val="auto"/>
          <w:sz w:val="24"/>
          <w:szCs w:val="24"/>
          <w:highlight w:val="none"/>
        </w:rPr>
        <w:t>三、投标文件的编制</w:t>
      </w:r>
      <w:bookmarkEnd w:id="107"/>
      <w:bookmarkEnd w:id="108"/>
    </w:p>
    <w:p w14:paraId="06AFC47F">
      <w:pPr>
        <w:pStyle w:val="5"/>
        <w:keepNext w:val="0"/>
        <w:keepLines w:val="0"/>
        <w:spacing w:before="0" w:after="0" w:line="360" w:lineRule="auto"/>
        <w:ind w:left="420" w:leftChars="200"/>
        <w:rPr>
          <w:rFonts w:hint="eastAsia" w:ascii="仿宋" w:hAnsi="仿宋" w:eastAsia="仿宋" w:cs="仿宋"/>
          <w:color w:val="auto"/>
          <w:sz w:val="24"/>
          <w:highlight w:val="none"/>
        </w:rPr>
      </w:pPr>
      <w:bookmarkStart w:id="109" w:name="_Toc254970536"/>
      <w:bookmarkStart w:id="110" w:name="_Toc254970677"/>
      <w:bookmarkStart w:id="111" w:name="_Toc254970544"/>
      <w:bookmarkStart w:id="112" w:name="_Toc254970685"/>
      <w:r>
        <w:rPr>
          <w:rFonts w:hint="eastAsia" w:ascii="仿宋" w:hAnsi="仿宋" w:eastAsia="仿宋" w:cs="仿宋"/>
          <w:color w:val="auto"/>
          <w:sz w:val="24"/>
          <w:highlight w:val="none"/>
        </w:rPr>
        <w:t>12.投标文件的编制原则</w:t>
      </w:r>
    </w:p>
    <w:p w14:paraId="3D618FA7">
      <w:pPr>
        <w:snapToGrid w:val="0"/>
        <w:spacing w:line="360" w:lineRule="auto"/>
        <w:ind w:firstLine="42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投标人必须按照招标文件的要求编制投标文件。投标文件必须对招标文件提出的要求和条件作出明确响应。</w:t>
      </w:r>
    </w:p>
    <w:p w14:paraId="2091A44F">
      <w:pPr>
        <w:pStyle w:val="5"/>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13.投标文件的组成</w:t>
      </w:r>
      <w:bookmarkEnd w:id="109"/>
      <w:bookmarkEnd w:id="110"/>
    </w:p>
    <w:p w14:paraId="535C27DE">
      <w:pPr>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投标文件由报价文件、资格证明文件、商务文件、技术文件四部分组成。</w:t>
      </w:r>
    </w:p>
    <w:p w14:paraId="5EB7A656">
      <w:pPr>
        <w:pStyle w:val="5"/>
        <w:keepNext w:val="0"/>
        <w:keepLines w:val="0"/>
        <w:spacing w:before="0" w:after="0" w:line="360" w:lineRule="auto"/>
        <w:ind w:left="420" w:leftChars="200"/>
        <w:rPr>
          <w:rFonts w:hint="eastAsia" w:ascii="仿宋" w:hAnsi="仿宋" w:eastAsia="仿宋" w:cs="仿宋"/>
          <w:b w:val="0"/>
          <w:color w:val="auto"/>
          <w:sz w:val="24"/>
          <w:highlight w:val="none"/>
        </w:rPr>
      </w:pPr>
      <w:bookmarkStart w:id="113" w:name="_13.1报价文件:_具体材料见“投标人须知前附表”。"/>
      <w:bookmarkEnd w:id="113"/>
      <w:r>
        <w:rPr>
          <w:rFonts w:hint="eastAsia" w:ascii="仿宋" w:hAnsi="仿宋" w:eastAsia="仿宋" w:cs="仿宋"/>
          <w:b w:val="0"/>
          <w:color w:val="auto"/>
          <w:sz w:val="24"/>
          <w:highlight w:val="none"/>
        </w:rPr>
        <w:t>（1）报价文件：具体材料见“投标人须知前附表”。</w:t>
      </w:r>
    </w:p>
    <w:p w14:paraId="4EB0911A">
      <w:pPr>
        <w:pStyle w:val="5"/>
        <w:keepNext w:val="0"/>
        <w:keepLines w:val="0"/>
        <w:spacing w:before="0" w:after="0" w:line="360" w:lineRule="auto"/>
        <w:ind w:left="420" w:leftChars="200"/>
        <w:rPr>
          <w:rFonts w:hint="eastAsia" w:ascii="仿宋" w:hAnsi="仿宋" w:eastAsia="仿宋" w:cs="仿宋"/>
          <w:b w:val="0"/>
          <w:color w:val="auto"/>
          <w:sz w:val="24"/>
          <w:highlight w:val="none"/>
        </w:rPr>
      </w:pPr>
      <w:bookmarkStart w:id="114" w:name="_13.2资格证明文件：具体材料见“投标人须知前附表”。"/>
      <w:bookmarkEnd w:id="114"/>
      <w:r>
        <w:rPr>
          <w:rFonts w:hint="eastAsia" w:ascii="仿宋" w:hAnsi="仿宋" w:eastAsia="仿宋" w:cs="仿宋"/>
          <w:b w:val="0"/>
          <w:color w:val="auto"/>
          <w:sz w:val="24"/>
          <w:highlight w:val="none"/>
        </w:rPr>
        <w:t>（2）资格证明文件：具体材料见“投标人须知前附表”。</w:t>
      </w:r>
    </w:p>
    <w:p w14:paraId="68B6C3EA">
      <w:pPr>
        <w:pStyle w:val="5"/>
        <w:keepNext w:val="0"/>
        <w:keepLines w:val="0"/>
        <w:spacing w:before="0" w:after="0" w:line="360" w:lineRule="auto"/>
        <w:ind w:left="420" w:leftChars="200"/>
        <w:rPr>
          <w:rFonts w:hint="eastAsia" w:ascii="仿宋" w:hAnsi="仿宋" w:eastAsia="仿宋" w:cs="仿宋"/>
          <w:b w:val="0"/>
          <w:color w:val="auto"/>
          <w:sz w:val="24"/>
          <w:highlight w:val="none"/>
        </w:rPr>
      </w:pPr>
      <w:bookmarkStart w:id="115" w:name="_13.3商务文件:_具体材料见“投标人须知前附表”。"/>
      <w:bookmarkEnd w:id="115"/>
      <w:r>
        <w:rPr>
          <w:rFonts w:hint="eastAsia" w:ascii="仿宋" w:hAnsi="仿宋" w:eastAsia="仿宋" w:cs="仿宋"/>
          <w:b w:val="0"/>
          <w:color w:val="auto"/>
          <w:sz w:val="24"/>
          <w:highlight w:val="none"/>
        </w:rPr>
        <w:t>（3）商务文件：具体材料见“投标人须知前附表”。</w:t>
      </w:r>
    </w:p>
    <w:p w14:paraId="3BADECC4">
      <w:pPr>
        <w:pStyle w:val="5"/>
        <w:keepNext w:val="0"/>
        <w:keepLines w:val="0"/>
        <w:spacing w:before="0" w:after="0" w:line="360" w:lineRule="auto"/>
        <w:ind w:left="420" w:leftChars="200"/>
        <w:rPr>
          <w:rFonts w:hint="eastAsia" w:ascii="仿宋" w:hAnsi="仿宋" w:eastAsia="仿宋" w:cs="仿宋"/>
          <w:b w:val="0"/>
          <w:color w:val="auto"/>
          <w:sz w:val="24"/>
          <w:highlight w:val="none"/>
        </w:rPr>
      </w:pPr>
      <w:bookmarkStart w:id="116" w:name="_13.4技术文件：具体材料见“投标人须知前附表”。"/>
      <w:bookmarkEnd w:id="116"/>
      <w:r>
        <w:rPr>
          <w:rFonts w:hint="eastAsia" w:ascii="仿宋" w:hAnsi="仿宋" w:eastAsia="仿宋" w:cs="仿宋"/>
          <w:b w:val="0"/>
          <w:color w:val="auto"/>
          <w:sz w:val="24"/>
          <w:highlight w:val="none"/>
        </w:rPr>
        <w:t>（4）技术文件：具体材料见“投标人须知前附表”。</w:t>
      </w:r>
    </w:p>
    <w:p w14:paraId="4CAE6D73">
      <w:pPr>
        <w:pStyle w:val="5"/>
        <w:keepNext w:val="0"/>
        <w:keepLines w:val="0"/>
        <w:spacing w:before="0" w:after="0" w:line="360" w:lineRule="auto"/>
        <w:ind w:left="420" w:leftChars="200"/>
        <w:rPr>
          <w:rFonts w:hint="eastAsia" w:ascii="仿宋" w:hAnsi="仿宋" w:eastAsia="仿宋" w:cs="仿宋"/>
          <w:color w:val="auto"/>
          <w:sz w:val="24"/>
          <w:highlight w:val="none"/>
        </w:rPr>
      </w:pPr>
      <w:bookmarkStart w:id="117" w:name="_13.5投标文件电子版：具体材料见“投标人须知前附表”。"/>
      <w:bookmarkEnd w:id="117"/>
      <w:bookmarkStart w:id="118" w:name="_Toc254970537"/>
      <w:bookmarkStart w:id="119" w:name="_Toc254970678"/>
      <w:r>
        <w:rPr>
          <w:rFonts w:hint="eastAsia" w:ascii="仿宋" w:hAnsi="仿宋" w:eastAsia="仿宋" w:cs="仿宋"/>
          <w:color w:val="auto"/>
          <w:sz w:val="24"/>
          <w:highlight w:val="none"/>
        </w:rPr>
        <w:t>14.投标文件的语言及计量</w:t>
      </w:r>
      <w:bookmarkEnd w:id="118"/>
      <w:bookmarkEnd w:id="119"/>
    </w:p>
    <w:p w14:paraId="3D6D41EF">
      <w:pPr>
        <w:pStyle w:val="5"/>
        <w:keepNext w:val="0"/>
        <w:keepLines w:val="0"/>
        <w:spacing w:before="0" w:after="0" w:line="360" w:lineRule="auto"/>
        <w:ind w:left="420" w:leftChars="20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14.1语言文字</w:t>
      </w:r>
    </w:p>
    <w:p w14:paraId="62A6E8F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4B523D95">
      <w:pPr>
        <w:pStyle w:val="5"/>
        <w:keepNext w:val="0"/>
        <w:keepLines w:val="0"/>
        <w:spacing w:before="0" w:after="0" w:line="360" w:lineRule="auto"/>
        <w:ind w:firstLine="480" w:firstLineChars="20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14.2投标计量单位</w:t>
      </w:r>
    </w:p>
    <w:p w14:paraId="506CB6A8">
      <w:pPr>
        <w:spacing w:line="360" w:lineRule="auto"/>
        <w:ind w:firstLine="480" w:firstLineChars="200"/>
        <w:rPr>
          <w:rFonts w:hint="eastAsia" w:ascii="仿宋" w:hAnsi="仿宋" w:eastAsia="仿宋" w:cs="仿宋"/>
          <w:b/>
          <w:color w:val="auto"/>
          <w:sz w:val="24"/>
          <w:highlight w:val="none"/>
        </w:rPr>
      </w:pPr>
      <w:r>
        <w:rPr>
          <w:rFonts w:hint="eastAsia" w:ascii="仿宋" w:hAnsi="仿宋" w:eastAsia="仿宋" w:cs="仿宋"/>
          <w:color w:val="auto"/>
          <w:sz w:val="24"/>
          <w:highlight w:val="none"/>
        </w:rPr>
        <w:t>招标文件已有明确规定的，使用招标文件规定的计量单位；招标文件没有规定的，应采用中华人民共和国法定计量单位，货币种类为人民币，否则视同未响应。</w:t>
      </w:r>
    </w:p>
    <w:p w14:paraId="47FF772A">
      <w:pPr>
        <w:pStyle w:val="5"/>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15.投标的风险</w:t>
      </w:r>
    </w:p>
    <w:p w14:paraId="2EEE56DC">
      <w:pPr>
        <w:pStyle w:val="23"/>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投标人没有按照招标文件要求提供全部资料，或者投标人没有对招标文件作出实质性响应是投标人的风险，并可能导致其投标被拒绝。</w:t>
      </w:r>
    </w:p>
    <w:p w14:paraId="1BDDB16E">
      <w:pPr>
        <w:pStyle w:val="5"/>
        <w:keepNext w:val="0"/>
        <w:keepLines w:val="0"/>
        <w:spacing w:before="0" w:after="0" w:line="360" w:lineRule="auto"/>
        <w:ind w:left="420" w:leftChars="200"/>
        <w:rPr>
          <w:rFonts w:hint="eastAsia" w:ascii="仿宋" w:hAnsi="仿宋" w:eastAsia="仿宋" w:cs="仿宋"/>
          <w:color w:val="auto"/>
          <w:sz w:val="24"/>
          <w:highlight w:val="none"/>
        </w:rPr>
      </w:pPr>
      <w:bookmarkStart w:id="120" w:name="_Toc254970538"/>
      <w:bookmarkStart w:id="121" w:name="_Toc254970679"/>
      <w:r>
        <w:rPr>
          <w:rFonts w:hint="eastAsia" w:ascii="仿宋" w:hAnsi="仿宋" w:eastAsia="仿宋" w:cs="仿宋"/>
          <w:color w:val="auto"/>
          <w:sz w:val="24"/>
          <w:highlight w:val="none"/>
        </w:rPr>
        <w:t>16.投标报价</w:t>
      </w:r>
      <w:bookmarkEnd w:id="120"/>
      <w:bookmarkEnd w:id="121"/>
    </w:p>
    <w:p w14:paraId="7D5156C1">
      <w:pPr>
        <w:pStyle w:val="5"/>
        <w:keepNext w:val="0"/>
        <w:keepLines w:val="0"/>
        <w:spacing w:before="0" w:after="0" w:line="360" w:lineRule="auto"/>
        <w:ind w:left="420" w:leftChars="20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16.1投标报价应按“第六章　投标文件格式”中“开标一览表”格式填写。</w:t>
      </w:r>
    </w:p>
    <w:p w14:paraId="2AD7B2C2">
      <w:pPr>
        <w:pStyle w:val="5"/>
        <w:keepNext w:val="0"/>
        <w:keepLines w:val="0"/>
        <w:spacing w:before="0" w:after="0" w:line="360" w:lineRule="auto"/>
        <w:ind w:left="420" w:leftChars="200"/>
        <w:rPr>
          <w:rFonts w:hint="eastAsia" w:ascii="仿宋" w:hAnsi="仿宋" w:eastAsia="仿宋" w:cs="仿宋"/>
          <w:b w:val="0"/>
          <w:color w:val="auto"/>
          <w:sz w:val="24"/>
          <w:highlight w:val="none"/>
        </w:rPr>
      </w:pPr>
      <w:bookmarkStart w:id="122" w:name="_16.2投标报价具体定义见投标人须知前附表。"/>
      <w:bookmarkEnd w:id="122"/>
      <w:r>
        <w:rPr>
          <w:rFonts w:hint="eastAsia" w:ascii="仿宋" w:hAnsi="仿宋" w:eastAsia="仿宋" w:cs="仿宋"/>
          <w:b w:val="0"/>
          <w:color w:val="auto"/>
          <w:sz w:val="24"/>
          <w:highlight w:val="none"/>
        </w:rPr>
        <w:t>16.2投标报价具体包括内容详见“投标人须知前附表”。</w:t>
      </w:r>
    </w:p>
    <w:p w14:paraId="2CE86732">
      <w:pPr>
        <w:pStyle w:val="5"/>
        <w:keepNext w:val="0"/>
        <w:keepLines w:val="0"/>
        <w:spacing w:before="0" w:after="0" w:line="360" w:lineRule="auto"/>
        <w:ind w:firstLine="480" w:firstLineChars="20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16.3投标人必须就所投每个分标的全部内容分别作完整唯一总价报价，不得存在漏项报价；投标人必须就所投分标的单项内容作唯一报价。</w:t>
      </w:r>
    </w:p>
    <w:p w14:paraId="27A43355">
      <w:pPr>
        <w:pStyle w:val="5"/>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17.投标有效期</w:t>
      </w:r>
    </w:p>
    <w:p w14:paraId="629E554B">
      <w:pPr>
        <w:pStyle w:val="5"/>
        <w:keepNext w:val="0"/>
        <w:keepLines w:val="0"/>
        <w:spacing w:before="0" w:after="0" w:line="360" w:lineRule="auto"/>
        <w:ind w:left="420" w:leftChars="200"/>
        <w:rPr>
          <w:rFonts w:hint="eastAsia" w:ascii="仿宋" w:hAnsi="仿宋" w:eastAsia="仿宋" w:cs="仿宋"/>
          <w:b w:val="0"/>
          <w:color w:val="auto"/>
          <w:sz w:val="24"/>
          <w:highlight w:val="none"/>
        </w:rPr>
      </w:pPr>
      <w:bookmarkStart w:id="123" w:name="_17.1投标有效期应按“投标人须知中的前附表”规定的期限。"/>
      <w:bookmarkEnd w:id="123"/>
      <w:r>
        <w:rPr>
          <w:rFonts w:hint="eastAsia" w:ascii="仿宋" w:hAnsi="仿宋" w:eastAsia="仿宋" w:cs="仿宋"/>
          <w:b w:val="0"/>
          <w:color w:val="auto"/>
          <w:sz w:val="24"/>
          <w:highlight w:val="none"/>
        </w:rPr>
        <w:t>17.1投标有效期是指为保证采购人有足够的时间在开标后完成评标、定标、合同签订等工作而要求投标人提交的投标文件在一定时间内保持有效的期限。</w:t>
      </w:r>
    </w:p>
    <w:p w14:paraId="11735DE3">
      <w:pPr>
        <w:pStyle w:val="5"/>
        <w:keepNext w:val="0"/>
        <w:keepLines w:val="0"/>
        <w:spacing w:before="0" w:after="0" w:line="360" w:lineRule="auto"/>
        <w:ind w:left="420" w:leftChars="20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17.2</w:t>
      </w:r>
      <w:bookmarkStart w:id="124" w:name="_Toc254970540"/>
      <w:bookmarkStart w:id="125" w:name="_Toc254970681"/>
      <w:r>
        <w:rPr>
          <w:rFonts w:hint="eastAsia" w:ascii="仿宋" w:hAnsi="仿宋" w:eastAsia="仿宋" w:cs="仿宋"/>
          <w:b w:val="0"/>
          <w:color w:val="auto"/>
          <w:sz w:val="24"/>
          <w:highlight w:val="none"/>
        </w:rPr>
        <w:t xml:space="preserve"> 投标有效期应按规定的期限作出承诺，具体详见“投标人须知前附表”。</w:t>
      </w:r>
    </w:p>
    <w:p w14:paraId="23FC3F39">
      <w:pPr>
        <w:pStyle w:val="5"/>
        <w:keepNext w:val="0"/>
        <w:keepLines w:val="0"/>
        <w:spacing w:before="0" w:after="0" w:line="360" w:lineRule="auto"/>
        <w:ind w:left="420" w:leftChars="20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17.3投标人的投标文件在投标有效期内均保持有效。</w:t>
      </w:r>
      <w:bookmarkEnd w:id="124"/>
      <w:bookmarkEnd w:id="125"/>
    </w:p>
    <w:p w14:paraId="3709A005">
      <w:pPr>
        <w:pStyle w:val="5"/>
        <w:keepNext w:val="0"/>
        <w:keepLines w:val="0"/>
        <w:spacing w:before="0" w:after="0" w:line="360" w:lineRule="auto"/>
        <w:ind w:left="420" w:leftChars="200"/>
        <w:rPr>
          <w:rFonts w:hint="eastAsia" w:ascii="仿宋" w:hAnsi="仿宋" w:eastAsia="仿宋" w:cs="仿宋"/>
          <w:color w:val="auto"/>
          <w:sz w:val="24"/>
          <w:highlight w:val="none"/>
        </w:rPr>
      </w:pPr>
      <w:bookmarkStart w:id="126" w:name="_18.投标保证金"/>
      <w:bookmarkEnd w:id="126"/>
      <w:bookmarkStart w:id="127" w:name="_Toc254970541"/>
      <w:bookmarkStart w:id="128" w:name="_Toc254970682"/>
      <w:r>
        <w:rPr>
          <w:rFonts w:hint="eastAsia" w:ascii="仿宋" w:hAnsi="仿宋" w:eastAsia="仿宋" w:cs="仿宋"/>
          <w:color w:val="auto"/>
          <w:sz w:val="24"/>
          <w:highlight w:val="none"/>
        </w:rPr>
        <w:t>18.投标保证金</w:t>
      </w:r>
      <w:bookmarkEnd w:id="127"/>
      <w:bookmarkEnd w:id="128"/>
    </w:p>
    <w:p w14:paraId="2ECB4445">
      <w:pPr>
        <w:pStyle w:val="5"/>
        <w:keepNext w:val="0"/>
        <w:keepLines w:val="0"/>
        <w:spacing w:before="0" w:after="0" w:line="360" w:lineRule="auto"/>
        <w:ind w:left="420" w:leftChars="20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18.1投标人须按“投标人须知前附表” 的规定提交投标保证金。</w:t>
      </w:r>
    </w:p>
    <w:p w14:paraId="6640453C">
      <w:pPr>
        <w:pStyle w:val="5"/>
        <w:keepNext w:val="0"/>
        <w:keepLines w:val="0"/>
        <w:spacing w:before="0" w:after="0" w:line="360" w:lineRule="auto"/>
        <w:ind w:left="420" w:leftChars="20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18.2投标保证金的退还</w:t>
      </w:r>
    </w:p>
    <w:p w14:paraId="2D45C964">
      <w:pPr>
        <w:pStyle w:val="5"/>
        <w:keepNext w:val="0"/>
        <w:keepLines w:val="0"/>
        <w:spacing w:before="0" w:after="0" w:line="360" w:lineRule="auto"/>
        <w:ind w:left="420" w:leftChars="20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18.2.1未中标人的投标保证金自中标通知书发出之日起5个工作日内退还，退还方式如下：</w:t>
      </w:r>
    </w:p>
    <w:p w14:paraId="5811DD91">
      <w:pPr>
        <w:pStyle w:val="5"/>
        <w:keepNext w:val="0"/>
        <w:keepLines w:val="0"/>
        <w:numPr>
          <w:ilvl w:val="0"/>
          <w:numId w:val="0"/>
        </w:numPr>
        <w:spacing w:before="0" w:after="0" w:line="360" w:lineRule="auto"/>
        <w:ind w:firstLine="480" w:firstLineChars="200"/>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（1）采用银行转账方式的，以转账方式退回到投标人银行账户。</w:t>
      </w:r>
    </w:p>
    <w:p w14:paraId="0813AFD8">
      <w:pPr>
        <w:pStyle w:val="5"/>
        <w:keepNext w:val="0"/>
        <w:keepLines w:val="0"/>
        <w:numPr>
          <w:ilvl w:val="0"/>
          <w:numId w:val="0"/>
        </w:numPr>
        <w:spacing w:before="0" w:after="0" w:line="360" w:lineRule="auto"/>
        <w:ind w:firstLine="480" w:firstLineChars="200"/>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2）采用支票、汇票、本票或者金融、担保机构出具的保函方式的，由投标人代表持相关授权证明材料至采购人或者采购代理机构办理支票、汇票、本票或者金融、担保机构出具的保函、保险机构的保单原件退还手续。</w:t>
      </w:r>
    </w:p>
    <w:p w14:paraId="7FB2E137">
      <w:pPr>
        <w:pStyle w:val="5"/>
        <w:keepNext w:val="0"/>
        <w:keepLines w:val="0"/>
        <w:numPr>
          <w:ilvl w:val="0"/>
          <w:numId w:val="0"/>
        </w:numPr>
        <w:spacing w:before="0" w:after="0" w:line="360" w:lineRule="auto"/>
        <w:ind w:firstLine="480" w:firstLineChars="20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 xml:space="preserve">18.2.2中标人的投标保证金自采购合同签订之日起5个工作日内退还，退还方式同本须知正文第18.2.1。 </w:t>
      </w:r>
    </w:p>
    <w:p w14:paraId="311DAA04">
      <w:pPr>
        <w:pStyle w:val="5"/>
        <w:keepNext w:val="0"/>
        <w:keepLines w:val="0"/>
        <w:numPr>
          <w:ilvl w:val="0"/>
          <w:numId w:val="0"/>
        </w:numPr>
        <w:spacing w:before="0" w:after="0"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b w:val="0"/>
          <w:bCs/>
          <w:color w:val="auto"/>
          <w:sz w:val="24"/>
          <w:highlight w:val="none"/>
        </w:rPr>
        <w:t>18.3除逾期退还投标保证金和终止招标的情形以外，投标保证金采用银行转账缴纳方式的按银行同期存款利息计息退还。</w:t>
      </w:r>
    </w:p>
    <w:p w14:paraId="2ED9B4CA">
      <w:pPr>
        <w:pStyle w:val="5"/>
        <w:keepNext w:val="0"/>
        <w:keepLines w:val="0"/>
        <w:spacing w:before="0" w:after="0" w:line="360" w:lineRule="auto"/>
        <w:ind w:left="420" w:leftChars="20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 xml:space="preserve">18.4投标人有下列情形之一的，投标保证金将不予退还： </w:t>
      </w:r>
    </w:p>
    <w:p w14:paraId="23016FEA">
      <w:pPr>
        <w:snapToGrid w:val="0"/>
        <w:spacing w:line="360" w:lineRule="auto"/>
        <w:ind w:firstLine="470" w:firstLineChars="196"/>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（1）投标人在投标有效期内撤销投标文件的；</w:t>
      </w:r>
    </w:p>
    <w:p w14:paraId="5ACD6ADA">
      <w:pPr>
        <w:snapToGrid w:val="0"/>
        <w:spacing w:line="360" w:lineRule="auto"/>
        <w:ind w:firstLine="470" w:firstLineChars="196"/>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（2）未按规定提交履约保证金的；</w:t>
      </w:r>
    </w:p>
    <w:p w14:paraId="1B7B6C9E">
      <w:pPr>
        <w:snapToGrid w:val="0"/>
        <w:spacing w:line="360" w:lineRule="auto"/>
        <w:ind w:firstLine="470" w:firstLineChars="196"/>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（3）投标人在投标过程中弄虚作假，提供虚假材料的；</w:t>
      </w:r>
    </w:p>
    <w:p w14:paraId="1D209465">
      <w:pPr>
        <w:snapToGrid w:val="0"/>
        <w:spacing w:line="360" w:lineRule="auto"/>
        <w:ind w:firstLine="470" w:firstLineChars="196"/>
        <w:rPr>
          <w:rFonts w:hint="eastAsia" w:ascii="仿宋" w:hAnsi="仿宋" w:eastAsia="仿宋" w:cs="仿宋"/>
          <w:color w:val="auto"/>
          <w:sz w:val="24"/>
          <w:highlight w:val="none"/>
        </w:rPr>
      </w:pPr>
      <w:r>
        <w:rPr>
          <w:rFonts w:hint="eastAsia" w:ascii="仿宋" w:hAnsi="仿宋" w:eastAsia="仿宋" w:cs="仿宋"/>
          <w:color w:val="auto"/>
          <w:sz w:val="24"/>
          <w:highlight w:val="none"/>
        </w:rPr>
        <w:t>（4）中标人无正当理由不与采购人签订合同的；</w:t>
      </w:r>
    </w:p>
    <w:p w14:paraId="30DDDEA8">
      <w:pPr>
        <w:snapToGrid w:val="0"/>
        <w:spacing w:line="360" w:lineRule="auto"/>
        <w:ind w:firstLine="480" w:firstLineChars="200"/>
        <w:rPr>
          <w:rFonts w:hint="eastAsia" w:ascii="仿宋" w:hAnsi="仿宋" w:eastAsia="仿宋" w:cs="仿宋"/>
          <w:color w:val="auto"/>
          <w:sz w:val="24"/>
          <w:highlight w:val="none"/>
        </w:rPr>
      </w:pPr>
      <w:bookmarkStart w:id="129" w:name="_Toc254970542"/>
      <w:bookmarkStart w:id="130" w:name="_Toc254970683"/>
      <w:r>
        <w:rPr>
          <w:rFonts w:hint="eastAsia" w:ascii="仿宋" w:hAnsi="仿宋" w:eastAsia="仿宋" w:cs="仿宋"/>
          <w:color w:val="auto"/>
          <w:sz w:val="24"/>
          <w:highlight w:val="none"/>
        </w:rPr>
        <w:t>（5）投标人出现本章第9.2、9.3情形的；</w:t>
      </w:r>
    </w:p>
    <w:p w14:paraId="6EC910A4">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（6）其他严重扰乱招投标程序的。</w:t>
      </w:r>
    </w:p>
    <w:p w14:paraId="2F64CF18">
      <w:pPr>
        <w:pStyle w:val="5"/>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19.投标文件的</w:t>
      </w:r>
      <w:bookmarkEnd w:id="129"/>
      <w:bookmarkEnd w:id="130"/>
      <w:r>
        <w:rPr>
          <w:rFonts w:hint="eastAsia" w:ascii="仿宋" w:hAnsi="仿宋" w:eastAsia="仿宋" w:cs="仿宋"/>
          <w:color w:val="auto"/>
          <w:sz w:val="24"/>
          <w:highlight w:val="none"/>
        </w:rPr>
        <w:t>编制</w:t>
      </w:r>
    </w:p>
    <w:p w14:paraId="01B584B1">
      <w:pPr>
        <w:pStyle w:val="5"/>
        <w:keepNext w:val="0"/>
        <w:keepLines w:val="0"/>
        <w:spacing w:before="0" w:after="0" w:line="360" w:lineRule="auto"/>
        <w:ind w:firstLine="484" w:firstLineChars="202"/>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 xml:space="preserve"> 19.1投标人应按本招标文件规定的格式和顺序编制投标文件并标注页码，投标文件内容不完整、编排混乱导致投标文件被误读、漏读或者查找不到相关内容的，由此引发的后果由投标人承担。</w:t>
      </w:r>
    </w:p>
    <w:p w14:paraId="0EDE43FF">
      <w:pPr>
        <w:pStyle w:val="5"/>
        <w:keepNext w:val="0"/>
        <w:keepLines w:val="0"/>
        <w:spacing w:before="0" w:after="0" w:line="360" w:lineRule="auto"/>
        <w:ind w:firstLine="480" w:firstLineChars="200"/>
        <w:rPr>
          <w:rFonts w:hint="eastAsia" w:ascii="仿宋" w:hAnsi="仿宋" w:eastAsia="仿宋" w:cs="仿宋"/>
          <w:b w:val="0"/>
          <w:color w:val="auto"/>
          <w:sz w:val="24"/>
          <w:highlight w:val="none"/>
        </w:rPr>
      </w:pPr>
      <w:bookmarkStart w:id="131" w:name="_19.2投标文件应按报价文件、资格证明文件、商务文件、技术文件分别编制"/>
      <w:bookmarkEnd w:id="131"/>
      <w:r>
        <w:rPr>
          <w:rFonts w:hint="eastAsia" w:ascii="仿宋" w:hAnsi="仿宋" w:eastAsia="仿宋" w:cs="仿宋"/>
          <w:b w:val="0"/>
          <w:color w:val="auto"/>
          <w:sz w:val="24"/>
          <w:highlight w:val="none"/>
        </w:rPr>
        <w:t xml:space="preserve"> 19.2投标文件按照招标文件第六章格式要求在规定位置进行签署、盖章。投标人的投标文件未按照招标文件要求签署、盖章的，</w:t>
      </w:r>
      <w:r>
        <w:rPr>
          <w:rFonts w:hint="eastAsia" w:ascii="仿宋" w:hAnsi="仿宋" w:eastAsia="仿宋" w:cs="仿宋"/>
          <w:bCs/>
          <w:color w:val="auto"/>
          <w:sz w:val="24"/>
          <w:highlight w:val="none"/>
        </w:rPr>
        <w:t>其投标无效</w:t>
      </w:r>
      <w:r>
        <w:rPr>
          <w:rFonts w:hint="eastAsia" w:ascii="仿宋" w:hAnsi="仿宋" w:eastAsia="仿宋" w:cs="仿宋"/>
          <w:b w:val="0"/>
          <w:color w:val="auto"/>
          <w:sz w:val="24"/>
          <w:highlight w:val="none"/>
        </w:rPr>
        <w:t>。招标文件要求法定代表人或委托代理人签字的部分应使用CA签章；如法定代表人或委托代理人未办理CA锁的，可以打印手写签字后扫描或者拍照做成PDF格式上传，无签字的作无效投标处理。骑缝盖公章不视为在规定位置盖章。</w:t>
      </w:r>
    </w:p>
    <w:p w14:paraId="3F0C469C">
      <w:pPr>
        <w:pStyle w:val="5"/>
        <w:keepNext w:val="0"/>
        <w:keepLines w:val="0"/>
        <w:spacing w:before="0" w:after="0" w:line="360" w:lineRule="auto"/>
        <w:ind w:firstLine="360" w:firstLineChars="15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 xml:space="preserve"> 19.3为确保网上操作合法、有效和安全，投标人应当在投标截止时间前完成在广西政府采购云平台的身份认证，确保在电子投标过程中能够对相关数据电文进行加密和使用电子签章。</w:t>
      </w:r>
    </w:p>
    <w:p w14:paraId="2122E883">
      <w:pPr>
        <w:pStyle w:val="5"/>
        <w:keepNext w:val="0"/>
        <w:keepLines w:val="0"/>
        <w:spacing w:before="0" w:after="0" w:line="360" w:lineRule="auto"/>
        <w:ind w:firstLine="360" w:firstLineChars="15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 xml:space="preserve"> 19.4投标文件中标注的投标人名称应与主体资格证明（如营业执照、事业单位法人证书、执业许可证、自然人身份证等）及公章（或电子签章）一致，并与广西政府采购云平台中获取招标文件的投标人名称一致，投标人为自然人的，标注的投标人名称应与身份证姓名及签名一致，</w:t>
      </w:r>
      <w:r>
        <w:rPr>
          <w:rFonts w:hint="eastAsia" w:ascii="仿宋" w:hAnsi="仿宋" w:eastAsia="仿宋" w:cs="仿宋"/>
          <w:color w:val="auto"/>
          <w:sz w:val="24"/>
          <w:highlight w:val="none"/>
        </w:rPr>
        <w:t>否则按无效投标处理</w:t>
      </w:r>
      <w:r>
        <w:rPr>
          <w:rFonts w:hint="eastAsia" w:ascii="仿宋" w:hAnsi="仿宋" w:eastAsia="仿宋" w:cs="仿宋"/>
          <w:b w:val="0"/>
          <w:color w:val="auto"/>
          <w:sz w:val="24"/>
          <w:highlight w:val="none"/>
        </w:rPr>
        <w:t>。</w:t>
      </w:r>
    </w:p>
    <w:p w14:paraId="0B66EABB">
      <w:pPr>
        <w:pStyle w:val="5"/>
        <w:keepNext w:val="0"/>
        <w:keepLines w:val="0"/>
        <w:spacing w:before="0" w:after="0" w:line="360" w:lineRule="auto"/>
        <w:ind w:firstLine="360" w:firstLineChars="15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 xml:space="preserve"> 19.5投标文件应尽量避免涂改、行间插字或者删除。如果出现上述情况，改动之处应由投标人的法定代表人或者其委托代理人签字（或者电子签名）或者加盖公章或者加盖电子签章。投标文件因字迹潦草或者表达不清所引起的后果由投标人承担。</w:t>
      </w:r>
    </w:p>
    <w:p w14:paraId="45A1C5D2">
      <w:pPr>
        <w:pStyle w:val="5"/>
        <w:keepNext w:val="0"/>
        <w:keepLines w:val="0"/>
        <w:spacing w:before="0" w:after="0" w:line="360" w:lineRule="auto"/>
        <w:ind w:firstLine="360" w:firstLineChars="15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 xml:space="preserve"> 19.6对招标文件的实质性要求和条件作出响应是指投标人必须对招标文件中标注为实质性要求和条件的服务内容及要求、商务条款及其它内容作出满足或者优于原要求和条件的承诺。</w:t>
      </w:r>
    </w:p>
    <w:p w14:paraId="2CB08C18">
      <w:pPr>
        <w:pStyle w:val="5"/>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20.备份投标文件</w:t>
      </w:r>
    </w:p>
    <w:p w14:paraId="4960851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详见在“投标人须知前附表”</w:t>
      </w:r>
    </w:p>
    <w:p w14:paraId="04C040A1">
      <w:pPr>
        <w:pStyle w:val="5"/>
        <w:keepNext w:val="0"/>
        <w:keepLines w:val="0"/>
        <w:spacing w:before="0" w:after="0" w:line="360" w:lineRule="auto"/>
        <w:ind w:firstLine="360" w:firstLineChars="150"/>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20.1.投标人如提交电子备份文件的，应将电子备份投标文件装入到一个投标文件袋内加以密封（要求文件袋无明显缝隙露出袋内文件）；电子备份投标文件袋在每一封贴处密封签章【公章、密封章、法定代表人（负责人）、委托代理人签字等均可】。</w:t>
      </w:r>
    </w:p>
    <w:p w14:paraId="63E7FB1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电子备份投标文件袋的包装封面上应注明投标人名称、投标人地址、投标文件名称（电子备份投标文件）、投标项目名称、项目编号、并加盖投标人公章，并注明“开标时才能启封”。</w:t>
      </w:r>
    </w:p>
    <w:p w14:paraId="30852FFA">
      <w:pPr>
        <w:pStyle w:val="5"/>
        <w:keepNext w:val="0"/>
        <w:keepLines w:val="0"/>
        <w:spacing w:before="0" w:after="0" w:line="360" w:lineRule="auto"/>
        <w:ind w:firstLine="360" w:firstLineChars="150"/>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20.2逾期送达或者未按照招标文件要求密封的电子备份投标文件将被拒绝，由此造成电子备份投标文件被误投或提前拆封的风险由投标人承担。</w:t>
      </w:r>
    </w:p>
    <w:p w14:paraId="59FFDA2F">
      <w:pPr>
        <w:pStyle w:val="5"/>
        <w:keepNext w:val="0"/>
        <w:keepLines w:val="0"/>
        <w:spacing w:before="0" w:after="0" w:line="360" w:lineRule="auto"/>
        <w:ind w:firstLine="360" w:firstLineChars="150"/>
        <w:rPr>
          <w:rFonts w:hint="eastAsia" w:ascii="仿宋" w:hAnsi="仿宋" w:eastAsia="仿宋" w:cs="仿宋"/>
          <w:color w:val="auto"/>
          <w:sz w:val="24"/>
          <w:highlight w:val="none"/>
        </w:rPr>
      </w:pPr>
      <w:r>
        <w:rPr>
          <w:rFonts w:hint="eastAsia" w:ascii="仿宋" w:hAnsi="仿宋" w:eastAsia="仿宋" w:cs="仿宋"/>
          <w:b w:val="0"/>
          <w:bCs/>
          <w:color w:val="auto"/>
          <w:sz w:val="24"/>
          <w:highlight w:val="none"/>
        </w:rPr>
        <w:t>20.3投标人在投标截止时间之前，可以对已提交的电子备份投标文件进行修改或撤回，并书面通知采购人；投标截止时间后，投标人不得撤回、修改电子备份投标文件。修改后重新递交的电子备份投标文件应当按本招标文件的要求签署、盖章和密封。</w:t>
      </w:r>
    </w:p>
    <w:p w14:paraId="6152FE56">
      <w:pPr>
        <w:pStyle w:val="5"/>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21.投标文件的密封</w:t>
      </w:r>
    </w:p>
    <w:p w14:paraId="41959C8D">
      <w:pPr>
        <w:pStyle w:val="5"/>
        <w:keepNext w:val="0"/>
        <w:keepLines w:val="0"/>
        <w:spacing w:before="0" w:after="0" w:line="360" w:lineRule="auto"/>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 xml:space="preserve">  投标文件必须在“投标人须知前附表”规定的投标文件提交截止时间和提交地点提交电子投标文件。电子投标文件应在制作完成后，在投标文件提交截止时间前通过有效数字证书（CA认证锁）进行电子签章、加密，然后通过网络将加密的电子投标文件递交至广西政府采购云平台（https://www.gcy.zfcg.gxzf.gov.cn/）。 </w:t>
      </w:r>
    </w:p>
    <w:p w14:paraId="08341C7E">
      <w:pPr>
        <w:pStyle w:val="5"/>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22.投标文件的提交</w:t>
      </w:r>
    </w:p>
    <w:p w14:paraId="05622ACB">
      <w:pPr>
        <w:pStyle w:val="5"/>
        <w:keepNext w:val="0"/>
        <w:keepLines w:val="0"/>
        <w:numPr>
          <w:ilvl w:val="0"/>
          <w:numId w:val="0"/>
        </w:numPr>
        <w:spacing w:before="0" w:after="0" w:line="360" w:lineRule="auto"/>
        <w:ind w:firstLine="480" w:firstLineChars="200"/>
        <w:rPr>
          <w:rFonts w:hint="eastAsia" w:ascii="仿宋" w:hAnsi="仿宋" w:eastAsia="仿宋" w:cs="仿宋"/>
          <w:b w:val="0"/>
          <w:color w:val="auto"/>
          <w:sz w:val="24"/>
          <w:highlight w:val="none"/>
        </w:rPr>
      </w:pPr>
      <w:bookmarkStart w:id="132" w:name="_21.1投标人必须在“投标人须知中的前附表”规定的投标文件接收时间和投"/>
      <w:bookmarkEnd w:id="132"/>
      <w:r>
        <w:rPr>
          <w:rFonts w:hint="eastAsia" w:ascii="仿宋" w:hAnsi="仿宋" w:eastAsia="仿宋" w:cs="仿宋"/>
          <w:b w:val="0"/>
          <w:color w:val="auto"/>
          <w:sz w:val="24"/>
          <w:highlight w:val="none"/>
        </w:rPr>
        <w:t>22.1投标人必须在“投标人须知前附表”规定的投标文件接收时间和投标地点提交投标文件。</w:t>
      </w:r>
    </w:p>
    <w:p w14:paraId="0DB99037">
      <w:pPr>
        <w:pStyle w:val="5"/>
        <w:keepNext w:val="0"/>
        <w:keepLines w:val="0"/>
        <w:spacing w:before="0" w:after="0" w:line="360" w:lineRule="auto"/>
        <w:ind w:firstLine="480" w:firstLineChars="20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22.2采购代理机构工作人员收到投标文件后，应当如实记载投标文件的送达时间和密封情况，签收保存，并向投标人出具签收回执。</w:t>
      </w:r>
    </w:p>
    <w:p w14:paraId="0853E441">
      <w:pPr>
        <w:pStyle w:val="5"/>
        <w:keepNext w:val="0"/>
        <w:keepLines w:val="0"/>
        <w:numPr>
          <w:ilvl w:val="0"/>
          <w:numId w:val="0"/>
        </w:numPr>
        <w:spacing w:before="0" w:after="0" w:line="360" w:lineRule="auto"/>
        <w:ind w:left="420"/>
        <w:rPr>
          <w:rFonts w:hint="eastAsia" w:ascii="仿宋" w:hAnsi="仿宋" w:eastAsia="仿宋" w:cs="仿宋"/>
          <w:color w:val="auto"/>
          <w:sz w:val="24"/>
          <w:highlight w:val="none"/>
        </w:rPr>
      </w:pPr>
      <w:r>
        <w:rPr>
          <w:rFonts w:hint="eastAsia" w:ascii="仿宋" w:hAnsi="仿宋" w:eastAsia="仿宋" w:cs="仿宋"/>
          <w:b w:val="0"/>
          <w:color w:val="auto"/>
          <w:sz w:val="24"/>
          <w:highlight w:val="none"/>
        </w:rPr>
        <w:t>22.3未在规定时间内提交或者未按照招标文件要求密封或者标记的电子投标文件，将予以拒收。</w:t>
      </w:r>
    </w:p>
    <w:p w14:paraId="22715989">
      <w:pPr>
        <w:pStyle w:val="5"/>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23.投标文件的补充、修改、撤回与退回</w:t>
      </w:r>
    </w:p>
    <w:p w14:paraId="3A3F0790">
      <w:pPr>
        <w:snapToGrid w:val="0"/>
        <w:spacing w:line="360" w:lineRule="auto"/>
        <w:ind w:firstLine="420"/>
        <w:jc w:val="left"/>
        <w:rPr>
          <w:rFonts w:hint="eastAsia" w:ascii="仿宋" w:hAnsi="仿宋" w:eastAsia="仿宋" w:cs="仿宋"/>
          <w:color w:val="auto"/>
          <w:sz w:val="24"/>
          <w:highlight w:val="none"/>
        </w:rPr>
      </w:pPr>
      <w:bookmarkStart w:id="133" w:name="_Toc254970543"/>
      <w:bookmarkStart w:id="134" w:name="_Toc254970684"/>
      <w:r>
        <w:rPr>
          <w:rFonts w:hint="eastAsia" w:ascii="仿宋" w:hAnsi="仿宋" w:eastAsia="仿宋" w:cs="仿宋"/>
          <w:color w:val="auto"/>
          <w:sz w:val="24"/>
          <w:highlight w:val="none"/>
        </w:rPr>
        <w:t>23.1投标人在投标截止时间之前，可以对已提交的投标文件进行补充、修改或者撤回，并书面通知采购人或者采购代理机构。补充、修改的内容必须按照本须知前附表第19.2条签署、盖章，并按照本须知正文第21条密封后，作为投标文件的组成部分</w:t>
      </w:r>
      <w:r>
        <w:rPr>
          <w:rFonts w:hint="eastAsia" w:ascii="仿宋" w:hAnsi="仿宋" w:eastAsia="仿宋" w:cs="仿宋"/>
          <w:b/>
          <w:color w:val="auto"/>
          <w:sz w:val="24"/>
          <w:highlight w:val="none"/>
        </w:rPr>
        <w:t>。</w:t>
      </w:r>
    </w:p>
    <w:bookmarkEnd w:id="133"/>
    <w:bookmarkEnd w:id="134"/>
    <w:p w14:paraId="14F4DCE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23.2在投标截止时间止提交投标文件的投标人不足3家时，应当由投标人签字领回投标文件（如需提交纸质投标文件时），除此之外采购人和采购代理机构对已提交的投标文件概不退回。</w:t>
      </w:r>
    </w:p>
    <w:p w14:paraId="558233E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23.3 投标人在投标截止时间后向采购人、采购代理机构书面申请撤回投标文件的，将根据本须知正文18.4的规定不予退还其投标保证金。</w:t>
      </w:r>
    </w:p>
    <w:p w14:paraId="5932A9C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column"/>
      </w:r>
    </w:p>
    <w:p w14:paraId="67F02919">
      <w:pPr>
        <w:pStyle w:val="4"/>
        <w:keepNext w:val="0"/>
        <w:keepLines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四、开    标</w:t>
      </w:r>
      <w:bookmarkEnd w:id="111"/>
      <w:bookmarkEnd w:id="112"/>
    </w:p>
    <w:p w14:paraId="7206786C">
      <w:pPr>
        <w:pStyle w:val="5"/>
        <w:keepNext w:val="0"/>
        <w:keepLines w:val="0"/>
        <w:spacing w:before="0" w:after="0" w:line="360" w:lineRule="auto"/>
        <w:ind w:left="420" w:leftChars="200"/>
        <w:rPr>
          <w:rFonts w:hint="eastAsia" w:ascii="仿宋" w:hAnsi="仿宋" w:eastAsia="仿宋" w:cs="仿宋"/>
          <w:color w:val="auto"/>
          <w:sz w:val="24"/>
          <w:highlight w:val="none"/>
        </w:rPr>
      </w:pPr>
      <w:bookmarkStart w:id="135" w:name="_23.开标时间和地点"/>
      <w:bookmarkEnd w:id="135"/>
      <w:r>
        <w:rPr>
          <w:rFonts w:hint="eastAsia" w:ascii="仿宋" w:hAnsi="仿宋" w:eastAsia="仿宋" w:cs="仿宋"/>
          <w:color w:val="auto"/>
          <w:sz w:val="24"/>
          <w:highlight w:val="none"/>
        </w:rPr>
        <w:t>24.开标时间和地点</w:t>
      </w:r>
    </w:p>
    <w:p w14:paraId="133CD041">
      <w:pPr>
        <w:pStyle w:val="23"/>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24.1开标时间及地点详见“投标人须知前附表”</w:t>
      </w:r>
    </w:p>
    <w:p w14:paraId="61DD0C95">
      <w:pPr>
        <w:pStyle w:val="23"/>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24.2如投标人成功解密投标文件，但未在广西政府采购云平台电子开标大厅参加开标的，视同认可开标过程和结果，由此产生的后果由投标人自行负责。投标人不足3家的，不得开标。</w:t>
      </w:r>
    </w:p>
    <w:p w14:paraId="2B2CBA4E">
      <w:pPr>
        <w:pStyle w:val="5"/>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25.开标程序</w:t>
      </w:r>
    </w:p>
    <w:p w14:paraId="0D8260C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25.1开标形式：</w:t>
      </w:r>
    </w:p>
    <w:p w14:paraId="049B7CE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（1）开标的准备工作由采购代理机构负责落实，采购人或采购代理机构必须基于</w:t>
      </w:r>
      <w:r>
        <w:rPr>
          <w:rFonts w:hint="eastAsia" w:ascii="仿宋" w:hAnsi="仿宋" w:eastAsia="仿宋" w:cs="仿宋"/>
          <w:bCs/>
          <w:color w:val="auto"/>
          <w:sz w:val="24"/>
          <w:highlight w:val="none"/>
        </w:rPr>
        <w:t>广西政府采购云平台</w:t>
      </w:r>
      <w:r>
        <w:rPr>
          <w:rFonts w:hint="eastAsia" w:ascii="仿宋" w:hAnsi="仿宋" w:eastAsia="仿宋" w:cs="仿宋"/>
          <w:color w:val="auto"/>
          <w:sz w:val="24"/>
          <w:highlight w:val="none"/>
        </w:rPr>
        <w:t>选取评审专家，如采购人或采购代理机构未按规定选取专家的，视为本次开评标无效，应当重新采购；</w:t>
      </w:r>
    </w:p>
    <w:p w14:paraId="20F15E9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（2）采购人或采购代理机构将按照招标文件规定的时间通过</w:t>
      </w:r>
      <w:r>
        <w:rPr>
          <w:rFonts w:hint="eastAsia" w:ascii="仿宋" w:hAnsi="仿宋" w:eastAsia="仿宋" w:cs="仿宋"/>
          <w:bCs/>
          <w:color w:val="auto"/>
          <w:sz w:val="24"/>
          <w:highlight w:val="none"/>
        </w:rPr>
        <w:t>广西政府采购云平台</w:t>
      </w:r>
      <w:r>
        <w:rPr>
          <w:rFonts w:hint="eastAsia" w:ascii="仿宋" w:hAnsi="仿宋" w:eastAsia="仿宋" w:cs="仿宋"/>
          <w:color w:val="auto"/>
          <w:sz w:val="24"/>
          <w:highlight w:val="none"/>
        </w:rPr>
        <w:t>组织线上开标活动、开启投标文件，所有投标人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0C5051A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25.2开标程序：</w:t>
      </w:r>
    </w:p>
    <w:p w14:paraId="57296CE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（1）解密电子投标文件。</w:t>
      </w:r>
      <w:r>
        <w:rPr>
          <w:rFonts w:hint="eastAsia" w:ascii="仿宋" w:hAnsi="仿宋" w:eastAsia="仿宋" w:cs="仿宋"/>
          <w:bCs/>
          <w:color w:val="auto"/>
          <w:sz w:val="24"/>
          <w:highlight w:val="none"/>
        </w:rPr>
        <w:t>广西政府采购云平台</w:t>
      </w:r>
      <w:r>
        <w:rPr>
          <w:rFonts w:hint="eastAsia" w:ascii="仿宋" w:hAnsi="仿宋" w:eastAsia="仿宋" w:cs="仿宋"/>
          <w:color w:val="auto"/>
          <w:sz w:val="24"/>
          <w:highlight w:val="none"/>
        </w:rPr>
        <w:t>按开标时间自动提取所有投标文件。采购代理机构依托</w:t>
      </w:r>
      <w:r>
        <w:rPr>
          <w:rFonts w:hint="eastAsia" w:ascii="仿宋" w:hAnsi="仿宋" w:eastAsia="仿宋" w:cs="仿宋"/>
          <w:bCs/>
          <w:color w:val="auto"/>
          <w:sz w:val="24"/>
          <w:highlight w:val="none"/>
        </w:rPr>
        <w:t>广西政府采购云平台</w:t>
      </w:r>
      <w:r>
        <w:rPr>
          <w:rFonts w:hint="eastAsia" w:ascii="仿宋" w:hAnsi="仿宋" w:eastAsia="仿宋" w:cs="仿宋"/>
          <w:color w:val="auto"/>
          <w:sz w:val="24"/>
          <w:highlight w:val="none"/>
        </w:rPr>
        <w:t>向各投标人发出电子加密投标文件【开始解密】通知，由投标人按招标文件规定的时间内自行进行投标文件解密。投标人的法定代表人或其委托代理人须携带加密时所用的CA锁准时登录到</w:t>
      </w:r>
      <w:r>
        <w:rPr>
          <w:rFonts w:hint="eastAsia" w:ascii="仿宋" w:hAnsi="仿宋" w:eastAsia="仿宋" w:cs="仿宋"/>
          <w:bCs/>
          <w:color w:val="auto"/>
          <w:sz w:val="24"/>
          <w:highlight w:val="none"/>
        </w:rPr>
        <w:t>广西政府采购云平台</w:t>
      </w:r>
      <w:r>
        <w:rPr>
          <w:rFonts w:hint="eastAsia" w:ascii="仿宋" w:hAnsi="仿宋" w:eastAsia="仿宋" w:cs="仿宋"/>
          <w:color w:val="auto"/>
          <w:sz w:val="24"/>
          <w:highlight w:val="none"/>
        </w:rPr>
        <w:t>电子开标大厅签到并对电子投标文件解密，在线解密时间为30分钟。开标后5分钟投标人还未进行解密的，代理机构要通知投标人。通知后，投标文件仍未按时解密，或者投标人没预留联系方式或预留联系方式无效，导致代理机构无法联系到投标人进行解密的，均视为无效投标。</w:t>
      </w:r>
    </w:p>
    <w:p w14:paraId="2DF209C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（解密异常情况处理：详见本章30.3 电子交易活动的中止。）</w:t>
      </w:r>
    </w:p>
    <w:p w14:paraId="36D5607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（2）电子唱标。投标文件解密结束，各投标人报价均在</w:t>
      </w:r>
      <w:r>
        <w:rPr>
          <w:rFonts w:hint="eastAsia" w:ascii="仿宋" w:hAnsi="仿宋" w:eastAsia="仿宋" w:cs="仿宋"/>
          <w:bCs/>
          <w:color w:val="auto"/>
          <w:sz w:val="24"/>
          <w:highlight w:val="none"/>
        </w:rPr>
        <w:t>广西政府采购云平台</w:t>
      </w:r>
      <w:r>
        <w:rPr>
          <w:rFonts w:hint="eastAsia" w:ascii="仿宋" w:hAnsi="仿宋" w:eastAsia="仿宋" w:cs="仿宋"/>
          <w:color w:val="auto"/>
          <w:sz w:val="24"/>
          <w:highlight w:val="none"/>
        </w:rPr>
        <w:t>远程不见面开标大厅展示；</w:t>
      </w:r>
    </w:p>
    <w:p w14:paraId="2F07FCC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（3）签署电子《政府采购活动现场确认声明书》。通过邮件形式在远程不见面开标大厅发送各投标人签署电子《政府采购活动现场确认声明书》。</w:t>
      </w:r>
    </w:p>
    <w:p w14:paraId="162F1B45">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（4）开标过程由采购代理机构如实记录，并电子留痕，由参加电子开标的各投标人代表对电子开标记录在开标记录公布后15分钟内进行当场校核及勘误，并线上确认，未确认的视同认可开标结果。</w:t>
      </w:r>
    </w:p>
    <w:p w14:paraId="4EBA7FF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5F6DE0F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（6）开标结束。</w:t>
      </w:r>
    </w:p>
    <w:p w14:paraId="61273AA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特别说明：如遇</w:t>
      </w:r>
      <w:r>
        <w:rPr>
          <w:rFonts w:hint="eastAsia" w:ascii="仿宋" w:hAnsi="仿宋" w:eastAsia="仿宋" w:cs="仿宋"/>
          <w:bCs/>
          <w:color w:val="auto"/>
          <w:sz w:val="24"/>
          <w:highlight w:val="none"/>
        </w:rPr>
        <w:t>广西政府采购云平台</w:t>
      </w:r>
      <w:r>
        <w:rPr>
          <w:rFonts w:hint="eastAsia" w:ascii="仿宋" w:hAnsi="仿宋" w:eastAsia="仿宋" w:cs="仿宋"/>
          <w:color w:val="auto"/>
          <w:sz w:val="24"/>
          <w:highlight w:val="none"/>
        </w:rPr>
        <w:t>电子化开标或评审程序调整的，按调整后执行。</w:t>
      </w:r>
    </w:p>
    <w:p w14:paraId="14764EDE">
      <w:pPr>
        <w:pStyle w:val="4"/>
        <w:keepNext w:val="0"/>
        <w:keepLines w:val="0"/>
        <w:jc w:val="center"/>
        <w:rPr>
          <w:rFonts w:hint="eastAsia" w:ascii="仿宋" w:hAnsi="仿宋" w:eastAsia="仿宋" w:cs="仿宋"/>
          <w:color w:val="auto"/>
          <w:sz w:val="24"/>
          <w:szCs w:val="24"/>
          <w:highlight w:val="none"/>
        </w:rPr>
        <w:sectPr>
          <w:headerReference r:id="rId9" w:type="first"/>
          <w:footerReference r:id="rId11" w:type="first"/>
          <w:headerReference r:id="rId8" w:type="default"/>
          <w:footerReference r:id="rId10" w:type="default"/>
          <w:pgSz w:w="11906" w:h="16838"/>
          <w:pgMar w:top="1134" w:right="1247" w:bottom="1559" w:left="1247" w:header="851" w:footer="992" w:gutter="0"/>
          <w:pgNumType w:fmt="decimal" w:start="1"/>
          <w:cols w:space="720" w:num="1"/>
          <w:titlePg/>
          <w:docGrid w:linePitch="312" w:charSpace="0"/>
        </w:sectPr>
      </w:pPr>
    </w:p>
    <w:p w14:paraId="6A2BC23C">
      <w:pPr>
        <w:pStyle w:val="4"/>
        <w:keepNext w:val="0"/>
        <w:keepLines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五、资格审查</w:t>
      </w:r>
    </w:p>
    <w:p w14:paraId="01599938">
      <w:pPr>
        <w:pStyle w:val="5"/>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26.资格审查</w:t>
      </w:r>
    </w:p>
    <w:p w14:paraId="284E5A93">
      <w:pPr>
        <w:pStyle w:val="5"/>
        <w:keepNext w:val="0"/>
        <w:keepLines w:val="0"/>
        <w:spacing w:before="0" w:after="0" w:line="360" w:lineRule="auto"/>
        <w:ind w:firstLine="360" w:firstLineChars="15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 xml:space="preserve"> 26.1开标结束后，</w:t>
      </w:r>
      <w:r>
        <w:rPr>
          <w:rFonts w:hint="eastAsia" w:ascii="仿宋" w:hAnsi="仿宋" w:eastAsia="仿宋" w:cs="仿宋"/>
          <w:bCs/>
          <w:color w:val="auto"/>
          <w:sz w:val="24"/>
          <w:highlight w:val="none"/>
        </w:rPr>
        <w:t>采购人或采购代理机构依法通过电子投标文件对投标人的资格进行线上审查</w:t>
      </w:r>
      <w:r>
        <w:rPr>
          <w:rFonts w:hint="eastAsia" w:ascii="仿宋" w:hAnsi="仿宋" w:eastAsia="仿宋" w:cs="仿宋"/>
          <w:b w:val="0"/>
          <w:color w:val="auto"/>
          <w:sz w:val="24"/>
          <w:highlight w:val="none"/>
        </w:rPr>
        <w:t>。</w:t>
      </w:r>
    </w:p>
    <w:p w14:paraId="5ECE701A">
      <w:pPr>
        <w:pStyle w:val="5"/>
        <w:keepNext w:val="0"/>
        <w:keepLines w:val="0"/>
        <w:spacing w:before="0" w:after="0" w:line="360" w:lineRule="auto"/>
        <w:ind w:firstLine="360" w:firstLineChars="15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 xml:space="preserve"> 26.2采购人或采购代理机构依据法律法规和招标文件的规定，对投标人的基本资格条件、特定资格条件进行审查。</w:t>
      </w:r>
    </w:p>
    <w:p w14:paraId="4F390EED">
      <w:pPr>
        <w:pStyle w:val="6"/>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26.3资格审查标准为详见“第四章 评标方法及评标标准”。本项目资格审查采用合格制，凡符合招标文件规定的投标人资格要求的投标人均通过资格审查。</w:t>
      </w:r>
    </w:p>
    <w:p w14:paraId="6D9D0C7C">
      <w:pPr>
        <w:pStyle w:val="5"/>
        <w:keepNext w:val="0"/>
        <w:keepLines w:val="0"/>
        <w:numPr>
          <w:ilvl w:val="0"/>
          <w:numId w:val="0"/>
        </w:numPr>
        <w:spacing w:before="0" w:after="0" w:line="360" w:lineRule="auto"/>
        <w:ind w:firstLine="482" w:firstLineChars="200"/>
        <w:rPr>
          <w:rFonts w:hint="eastAsia" w:ascii="仿宋" w:hAnsi="仿宋" w:eastAsia="仿宋" w:cs="仿宋"/>
          <w:color w:val="auto"/>
          <w:sz w:val="24"/>
          <w:highlight w:val="none"/>
        </w:rPr>
      </w:pPr>
      <w:bookmarkStart w:id="136" w:name="_25.3_投标人有下列情形之一的，资格审查不通过而导致其投标无效："/>
      <w:bookmarkEnd w:id="136"/>
      <w:r>
        <w:rPr>
          <w:rFonts w:hint="eastAsia" w:ascii="仿宋" w:hAnsi="仿宋" w:eastAsia="仿宋" w:cs="仿宋"/>
          <w:color w:val="auto"/>
          <w:sz w:val="24"/>
          <w:highlight w:val="none"/>
        </w:rPr>
        <w:t>26.4 投标人有下列情形之一的，资格审查不通过，作无效投标处理：</w:t>
      </w:r>
    </w:p>
    <w:p w14:paraId="46987113">
      <w:pPr>
        <w:pStyle w:val="23"/>
        <w:snapToGrid w:val="0"/>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（1）未按招标文件规定的方式获取本招标文件的投标人；</w:t>
      </w:r>
    </w:p>
    <w:p w14:paraId="306E311A">
      <w:pPr>
        <w:pStyle w:val="23"/>
        <w:snapToGrid w:val="0"/>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（2）不具备招标文件中规定的资格要求的；（注：其中信用查询规则见“投标人须知前附表”）</w:t>
      </w:r>
    </w:p>
    <w:p w14:paraId="5F07E728">
      <w:pPr>
        <w:pStyle w:val="23"/>
        <w:snapToGrid w:val="0"/>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（3）投标文件未提供任一项“投标人须知前附表”资格证明文件规定的“必须提供”的文件资料的；</w:t>
      </w:r>
    </w:p>
    <w:p w14:paraId="3EF2EAFA">
      <w:pPr>
        <w:pStyle w:val="23"/>
        <w:snapToGrid w:val="0"/>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（4）投标文件提供的资格证明文件出现任一项不符合“投标人须知前附表”资格证明文件规定的“必须提供”的文件资料要求或者无效的。</w:t>
      </w:r>
    </w:p>
    <w:p w14:paraId="22E1EC2D">
      <w:pPr>
        <w:pStyle w:val="5"/>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26.5资格审查的合格投标人不足3家的，不得评标。</w:t>
      </w:r>
    </w:p>
    <w:p w14:paraId="6E560582">
      <w:pPr>
        <w:keepNext w:val="0"/>
        <w:keepLines w:val="0"/>
        <w:spacing w:before="0" w:after="0" w:line="360" w:lineRule="auto"/>
        <w:ind w:left="420" w:leftChars="200"/>
        <w:outlineLvl w:val="9"/>
        <w:rPr>
          <w:rFonts w:hint="eastAsia" w:ascii="仿宋" w:hAnsi="仿宋" w:eastAsia="仿宋" w:cs="仿宋"/>
          <w:b w:val="0"/>
          <w:color w:val="auto"/>
          <w:sz w:val="24"/>
          <w:highlight w:val="none"/>
        </w:rPr>
      </w:pPr>
      <w:r>
        <w:rPr>
          <w:rFonts w:hint="eastAsia" w:ascii="仿宋" w:hAnsi="仿宋" w:eastAsia="仿宋" w:cs="仿宋"/>
          <w:color w:val="auto"/>
          <w:sz w:val="24"/>
          <w:highlight w:val="none"/>
        </w:rPr>
        <w:br w:type="column"/>
      </w:r>
    </w:p>
    <w:p w14:paraId="088F0FBF">
      <w:pPr>
        <w:pStyle w:val="4"/>
        <w:keepNext w:val="0"/>
        <w:keepLines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六、评   标</w:t>
      </w:r>
    </w:p>
    <w:p w14:paraId="4EB3196D">
      <w:pPr>
        <w:pStyle w:val="5"/>
        <w:keepNext w:val="0"/>
        <w:keepLines w:val="0"/>
        <w:spacing w:before="0" w:after="0" w:line="360" w:lineRule="auto"/>
        <w:ind w:left="420" w:leftChars="200"/>
        <w:rPr>
          <w:rFonts w:hint="eastAsia" w:ascii="仿宋" w:hAnsi="仿宋" w:eastAsia="仿宋" w:cs="仿宋"/>
          <w:color w:val="auto"/>
          <w:sz w:val="24"/>
          <w:highlight w:val="none"/>
        </w:rPr>
      </w:pPr>
      <w:bookmarkStart w:id="137" w:name="_26.组建评标委员会"/>
      <w:bookmarkEnd w:id="137"/>
      <w:bookmarkStart w:id="138" w:name="_Toc254970546"/>
      <w:bookmarkStart w:id="139" w:name="_Toc254970687"/>
      <w:r>
        <w:rPr>
          <w:rFonts w:hint="eastAsia" w:ascii="仿宋" w:hAnsi="仿宋" w:eastAsia="仿宋" w:cs="仿宋"/>
          <w:color w:val="auto"/>
          <w:sz w:val="24"/>
          <w:highlight w:val="none"/>
        </w:rPr>
        <w:t>27.组建评标委员会</w:t>
      </w:r>
    </w:p>
    <w:p w14:paraId="2B19CE83">
      <w:pPr>
        <w:pStyle w:val="23"/>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评标委员会由采购人代表和评审专家组成，具体人数详见“投标人须知前附表”，其中评审专家不得少于成员总数的三分之二。</w:t>
      </w:r>
    </w:p>
    <w:p w14:paraId="7E3AEFEA">
      <w:pPr>
        <w:pStyle w:val="23"/>
        <w:snapToGrid w:val="0"/>
        <w:spacing w:line="360" w:lineRule="auto"/>
        <w:ind w:left="2" w:leftChars="1"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参加过采购项目前期咨询论证的专家，不得参加该采购项目的评审活动。</w:t>
      </w:r>
    </w:p>
    <w:p w14:paraId="1C6926B2">
      <w:pPr>
        <w:pStyle w:val="5"/>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28.评标的依据</w:t>
      </w:r>
    </w:p>
    <w:p w14:paraId="4936FEB6">
      <w:pPr>
        <w:pStyle w:val="23"/>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评标委员会以招标文件为依据对投标文件进行评审，“第四章 评标方法和评标标准”没有规定的方法、评审因素和标准，不作为评标依据。</w:t>
      </w:r>
    </w:p>
    <w:p w14:paraId="07D8CF06">
      <w:pPr>
        <w:pStyle w:val="5"/>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29.评标原则</w:t>
      </w:r>
    </w:p>
    <w:p w14:paraId="021D0F82">
      <w:pPr>
        <w:pStyle w:val="23"/>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29.1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701EC2FD">
      <w:pPr>
        <w:pStyle w:val="23"/>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29.2评委表决。在评标过程中出现法律法规和招标文件均没有明确规定的情形时，由评标委员会现场协商解决，协商不一致的，由全体评委投票表决，以得票率二分之一以上专家的意见为准。</w:t>
      </w:r>
      <w:bookmarkStart w:id="140" w:name="_28.3评标方法。本项目将按须知前附表规定的评标办法进行评标，具体评标"/>
      <w:bookmarkEnd w:id="140"/>
    </w:p>
    <w:p w14:paraId="61D87C62">
      <w:pPr>
        <w:pStyle w:val="23"/>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29.3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4BF873DF">
      <w:pPr>
        <w:pStyle w:val="23"/>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29.4评标过程的监控。本项目评标过程实行全程录音、录像监控，投标人在评标过程中所进行的试图影响评标结果的不公正活动，可能导致其投标按无效处理。</w:t>
      </w:r>
    </w:p>
    <w:p w14:paraId="6C0204B7">
      <w:pPr>
        <w:pStyle w:val="5"/>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30.评标方法及评标标准</w:t>
      </w:r>
    </w:p>
    <w:p w14:paraId="0B0B5741">
      <w:pPr>
        <w:pStyle w:val="23"/>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30.1本项目的评标方法详见“投标人须知前附表”。</w:t>
      </w:r>
    </w:p>
    <w:p w14:paraId="4415D8AF">
      <w:pPr>
        <w:pStyle w:val="23"/>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30.2 评标委员会按照“第四章 评标方法和评标标准”规定的方法、评审因素、标准和程序对投标文件进行评审。</w:t>
      </w:r>
    </w:p>
    <w:p w14:paraId="531BA649">
      <w:pPr>
        <w:pStyle w:val="23"/>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30.3 电子交易活动的中止。采购过程中出现以下情形，导致电子交易平台无法正常运行，或者无法保证电子交易的公平、公正和安全时，采购代理机构可中止电子交易活动：</w:t>
      </w:r>
    </w:p>
    <w:p w14:paraId="4109B8D1">
      <w:pPr>
        <w:pStyle w:val="23"/>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（1）电子交易平台发生故障而无法登录访问的； </w:t>
      </w:r>
    </w:p>
    <w:p w14:paraId="2539CAFC">
      <w:pPr>
        <w:pStyle w:val="23"/>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（2）电子交易平台应用或数据库出现错误，不能进行正常操作的；</w:t>
      </w:r>
    </w:p>
    <w:p w14:paraId="7D02667D">
      <w:pPr>
        <w:pStyle w:val="23"/>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（3）电子交易平台发现严重安全漏洞，有潜在泄密危险的；</w:t>
      </w:r>
    </w:p>
    <w:p w14:paraId="7E8E258E">
      <w:pPr>
        <w:pStyle w:val="23"/>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（4）病毒发作导致不能进行正常操作的； </w:t>
      </w:r>
    </w:p>
    <w:p w14:paraId="1445F3EB">
      <w:pPr>
        <w:pStyle w:val="23"/>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（4）其他无法保证电子交易的公平、公正和安全的情况。</w:t>
      </w:r>
    </w:p>
    <w:p w14:paraId="7DC8E061">
      <w:pPr>
        <w:pStyle w:val="23"/>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30.4出现以上情形，不影响采购公平、公正性的，采购组织机构可以待上述情形消除后继续组织电子交易活动；影响或可能影响采购公平、公正性的，应当重新采购。采购代理机构必须对原有的资料及信息作出妥善保密处理，并报财政部门备案。</w:t>
      </w:r>
    </w:p>
    <w:p w14:paraId="13193199">
      <w:pPr>
        <w:pStyle w:val="23"/>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column"/>
      </w:r>
    </w:p>
    <w:p w14:paraId="77E48F02">
      <w:pPr>
        <w:pStyle w:val="4"/>
        <w:keepNext w:val="0"/>
        <w:keepLines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w:t>
      </w:r>
      <w:bookmarkEnd w:id="138"/>
      <w:bookmarkEnd w:id="139"/>
      <w:r>
        <w:rPr>
          <w:rFonts w:hint="eastAsia" w:ascii="仿宋" w:hAnsi="仿宋" w:eastAsia="仿宋" w:cs="仿宋"/>
          <w:color w:val="auto"/>
          <w:sz w:val="24"/>
          <w:szCs w:val="24"/>
          <w:highlight w:val="none"/>
        </w:rPr>
        <w:t>中标和合同</w:t>
      </w:r>
    </w:p>
    <w:p w14:paraId="55D54372">
      <w:pPr>
        <w:pStyle w:val="5"/>
        <w:keepNext w:val="0"/>
        <w:keepLines w:val="0"/>
        <w:spacing w:before="0" w:after="0" w:line="360" w:lineRule="auto"/>
        <w:ind w:left="420" w:leftChars="200"/>
        <w:rPr>
          <w:rFonts w:hint="eastAsia" w:ascii="仿宋" w:hAnsi="仿宋" w:eastAsia="仿宋" w:cs="仿宋"/>
          <w:color w:val="auto"/>
          <w:sz w:val="24"/>
          <w:highlight w:val="none"/>
        </w:rPr>
      </w:pPr>
      <w:bookmarkStart w:id="141" w:name="_八、其他事项"/>
      <w:bookmarkEnd w:id="141"/>
      <w:r>
        <w:rPr>
          <w:rFonts w:hint="eastAsia" w:ascii="仿宋" w:hAnsi="仿宋" w:eastAsia="仿宋" w:cs="仿宋"/>
          <w:color w:val="auto"/>
          <w:sz w:val="24"/>
          <w:highlight w:val="none"/>
        </w:rPr>
        <w:t>31 确定中标人</w:t>
      </w:r>
    </w:p>
    <w:p w14:paraId="058F495A">
      <w:pPr>
        <w:pStyle w:val="5"/>
        <w:keepNext w:val="0"/>
        <w:keepLines w:val="0"/>
        <w:spacing w:before="0" w:after="0" w:line="360" w:lineRule="auto"/>
        <w:ind w:firstLine="480" w:firstLineChars="20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31.1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60C9B7A4">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31.2采购人在收到评标报告5个工作日内未按评标报告推荐的中标候选人顺序确定中标人，又不能说明合法理由的，视同按评标报告推荐的顺序确定排名第一的中标候选人为中标人。</w:t>
      </w:r>
    </w:p>
    <w:p w14:paraId="2E573690">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31.3采购人、采购代理机构认为投标人对采购过程、中标结果提出的质疑成立且影响或者可能影响中标结果的，合格投标人符合法定数量时，可以从合格的中标候选人中另行确定中标人的，应当依法另行确定中标人；否则应当重新开展采购活动。</w:t>
      </w:r>
    </w:p>
    <w:p w14:paraId="381D3ED0">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31.4排名第一的中标候选人放弃中标、因不可抗力提出不能履行合同，采购人可以确定排名第二的中标候选人为中标人。排名第二的中标候选人因前款规定的同样原因不能签订合同的，采购人可以确定排名第三的中标候选人为中标人，以此类推。</w:t>
      </w:r>
    </w:p>
    <w:p w14:paraId="166795F9">
      <w:pPr>
        <w:pStyle w:val="5"/>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32.结果公告</w:t>
      </w:r>
    </w:p>
    <w:p w14:paraId="4441744A">
      <w:pPr>
        <w:pStyle w:val="5"/>
        <w:keepNext w:val="0"/>
        <w:keepLines w:val="0"/>
        <w:spacing w:before="0" w:after="0" w:line="360" w:lineRule="auto"/>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32.1中标人确定后，于中标人确定之日起2个工作日内，中标结果将在招标公告发布媒体上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w:t>
      </w:r>
    </w:p>
    <w:p w14:paraId="5EF358A6">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排名第二的中标候选人因前款规定的同样原因被取消中标资格的，采购人可以确定排名第三的中标候选人为中标人，以此类推。</w:t>
      </w:r>
    </w:p>
    <w:p w14:paraId="457A0F2D">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以上信息查询记录及相关证据与采购文件一并保存。</w:t>
      </w:r>
    </w:p>
    <w:p w14:paraId="5B5E33D4">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中小企业在政府采购活动过程中，请根据企业的真实情况出具《中小企业声明函》。依法享受中小企业优惠政策的，采购人或者采购代理机构在公告中标结果时，同时公告其《中小企业声明函》，接受社会监督。</w:t>
      </w:r>
    </w:p>
    <w:p w14:paraId="51CF4BB5">
      <w:pPr>
        <w:pStyle w:val="5"/>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33.发出中标通知书</w:t>
      </w:r>
    </w:p>
    <w:p w14:paraId="59B6E7A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在发布中标公告的同时，采购代理机构向中标人发出中标通知书。对未通过资格审查的投标人，应当告知其未通过的原因；采用综合评分办法评审的，还应当告知未中标人本人的评审得分与排序。</w:t>
      </w:r>
    </w:p>
    <w:p w14:paraId="4567CACD">
      <w:pPr>
        <w:pStyle w:val="5"/>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34.无义务解释未中标原因</w:t>
      </w:r>
    </w:p>
    <w:p w14:paraId="14E2FD2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采购代理机构无义务向未中标的投标人解释未中标原因和退还投标文件。</w:t>
      </w:r>
    </w:p>
    <w:p w14:paraId="2FCA0AF8">
      <w:pPr>
        <w:pStyle w:val="5"/>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35.合同授予标准</w:t>
      </w:r>
    </w:p>
    <w:p w14:paraId="6EBD2425">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合同将授予被确定实质上响应招标文件要求，具备履行合同能力的中标人（招标文件另有约定多名中标人的除外）。</w:t>
      </w:r>
    </w:p>
    <w:p w14:paraId="72218A84">
      <w:pPr>
        <w:pStyle w:val="5"/>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36.履约保证金</w:t>
      </w:r>
    </w:p>
    <w:p w14:paraId="387799EF">
      <w:pPr>
        <w:spacing w:line="360" w:lineRule="auto"/>
        <w:ind w:firstLine="480" w:firstLineChars="200"/>
        <w:rPr>
          <w:rFonts w:hint="eastAsia" w:ascii="仿宋" w:hAnsi="仿宋" w:eastAsia="仿宋" w:cs="仿宋"/>
          <w:color w:val="auto"/>
          <w:sz w:val="24"/>
          <w:highlight w:val="none"/>
        </w:rPr>
      </w:pPr>
      <w:bookmarkStart w:id="142" w:name="_39.1中标人须于签订合同前按本须知前附表规定的金额转账或电汇到指定账"/>
      <w:bookmarkEnd w:id="142"/>
      <w:r>
        <w:rPr>
          <w:rFonts w:hint="eastAsia" w:ascii="仿宋" w:hAnsi="仿宋" w:eastAsia="仿宋" w:cs="仿宋"/>
          <w:color w:val="auto"/>
          <w:sz w:val="24"/>
          <w:highlight w:val="none"/>
        </w:rPr>
        <w:t>详见须知前附表。</w:t>
      </w:r>
    </w:p>
    <w:p w14:paraId="444F4CF0">
      <w:pPr>
        <w:pStyle w:val="5"/>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37.签订合同</w:t>
      </w:r>
    </w:p>
    <w:p w14:paraId="080BE021">
      <w:pPr>
        <w:pStyle w:val="5"/>
        <w:keepNext w:val="0"/>
        <w:keepLines w:val="0"/>
        <w:spacing w:before="0" w:after="0" w:line="360" w:lineRule="auto"/>
        <w:ind w:firstLine="360" w:firstLineChars="150"/>
        <w:rPr>
          <w:rFonts w:hint="eastAsia" w:ascii="仿宋" w:hAnsi="仿宋" w:eastAsia="仿宋" w:cs="仿宋"/>
          <w:b w:val="0"/>
          <w:color w:val="auto"/>
          <w:sz w:val="24"/>
          <w:highlight w:val="none"/>
        </w:rPr>
      </w:pPr>
      <w:bookmarkStart w:id="143" w:name="_40.1投标人接到中标通知书后，按须知前附表规定向采购人出示相关资格证"/>
      <w:bookmarkEnd w:id="143"/>
      <w:r>
        <w:rPr>
          <w:rFonts w:hint="eastAsia" w:ascii="仿宋" w:hAnsi="仿宋" w:eastAsia="仿宋" w:cs="仿宋"/>
          <w:b w:val="0"/>
          <w:color w:val="auto"/>
          <w:sz w:val="24"/>
          <w:highlight w:val="none"/>
        </w:rPr>
        <w:t xml:space="preserve"> 37.1投标人领取电子中标通知书后，按“投标人须知前附表”规定向采购人出示相关证明材料，经采购人核验合格后方可签订合同。</w:t>
      </w:r>
    </w:p>
    <w:p w14:paraId="6DFDF35D">
      <w:pPr>
        <w:pStyle w:val="5"/>
        <w:keepNext w:val="0"/>
        <w:keepLines w:val="0"/>
        <w:numPr>
          <w:ilvl w:val="0"/>
          <w:numId w:val="0"/>
        </w:numPr>
        <w:spacing w:before="0" w:after="0" w:line="360" w:lineRule="auto"/>
        <w:ind w:firstLine="480" w:firstLineChars="20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37.2签订合同时间：按中标通知书规定的时间与采购人签订合同（最长不能超过25日）。</w:t>
      </w:r>
    </w:p>
    <w:p w14:paraId="5EEA39BF">
      <w:pPr>
        <w:pStyle w:val="5"/>
        <w:keepNext w:val="0"/>
        <w:keepLines w:val="0"/>
        <w:spacing w:before="0" w:after="0" w:line="360" w:lineRule="auto"/>
        <w:ind w:firstLine="360" w:firstLineChars="15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 xml:space="preserve"> 37.3中标人拒绝与采购人签订合同的，采购人可以按照评审报告推荐的中标候选人名单排序，确定下一候选人为中标人，也可以重新开展政府采购活动。如采购人无正当理由拒签合同的，给中标人造成损失的，中标人可追究采购人承担相应的法律责任。</w:t>
      </w:r>
    </w:p>
    <w:p w14:paraId="03330BA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37.4政府采购合同是政府采购项目验收的依据，中标人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5D6FA92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37.5采购人或中标人不得单方面向合同另一方提出任何招标文件没有约定的条件或不合理的要求，作为签订合同的条件；也不得协商另行订立背离招标文件和合同实质性内容的协议。</w:t>
      </w:r>
    </w:p>
    <w:p w14:paraId="5FDF588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37.6如签订合同并生效后，供应商无故拒绝或延期，除按照合同条款处理外，将承担相应的法律责任。</w:t>
      </w:r>
    </w:p>
    <w:p w14:paraId="6A4D544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37.7采购人需追加与合同标的相同的货物或者服务的，在不改变原合同条款且已报财政部门批准落实资金的前提下，可从原中标人处添购，所签订的补充添置合同的采购资金总额不超过原采购合同金额的10%。</w:t>
      </w:r>
    </w:p>
    <w:p w14:paraId="6570A306">
      <w:pPr>
        <w:pStyle w:val="5"/>
        <w:keepNext w:val="0"/>
        <w:keepLines w:val="0"/>
        <w:spacing w:before="0" w:after="0" w:line="360" w:lineRule="auto"/>
        <w:ind w:left="420" w:leftChars="200"/>
        <w:rPr>
          <w:rFonts w:hint="eastAsia" w:ascii="仿宋" w:hAnsi="仿宋" w:eastAsia="仿宋" w:cs="仿宋"/>
          <w:color w:val="auto"/>
          <w:sz w:val="24"/>
          <w:highlight w:val="none"/>
        </w:rPr>
      </w:pPr>
      <w:bookmarkStart w:id="144" w:name="_41.政府采购合同公告"/>
      <w:bookmarkEnd w:id="144"/>
      <w:r>
        <w:rPr>
          <w:rFonts w:hint="eastAsia" w:ascii="仿宋" w:hAnsi="仿宋" w:eastAsia="仿宋" w:cs="仿宋"/>
          <w:color w:val="auto"/>
          <w:sz w:val="24"/>
          <w:highlight w:val="none"/>
        </w:rPr>
        <w:t>38.政府采购合同公告</w:t>
      </w:r>
    </w:p>
    <w:p w14:paraId="7BACD0B1">
      <w:pPr>
        <w:pStyle w:val="23"/>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或者受托采购代理机构应当自政府采购合同签订之日起2个工作日内，将政府采购合同在以下媒体上发布“广西壮族自治区政府采购网”（http://zfcg.gxzf.gov.cn）上公告，但政府采购合同中涉及国家秘密、商业秘密的内容除外。</w:t>
      </w:r>
    </w:p>
    <w:p w14:paraId="0F0E3D77">
      <w:pPr>
        <w:pStyle w:val="5"/>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39.询问、质疑和投诉</w:t>
      </w:r>
    </w:p>
    <w:p w14:paraId="7312E7E8">
      <w:pPr>
        <w:pStyle w:val="6"/>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39.1供应商对政府采购活动事项有疑问的，可以向采购人提出询问，采购人应当及时作出答复，但答复的内容不得涉及商业秘密。</w:t>
      </w:r>
    </w:p>
    <w:p w14:paraId="1FEC78C2">
      <w:pPr>
        <w:pStyle w:val="5"/>
        <w:keepNext w:val="0"/>
        <w:keepLines w:val="0"/>
        <w:spacing w:before="0" w:after="0" w:line="360" w:lineRule="auto"/>
        <w:ind w:firstLine="360" w:firstLineChars="15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 xml:space="preserve"> 39.2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 </w:t>
      </w:r>
    </w:p>
    <w:p w14:paraId="1EA291DE">
      <w:pPr>
        <w:pStyle w:val="23"/>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（1）对可以质疑的招标文件提出质疑的，为收到招标文件之日或者招标文件公告期限届满之日；</w:t>
      </w:r>
    </w:p>
    <w:p w14:paraId="0A93F71B">
      <w:pPr>
        <w:pStyle w:val="23"/>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（2）对采购过程提出质疑的，为各采购程序环节结束之日；</w:t>
      </w:r>
    </w:p>
    <w:p w14:paraId="32F3C1CE">
      <w:pPr>
        <w:pStyle w:val="23"/>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（3）对中标结果提出质疑的，为中标结果公告期限届满之日。</w:t>
      </w:r>
    </w:p>
    <w:p w14:paraId="468E7C11">
      <w:pPr>
        <w:pStyle w:val="23"/>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供应商对采购人、采购代理机构的质疑答复不满意，或者采购人、采购代理机构未在规定时间内作出答复的，可以在答复期满后十五个工作日内向同级政府采购监管部门投诉。</w:t>
      </w:r>
    </w:p>
    <w:p w14:paraId="0B9E2556">
      <w:pPr>
        <w:pStyle w:val="5"/>
        <w:keepNext w:val="0"/>
        <w:keepLines w:val="0"/>
        <w:spacing w:before="0" w:after="0" w:line="360" w:lineRule="auto"/>
        <w:ind w:firstLine="360" w:firstLineChars="150"/>
        <w:rPr>
          <w:rFonts w:hint="eastAsia" w:ascii="仿宋" w:hAnsi="仿宋" w:eastAsia="仿宋" w:cs="仿宋"/>
          <w:b w:val="0"/>
          <w:color w:val="auto"/>
          <w:sz w:val="24"/>
          <w:highlight w:val="none"/>
        </w:rPr>
      </w:pPr>
      <w:bookmarkStart w:id="145" w:name="_9.2质疑、投诉应当采用书面形式，质疑函、投诉书均应明确阐述招标文件、"/>
      <w:bookmarkEnd w:id="145"/>
      <w:r>
        <w:rPr>
          <w:rFonts w:hint="eastAsia" w:ascii="仿宋" w:hAnsi="仿宋" w:eastAsia="仿宋" w:cs="仿宋"/>
          <w:b w:val="0"/>
          <w:color w:val="auto"/>
          <w:sz w:val="24"/>
          <w:highlight w:val="none"/>
        </w:rPr>
        <w:t xml:space="preserve"> 39.3 </w:t>
      </w:r>
      <w:r>
        <w:rPr>
          <w:rFonts w:hint="eastAsia" w:ascii="仿宋" w:hAnsi="仿宋" w:eastAsia="仿宋" w:cs="仿宋"/>
          <w:bCs/>
          <w:color w:val="auto"/>
          <w:sz w:val="24"/>
          <w:highlight w:val="none"/>
        </w:rPr>
        <w:t>供应商提出质疑应当提交质疑函和必要的证明材料，针对同一采购程序环节的质疑必须在法定质疑期内一次性提出。质疑函应当包括下列内容（质疑函格式后附）：</w:t>
      </w:r>
    </w:p>
    <w:p w14:paraId="3DD31B02">
      <w:pPr>
        <w:pStyle w:val="23"/>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（1）供应商的姓名或者名称、地址、邮编、联系人及联系电话；</w:t>
      </w:r>
    </w:p>
    <w:p w14:paraId="4A36E066">
      <w:pPr>
        <w:pStyle w:val="23"/>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（2）质疑项目的名称、编号；</w:t>
      </w:r>
    </w:p>
    <w:p w14:paraId="12472CC1">
      <w:pPr>
        <w:pStyle w:val="23"/>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（3）具体、明确的质疑事项和与质疑事项相关的请求；</w:t>
      </w:r>
    </w:p>
    <w:p w14:paraId="4D95BFAE">
      <w:pPr>
        <w:pStyle w:val="23"/>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（4）事实依据；</w:t>
      </w:r>
    </w:p>
    <w:p w14:paraId="24895327">
      <w:pPr>
        <w:pStyle w:val="23"/>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（5）必要的法律依据；</w:t>
      </w:r>
    </w:p>
    <w:p w14:paraId="4845B699">
      <w:pPr>
        <w:pStyle w:val="23"/>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（6）提出质疑的日期。</w:t>
      </w:r>
    </w:p>
    <w:p w14:paraId="15EA442B">
      <w:pPr>
        <w:pStyle w:val="23"/>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供应商为自然人的，应当由本人签字；供应商为法人或者其他组织的，应当由法定代表人、主要负责人，或者其委托代理人签字或者盖章，并加盖公章。</w:t>
      </w:r>
    </w:p>
    <w:p w14:paraId="72D32E5E">
      <w:pPr>
        <w:pStyle w:val="5"/>
        <w:keepNext w:val="0"/>
        <w:keepLines w:val="0"/>
        <w:snapToGrid w:val="0"/>
        <w:spacing w:before="0" w:after="0" w:line="360" w:lineRule="auto"/>
        <w:ind w:firstLine="482" w:firstLineChars="200"/>
        <w:rPr>
          <w:rFonts w:hint="eastAsia" w:ascii="仿宋" w:hAnsi="仿宋" w:eastAsia="仿宋" w:cs="仿宋"/>
          <w:bCs/>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bCs/>
          <w:color w:val="auto"/>
          <w:sz w:val="24"/>
          <w:highlight w:val="none"/>
        </w:rPr>
        <w:t>9.4采购人、采购代理机构认为供应商质疑不成立，或者成立但未对中标结果构成影响的，继续开展采购活动；认为供应商质疑成立且影响或者可能影响中标结果的，按照下列情况处理：</w:t>
      </w:r>
    </w:p>
    <w:p w14:paraId="4AA9DD7F">
      <w:pPr>
        <w:pStyle w:val="23"/>
        <w:snapToGrid w:val="0"/>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（一）对招标文件提出的质疑，依法通过澄清或者修改可以继续开展采购活动的，澄清或者修改招标文件后继续开展采购活动；否则应当修改招标文件后重新开展采购活动。</w:t>
      </w:r>
    </w:p>
    <w:p w14:paraId="5E12BDD6">
      <w:pPr>
        <w:pStyle w:val="23"/>
        <w:snapToGrid w:val="0"/>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（二）对采购过程、中标结果提出的质疑，合格供应商符合法定数量时，可以从合格的中标候选人中另行确定中标人的，应当依法另行确定中标人；否则应当重新开展采购活动。</w:t>
      </w:r>
    </w:p>
    <w:p w14:paraId="6321D272">
      <w:pPr>
        <w:pStyle w:val="23"/>
        <w:snapToGrid w:val="0"/>
        <w:spacing w:line="360" w:lineRule="auto"/>
        <w:ind w:firstLine="42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质疑答复导致中标结果改变的，采购人或者采购代理机构应当将有关情况书面报告本级财政部门。</w:t>
      </w:r>
    </w:p>
    <w:p w14:paraId="42CB3371">
      <w:pPr>
        <w:pStyle w:val="23"/>
        <w:snapToGrid w:val="0"/>
        <w:spacing w:line="360" w:lineRule="auto"/>
        <w:ind w:firstLine="480" w:firstLineChars="20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39.5</w:t>
      </w:r>
      <w:r>
        <w:rPr>
          <w:rFonts w:hint="eastAsia" w:ascii="仿宋" w:hAnsi="仿宋" w:eastAsia="仿宋" w:cs="仿宋"/>
          <w:b/>
          <w:color w:val="auto"/>
          <w:sz w:val="24"/>
          <w:szCs w:val="24"/>
          <w:highlight w:val="none"/>
        </w:rPr>
        <w:t>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0620C3BF">
      <w:pPr>
        <w:pStyle w:val="23"/>
        <w:snapToGrid w:val="0"/>
        <w:spacing w:line="360" w:lineRule="auto"/>
        <w:ind w:firstLine="482" w:firstLineChars="200"/>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br w:type="column"/>
      </w:r>
    </w:p>
    <w:p w14:paraId="557B63B3">
      <w:pPr>
        <w:pStyle w:val="4"/>
        <w:keepNext w:val="0"/>
        <w:keepLines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八、其他事项</w:t>
      </w:r>
    </w:p>
    <w:p w14:paraId="1C5D06A0">
      <w:pPr>
        <w:pStyle w:val="5"/>
        <w:keepNext w:val="0"/>
        <w:keepLines w:val="0"/>
        <w:spacing w:before="0" w:after="0" w:line="360" w:lineRule="auto"/>
        <w:ind w:left="420" w:leftChars="200"/>
        <w:rPr>
          <w:rFonts w:hint="eastAsia" w:ascii="仿宋" w:hAnsi="仿宋" w:eastAsia="仿宋" w:cs="仿宋"/>
          <w:color w:val="auto"/>
          <w:sz w:val="24"/>
          <w:highlight w:val="none"/>
        </w:rPr>
      </w:pPr>
      <w:bookmarkStart w:id="146" w:name="_42.代理服务费"/>
      <w:bookmarkEnd w:id="146"/>
      <w:r>
        <w:rPr>
          <w:rFonts w:hint="eastAsia" w:ascii="仿宋" w:hAnsi="仿宋" w:eastAsia="仿宋" w:cs="仿宋"/>
          <w:color w:val="auto"/>
          <w:sz w:val="24"/>
          <w:highlight w:val="none"/>
        </w:rPr>
        <w:t>40.代理服务费</w:t>
      </w:r>
    </w:p>
    <w:p w14:paraId="03AE8DD9">
      <w:pPr>
        <w:pStyle w:val="5"/>
        <w:keepNext w:val="0"/>
        <w:keepLines w:val="0"/>
        <w:spacing w:before="0" w:after="0" w:line="360" w:lineRule="auto"/>
        <w:ind w:left="420" w:leftChars="20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40.1代理服务收费标准及缴费账户详见“投标人须知前附表”，投标人为联合体的，可以由联合体中的一方或者多方共同交纳代理服务费。</w:t>
      </w:r>
    </w:p>
    <w:p w14:paraId="76E210FE">
      <w:pPr>
        <w:pStyle w:val="5"/>
        <w:keepNext w:val="0"/>
        <w:keepLines w:val="0"/>
        <w:spacing w:before="0" w:after="0" w:line="360" w:lineRule="auto"/>
        <w:ind w:left="420" w:leftChars="20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40.2代理服务收费标准：</w:t>
      </w:r>
    </w:p>
    <w:tbl>
      <w:tblPr>
        <w:tblStyle w:val="4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4BCAC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3472" w:type="dxa"/>
            <w:tcBorders>
              <w:tl2br w:val="single" w:color="auto" w:sz="4" w:space="0"/>
            </w:tcBorders>
          </w:tcPr>
          <w:p w14:paraId="4092F81F">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费率</w:t>
            </w:r>
          </w:p>
          <w:p w14:paraId="6268B752">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中标金额</w:t>
            </w:r>
          </w:p>
        </w:tc>
        <w:tc>
          <w:tcPr>
            <w:tcW w:w="1659" w:type="dxa"/>
            <w:vAlign w:val="center"/>
          </w:tcPr>
          <w:p w14:paraId="561DD119">
            <w:pPr>
              <w:spacing w:line="360" w:lineRule="auto"/>
              <w:ind w:firstLine="120" w:firstLineChars="5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货物招标</w:t>
            </w:r>
          </w:p>
        </w:tc>
        <w:tc>
          <w:tcPr>
            <w:tcW w:w="1687" w:type="dxa"/>
            <w:vAlign w:val="center"/>
          </w:tcPr>
          <w:p w14:paraId="6E9905CC">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服务招标</w:t>
            </w:r>
          </w:p>
        </w:tc>
        <w:tc>
          <w:tcPr>
            <w:tcW w:w="1659" w:type="dxa"/>
            <w:vAlign w:val="center"/>
          </w:tcPr>
          <w:p w14:paraId="38E9137B">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工程招标</w:t>
            </w:r>
          </w:p>
        </w:tc>
      </w:tr>
      <w:tr w14:paraId="32F2A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48CE9D41">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100万元以下</w:t>
            </w:r>
          </w:p>
        </w:tc>
        <w:tc>
          <w:tcPr>
            <w:tcW w:w="1659" w:type="dxa"/>
          </w:tcPr>
          <w:p w14:paraId="6A940DF6">
            <w:pPr>
              <w:spacing w:line="360" w:lineRule="auto"/>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 xml:space="preserve">  1.5%                </w:t>
            </w:r>
          </w:p>
        </w:tc>
        <w:tc>
          <w:tcPr>
            <w:tcW w:w="1687" w:type="dxa"/>
          </w:tcPr>
          <w:p w14:paraId="2925DA57">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1.5%</w:t>
            </w:r>
          </w:p>
        </w:tc>
        <w:tc>
          <w:tcPr>
            <w:tcW w:w="1659" w:type="dxa"/>
          </w:tcPr>
          <w:p w14:paraId="666CF6AA">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 xml:space="preserve">1.0% </w:t>
            </w:r>
          </w:p>
        </w:tc>
      </w:tr>
      <w:tr w14:paraId="40EC1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30CE1AF4">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100～500万元</w:t>
            </w:r>
          </w:p>
        </w:tc>
        <w:tc>
          <w:tcPr>
            <w:tcW w:w="1659" w:type="dxa"/>
          </w:tcPr>
          <w:p w14:paraId="63A57D42">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 xml:space="preserve">1.1%                 </w:t>
            </w:r>
          </w:p>
        </w:tc>
        <w:tc>
          <w:tcPr>
            <w:tcW w:w="1687" w:type="dxa"/>
          </w:tcPr>
          <w:p w14:paraId="0EE6B8FF">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0.8%</w:t>
            </w:r>
          </w:p>
        </w:tc>
        <w:tc>
          <w:tcPr>
            <w:tcW w:w="1659" w:type="dxa"/>
          </w:tcPr>
          <w:p w14:paraId="74902703">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 xml:space="preserve">0.7% </w:t>
            </w:r>
          </w:p>
        </w:tc>
      </w:tr>
      <w:tr w14:paraId="3A285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5C1005E1">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500～1000万元</w:t>
            </w:r>
          </w:p>
        </w:tc>
        <w:tc>
          <w:tcPr>
            <w:tcW w:w="1659" w:type="dxa"/>
          </w:tcPr>
          <w:p w14:paraId="5474EF52">
            <w:pPr>
              <w:spacing w:line="360" w:lineRule="auto"/>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 xml:space="preserve">  0.8%                </w:t>
            </w:r>
          </w:p>
        </w:tc>
        <w:tc>
          <w:tcPr>
            <w:tcW w:w="1687" w:type="dxa"/>
          </w:tcPr>
          <w:p w14:paraId="1C2DE237">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0.45%</w:t>
            </w:r>
          </w:p>
        </w:tc>
        <w:tc>
          <w:tcPr>
            <w:tcW w:w="1659" w:type="dxa"/>
          </w:tcPr>
          <w:p w14:paraId="5DF89EDE">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0.55%</w:t>
            </w:r>
          </w:p>
        </w:tc>
      </w:tr>
      <w:tr w14:paraId="08409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3985357">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1000～5000万元</w:t>
            </w:r>
          </w:p>
        </w:tc>
        <w:tc>
          <w:tcPr>
            <w:tcW w:w="1659" w:type="dxa"/>
          </w:tcPr>
          <w:p w14:paraId="18CA1366">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 xml:space="preserve">0.5%                </w:t>
            </w:r>
          </w:p>
        </w:tc>
        <w:tc>
          <w:tcPr>
            <w:tcW w:w="1687" w:type="dxa"/>
          </w:tcPr>
          <w:p w14:paraId="4788A8E4">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0.25%</w:t>
            </w:r>
          </w:p>
        </w:tc>
        <w:tc>
          <w:tcPr>
            <w:tcW w:w="1659" w:type="dxa"/>
          </w:tcPr>
          <w:p w14:paraId="166238B6">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 xml:space="preserve">0.35% </w:t>
            </w:r>
          </w:p>
        </w:tc>
      </w:tr>
      <w:tr w14:paraId="3406B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2CEC227C">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5000万元～1亿元</w:t>
            </w:r>
          </w:p>
        </w:tc>
        <w:tc>
          <w:tcPr>
            <w:tcW w:w="1659" w:type="dxa"/>
          </w:tcPr>
          <w:p w14:paraId="68363CC2">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 xml:space="preserve">0.25%                 </w:t>
            </w:r>
          </w:p>
        </w:tc>
        <w:tc>
          <w:tcPr>
            <w:tcW w:w="1687" w:type="dxa"/>
          </w:tcPr>
          <w:p w14:paraId="7F6CBB9B">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0.1%</w:t>
            </w:r>
          </w:p>
        </w:tc>
        <w:tc>
          <w:tcPr>
            <w:tcW w:w="1659" w:type="dxa"/>
          </w:tcPr>
          <w:p w14:paraId="690AB13E">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0.2%</w:t>
            </w:r>
          </w:p>
        </w:tc>
      </w:tr>
      <w:tr w14:paraId="48C87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07D31E85">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1～5亿元</w:t>
            </w:r>
          </w:p>
        </w:tc>
        <w:tc>
          <w:tcPr>
            <w:tcW w:w="1659" w:type="dxa"/>
          </w:tcPr>
          <w:p w14:paraId="13F6A8AF">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0.05%</w:t>
            </w:r>
          </w:p>
        </w:tc>
        <w:tc>
          <w:tcPr>
            <w:tcW w:w="1687" w:type="dxa"/>
          </w:tcPr>
          <w:p w14:paraId="27730BB5">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0.05%</w:t>
            </w:r>
          </w:p>
        </w:tc>
        <w:tc>
          <w:tcPr>
            <w:tcW w:w="1659" w:type="dxa"/>
          </w:tcPr>
          <w:p w14:paraId="0CC03FA4">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0.05%</w:t>
            </w:r>
          </w:p>
        </w:tc>
      </w:tr>
      <w:tr w14:paraId="01A12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8FA8CBF">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5～10亿元</w:t>
            </w:r>
          </w:p>
        </w:tc>
        <w:tc>
          <w:tcPr>
            <w:tcW w:w="1659" w:type="dxa"/>
          </w:tcPr>
          <w:p w14:paraId="3A3A562A">
            <w:pPr>
              <w:spacing w:line="360" w:lineRule="auto"/>
              <w:ind w:firstLine="120" w:firstLineChars="50"/>
              <w:rPr>
                <w:rFonts w:hint="eastAsia" w:ascii="仿宋" w:hAnsi="仿宋" w:eastAsia="仿宋" w:cs="仿宋"/>
                <w:color w:val="auto"/>
                <w:sz w:val="24"/>
                <w:highlight w:val="none"/>
              </w:rPr>
            </w:pPr>
            <w:r>
              <w:rPr>
                <w:rFonts w:hint="eastAsia" w:ascii="仿宋" w:hAnsi="仿宋" w:eastAsia="仿宋" w:cs="仿宋"/>
                <w:color w:val="auto"/>
                <w:sz w:val="24"/>
                <w:highlight w:val="none"/>
              </w:rPr>
              <w:t>0.035%</w:t>
            </w:r>
          </w:p>
        </w:tc>
        <w:tc>
          <w:tcPr>
            <w:tcW w:w="1687" w:type="dxa"/>
          </w:tcPr>
          <w:p w14:paraId="4826A69A">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0.035%</w:t>
            </w:r>
          </w:p>
        </w:tc>
        <w:tc>
          <w:tcPr>
            <w:tcW w:w="1659" w:type="dxa"/>
          </w:tcPr>
          <w:p w14:paraId="180275E4">
            <w:pPr>
              <w:spacing w:line="360" w:lineRule="auto"/>
              <w:ind w:firstLine="120" w:firstLineChars="50"/>
              <w:rPr>
                <w:rFonts w:hint="eastAsia" w:ascii="仿宋" w:hAnsi="仿宋" w:eastAsia="仿宋" w:cs="仿宋"/>
                <w:color w:val="auto"/>
                <w:sz w:val="24"/>
                <w:highlight w:val="none"/>
              </w:rPr>
            </w:pPr>
            <w:r>
              <w:rPr>
                <w:rFonts w:hint="eastAsia" w:ascii="仿宋" w:hAnsi="仿宋" w:eastAsia="仿宋" w:cs="仿宋"/>
                <w:color w:val="auto"/>
                <w:sz w:val="24"/>
                <w:highlight w:val="none"/>
              </w:rPr>
              <w:t>0.035%</w:t>
            </w:r>
          </w:p>
        </w:tc>
      </w:tr>
      <w:tr w14:paraId="02487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2D4CB88E">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10～50亿元</w:t>
            </w:r>
          </w:p>
        </w:tc>
        <w:tc>
          <w:tcPr>
            <w:tcW w:w="1659" w:type="dxa"/>
          </w:tcPr>
          <w:p w14:paraId="6892DE86">
            <w:pPr>
              <w:spacing w:line="360" w:lineRule="auto"/>
              <w:ind w:firstLine="120" w:firstLineChars="50"/>
              <w:rPr>
                <w:rFonts w:hint="eastAsia" w:ascii="仿宋" w:hAnsi="仿宋" w:eastAsia="仿宋" w:cs="仿宋"/>
                <w:color w:val="auto"/>
                <w:sz w:val="24"/>
                <w:highlight w:val="none"/>
              </w:rPr>
            </w:pPr>
            <w:r>
              <w:rPr>
                <w:rFonts w:hint="eastAsia" w:ascii="仿宋" w:hAnsi="仿宋" w:eastAsia="仿宋" w:cs="仿宋"/>
                <w:color w:val="auto"/>
                <w:sz w:val="24"/>
                <w:highlight w:val="none"/>
              </w:rPr>
              <w:t>0.008%</w:t>
            </w:r>
          </w:p>
        </w:tc>
        <w:tc>
          <w:tcPr>
            <w:tcW w:w="1687" w:type="dxa"/>
          </w:tcPr>
          <w:p w14:paraId="54B3BABB">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0.008%</w:t>
            </w:r>
          </w:p>
        </w:tc>
        <w:tc>
          <w:tcPr>
            <w:tcW w:w="1659" w:type="dxa"/>
          </w:tcPr>
          <w:p w14:paraId="29ACA4BA">
            <w:pPr>
              <w:spacing w:line="360" w:lineRule="auto"/>
              <w:ind w:firstLine="120" w:firstLineChars="50"/>
              <w:rPr>
                <w:rFonts w:hint="eastAsia" w:ascii="仿宋" w:hAnsi="仿宋" w:eastAsia="仿宋" w:cs="仿宋"/>
                <w:color w:val="auto"/>
                <w:sz w:val="24"/>
                <w:highlight w:val="none"/>
              </w:rPr>
            </w:pPr>
            <w:r>
              <w:rPr>
                <w:rFonts w:hint="eastAsia" w:ascii="仿宋" w:hAnsi="仿宋" w:eastAsia="仿宋" w:cs="仿宋"/>
                <w:color w:val="auto"/>
                <w:sz w:val="24"/>
                <w:highlight w:val="none"/>
              </w:rPr>
              <w:t>0.008%</w:t>
            </w:r>
          </w:p>
        </w:tc>
      </w:tr>
      <w:tr w14:paraId="7F39A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F452457">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50～100亿元</w:t>
            </w:r>
          </w:p>
        </w:tc>
        <w:tc>
          <w:tcPr>
            <w:tcW w:w="1659" w:type="dxa"/>
          </w:tcPr>
          <w:p w14:paraId="50A14C1C">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0.006%</w:t>
            </w:r>
          </w:p>
        </w:tc>
        <w:tc>
          <w:tcPr>
            <w:tcW w:w="1687" w:type="dxa"/>
          </w:tcPr>
          <w:p w14:paraId="46D2AD78">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0.006%</w:t>
            </w:r>
          </w:p>
        </w:tc>
        <w:tc>
          <w:tcPr>
            <w:tcW w:w="1659" w:type="dxa"/>
          </w:tcPr>
          <w:p w14:paraId="03FAD7D2">
            <w:pPr>
              <w:spacing w:line="360" w:lineRule="auto"/>
              <w:ind w:firstLine="120" w:firstLineChars="50"/>
              <w:rPr>
                <w:rFonts w:hint="eastAsia" w:ascii="仿宋" w:hAnsi="仿宋" w:eastAsia="仿宋" w:cs="仿宋"/>
                <w:color w:val="auto"/>
                <w:sz w:val="24"/>
                <w:highlight w:val="none"/>
              </w:rPr>
            </w:pPr>
            <w:r>
              <w:rPr>
                <w:rFonts w:hint="eastAsia" w:ascii="仿宋" w:hAnsi="仿宋" w:eastAsia="仿宋" w:cs="仿宋"/>
                <w:color w:val="auto"/>
                <w:sz w:val="24"/>
                <w:highlight w:val="none"/>
              </w:rPr>
              <w:t>0.006%</w:t>
            </w:r>
          </w:p>
        </w:tc>
      </w:tr>
      <w:tr w14:paraId="72C91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3A36E45">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100亿以上</w:t>
            </w:r>
          </w:p>
        </w:tc>
        <w:tc>
          <w:tcPr>
            <w:tcW w:w="1659" w:type="dxa"/>
          </w:tcPr>
          <w:p w14:paraId="5F55293D">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0.004%</w:t>
            </w:r>
          </w:p>
        </w:tc>
        <w:tc>
          <w:tcPr>
            <w:tcW w:w="1687" w:type="dxa"/>
          </w:tcPr>
          <w:p w14:paraId="0C6198C2">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0.004%</w:t>
            </w:r>
          </w:p>
        </w:tc>
        <w:tc>
          <w:tcPr>
            <w:tcW w:w="1659" w:type="dxa"/>
          </w:tcPr>
          <w:p w14:paraId="1F7CCD2A">
            <w:pPr>
              <w:spacing w:line="360" w:lineRule="auto"/>
              <w:ind w:firstLine="120" w:firstLineChars="50"/>
              <w:rPr>
                <w:rFonts w:hint="eastAsia" w:ascii="仿宋" w:hAnsi="仿宋" w:eastAsia="仿宋" w:cs="仿宋"/>
                <w:color w:val="auto"/>
                <w:sz w:val="24"/>
                <w:highlight w:val="none"/>
              </w:rPr>
            </w:pPr>
            <w:r>
              <w:rPr>
                <w:rFonts w:hint="eastAsia" w:ascii="仿宋" w:hAnsi="仿宋" w:eastAsia="仿宋" w:cs="仿宋"/>
                <w:color w:val="auto"/>
                <w:sz w:val="24"/>
                <w:highlight w:val="none"/>
              </w:rPr>
              <w:t>0.004%</w:t>
            </w:r>
          </w:p>
        </w:tc>
      </w:tr>
    </w:tbl>
    <w:p w14:paraId="56091C7F">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注: </w:t>
      </w:r>
    </w:p>
    <w:p w14:paraId="2A1E3419">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（1）按本表费率计算的收费为采购代理的收费基准价格；</w:t>
      </w:r>
    </w:p>
    <w:p w14:paraId="4D11E643">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（2）采购代理收费按差额定率累进法计算。</w:t>
      </w:r>
    </w:p>
    <w:p w14:paraId="654BF33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例如：某服务采购代理业务中标金额或者暂定价为150万元，下浮20%计取，计算采购代理收费额如下：</w:t>
      </w:r>
    </w:p>
    <w:p w14:paraId="0A6CB5B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100 万元 ×l.5 ％＝ 1.5 万元</w:t>
      </w:r>
    </w:p>
    <w:p w14:paraId="7ABF150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150 － 100 ）万元 ×0.8％＝ 0.4万元</w:t>
      </w:r>
    </w:p>
    <w:p w14:paraId="7481FEA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合计收费＝ （1.5 ＋ 0.4）×80%＝ 1.52万元</w:t>
      </w:r>
    </w:p>
    <w:p w14:paraId="4E0B1EE2">
      <w:pPr>
        <w:pStyle w:val="5"/>
        <w:keepNext w:val="0"/>
        <w:keepLines w:val="0"/>
        <w:spacing w:before="0" w:after="0" w:line="280" w:lineRule="exact"/>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41. 需要补充的其他内容</w:t>
      </w:r>
    </w:p>
    <w:p w14:paraId="4B2A7FF1">
      <w:pPr>
        <w:pStyle w:val="23"/>
        <w:snapToGrid w:val="0"/>
        <w:spacing w:before="120" w:after="120" w:line="2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41.1本招标文件解释规则详见“投标人须知前附表”。</w:t>
      </w:r>
    </w:p>
    <w:p w14:paraId="5271A42D">
      <w:pPr>
        <w:pStyle w:val="23"/>
        <w:snapToGrid w:val="0"/>
        <w:spacing w:before="120" w:after="120" w:line="2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41.2 其他事项详见“投标人须知前附表”。</w:t>
      </w:r>
    </w:p>
    <w:p w14:paraId="453C845D">
      <w:pPr>
        <w:pStyle w:val="23"/>
        <w:snapToGrid w:val="0"/>
        <w:spacing w:before="120" w:after="120"/>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r>
        <w:rPr>
          <w:rFonts w:hint="eastAsia" w:ascii="仿宋" w:hAnsi="仿宋" w:eastAsia="仿宋" w:cs="仿宋"/>
          <w:color w:val="auto"/>
          <w:sz w:val="24"/>
          <w:szCs w:val="24"/>
          <w:highlight w:val="none"/>
        </w:rPr>
        <w:t>附件1：</w:t>
      </w:r>
    </w:p>
    <w:p w14:paraId="69754332">
      <w:pPr>
        <w:shd w:val="clear" w:color="auto" w:fill="FFFFFF"/>
        <w:spacing w:after="240" w:afterLines="100" w:line="480" w:lineRule="atLeas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广西壮族自治区政府采购项目合同验收书（格式）</w:t>
      </w:r>
    </w:p>
    <w:p w14:paraId="15382190">
      <w:pPr>
        <w:shd w:val="clear" w:color="auto" w:fill="FFFFFF"/>
        <w:snapToGrid w:val="0"/>
        <w:spacing w:line="320" w:lineRule="atLeast"/>
        <w:ind w:firstLine="48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根据政府采购项目（</w:t>
      </w:r>
      <w:r>
        <w:rPr>
          <w:rFonts w:hint="eastAsia" w:ascii="仿宋" w:hAnsi="仿宋" w:eastAsia="仿宋" w:cs="仿宋"/>
          <w:color w:val="auto"/>
          <w:kern w:val="0"/>
          <w:sz w:val="24"/>
          <w:highlight w:val="none"/>
          <w:u w:val="single"/>
        </w:rPr>
        <w:t>采购合同编号：</w:t>
      </w:r>
      <w:r>
        <w:rPr>
          <w:rFonts w:hint="eastAsia" w:ascii="仿宋" w:hAnsi="仿宋" w:eastAsia="仿宋" w:cs="仿宋"/>
          <w:color w:val="auto"/>
          <w:kern w:val="0"/>
          <w:sz w:val="24"/>
          <w:highlight w:val="none"/>
          <w:u w:val="single"/>
        </w:rPr>
        <w:softHyphen/>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）的约定，我单位对（</w:t>
      </w:r>
      <w:r>
        <w:rPr>
          <w:rFonts w:hint="eastAsia" w:ascii="仿宋" w:hAnsi="仿宋" w:eastAsia="仿宋" w:cs="仿宋"/>
          <w:color w:val="auto"/>
          <w:kern w:val="0"/>
          <w:sz w:val="24"/>
          <w:highlight w:val="none"/>
          <w:u w:val="single"/>
        </w:rPr>
        <w:t xml:space="preserve"> 项目名称 </w:t>
      </w:r>
      <w:r>
        <w:rPr>
          <w:rFonts w:hint="eastAsia" w:ascii="仿宋" w:hAnsi="仿宋" w:eastAsia="仿宋" w:cs="仿宋"/>
          <w:color w:val="auto"/>
          <w:kern w:val="0"/>
          <w:sz w:val="24"/>
          <w:highlight w:val="none"/>
        </w:rPr>
        <w:t>） 政府采购项目中标（或者成交）投标人（</w:t>
      </w:r>
      <w:r>
        <w:rPr>
          <w:rFonts w:hint="eastAsia" w:ascii="仿宋" w:hAnsi="仿宋" w:eastAsia="仿宋" w:cs="仿宋"/>
          <w:color w:val="auto"/>
          <w:kern w:val="0"/>
          <w:sz w:val="24"/>
          <w:highlight w:val="none"/>
          <w:u w:val="single"/>
        </w:rPr>
        <w:t xml:space="preserve"> 公司名称 </w:t>
      </w:r>
      <w:r>
        <w:rPr>
          <w:rFonts w:hint="eastAsia" w:ascii="仿宋" w:hAnsi="仿宋" w:eastAsia="仿宋" w:cs="仿宋"/>
          <w:color w:val="auto"/>
          <w:kern w:val="0"/>
          <w:sz w:val="24"/>
          <w:highlight w:val="none"/>
        </w:rPr>
        <w:t>） 提供的货物（或者工程、服务）进行了验收，验收情况如下：</w:t>
      </w:r>
    </w:p>
    <w:tbl>
      <w:tblPr>
        <w:tblStyle w:val="45"/>
        <w:tblW w:w="0" w:type="auto"/>
        <w:jc w:val="center"/>
        <w:tblLayout w:type="fixed"/>
        <w:tblCellMar>
          <w:top w:w="0" w:type="dxa"/>
          <w:left w:w="0" w:type="dxa"/>
          <w:bottom w:w="0" w:type="dxa"/>
          <w:right w:w="0" w:type="dxa"/>
        </w:tblCellMar>
      </w:tblPr>
      <w:tblGrid>
        <w:gridCol w:w="1331"/>
        <w:gridCol w:w="1921"/>
        <w:gridCol w:w="798"/>
        <w:gridCol w:w="102"/>
        <w:gridCol w:w="2002"/>
        <w:gridCol w:w="178"/>
        <w:gridCol w:w="685"/>
        <w:gridCol w:w="2354"/>
      </w:tblGrid>
      <w:tr w14:paraId="2C27DC23">
        <w:tblPrEx>
          <w:tblCellMar>
            <w:top w:w="0" w:type="dxa"/>
            <w:left w:w="0" w:type="dxa"/>
            <w:bottom w:w="0" w:type="dxa"/>
            <w:right w:w="0" w:type="dxa"/>
          </w:tblCellMar>
        </w:tblPrEx>
        <w:trPr>
          <w:trHeight w:val="497" w:hRule="atLeast"/>
          <w:jc w:val="center"/>
        </w:trPr>
        <w:tc>
          <w:tcPr>
            <w:tcW w:w="3252" w:type="dxa"/>
            <w:gridSpan w:val="2"/>
            <w:tcBorders>
              <w:top w:val="single" w:color="auto" w:sz="8" w:space="0"/>
              <w:left w:val="single" w:color="auto" w:sz="8" w:space="0"/>
              <w:bottom w:val="single" w:color="auto" w:sz="8" w:space="0"/>
              <w:right w:val="single" w:color="auto" w:sz="8" w:space="0"/>
            </w:tcBorders>
            <w:vAlign w:val="center"/>
          </w:tcPr>
          <w:p w14:paraId="43F24CBF">
            <w:pPr>
              <w:snapToGrid w:val="0"/>
              <w:spacing w:before="100" w:beforeAutospacing="1" w:after="100" w:afterAutospacing="1" w:line="320" w:lineRule="atLeast"/>
              <w:ind w:firstLine="5"/>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验收方式：</w:t>
            </w:r>
          </w:p>
        </w:tc>
        <w:tc>
          <w:tcPr>
            <w:tcW w:w="6119" w:type="dxa"/>
            <w:gridSpan w:val="6"/>
            <w:tcBorders>
              <w:top w:val="single" w:color="auto" w:sz="8" w:space="0"/>
              <w:left w:val="nil"/>
              <w:bottom w:val="single" w:color="auto" w:sz="8" w:space="0"/>
              <w:right w:val="single" w:color="auto" w:sz="8" w:space="0"/>
            </w:tcBorders>
            <w:vAlign w:val="center"/>
          </w:tcPr>
          <w:p w14:paraId="10FF5466">
            <w:pPr>
              <w:snapToGrid w:val="0"/>
              <w:spacing w:before="100" w:beforeAutospacing="1" w:after="100" w:afterAutospacing="1" w:line="320" w:lineRule="atLeast"/>
              <w:ind w:firstLine="480"/>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□自行验收 □委托验收</w:t>
            </w:r>
          </w:p>
        </w:tc>
      </w:tr>
      <w:tr w14:paraId="1F5A9B32">
        <w:tblPrEx>
          <w:tblCellMar>
            <w:top w:w="0" w:type="dxa"/>
            <w:left w:w="0" w:type="dxa"/>
            <w:bottom w:w="0" w:type="dxa"/>
            <w:right w:w="0" w:type="dxa"/>
          </w:tblCellMar>
        </w:tblPrEx>
        <w:trPr>
          <w:trHeight w:val="622" w:hRule="atLeast"/>
          <w:jc w:val="center"/>
        </w:trPr>
        <w:tc>
          <w:tcPr>
            <w:tcW w:w="1331" w:type="dxa"/>
            <w:tcBorders>
              <w:top w:val="nil"/>
              <w:left w:val="single" w:color="auto" w:sz="8" w:space="0"/>
              <w:bottom w:val="single" w:color="auto" w:sz="8" w:space="0"/>
              <w:right w:val="single" w:color="auto" w:sz="8" w:space="0"/>
            </w:tcBorders>
            <w:vAlign w:val="center"/>
          </w:tcPr>
          <w:p w14:paraId="29D06FC6">
            <w:pPr>
              <w:snapToGrid w:val="0"/>
              <w:spacing w:before="100" w:beforeAutospacing="1" w:after="100" w:afterAutospacing="1" w:line="320" w:lineRule="atLeast"/>
              <w:ind w:firstLine="2"/>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序号</w:t>
            </w:r>
          </w:p>
        </w:tc>
        <w:tc>
          <w:tcPr>
            <w:tcW w:w="1921" w:type="dxa"/>
            <w:tcBorders>
              <w:top w:val="nil"/>
              <w:left w:val="nil"/>
              <w:bottom w:val="single" w:color="auto" w:sz="8" w:space="0"/>
              <w:right w:val="single" w:color="auto" w:sz="8" w:space="0"/>
            </w:tcBorders>
            <w:vAlign w:val="center"/>
          </w:tcPr>
          <w:p w14:paraId="3559001D">
            <w:pPr>
              <w:snapToGrid w:val="0"/>
              <w:spacing w:before="100" w:beforeAutospacing="1" w:after="100" w:afterAutospacing="1" w:line="320" w:lineRule="atLeast"/>
              <w:ind w:firstLine="2"/>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名 称</w:t>
            </w:r>
          </w:p>
        </w:tc>
        <w:tc>
          <w:tcPr>
            <w:tcW w:w="2902" w:type="dxa"/>
            <w:gridSpan w:val="3"/>
            <w:tcBorders>
              <w:top w:val="nil"/>
              <w:left w:val="nil"/>
              <w:bottom w:val="single" w:color="auto" w:sz="8" w:space="0"/>
              <w:right w:val="single" w:color="auto" w:sz="8" w:space="0"/>
            </w:tcBorders>
            <w:vAlign w:val="center"/>
          </w:tcPr>
          <w:p w14:paraId="5622B7B6">
            <w:pPr>
              <w:snapToGrid w:val="0"/>
              <w:spacing w:before="100" w:beforeAutospacing="1" w:after="100" w:afterAutospacing="1" w:line="320" w:lineRule="atLeast"/>
              <w:ind w:firstLine="2"/>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货物型号规格、标准及配置等（或者服务内容、标准）</w:t>
            </w:r>
          </w:p>
        </w:tc>
        <w:tc>
          <w:tcPr>
            <w:tcW w:w="863" w:type="dxa"/>
            <w:gridSpan w:val="2"/>
            <w:tcBorders>
              <w:top w:val="nil"/>
              <w:left w:val="nil"/>
              <w:bottom w:val="single" w:color="auto" w:sz="8" w:space="0"/>
              <w:right w:val="single" w:color="auto" w:sz="8" w:space="0"/>
            </w:tcBorders>
            <w:vAlign w:val="center"/>
          </w:tcPr>
          <w:p w14:paraId="51DDCDAA">
            <w:pPr>
              <w:snapToGrid w:val="0"/>
              <w:spacing w:before="100" w:beforeAutospacing="1" w:after="100" w:afterAutospacing="1" w:line="320" w:lineRule="atLeas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数量</w:t>
            </w:r>
          </w:p>
        </w:tc>
        <w:tc>
          <w:tcPr>
            <w:tcW w:w="2354" w:type="dxa"/>
            <w:tcBorders>
              <w:top w:val="nil"/>
              <w:left w:val="nil"/>
              <w:bottom w:val="single" w:color="auto" w:sz="8" w:space="0"/>
              <w:right w:val="single" w:color="auto" w:sz="8" w:space="0"/>
            </w:tcBorders>
            <w:vAlign w:val="center"/>
          </w:tcPr>
          <w:p w14:paraId="38AE8606">
            <w:pPr>
              <w:snapToGrid w:val="0"/>
              <w:spacing w:before="100" w:beforeAutospacing="1" w:after="100" w:afterAutospacing="1" w:line="320" w:lineRule="atLeast"/>
              <w:ind w:firstLine="2"/>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金 额</w:t>
            </w:r>
          </w:p>
        </w:tc>
      </w:tr>
      <w:tr w14:paraId="056DD276">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418BFE7F">
            <w:pPr>
              <w:spacing w:before="100" w:beforeAutospacing="1" w:after="100" w:afterAutospacing="1" w:line="240" w:lineRule="atLeast"/>
              <w:jc w:val="center"/>
              <w:rPr>
                <w:rFonts w:hint="eastAsia" w:ascii="仿宋" w:hAnsi="仿宋" w:eastAsia="仿宋" w:cs="仿宋"/>
                <w:color w:val="auto"/>
                <w:kern w:val="0"/>
                <w:sz w:val="24"/>
                <w:highlight w:val="none"/>
              </w:rPr>
            </w:pPr>
          </w:p>
        </w:tc>
        <w:tc>
          <w:tcPr>
            <w:tcW w:w="1921" w:type="dxa"/>
            <w:tcBorders>
              <w:top w:val="nil"/>
              <w:left w:val="nil"/>
              <w:bottom w:val="single" w:color="auto" w:sz="8" w:space="0"/>
              <w:right w:val="single" w:color="auto" w:sz="8" w:space="0"/>
            </w:tcBorders>
            <w:vAlign w:val="center"/>
          </w:tcPr>
          <w:p w14:paraId="7E23D9B4">
            <w:pPr>
              <w:spacing w:before="100" w:beforeAutospacing="1" w:after="100" w:afterAutospacing="1" w:line="240" w:lineRule="atLeast"/>
              <w:jc w:val="center"/>
              <w:rPr>
                <w:rFonts w:hint="eastAsia" w:ascii="仿宋" w:hAnsi="仿宋" w:eastAsia="仿宋" w:cs="仿宋"/>
                <w:color w:val="auto"/>
                <w:kern w:val="0"/>
                <w:sz w:val="24"/>
                <w:highlight w:val="none"/>
              </w:rPr>
            </w:pPr>
          </w:p>
        </w:tc>
        <w:tc>
          <w:tcPr>
            <w:tcW w:w="2902" w:type="dxa"/>
            <w:gridSpan w:val="3"/>
            <w:tcBorders>
              <w:top w:val="nil"/>
              <w:left w:val="nil"/>
              <w:bottom w:val="single" w:color="auto" w:sz="8" w:space="0"/>
              <w:right w:val="single" w:color="auto" w:sz="8" w:space="0"/>
            </w:tcBorders>
            <w:vAlign w:val="center"/>
          </w:tcPr>
          <w:p w14:paraId="080CD27F">
            <w:pPr>
              <w:spacing w:before="100" w:beforeAutospacing="1" w:after="100" w:afterAutospacing="1" w:line="240" w:lineRule="atLeast"/>
              <w:jc w:val="center"/>
              <w:rPr>
                <w:rFonts w:hint="eastAsia" w:ascii="仿宋" w:hAnsi="仿宋" w:eastAsia="仿宋" w:cs="仿宋"/>
                <w:color w:val="auto"/>
                <w:kern w:val="0"/>
                <w:sz w:val="24"/>
                <w:highlight w:val="none"/>
              </w:rPr>
            </w:pPr>
          </w:p>
        </w:tc>
        <w:tc>
          <w:tcPr>
            <w:tcW w:w="863" w:type="dxa"/>
            <w:gridSpan w:val="2"/>
            <w:tcBorders>
              <w:top w:val="nil"/>
              <w:left w:val="nil"/>
              <w:bottom w:val="single" w:color="auto" w:sz="8" w:space="0"/>
              <w:right w:val="single" w:color="auto" w:sz="8" w:space="0"/>
            </w:tcBorders>
            <w:vAlign w:val="center"/>
          </w:tcPr>
          <w:p w14:paraId="5FFF3C47">
            <w:pPr>
              <w:spacing w:before="100" w:beforeAutospacing="1" w:after="100" w:afterAutospacing="1" w:line="240" w:lineRule="atLeast"/>
              <w:jc w:val="center"/>
              <w:rPr>
                <w:rFonts w:hint="eastAsia" w:ascii="仿宋" w:hAnsi="仿宋" w:eastAsia="仿宋" w:cs="仿宋"/>
                <w:color w:val="auto"/>
                <w:kern w:val="0"/>
                <w:sz w:val="24"/>
                <w:highlight w:val="none"/>
              </w:rPr>
            </w:pPr>
          </w:p>
        </w:tc>
        <w:tc>
          <w:tcPr>
            <w:tcW w:w="2354" w:type="dxa"/>
            <w:tcBorders>
              <w:top w:val="nil"/>
              <w:left w:val="nil"/>
              <w:bottom w:val="single" w:color="auto" w:sz="8" w:space="0"/>
              <w:right w:val="single" w:color="auto" w:sz="8" w:space="0"/>
            </w:tcBorders>
            <w:vAlign w:val="center"/>
          </w:tcPr>
          <w:p w14:paraId="59D1CEBA">
            <w:pPr>
              <w:spacing w:before="100" w:beforeAutospacing="1" w:after="100" w:afterAutospacing="1" w:line="240" w:lineRule="atLeast"/>
              <w:jc w:val="center"/>
              <w:rPr>
                <w:rFonts w:hint="eastAsia" w:ascii="仿宋" w:hAnsi="仿宋" w:eastAsia="仿宋" w:cs="仿宋"/>
                <w:color w:val="auto"/>
                <w:kern w:val="0"/>
                <w:sz w:val="24"/>
                <w:highlight w:val="none"/>
              </w:rPr>
            </w:pPr>
          </w:p>
        </w:tc>
      </w:tr>
      <w:tr w14:paraId="0CDED4B8">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77ACBBAE">
            <w:pPr>
              <w:spacing w:before="100" w:beforeAutospacing="1" w:after="100" w:afterAutospacing="1" w:line="240" w:lineRule="atLeast"/>
              <w:jc w:val="center"/>
              <w:rPr>
                <w:rFonts w:hint="eastAsia" w:ascii="仿宋" w:hAnsi="仿宋" w:eastAsia="仿宋" w:cs="仿宋"/>
                <w:color w:val="auto"/>
                <w:kern w:val="0"/>
                <w:sz w:val="24"/>
                <w:highlight w:val="none"/>
              </w:rPr>
            </w:pPr>
          </w:p>
        </w:tc>
        <w:tc>
          <w:tcPr>
            <w:tcW w:w="1921" w:type="dxa"/>
            <w:tcBorders>
              <w:top w:val="nil"/>
              <w:left w:val="nil"/>
              <w:bottom w:val="single" w:color="auto" w:sz="8" w:space="0"/>
              <w:right w:val="single" w:color="auto" w:sz="8" w:space="0"/>
            </w:tcBorders>
            <w:vAlign w:val="center"/>
          </w:tcPr>
          <w:p w14:paraId="33D0E3DC">
            <w:pPr>
              <w:spacing w:before="100" w:beforeAutospacing="1" w:after="100" w:afterAutospacing="1" w:line="240" w:lineRule="atLeast"/>
              <w:jc w:val="center"/>
              <w:rPr>
                <w:rFonts w:hint="eastAsia" w:ascii="仿宋" w:hAnsi="仿宋" w:eastAsia="仿宋" w:cs="仿宋"/>
                <w:color w:val="auto"/>
                <w:kern w:val="0"/>
                <w:sz w:val="24"/>
                <w:highlight w:val="none"/>
              </w:rPr>
            </w:pPr>
          </w:p>
        </w:tc>
        <w:tc>
          <w:tcPr>
            <w:tcW w:w="2902" w:type="dxa"/>
            <w:gridSpan w:val="3"/>
            <w:tcBorders>
              <w:top w:val="nil"/>
              <w:left w:val="nil"/>
              <w:bottom w:val="single" w:color="auto" w:sz="8" w:space="0"/>
              <w:right w:val="single" w:color="auto" w:sz="8" w:space="0"/>
            </w:tcBorders>
            <w:vAlign w:val="center"/>
          </w:tcPr>
          <w:p w14:paraId="49C96A74">
            <w:pPr>
              <w:spacing w:before="100" w:beforeAutospacing="1" w:after="100" w:afterAutospacing="1" w:line="240" w:lineRule="atLeast"/>
              <w:jc w:val="center"/>
              <w:rPr>
                <w:rFonts w:hint="eastAsia" w:ascii="仿宋" w:hAnsi="仿宋" w:eastAsia="仿宋" w:cs="仿宋"/>
                <w:color w:val="auto"/>
                <w:kern w:val="0"/>
                <w:sz w:val="24"/>
                <w:highlight w:val="none"/>
              </w:rPr>
            </w:pPr>
          </w:p>
        </w:tc>
        <w:tc>
          <w:tcPr>
            <w:tcW w:w="863" w:type="dxa"/>
            <w:gridSpan w:val="2"/>
            <w:tcBorders>
              <w:top w:val="nil"/>
              <w:left w:val="nil"/>
              <w:bottom w:val="single" w:color="auto" w:sz="8" w:space="0"/>
              <w:right w:val="single" w:color="auto" w:sz="8" w:space="0"/>
            </w:tcBorders>
            <w:vAlign w:val="center"/>
          </w:tcPr>
          <w:p w14:paraId="17D2424F">
            <w:pPr>
              <w:spacing w:before="100" w:beforeAutospacing="1" w:after="100" w:afterAutospacing="1" w:line="240" w:lineRule="atLeast"/>
              <w:jc w:val="center"/>
              <w:rPr>
                <w:rFonts w:hint="eastAsia" w:ascii="仿宋" w:hAnsi="仿宋" w:eastAsia="仿宋" w:cs="仿宋"/>
                <w:color w:val="auto"/>
                <w:kern w:val="0"/>
                <w:sz w:val="24"/>
                <w:highlight w:val="none"/>
              </w:rPr>
            </w:pPr>
          </w:p>
        </w:tc>
        <w:tc>
          <w:tcPr>
            <w:tcW w:w="2354" w:type="dxa"/>
            <w:tcBorders>
              <w:top w:val="nil"/>
              <w:left w:val="nil"/>
              <w:bottom w:val="single" w:color="auto" w:sz="8" w:space="0"/>
              <w:right w:val="single" w:color="auto" w:sz="8" w:space="0"/>
            </w:tcBorders>
            <w:vAlign w:val="center"/>
          </w:tcPr>
          <w:p w14:paraId="562A66CF">
            <w:pPr>
              <w:spacing w:before="100" w:beforeAutospacing="1" w:after="100" w:afterAutospacing="1" w:line="240" w:lineRule="atLeast"/>
              <w:jc w:val="center"/>
              <w:rPr>
                <w:rFonts w:hint="eastAsia" w:ascii="仿宋" w:hAnsi="仿宋" w:eastAsia="仿宋" w:cs="仿宋"/>
                <w:color w:val="auto"/>
                <w:kern w:val="0"/>
                <w:sz w:val="24"/>
                <w:highlight w:val="none"/>
              </w:rPr>
            </w:pPr>
          </w:p>
        </w:tc>
      </w:tr>
      <w:tr w14:paraId="50F4DEAC">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49C32C34">
            <w:pPr>
              <w:spacing w:before="100" w:beforeAutospacing="1" w:after="100" w:afterAutospacing="1" w:line="240" w:lineRule="atLeast"/>
              <w:jc w:val="center"/>
              <w:rPr>
                <w:rFonts w:hint="eastAsia" w:ascii="仿宋" w:hAnsi="仿宋" w:eastAsia="仿宋" w:cs="仿宋"/>
                <w:color w:val="auto"/>
                <w:kern w:val="0"/>
                <w:sz w:val="24"/>
                <w:highlight w:val="none"/>
              </w:rPr>
            </w:pPr>
          </w:p>
        </w:tc>
        <w:tc>
          <w:tcPr>
            <w:tcW w:w="1921" w:type="dxa"/>
            <w:tcBorders>
              <w:top w:val="nil"/>
              <w:left w:val="nil"/>
              <w:bottom w:val="single" w:color="auto" w:sz="8" w:space="0"/>
              <w:right w:val="single" w:color="auto" w:sz="8" w:space="0"/>
            </w:tcBorders>
            <w:vAlign w:val="center"/>
          </w:tcPr>
          <w:p w14:paraId="056DC7EA">
            <w:pPr>
              <w:spacing w:before="100" w:beforeAutospacing="1" w:after="100" w:afterAutospacing="1" w:line="240" w:lineRule="atLeast"/>
              <w:jc w:val="center"/>
              <w:rPr>
                <w:rFonts w:hint="eastAsia" w:ascii="仿宋" w:hAnsi="仿宋" w:eastAsia="仿宋" w:cs="仿宋"/>
                <w:color w:val="auto"/>
                <w:kern w:val="0"/>
                <w:sz w:val="24"/>
                <w:highlight w:val="none"/>
              </w:rPr>
            </w:pPr>
          </w:p>
        </w:tc>
        <w:tc>
          <w:tcPr>
            <w:tcW w:w="2902" w:type="dxa"/>
            <w:gridSpan w:val="3"/>
            <w:tcBorders>
              <w:top w:val="nil"/>
              <w:left w:val="nil"/>
              <w:bottom w:val="single" w:color="auto" w:sz="8" w:space="0"/>
              <w:right w:val="single" w:color="auto" w:sz="8" w:space="0"/>
            </w:tcBorders>
            <w:vAlign w:val="center"/>
          </w:tcPr>
          <w:p w14:paraId="051714FD">
            <w:pPr>
              <w:spacing w:before="100" w:beforeAutospacing="1" w:after="100" w:afterAutospacing="1" w:line="240" w:lineRule="atLeast"/>
              <w:jc w:val="center"/>
              <w:rPr>
                <w:rFonts w:hint="eastAsia" w:ascii="仿宋" w:hAnsi="仿宋" w:eastAsia="仿宋" w:cs="仿宋"/>
                <w:color w:val="auto"/>
                <w:kern w:val="0"/>
                <w:sz w:val="24"/>
                <w:highlight w:val="none"/>
              </w:rPr>
            </w:pPr>
          </w:p>
        </w:tc>
        <w:tc>
          <w:tcPr>
            <w:tcW w:w="863" w:type="dxa"/>
            <w:gridSpan w:val="2"/>
            <w:tcBorders>
              <w:top w:val="nil"/>
              <w:left w:val="nil"/>
              <w:bottom w:val="single" w:color="auto" w:sz="8" w:space="0"/>
              <w:right w:val="single" w:color="auto" w:sz="8" w:space="0"/>
            </w:tcBorders>
            <w:vAlign w:val="center"/>
          </w:tcPr>
          <w:p w14:paraId="4BD508E0">
            <w:pPr>
              <w:spacing w:before="100" w:beforeAutospacing="1" w:after="100" w:afterAutospacing="1" w:line="240" w:lineRule="atLeast"/>
              <w:jc w:val="center"/>
              <w:rPr>
                <w:rFonts w:hint="eastAsia" w:ascii="仿宋" w:hAnsi="仿宋" w:eastAsia="仿宋" w:cs="仿宋"/>
                <w:color w:val="auto"/>
                <w:kern w:val="0"/>
                <w:sz w:val="24"/>
                <w:highlight w:val="none"/>
              </w:rPr>
            </w:pPr>
          </w:p>
        </w:tc>
        <w:tc>
          <w:tcPr>
            <w:tcW w:w="2354" w:type="dxa"/>
            <w:tcBorders>
              <w:top w:val="nil"/>
              <w:left w:val="nil"/>
              <w:bottom w:val="single" w:color="auto" w:sz="8" w:space="0"/>
              <w:right w:val="single" w:color="auto" w:sz="8" w:space="0"/>
            </w:tcBorders>
            <w:vAlign w:val="center"/>
          </w:tcPr>
          <w:p w14:paraId="59E7E92C">
            <w:pPr>
              <w:spacing w:before="100" w:beforeAutospacing="1" w:after="100" w:afterAutospacing="1" w:line="240" w:lineRule="atLeast"/>
              <w:jc w:val="center"/>
              <w:rPr>
                <w:rFonts w:hint="eastAsia" w:ascii="仿宋" w:hAnsi="仿宋" w:eastAsia="仿宋" w:cs="仿宋"/>
                <w:color w:val="auto"/>
                <w:kern w:val="0"/>
                <w:sz w:val="24"/>
                <w:highlight w:val="none"/>
              </w:rPr>
            </w:pPr>
          </w:p>
        </w:tc>
      </w:tr>
      <w:tr w14:paraId="53281FF6">
        <w:tblPrEx>
          <w:tblCellMar>
            <w:top w:w="0" w:type="dxa"/>
            <w:left w:w="0" w:type="dxa"/>
            <w:bottom w:w="0" w:type="dxa"/>
            <w:right w:w="0" w:type="dxa"/>
          </w:tblCellMar>
        </w:tblPrEx>
        <w:trPr>
          <w:trHeight w:val="487" w:hRule="atLeast"/>
          <w:jc w:val="center"/>
        </w:trPr>
        <w:tc>
          <w:tcPr>
            <w:tcW w:w="6154" w:type="dxa"/>
            <w:gridSpan w:val="5"/>
            <w:tcBorders>
              <w:top w:val="nil"/>
              <w:left w:val="single" w:color="auto" w:sz="8" w:space="0"/>
              <w:bottom w:val="single" w:color="auto" w:sz="8" w:space="0"/>
              <w:right w:val="single" w:color="auto" w:sz="8" w:space="0"/>
            </w:tcBorders>
            <w:vAlign w:val="center"/>
          </w:tcPr>
          <w:p w14:paraId="419C6D50">
            <w:pPr>
              <w:snapToGrid w:val="0"/>
              <w:spacing w:before="100" w:beforeAutospacing="1" w:after="100" w:afterAutospacing="1" w:line="320" w:lineRule="atLeast"/>
              <w:ind w:firstLine="5"/>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合 计</w:t>
            </w:r>
          </w:p>
        </w:tc>
        <w:tc>
          <w:tcPr>
            <w:tcW w:w="863" w:type="dxa"/>
            <w:gridSpan w:val="2"/>
            <w:tcBorders>
              <w:top w:val="nil"/>
              <w:left w:val="nil"/>
              <w:bottom w:val="single" w:color="auto" w:sz="8" w:space="0"/>
              <w:right w:val="single" w:color="auto" w:sz="8" w:space="0"/>
            </w:tcBorders>
            <w:vAlign w:val="center"/>
          </w:tcPr>
          <w:p w14:paraId="2F8431EB">
            <w:pPr>
              <w:spacing w:before="100" w:beforeAutospacing="1" w:after="100" w:afterAutospacing="1" w:line="240" w:lineRule="atLeast"/>
              <w:jc w:val="center"/>
              <w:rPr>
                <w:rFonts w:hint="eastAsia" w:ascii="仿宋" w:hAnsi="仿宋" w:eastAsia="仿宋" w:cs="仿宋"/>
                <w:color w:val="auto"/>
                <w:kern w:val="0"/>
                <w:sz w:val="24"/>
                <w:highlight w:val="none"/>
              </w:rPr>
            </w:pPr>
          </w:p>
        </w:tc>
        <w:tc>
          <w:tcPr>
            <w:tcW w:w="2354" w:type="dxa"/>
            <w:tcBorders>
              <w:top w:val="nil"/>
              <w:left w:val="nil"/>
              <w:bottom w:val="single" w:color="auto" w:sz="8" w:space="0"/>
              <w:right w:val="single" w:color="auto" w:sz="8" w:space="0"/>
            </w:tcBorders>
            <w:vAlign w:val="center"/>
          </w:tcPr>
          <w:p w14:paraId="62F52504">
            <w:pPr>
              <w:spacing w:before="100" w:beforeAutospacing="1" w:after="100" w:afterAutospacing="1" w:line="240" w:lineRule="atLeast"/>
              <w:jc w:val="center"/>
              <w:rPr>
                <w:rFonts w:hint="eastAsia" w:ascii="仿宋" w:hAnsi="仿宋" w:eastAsia="仿宋" w:cs="仿宋"/>
                <w:color w:val="auto"/>
                <w:kern w:val="0"/>
                <w:sz w:val="24"/>
                <w:highlight w:val="none"/>
              </w:rPr>
            </w:pPr>
          </w:p>
        </w:tc>
      </w:tr>
      <w:tr w14:paraId="512B4F7F">
        <w:tblPrEx>
          <w:tblCellMar>
            <w:top w:w="0" w:type="dxa"/>
            <w:left w:w="0" w:type="dxa"/>
            <w:bottom w:w="0" w:type="dxa"/>
            <w:right w:w="0" w:type="dxa"/>
          </w:tblCellMar>
        </w:tblPrEx>
        <w:trPr>
          <w:trHeight w:val="641" w:hRule="atLeast"/>
          <w:jc w:val="center"/>
        </w:trPr>
        <w:tc>
          <w:tcPr>
            <w:tcW w:w="9371" w:type="dxa"/>
            <w:gridSpan w:val="8"/>
            <w:tcBorders>
              <w:top w:val="nil"/>
              <w:left w:val="single" w:color="auto" w:sz="8" w:space="0"/>
              <w:bottom w:val="single" w:color="auto" w:sz="8" w:space="0"/>
              <w:right w:val="single" w:color="auto" w:sz="8" w:space="0"/>
            </w:tcBorders>
            <w:vAlign w:val="center"/>
          </w:tcPr>
          <w:p w14:paraId="6BB99FFC">
            <w:pPr>
              <w:snapToGrid w:val="0"/>
              <w:spacing w:before="100" w:beforeAutospacing="1" w:after="100" w:afterAutospacing="1" w:line="320" w:lineRule="atLeast"/>
              <w:ind w:firstLine="2"/>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合计大写金额： 亿 仟 佰 拾 万 仟 佰 拾 元</w:t>
            </w:r>
          </w:p>
        </w:tc>
      </w:tr>
      <w:tr w14:paraId="6E917EBF">
        <w:tblPrEx>
          <w:tblCellMar>
            <w:top w:w="0" w:type="dxa"/>
            <w:left w:w="0" w:type="dxa"/>
            <w:bottom w:w="0" w:type="dxa"/>
            <w:right w:w="0" w:type="dxa"/>
          </w:tblCellMar>
        </w:tblPrEx>
        <w:trPr>
          <w:trHeight w:val="641" w:hRule="atLeast"/>
          <w:jc w:val="center"/>
        </w:trPr>
        <w:tc>
          <w:tcPr>
            <w:tcW w:w="1331" w:type="dxa"/>
            <w:tcBorders>
              <w:top w:val="nil"/>
              <w:left w:val="single" w:color="auto" w:sz="8" w:space="0"/>
              <w:bottom w:val="single" w:color="auto" w:sz="8" w:space="0"/>
              <w:right w:val="single" w:color="auto" w:sz="8" w:space="0"/>
            </w:tcBorders>
            <w:vAlign w:val="center"/>
          </w:tcPr>
          <w:p w14:paraId="0B0821A5">
            <w:pPr>
              <w:snapToGrid w:val="0"/>
              <w:spacing w:before="100" w:beforeAutospacing="1" w:after="100" w:afterAutospacing="1" w:line="320" w:lineRule="atLeast"/>
              <w:ind w:firstLine="2"/>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实际供货日期</w:t>
            </w:r>
          </w:p>
        </w:tc>
        <w:tc>
          <w:tcPr>
            <w:tcW w:w="2719" w:type="dxa"/>
            <w:gridSpan w:val="2"/>
            <w:tcBorders>
              <w:top w:val="nil"/>
              <w:left w:val="nil"/>
              <w:bottom w:val="single" w:color="auto" w:sz="8" w:space="0"/>
              <w:right w:val="single" w:color="auto" w:sz="8" w:space="0"/>
            </w:tcBorders>
            <w:vAlign w:val="center"/>
          </w:tcPr>
          <w:p w14:paraId="71A02DB9">
            <w:pPr>
              <w:spacing w:before="100" w:beforeAutospacing="1" w:after="100" w:afterAutospacing="1" w:line="240" w:lineRule="atLeast"/>
              <w:jc w:val="center"/>
              <w:rPr>
                <w:rFonts w:hint="eastAsia" w:ascii="仿宋" w:hAnsi="仿宋" w:eastAsia="仿宋" w:cs="仿宋"/>
                <w:color w:val="auto"/>
                <w:kern w:val="0"/>
                <w:sz w:val="24"/>
                <w:highlight w:val="none"/>
              </w:rPr>
            </w:pPr>
          </w:p>
        </w:tc>
        <w:tc>
          <w:tcPr>
            <w:tcW w:w="2282" w:type="dxa"/>
            <w:gridSpan w:val="3"/>
            <w:tcBorders>
              <w:top w:val="nil"/>
              <w:left w:val="nil"/>
              <w:bottom w:val="single" w:color="auto" w:sz="8" w:space="0"/>
              <w:right w:val="single" w:color="auto" w:sz="8" w:space="0"/>
            </w:tcBorders>
            <w:vAlign w:val="center"/>
          </w:tcPr>
          <w:p w14:paraId="30A47F7F">
            <w:pPr>
              <w:snapToGrid w:val="0"/>
              <w:spacing w:before="100" w:beforeAutospacing="1" w:after="100" w:afterAutospacing="1" w:line="320" w:lineRule="atLeast"/>
              <w:ind w:firstLine="46"/>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合同交货验收日期</w:t>
            </w:r>
          </w:p>
        </w:tc>
        <w:tc>
          <w:tcPr>
            <w:tcW w:w="3039" w:type="dxa"/>
            <w:gridSpan w:val="2"/>
            <w:tcBorders>
              <w:top w:val="nil"/>
              <w:left w:val="nil"/>
              <w:bottom w:val="single" w:color="auto" w:sz="8" w:space="0"/>
              <w:right w:val="single" w:color="auto" w:sz="8" w:space="0"/>
            </w:tcBorders>
            <w:vAlign w:val="center"/>
          </w:tcPr>
          <w:p w14:paraId="25CB18C0">
            <w:pPr>
              <w:spacing w:before="100" w:beforeAutospacing="1" w:after="100" w:afterAutospacing="1" w:line="240" w:lineRule="atLeast"/>
              <w:jc w:val="center"/>
              <w:rPr>
                <w:rFonts w:hint="eastAsia" w:ascii="仿宋" w:hAnsi="仿宋" w:eastAsia="仿宋" w:cs="仿宋"/>
                <w:color w:val="auto"/>
                <w:kern w:val="0"/>
                <w:sz w:val="24"/>
                <w:highlight w:val="none"/>
              </w:rPr>
            </w:pPr>
          </w:p>
        </w:tc>
      </w:tr>
      <w:tr w14:paraId="674F2BD3">
        <w:tblPrEx>
          <w:tblCellMar>
            <w:top w:w="0" w:type="dxa"/>
            <w:left w:w="0" w:type="dxa"/>
            <w:bottom w:w="0" w:type="dxa"/>
            <w:right w:w="0" w:type="dxa"/>
          </w:tblCellMar>
        </w:tblPrEx>
        <w:trPr>
          <w:trHeight w:val="394" w:hRule="atLeast"/>
          <w:jc w:val="center"/>
        </w:trPr>
        <w:tc>
          <w:tcPr>
            <w:tcW w:w="1331" w:type="dxa"/>
            <w:tcBorders>
              <w:top w:val="nil"/>
              <w:left w:val="single" w:color="auto" w:sz="8" w:space="0"/>
              <w:bottom w:val="single" w:color="auto" w:sz="8" w:space="0"/>
              <w:right w:val="single" w:color="auto" w:sz="8" w:space="0"/>
            </w:tcBorders>
            <w:vAlign w:val="center"/>
          </w:tcPr>
          <w:p w14:paraId="265DBE72">
            <w:pPr>
              <w:spacing w:before="100" w:beforeAutospacing="1" w:after="100" w:afterAutospacing="1" w:line="240" w:lineRule="atLeast"/>
              <w:jc w:val="center"/>
              <w:rPr>
                <w:rFonts w:hint="eastAsia" w:ascii="仿宋" w:hAnsi="仿宋" w:eastAsia="仿宋" w:cs="仿宋"/>
                <w:color w:val="auto"/>
                <w:kern w:val="0"/>
                <w:sz w:val="24"/>
                <w:highlight w:val="none"/>
              </w:rPr>
            </w:pPr>
          </w:p>
        </w:tc>
        <w:tc>
          <w:tcPr>
            <w:tcW w:w="2719" w:type="dxa"/>
            <w:gridSpan w:val="2"/>
            <w:tcBorders>
              <w:top w:val="nil"/>
              <w:left w:val="nil"/>
              <w:bottom w:val="single" w:color="auto" w:sz="8" w:space="0"/>
              <w:right w:val="single" w:color="auto" w:sz="8" w:space="0"/>
            </w:tcBorders>
            <w:vAlign w:val="center"/>
          </w:tcPr>
          <w:p w14:paraId="6314D77F">
            <w:pPr>
              <w:spacing w:before="100" w:beforeAutospacing="1" w:after="100" w:afterAutospacing="1" w:line="240" w:lineRule="atLeast"/>
              <w:jc w:val="center"/>
              <w:rPr>
                <w:rFonts w:hint="eastAsia" w:ascii="仿宋" w:hAnsi="仿宋" w:eastAsia="仿宋" w:cs="仿宋"/>
                <w:color w:val="auto"/>
                <w:kern w:val="0"/>
                <w:sz w:val="24"/>
                <w:highlight w:val="none"/>
              </w:rPr>
            </w:pPr>
          </w:p>
        </w:tc>
        <w:tc>
          <w:tcPr>
            <w:tcW w:w="2282" w:type="dxa"/>
            <w:gridSpan w:val="3"/>
            <w:tcBorders>
              <w:top w:val="nil"/>
              <w:left w:val="nil"/>
              <w:bottom w:val="single" w:color="auto" w:sz="8" w:space="0"/>
              <w:right w:val="single" w:color="auto" w:sz="8" w:space="0"/>
            </w:tcBorders>
            <w:vAlign w:val="center"/>
          </w:tcPr>
          <w:p w14:paraId="1CE90720">
            <w:pPr>
              <w:spacing w:before="100" w:beforeAutospacing="1" w:after="100" w:afterAutospacing="1" w:line="240" w:lineRule="atLeast"/>
              <w:jc w:val="center"/>
              <w:rPr>
                <w:rFonts w:hint="eastAsia" w:ascii="仿宋" w:hAnsi="仿宋" w:eastAsia="仿宋" w:cs="仿宋"/>
                <w:color w:val="auto"/>
                <w:kern w:val="0"/>
                <w:sz w:val="24"/>
                <w:highlight w:val="none"/>
              </w:rPr>
            </w:pPr>
          </w:p>
        </w:tc>
        <w:tc>
          <w:tcPr>
            <w:tcW w:w="3039" w:type="dxa"/>
            <w:gridSpan w:val="2"/>
            <w:tcBorders>
              <w:top w:val="nil"/>
              <w:left w:val="nil"/>
              <w:bottom w:val="single" w:color="auto" w:sz="8" w:space="0"/>
              <w:right w:val="single" w:color="auto" w:sz="8" w:space="0"/>
            </w:tcBorders>
            <w:vAlign w:val="center"/>
          </w:tcPr>
          <w:p w14:paraId="270BDAD5">
            <w:pPr>
              <w:spacing w:before="100" w:beforeAutospacing="1" w:after="100" w:afterAutospacing="1" w:line="240" w:lineRule="atLeast"/>
              <w:jc w:val="center"/>
              <w:rPr>
                <w:rFonts w:hint="eastAsia" w:ascii="仿宋" w:hAnsi="仿宋" w:eastAsia="仿宋" w:cs="仿宋"/>
                <w:color w:val="auto"/>
                <w:kern w:val="0"/>
                <w:sz w:val="24"/>
                <w:highlight w:val="none"/>
              </w:rPr>
            </w:pPr>
          </w:p>
        </w:tc>
      </w:tr>
      <w:tr w14:paraId="5F4D9616">
        <w:tblPrEx>
          <w:tblCellMar>
            <w:top w:w="0" w:type="dxa"/>
            <w:left w:w="0" w:type="dxa"/>
            <w:bottom w:w="0" w:type="dxa"/>
            <w:right w:w="0" w:type="dxa"/>
          </w:tblCellMar>
        </w:tblPrEx>
        <w:trPr>
          <w:trHeight w:val="693" w:hRule="atLeast"/>
          <w:jc w:val="center"/>
        </w:trPr>
        <w:tc>
          <w:tcPr>
            <w:tcW w:w="133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6D6F24B">
            <w:pPr>
              <w:snapToGrid w:val="0"/>
              <w:spacing w:before="100" w:beforeAutospacing="1" w:after="100" w:afterAutospacing="1" w:line="320" w:lineRule="atLeast"/>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验收具体内容</w:t>
            </w:r>
          </w:p>
        </w:tc>
        <w:tc>
          <w:tcPr>
            <w:tcW w:w="8040"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25347045">
            <w:pPr>
              <w:snapToGrid w:val="0"/>
              <w:spacing w:before="100" w:beforeAutospacing="1" w:after="100" w:afterAutospacing="1" w:line="320" w:lineRule="atLeast"/>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应按采购合同、采购文件、投标文件及验收方案等进行验收；并核对中标或者成交投标人在安装调试等方面是否违反合同约定或者服务规范要求、提供的质量保证证明材料是否齐全、应有的配件及附件是否达到合同约定等。可附件)</w:t>
            </w:r>
          </w:p>
        </w:tc>
      </w:tr>
      <w:tr w14:paraId="70352A31">
        <w:tblPrEx>
          <w:tblCellMar>
            <w:top w:w="0" w:type="dxa"/>
            <w:left w:w="0" w:type="dxa"/>
            <w:bottom w:w="0" w:type="dxa"/>
            <w:right w:w="0" w:type="dxa"/>
          </w:tblCellMar>
        </w:tblPrEx>
        <w:trPr>
          <w:trHeight w:val="1281" w:hRule="atLeast"/>
          <w:jc w:val="center"/>
        </w:trPr>
        <w:tc>
          <w:tcPr>
            <w:tcW w:w="1331"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CD34695">
            <w:pPr>
              <w:spacing w:before="100" w:beforeAutospacing="1" w:after="100" w:afterAutospacing="1" w:line="320" w:lineRule="atLeast"/>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验收小组意见</w:t>
            </w:r>
          </w:p>
        </w:tc>
        <w:tc>
          <w:tcPr>
            <w:tcW w:w="8040" w:type="dxa"/>
            <w:gridSpan w:val="7"/>
            <w:tcBorders>
              <w:top w:val="nil"/>
              <w:left w:val="nil"/>
              <w:bottom w:val="single" w:color="auto" w:sz="8" w:space="0"/>
              <w:right w:val="single" w:color="auto" w:sz="8" w:space="0"/>
            </w:tcBorders>
            <w:vAlign w:val="center"/>
          </w:tcPr>
          <w:p w14:paraId="2453E0C4">
            <w:pPr>
              <w:spacing w:before="100" w:beforeAutospacing="1" w:after="100" w:afterAutospacing="1" w:line="320" w:lineRule="atLeast"/>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验收结论性意见：</w:t>
            </w:r>
          </w:p>
        </w:tc>
      </w:tr>
      <w:tr w14:paraId="485DEC0E">
        <w:tblPrEx>
          <w:tblCellMar>
            <w:top w:w="0" w:type="dxa"/>
            <w:left w:w="0" w:type="dxa"/>
            <w:bottom w:w="0" w:type="dxa"/>
            <w:right w:w="0" w:type="dxa"/>
          </w:tblCellMar>
        </w:tblPrEx>
        <w:trPr>
          <w:trHeight w:val="607" w:hRule="atLeast"/>
          <w:jc w:val="center"/>
        </w:trPr>
        <w:tc>
          <w:tcPr>
            <w:tcW w:w="1331" w:type="dxa"/>
            <w:vMerge w:val="continue"/>
            <w:tcBorders>
              <w:top w:val="nil"/>
              <w:left w:val="single" w:color="auto" w:sz="8" w:space="0"/>
              <w:bottom w:val="single" w:color="auto" w:sz="8" w:space="0"/>
              <w:right w:val="single" w:color="auto" w:sz="8" w:space="0"/>
            </w:tcBorders>
            <w:vAlign w:val="center"/>
          </w:tcPr>
          <w:p w14:paraId="66DCA164">
            <w:pPr>
              <w:jc w:val="left"/>
              <w:rPr>
                <w:rFonts w:hint="eastAsia" w:ascii="仿宋" w:hAnsi="仿宋" w:eastAsia="仿宋" w:cs="仿宋"/>
                <w:color w:val="auto"/>
                <w:kern w:val="0"/>
                <w:sz w:val="24"/>
                <w:highlight w:val="none"/>
              </w:rPr>
            </w:pPr>
          </w:p>
        </w:tc>
        <w:tc>
          <w:tcPr>
            <w:tcW w:w="8040" w:type="dxa"/>
            <w:gridSpan w:val="7"/>
            <w:tcBorders>
              <w:top w:val="nil"/>
              <w:left w:val="nil"/>
              <w:bottom w:val="single" w:color="auto" w:sz="8" w:space="0"/>
              <w:right w:val="single" w:color="auto" w:sz="8" w:space="0"/>
            </w:tcBorders>
            <w:vAlign w:val="center"/>
          </w:tcPr>
          <w:p w14:paraId="37A9DAD0">
            <w:pPr>
              <w:spacing w:before="100" w:beforeAutospacing="1" w:after="100" w:afterAutospacing="1" w:line="320" w:lineRule="atLeast"/>
              <w:ind w:firstLine="96"/>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有异议的意见和说明理由：</w:t>
            </w:r>
          </w:p>
          <w:p w14:paraId="4C309EF6">
            <w:pPr>
              <w:spacing w:before="100" w:beforeAutospacing="1" w:after="100" w:afterAutospacing="1" w:line="320" w:lineRule="atLeast"/>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签字：</w:t>
            </w:r>
          </w:p>
        </w:tc>
      </w:tr>
      <w:tr w14:paraId="09BD0829">
        <w:tblPrEx>
          <w:tblCellMar>
            <w:top w:w="0" w:type="dxa"/>
            <w:left w:w="0" w:type="dxa"/>
            <w:bottom w:w="0" w:type="dxa"/>
            <w:right w:w="0" w:type="dxa"/>
          </w:tblCellMar>
        </w:tblPrEx>
        <w:trPr>
          <w:trHeight w:val="507" w:hRule="atLeast"/>
          <w:jc w:val="center"/>
        </w:trPr>
        <w:tc>
          <w:tcPr>
            <w:tcW w:w="9371" w:type="dxa"/>
            <w:gridSpan w:val="8"/>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0A22263">
            <w:pPr>
              <w:spacing w:before="100" w:beforeAutospacing="1" w:after="100" w:afterAutospacing="1" w:line="320" w:lineRule="atLeast"/>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验收小组成员签字：</w:t>
            </w:r>
          </w:p>
        </w:tc>
      </w:tr>
      <w:tr w14:paraId="5B055AA7">
        <w:tblPrEx>
          <w:tblCellMar>
            <w:top w:w="0" w:type="dxa"/>
            <w:left w:w="0" w:type="dxa"/>
            <w:bottom w:w="0" w:type="dxa"/>
            <w:right w:w="0" w:type="dxa"/>
          </w:tblCellMar>
        </w:tblPrEx>
        <w:trPr>
          <w:trHeight w:val="736" w:hRule="atLeast"/>
          <w:jc w:val="center"/>
        </w:trPr>
        <w:tc>
          <w:tcPr>
            <w:tcW w:w="9371" w:type="dxa"/>
            <w:gridSpan w:val="8"/>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EE0E56E">
            <w:pPr>
              <w:spacing w:before="100" w:beforeAutospacing="1" w:after="100" w:afterAutospacing="1" w:line="320" w:lineRule="atLeast"/>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监督人员或者其他相关人员签字：</w:t>
            </w:r>
          </w:p>
          <w:p w14:paraId="0CA81B55">
            <w:pPr>
              <w:spacing w:before="100" w:beforeAutospacing="1" w:after="100" w:afterAutospacing="1" w:line="320" w:lineRule="atLeast"/>
              <w:ind w:firstLine="74"/>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或者受邀机构的意见（盖章）：</w:t>
            </w:r>
          </w:p>
        </w:tc>
      </w:tr>
      <w:tr w14:paraId="5BD96573">
        <w:tblPrEx>
          <w:tblCellMar>
            <w:top w:w="0" w:type="dxa"/>
            <w:left w:w="0" w:type="dxa"/>
            <w:bottom w:w="0" w:type="dxa"/>
            <w:right w:w="0" w:type="dxa"/>
          </w:tblCellMar>
        </w:tblPrEx>
        <w:trPr>
          <w:trHeight w:val="758" w:hRule="atLeast"/>
          <w:jc w:val="center"/>
        </w:trPr>
        <w:tc>
          <w:tcPr>
            <w:tcW w:w="4152" w:type="dxa"/>
            <w:gridSpan w:val="4"/>
            <w:tcBorders>
              <w:top w:val="nil"/>
              <w:left w:val="single" w:color="auto" w:sz="8" w:space="0"/>
              <w:bottom w:val="single" w:color="auto" w:sz="8" w:space="0"/>
              <w:right w:val="nil"/>
            </w:tcBorders>
            <w:tcMar>
              <w:top w:w="0" w:type="dxa"/>
              <w:left w:w="108" w:type="dxa"/>
              <w:bottom w:w="0" w:type="dxa"/>
              <w:right w:w="108" w:type="dxa"/>
            </w:tcMar>
            <w:vAlign w:val="center"/>
          </w:tcPr>
          <w:p w14:paraId="4E66D075">
            <w:pPr>
              <w:spacing w:before="100" w:beforeAutospacing="1" w:after="100" w:afterAutospacing="1" w:line="320" w:lineRule="atLeast"/>
              <w:ind w:firstLine="74"/>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中标或者成交人负责人签字或者盖章：</w:t>
            </w:r>
          </w:p>
          <w:p w14:paraId="70AE0D47">
            <w:pPr>
              <w:spacing w:before="100" w:beforeAutospacing="1" w:after="100" w:afterAutospacing="1" w:line="320" w:lineRule="atLeast"/>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联系电话： 年 月 日</w:t>
            </w:r>
          </w:p>
        </w:tc>
        <w:tc>
          <w:tcPr>
            <w:tcW w:w="5219" w:type="dxa"/>
            <w:gridSpan w:val="4"/>
            <w:tcBorders>
              <w:top w:val="nil"/>
              <w:left w:val="nil"/>
              <w:bottom w:val="single" w:color="auto" w:sz="8" w:space="0"/>
              <w:right w:val="single" w:color="auto" w:sz="8" w:space="0"/>
            </w:tcBorders>
            <w:vAlign w:val="center"/>
          </w:tcPr>
          <w:p w14:paraId="7FBB4431">
            <w:pPr>
              <w:spacing w:before="100" w:beforeAutospacing="1" w:after="100" w:afterAutospacing="1" w:line="320" w:lineRule="atLeast"/>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采购人或者受托机构的意见（盖章）：</w:t>
            </w:r>
          </w:p>
          <w:p w14:paraId="71E01EA4">
            <w:pPr>
              <w:spacing w:before="100" w:beforeAutospacing="1" w:after="100" w:afterAutospacing="1" w:line="320" w:lineRule="atLeast"/>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联系电话： 年 月 日</w:t>
            </w:r>
          </w:p>
        </w:tc>
      </w:tr>
    </w:tbl>
    <w:p w14:paraId="7FF41EDE">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r>
        <w:rPr>
          <w:rFonts w:hint="eastAsia" w:ascii="仿宋" w:hAnsi="仿宋" w:eastAsia="仿宋" w:cs="仿宋"/>
          <w:color w:val="auto"/>
          <w:sz w:val="24"/>
          <w:highlight w:val="none"/>
        </w:rPr>
        <w:t>附件2：</w:t>
      </w:r>
    </w:p>
    <w:p w14:paraId="7559360D">
      <w:pPr>
        <w:shd w:val="clear" w:color="auto" w:fill="FFFFFF"/>
        <w:spacing w:after="240" w:afterLines="100" w:line="480" w:lineRule="atLeas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政府采购项目履约保证金退付意见书（参考）</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456"/>
      </w:tblGrid>
      <w:tr w14:paraId="06043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008" w:type="dxa"/>
            <w:vMerge w:val="restart"/>
            <w:vAlign w:val="center"/>
          </w:tcPr>
          <w:p w14:paraId="346411C2">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供</w:t>
            </w:r>
          </w:p>
          <w:p w14:paraId="29881046">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应</w:t>
            </w:r>
          </w:p>
          <w:p w14:paraId="2E5DC322">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商</w:t>
            </w:r>
          </w:p>
          <w:p w14:paraId="207B5B6F">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申</w:t>
            </w:r>
          </w:p>
          <w:p w14:paraId="4C157E35">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请</w:t>
            </w:r>
          </w:p>
        </w:tc>
        <w:tc>
          <w:tcPr>
            <w:tcW w:w="8456" w:type="dxa"/>
            <w:vAlign w:val="center"/>
          </w:tcPr>
          <w:p w14:paraId="487ECCE3">
            <w:pP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项目编号：</w:t>
            </w:r>
          </w:p>
        </w:tc>
      </w:tr>
      <w:tr w14:paraId="69D09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008" w:type="dxa"/>
            <w:vMerge w:val="continue"/>
            <w:vAlign w:val="center"/>
          </w:tcPr>
          <w:p w14:paraId="762ACB51">
            <w:pPr>
              <w:rPr>
                <w:rFonts w:hint="eastAsia" w:ascii="仿宋" w:hAnsi="仿宋" w:eastAsia="仿宋" w:cs="仿宋"/>
                <w:color w:val="auto"/>
                <w:sz w:val="24"/>
                <w:highlight w:val="none"/>
              </w:rPr>
            </w:pPr>
          </w:p>
        </w:tc>
        <w:tc>
          <w:tcPr>
            <w:tcW w:w="8456" w:type="dxa"/>
            <w:vAlign w:val="center"/>
          </w:tcPr>
          <w:p w14:paraId="70DF40AB">
            <w:pP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p>
        </w:tc>
      </w:tr>
      <w:tr w14:paraId="237C5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Merge w:val="continue"/>
            <w:vAlign w:val="center"/>
          </w:tcPr>
          <w:p w14:paraId="2664B16B">
            <w:pPr>
              <w:rPr>
                <w:rFonts w:hint="eastAsia" w:ascii="仿宋" w:hAnsi="仿宋" w:eastAsia="仿宋" w:cs="仿宋"/>
                <w:color w:val="auto"/>
                <w:sz w:val="24"/>
                <w:highlight w:val="none"/>
              </w:rPr>
            </w:pPr>
          </w:p>
        </w:tc>
        <w:tc>
          <w:tcPr>
            <w:tcW w:w="8456" w:type="dxa"/>
            <w:vAlign w:val="center"/>
          </w:tcPr>
          <w:p w14:paraId="6BF68182">
            <w:pP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31CA0370">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该项目已于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日验收并交付使用。根据合同规定，该项目的履约保证金期限于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日已满，请将履约保证金</w:t>
            </w:r>
          </w:p>
          <w:p w14:paraId="6FC346C7">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（大写）￥</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（小写）退付到达以下帐户。</w:t>
            </w:r>
          </w:p>
          <w:p w14:paraId="4DF33A18">
            <w:pPr>
              <w:spacing w:line="400" w:lineRule="exact"/>
              <w:ind w:firstLine="705"/>
              <w:rPr>
                <w:rFonts w:hint="eastAsia" w:ascii="仿宋" w:hAnsi="仿宋" w:eastAsia="仿宋" w:cs="仿宋"/>
                <w:color w:val="auto"/>
                <w:sz w:val="24"/>
                <w:highlight w:val="none"/>
              </w:rPr>
            </w:pPr>
            <w:r>
              <w:rPr>
                <w:rFonts w:hint="eastAsia" w:ascii="仿宋" w:hAnsi="仿宋" w:eastAsia="仿宋" w:cs="仿宋"/>
                <w:color w:val="auto"/>
                <w:sz w:val="24"/>
                <w:highlight w:val="none"/>
              </w:rPr>
              <w:t>单位名称：</w:t>
            </w:r>
          </w:p>
          <w:p w14:paraId="643554E9">
            <w:pPr>
              <w:spacing w:line="400" w:lineRule="exact"/>
              <w:ind w:firstLine="705"/>
              <w:rPr>
                <w:rFonts w:hint="eastAsia" w:ascii="仿宋" w:hAnsi="仿宋" w:eastAsia="仿宋" w:cs="仿宋"/>
                <w:color w:val="auto"/>
                <w:sz w:val="24"/>
                <w:highlight w:val="none"/>
              </w:rPr>
            </w:pPr>
            <w:r>
              <w:rPr>
                <w:rFonts w:hint="eastAsia" w:ascii="仿宋" w:hAnsi="仿宋" w:eastAsia="仿宋" w:cs="仿宋"/>
                <w:color w:val="auto"/>
                <w:sz w:val="24"/>
                <w:highlight w:val="none"/>
              </w:rPr>
              <w:t>开户银行：</w:t>
            </w:r>
          </w:p>
          <w:p w14:paraId="1C027001">
            <w:pPr>
              <w:spacing w:line="400" w:lineRule="exact"/>
              <w:ind w:firstLine="705"/>
              <w:rPr>
                <w:rFonts w:hint="eastAsia" w:ascii="仿宋" w:hAnsi="仿宋" w:eastAsia="仿宋" w:cs="仿宋"/>
                <w:color w:val="auto"/>
                <w:sz w:val="24"/>
                <w:highlight w:val="none"/>
              </w:rPr>
            </w:pPr>
            <w:r>
              <w:rPr>
                <w:rFonts w:hint="eastAsia" w:ascii="仿宋" w:hAnsi="仿宋" w:eastAsia="仿宋" w:cs="仿宋"/>
                <w:color w:val="auto"/>
                <w:sz w:val="24"/>
                <w:highlight w:val="none"/>
              </w:rPr>
              <w:t>帐   号：</w:t>
            </w:r>
          </w:p>
          <w:p w14:paraId="40FED4EF">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联系人及电话：</w:t>
            </w:r>
          </w:p>
          <w:p w14:paraId="1DEFA776">
            <w:pPr>
              <w:spacing w:line="400" w:lineRule="exact"/>
              <w:rPr>
                <w:rFonts w:hint="eastAsia" w:ascii="仿宋" w:hAnsi="仿宋" w:eastAsia="仿宋" w:cs="仿宋"/>
                <w:color w:val="auto"/>
                <w:sz w:val="24"/>
                <w:highlight w:val="none"/>
              </w:rPr>
            </w:pPr>
          </w:p>
          <w:p w14:paraId="205E1A87">
            <w:pPr>
              <w:spacing w:line="5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投标人签章：</w:t>
            </w:r>
          </w:p>
          <w:p w14:paraId="2A9CC8E8">
            <w:pPr>
              <w:spacing w:line="5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年    月     日</w:t>
            </w:r>
          </w:p>
        </w:tc>
      </w:tr>
      <w:tr w14:paraId="5CA9F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6" w:hRule="atLeast"/>
          <w:jc w:val="center"/>
        </w:trPr>
        <w:tc>
          <w:tcPr>
            <w:tcW w:w="1008" w:type="dxa"/>
            <w:vAlign w:val="center"/>
          </w:tcPr>
          <w:p w14:paraId="6496B5B3">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采</w:t>
            </w:r>
          </w:p>
          <w:p w14:paraId="1F7004E8">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购</w:t>
            </w:r>
          </w:p>
          <w:p w14:paraId="4857EC20">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人</w:t>
            </w:r>
          </w:p>
          <w:p w14:paraId="2837C48E">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意</w:t>
            </w:r>
          </w:p>
          <w:p w14:paraId="0009E93A">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见</w:t>
            </w:r>
          </w:p>
        </w:tc>
        <w:tc>
          <w:tcPr>
            <w:tcW w:w="8456" w:type="dxa"/>
            <w:vAlign w:val="center"/>
          </w:tcPr>
          <w:p w14:paraId="40FFBD15">
            <w:pPr>
              <w:rPr>
                <w:rFonts w:hint="eastAsia" w:ascii="仿宋" w:hAnsi="仿宋" w:eastAsia="仿宋" w:cs="仿宋"/>
                <w:color w:val="auto"/>
                <w:sz w:val="24"/>
                <w:highlight w:val="none"/>
              </w:rPr>
            </w:pPr>
          </w:p>
          <w:p w14:paraId="75626275">
            <w:pPr>
              <w:rPr>
                <w:rFonts w:hint="eastAsia" w:ascii="仿宋" w:hAnsi="仿宋" w:eastAsia="仿宋" w:cs="仿宋"/>
                <w:color w:val="auto"/>
                <w:sz w:val="24"/>
                <w:highlight w:val="none"/>
              </w:rPr>
            </w:pPr>
            <w:r>
              <w:rPr>
                <w:rFonts w:hint="eastAsia" w:ascii="仿宋" w:hAnsi="仿宋" w:eastAsia="仿宋" w:cs="仿宋"/>
                <w:color w:val="auto"/>
                <w:sz w:val="24"/>
                <w:highlight w:val="none"/>
              </w:rPr>
              <w:t>退付意见：（是否同意退付履约保证金及退付金额）</w:t>
            </w:r>
          </w:p>
          <w:p w14:paraId="4E557C99">
            <w:pPr>
              <w:rPr>
                <w:rFonts w:hint="eastAsia" w:ascii="仿宋" w:hAnsi="仿宋" w:eastAsia="仿宋" w:cs="仿宋"/>
                <w:color w:val="auto"/>
                <w:sz w:val="24"/>
                <w:highlight w:val="none"/>
              </w:rPr>
            </w:pPr>
          </w:p>
          <w:p w14:paraId="29193A66">
            <w:pPr>
              <w:rPr>
                <w:rFonts w:hint="eastAsia" w:ascii="仿宋" w:hAnsi="仿宋" w:eastAsia="仿宋" w:cs="仿宋"/>
                <w:color w:val="auto"/>
                <w:sz w:val="24"/>
                <w:highlight w:val="none"/>
              </w:rPr>
            </w:pPr>
          </w:p>
          <w:p w14:paraId="586F1B72">
            <w:pPr>
              <w:rPr>
                <w:rFonts w:hint="eastAsia" w:ascii="仿宋" w:hAnsi="仿宋" w:eastAsia="仿宋" w:cs="仿宋"/>
                <w:color w:val="auto"/>
                <w:sz w:val="24"/>
                <w:highlight w:val="none"/>
              </w:rPr>
            </w:pPr>
          </w:p>
          <w:p w14:paraId="7032D0AD">
            <w:pPr>
              <w:rPr>
                <w:rFonts w:hint="eastAsia" w:ascii="仿宋" w:hAnsi="仿宋" w:eastAsia="仿宋" w:cs="仿宋"/>
                <w:color w:val="auto"/>
                <w:sz w:val="24"/>
                <w:highlight w:val="none"/>
              </w:rPr>
            </w:pPr>
          </w:p>
          <w:p w14:paraId="0266BF7D">
            <w:pPr>
              <w:spacing w:line="52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联系人及电话：                         采购人签章</w:t>
            </w:r>
          </w:p>
          <w:p w14:paraId="3A7CC334">
            <w:pPr>
              <w:spacing w:line="5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年    月     日</w:t>
            </w:r>
          </w:p>
        </w:tc>
      </w:tr>
      <w:tr w14:paraId="05B28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1008" w:type="dxa"/>
            <w:vAlign w:val="center"/>
          </w:tcPr>
          <w:p w14:paraId="301CFC58">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c>
          <w:tcPr>
            <w:tcW w:w="8456" w:type="dxa"/>
            <w:vAlign w:val="center"/>
          </w:tcPr>
          <w:p w14:paraId="5DC4B419">
            <w:pPr>
              <w:rPr>
                <w:rFonts w:hint="eastAsia" w:ascii="仿宋" w:hAnsi="仿宋" w:eastAsia="仿宋" w:cs="仿宋"/>
                <w:color w:val="auto"/>
                <w:sz w:val="24"/>
                <w:highlight w:val="none"/>
              </w:rPr>
            </w:pPr>
          </w:p>
        </w:tc>
      </w:tr>
    </w:tbl>
    <w:p w14:paraId="20DBE32C">
      <w:pPr>
        <w:pStyle w:val="16"/>
        <w:ind w:left="480" w:leftChars="114" w:hanging="241" w:hangingChars="100"/>
        <w:rPr>
          <w:rFonts w:hint="eastAsia" w:ascii="仿宋" w:hAnsi="仿宋" w:eastAsia="仿宋" w:cs="仿宋"/>
          <w:b/>
          <w:bCs/>
          <w:color w:val="auto"/>
          <w:highlight w:val="none"/>
        </w:rPr>
      </w:pPr>
      <w:r>
        <w:rPr>
          <w:rFonts w:hint="eastAsia" w:ascii="仿宋" w:hAnsi="仿宋" w:eastAsia="仿宋" w:cs="仿宋"/>
          <w:b/>
          <w:bCs/>
          <w:color w:val="auto"/>
          <w:highlight w:val="none"/>
        </w:rPr>
        <w:t>注：投标人凭经采购人审批的退付意见书到保证金收取单位办理履约保证金退付事宜。</w:t>
      </w:r>
    </w:p>
    <w:p w14:paraId="241B1AB6">
      <w:pPr>
        <w:pStyle w:val="23"/>
        <w:snapToGrid w:val="0"/>
        <w:spacing w:before="120" w:after="120"/>
        <w:ind w:firstLine="400" w:firstLineChars="200"/>
        <w:rPr>
          <w:rFonts w:hint="eastAsia" w:ascii="仿宋" w:hAnsi="仿宋" w:eastAsia="仿宋" w:cs="仿宋"/>
          <w:color w:val="auto"/>
          <w:sz w:val="36"/>
          <w:szCs w:val="36"/>
          <w:highlight w:val="none"/>
        </w:rPr>
      </w:pPr>
      <w:r>
        <w:rPr>
          <w:rFonts w:hint="eastAsia" w:ascii="仿宋" w:hAnsi="仿宋" w:eastAsia="仿宋" w:cs="仿宋"/>
          <w:color w:val="auto"/>
          <w:highlight w:val="none"/>
        </w:rPr>
        <w:br w:type="page"/>
      </w:r>
      <w:bookmarkStart w:id="147" w:name="_Toc19686832"/>
      <w:bookmarkStart w:id="148" w:name="_Toc330456896"/>
      <w:bookmarkStart w:id="149" w:name="_Toc254970689"/>
      <w:bookmarkStart w:id="150" w:name="_Toc254970548"/>
    </w:p>
    <w:p w14:paraId="362BBE8A">
      <w:pPr>
        <w:jc w:val="center"/>
        <w:outlineLvl w:val="1"/>
        <w:rPr>
          <w:rFonts w:hint="eastAsia" w:ascii="仿宋" w:hAnsi="仿宋" w:eastAsia="仿宋" w:cs="仿宋"/>
          <w:color w:val="auto"/>
          <w:sz w:val="36"/>
          <w:szCs w:val="36"/>
          <w:highlight w:val="none"/>
        </w:rPr>
      </w:pPr>
      <w:bookmarkStart w:id="151" w:name="_Toc23277"/>
      <w:bookmarkStart w:id="152" w:name="_Toc419"/>
      <w:r>
        <w:rPr>
          <w:rFonts w:hint="eastAsia" w:ascii="仿宋" w:hAnsi="仿宋" w:eastAsia="仿宋" w:cs="仿宋"/>
          <w:color w:val="auto"/>
          <w:sz w:val="36"/>
          <w:szCs w:val="36"/>
          <w:highlight w:val="none"/>
        </w:rPr>
        <w:t>第四章  评标方法及评标标准</w:t>
      </w:r>
      <w:bookmarkEnd w:id="147"/>
      <w:bookmarkEnd w:id="148"/>
      <w:bookmarkEnd w:id="149"/>
      <w:bookmarkEnd w:id="150"/>
      <w:bookmarkEnd w:id="151"/>
      <w:bookmarkEnd w:id="152"/>
    </w:p>
    <w:p w14:paraId="2C1234B8">
      <w:pPr>
        <w:pStyle w:val="4"/>
        <w:keepNext w:val="0"/>
        <w:keepLines w:val="0"/>
        <w:jc w:val="center"/>
        <w:rPr>
          <w:rFonts w:hint="eastAsia" w:ascii="仿宋" w:hAnsi="仿宋" w:eastAsia="仿宋" w:cs="仿宋"/>
          <w:color w:val="auto"/>
          <w:highlight w:val="none"/>
        </w:rPr>
      </w:pPr>
      <w:r>
        <w:rPr>
          <w:rFonts w:hint="eastAsia" w:ascii="仿宋" w:hAnsi="仿宋" w:eastAsia="仿宋" w:cs="仿宋"/>
          <w:color w:val="auto"/>
          <w:highlight w:val="none"/>
        </w:rPr>
        <w:t>一、评标方法</w:t>
      </w:r>
    </w:p>
    <w:p w14:paraId="61F78C14">
      <w:pPr>
        <w:pStyle w:val="23"/>
        <w:spacing w:line="36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综合评分法，是指投标文件满足招标文件全部实质性要求，且按照评审因素的量化指标评审得分最高的投标人为中标候选人的评标方法。</w:t>
      </w:r>
    </w:p>
    <w:p w14:paraId="43C96930">
      <w:pPr>
        <w:pStyle w:val="23"/>
        <w:spacing w:line="36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最低评标价法，是指投标文件满足招标文件全部实质性要求，且投标报价最低的投标人为中标候选人的评标方法。</w:t>
      </w:r>
    </w:p>
    <w:p w14:paraId="49DE74B8">
      <w:pPr>
        <w:pStyle w:val="4"/>
        <w:keepNext w:val="0"/>
        <w:keepLines w:val="0"/>
        <w:jc w:val="center"/>
        <w:rPr>
          <w:rFonts w:hint="eastAsia" w:ascii="仿宋" w:hAnsi="仿宋" w:eastAsia="仿宋" w:cs="仿宋"/>
          <w:color w:val="auto"/>
          <w:highlight w:val="none"/>
        </w:rPr>
      </w:pPr>
      <w:r>
        <w:rPr>
          <w:rFonts w:hint="eastAsia" w:ascii="仿宋" w:hAnsi="仿宋" w:eastAsia="仿宋" w:cs="仿宋"/>
          <w:color w:val="auto"/>
          <w:highlight w:val="none"/>
        </w:rPr>
        <w:t>二、评标程序</w:t>
      </w:r>
    </w:p>
    <w:p w14:paraId="2D75AE89">
      <w:pPr>
        <w:pStyle w:val="5"/>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1.符合性审查</w:t>
      </w:r>
    </w:p>
    <w:p w14:paraId="51A91265">
      <w:pPr>
        <w:pStyle w:val="23"/>
        <w:snapToGrid w:val="0"/>
        <w:spacing w:line="360" w:lineRule="auto"/>
        <w:ind w:left="1" w:firstLine="420"/>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评标委员会应当对符合资格的投标人的投标文件进行投标报价、商务、技术等实质性内容符合性审查，以确定其是否满足招标文件的实质性要求。</w:t>
      </w:r>
    </w:p>
    <w:p w14:paraId="6A5BB7C6">
      <w:pPr>
        <w:pStyle w:val="5"/>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2.符合性审查不通过而导致投标无效的情形</w:t>
      </w:r>
    </w:p>
    <w:p w14:paraId="4C5271C3">
      <w:pPr>
        <w:snapToGrid w:val="0"/>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投标人的投标文件中存在对招标文件的任何实质性要求和条件的负偏离，将被视为投标无效。</w:t>
      </w:r>
    </w:p>
    <w:p w14:paraId="53D8EB3F">
      <w:pPr>
        <w:pStyle w:val="5"/>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2.1在报价评审时，如发现下列情形之一的，将被视为投标无效：</w:t>
      </w:r>
    </w:p>
    <w:p w14:paraId="5B3B18C4">
      <w:pPr>
        <w:pStyle w:val="6"/>
        <w:numPr>
          <w:ilvl w:val="0"/>
          <w:numId w:val="4"/>
        </w:num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投标文件未提供“投标人须知前附表”第13.1条规定中“必须提供”的文件资料的;</w:t>
      </w:r>
    </w:p>
    <w:p w14:paraId="05584C62">
      <w:pPr>
        <w:pStyle w:val="6"/>
        <w:numPr>
          <w:ilvl w:val="0"/>
          <w:numId w:val="4"/>
        </w:num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未采用人民币报价或者未按照招标文件标明的币种报价的；</w:t>
      </w:r>
    </w:p>
    <w:p w14:paraId="0DB266EC">
      <w:pPr>
        <w:pStyle w:val="6"/>
        <w:numPr>
          <w:ilvl w:val="0"/>
          <w:numId w:val="4"/>
        </w:num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报价超出招标文件规定最高限价，或者超出采购预算金额的；</w:t>
      </w:r>
    </w:p>
    <w:p w14:paraId="791504B3">
      <w:pPr>
        <w:pStyle w:val="6"/>
        <w:numPr>
          <w:ilvl w:val="0"/>
          <w:numId w:val="4"/>
        </w:num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投标人未就所投分标进行报价或者存在漏项报价；投标人未就所投分标的单项内容作唯一报价；投标人未就所投分标的全部内容作唯一总价报价；存在有选择、有条件报价的（招标文件允许有备选方案或者其他约定的除外）；</w:t>
      </w:r>
    </w:p>
    <w:p w14:paraId="09D09CB4">
      <w:pPr>
        <w:pStyle w:val="6"/>
        <w:numPr>
          <w:ilvl w:val="0"/>
          <w:numId w:val="4"/>
        </w:num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修正后的报价，投标人不确认的；</w:t>
      </w:r>
    </w:p>
    <w:p w14:paraId="62724C30">
      <w:pPr>
        <w:pStyle w:val="6"/>
        <w:numPr>
          <w:ilvl w:val="0"/>
          <w:numId w:val="4"/>
        </w:num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投标人属于本章第5条第（2）项情形的。</w:t>
      </w:r>
    </w:p>
    <w:p w14:paraId="153776A7">
      <w:pPr>
        <w:pStyle w:val="5"/>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2.2在商务评审时，如发现下列情形之一的，将被视为投标无效：</w:t>
      </w:r>
    </w:p>
    <w:p w14:paraId="3318A9B9">
      <w:pPr>
        <w:numPr>
          <w:ilvl w:val="0"/>
          <w:numId w:val="5"/>
        </w:numPr>
        <w:snapToGrid w:val="0"/>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投标文件未按招标文件要求签署、盖章的；</w:t>
      </w:r>
    </w:p>
    <w:p w14:paraId="4A9D9CDE">
      <w:pPr>
        <w:numPr>
          <w:ilvl w:val="0"/>
          <w:numId w:val="5"/>
        </w:numPr>
        <w:snapToGrid w:val="0"/>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委托代理人未能出具有效身份证明或者出具的身份证明与授权委托书中的信息不符的； </w:t>
      </w:r>
    </w:p>
    <w:p w14:paraId="3534445B">
      <w:pPr>
        <w:numPr>
          <w:ilvl w:val="0"/>
          <w:numId w:val="5"/>
        </w:numPr>
        <w:snapToGrid w:val="0"/>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为无效投标保证金的或者未按照招标文件的规定提交投标保证金的；</w:t>
      </w:r>
    </w:p>
    <w:p w14:paraId="35029387">
      <w:pPr>
        <w:numPr>
          <w:ilvl w:val="0"/>
          <w:numId w:val="5"/>
        </w:numPr>
        <w:snapToGrid w:val="0"/>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投标文件未提供“投标人须知前附表”第13.1条规定中“必须提供”或者“委托时必须提供”的文件资料的;</w:t>
      </w:r>
    </w:p>
    <w:p w14:paraId="2D640DF3">
      <w:pPr>
        <w:numPr>
          <w:ilvl w:val="0"/>
          <w:numId w:val="5"/>
        </w:numPr>
        <w:snapToGrid w:val="0"/>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投标有效期、项目完成时间（交货时间、服务完成时间或者服务期等）、质保期、售后服务等招标文件中标“▲”的商务条款发生负偏离的；</w:t>
      </w:r>
    </w:p>
    <w:p w14:paraId="2A5BD3FF">
      <w:pPr>
        <w:numPr>
          <w:ilvl w:val="0"/>
          <w:numId w:val="5"/>
        </w:numPr>
        <w:snapToGrid w:val="0"/>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商务条款评审允许负偏离的条款数超过“投标人须知前附表”规定项数的（如有）。</w:t>
      </w:r>
    </w:p>
    <w:p w14:paraId="28DB7054">
      <w:pPr>
        <w:numPr>
          <w:ilvl w:val="0"/>
          <w:numId w:val="5"/>
        </w:numPr>
        <w:snapToGrid w:val="0"/>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投标文件的实质性内容未使用中文表述、使用计量单位不符合招标文件要求的；</w:t>
      </w:r>
    </w:p>
    <w:p w14:paraId="4E306C21">
      <w:pPr>
        <w:numPr>
          <w:ilvl w:val="0"/>
          <w:numId w:val="5"/>
        </w:numPr>
        <w:snapToGrid w:val="0"/>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投标文件中的文件资料因填写不齐全或者内容虚假或者出现其他情形而导致被评标委员会认定无效的；</w:t>
      </w:r>
    </w:p>
    <w:p w14:paraId="2AB7A432">
      <w:pPr>
        <w:numPr>
          <w:ilvl w:val="0"/>
          <w:numId w:val="5"/>
        </w:numPr>
        <w:snapToGrid w:val="0"/>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投标文件含有采购人不能接受的附加条件的；</w:t>
      </w:r>
    </w:p>
    <w:p w14:paraId="2E053A7B">
      <w:pPr>
        <w:numPr>
          <w:ilvl w:val="0"/>
          <w:numId w:val="5"/>
        </w:numPr>
        <w:snapToGrid w:val="0"/>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未响应招标文件实质性要求的；</w:t>
      </w:r>
    </w:p>
    <w:p w14:paraId="45FA2954">
      <w:pPr>
        <w:numPr>
          <w:ilvl w:val="0"/>
          <w:numId w:val="5"/>
        </w:numPr>
        <w:snapToGrid w:val="0"/>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属于投标人须知正文第9.2条情形的；</w:t>
      </w:r>
    </w:p>
    <w:p w14:paraId="6A0E112C">
      <w:pPr>
        <w:numPr>
          <w:ilvl w:val="0"/>
          <w:numId w:val="5"/>
        </w:numPr>
        <w:snapToGrid w:val="0"/>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法律、法规和招标文件规定的其他无效情形。</w:t>
      </w:r>
    </w:p>
    <w:p w14:paraId="669406CA">
      <w:pPr>
        <w:pStyle w:val="5"/>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2.3在技术评审时，如发现下列情形之一的，将被视为投标无效：</w:t>
      </w:r>
    </w:p>
    <w:p w14:paraId="17587A06">
      <w:pPr>
        <w:pStyle w:val="17"/>
        <w:snapToGrid w:val="0"/>
        <w:spacing w:line="360" w:lineRule="auto"/>
        <w:ind w:firstLine="472" w:firstLineChars="196"/>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（1）明显不满足招标文件要求的技术规格、安全、质量标准，或者与招标文件中标“▲”的技术需求发生负偏离的；</w:t>
      </w:r>
    </w:p>
    <w:p w14:paraId="2518BC2C">
      <w:pPr>
        <w:pStyle w:val="17"/>
        <w:snapToGrid w:val="0"/>
        <w:spacing w:line="360" w:lineRule="auto"/>
        <w:ind w:firstLine="472" w:firstLineChars="196"/>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（2）技术需求评审允许负偏离的条款数超过“投标人须知前附表”规定项数的</w:t>
      </w:r>
      <w:r>
        <w:rPr>
          <w:rFonts w:hint="eastAsia" w:ascii="仿宋" w:hAnsi="仿宋" w:eastAsia="仿宋" w:cs="仿宋"/>
          <w:b/>
          <w:color w:val="auto"/>
          <w:sz w:val="24"/>
          <w:highlight w:val="none"/>
        </w:rPr>
        <w:t>（如有）</w:t>
      </w:r>
      <w:r>
        <w:rPr>
          <w:rFonts w:hint="eastAsia" w:ascii="仿宋" w:hAnsi="仿宋" w:eastAsia="仿宋" w:cs="仿宋"/>
          <w:b/>
          <w:color w:val="auto"/>
          <w:kern w:val="2"/>
          <w:sz w:val="24"/>
          <w:szCs w:val="24"/>
          <w:highlight w:val="none"/>
        </w:rPr>
        <w:t>；</w:t>
      </w:r>
    </w:p>
    <w:p w14:paraId="702882A9">
      <w:pPr>
        <w:pStyle w:val="17"/>
        <w:snapToGrid w:val="0"/>
        <w:spacing w:line="360" w:lineRule="auto"/>
        <w:ind w:firstLine="472" w:firstLineChars="196"/>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（3）投标文件未提供“投标人须知前附表”第13.1条规定中“必须提供”的文件资料的;</w:t>
      </w:r>
    </w:p>
    <w:p w14:paraId="3E0CDDBD">
      <w:pPr>
        <w:pStyle w:val="17"/>
        <w:snapToGrid w:val="0"/>
        <w:spacing w:line="360" w:lineRule="auto"/>
        <w:ind w:firstLine="472" w:firstLineChars="196"/>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（4）虚假投标，或者出现其他情形而导致被评标委员会认定无效的；</w:t>
      </w:r>
    </w:p>
    <w:p w14:paraId="74209E27">
      <w:pPr>
        <w:pStyle w:val="17"/>
        <w:snapToGrid w:val="0"/>
        <w:spacing w:line="360" w:lineRule="auto"/>
        <w:ind w:firstLine="472" w:firstLineChars="196"/>
        <w:rPr>
          <w:rFonts w:hint="eastAsia" w:ascii="仿宋" w:hAnsi="仿宋" w:eastAsia="仿宋" w:cs="仿宋"/>
          <w:color w:val="auto"/>
          <w:sz w:val="24"/>
          <w:szCs w:val="24"/>
          <w:highlight w:val="none"/>
        </w:rPr>
      </w:pPr>
      <w:r>
        <w:rPr>
          <w:rFonts w:hint="eastAsia" w:ascii="仿宋" w:hAnsi="仿宋" w:eastAsia="仿宋" w:cs="仿宋"/>
          <w:b/>
          <w:color w:val="auto"/>
          <w:kern w:val="2"/>
          <w:sz w:val="24"/>
          <w:szCs w:val="24"/>
          <w:highlight w:val="none"/>
        </w:rPr>
        <w:t>（5）投标技术方案不明确，招标文件未允许但存在一个或者一个以上备选（替代）投标方案的。</w:t>
      </w:r>
    </w:p>
    <w:p w14:paraId="185CB17C">
      <w:pPr>
        <w:pStyle w:val="5"/>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3.澄清补正</w:t>
      </w:r>
    </w:p>
    <w:p w14:paraId="6ECE148F">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对投标文件中含义不明确、同类问题表述不一致或者有明显文字和计算错误的内容，评标委员会应在</w:t>
      </w:r>
      <w:r>
        <w:rPr>
          <w:rFonts w:hint="eastAsia" w:ascii="仿宋" w:hAnsi="仿宋" w:eastAsia="仿宋" w:cs="仿宋"/>
          <w:bCs/>
          <w:color w:val="auto"/>
          <w:sz w:val="24"/>
          <w:highlight w:val="none"/>
        </w:rPr>
        <w:t>广西政府采购云平台</w:t>
      </w:r>
      <w:r>
        <w:rPr>
          <w:rFonts w:hint="eastAsia" w:ascii="仿宋" w:hAnsi="仿宋" w:eastAsia="仿宋" w:cs="仿宋"/>
          <w:color w:val="auto"/>
          <w:sz w:val="24"/>
          <w:highlight w:val="none"/>
        </w:rPr>
        <w:t>发布电子澄清函，要求投标人在规定时间内作出必要的澄清、说明或者补正。投标人在</w:t>
      </w:r>
      <w:r>
        <w:rPr>
          <w:rFonts w:hint="eastAsia" w:ascii="仿宋" w:hAnsi="仿宋" w:eastAsia="仿宋" w:cs="仿宋"/>
          <w:bCs/>
          <w:color w:val="auto"/>
          <w:sz w:val="24"/>
          <w:highlight w:val="none"/>
        </w:rPr>
        <w:t>广西政府采购云平台</w:t>
      </w:r>
      <w:r>
        <w:rPr>
          <w:rFonts w:hint="eastAsia" w:ascii="仿宋" w:hAnsi="仿宋" w:eastAsia="仿宋" w:cs="仿宋"/>
          <w:color w:val="auto"/>
          <w:sz w:val="24"/>
          <w:highlight w:val="none"/>
        </w:rPr>
        <w:t>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14:paraId="61393D4B">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7C4EE0DB">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投标人的澄清、说明或者补正不得超出投标文件的范围或者改变投标文件的实质性内容。</w:t>
      </w:r>
    </w:p>
    <w:p w14:paraId="267B71DB">
      <w:pPr>
        <w:pStyle w:val="5"/>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4.投标文件修正</w:t>
      </w:r>
    </w:p>
    <w:p w14:paraId="26AF4A7B">
      <w:pPr>
        <w:pStyle w:val="5"/>
        <w:keepNext w:val="0"/>
        <w:keepLines w:val="0"/>
        <w:spacing w:before="0" w:after="0" w:line="360" w:lineRule="auto"/>
        <w:ind w:left="420" w:leftChars="20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 xml:space="preserve">4.1投标文件报价出现前后不一致的，按照下列规定修正： </w:t>
      </w:r>
    </w:p>
    <w:p w14:paraId="1049B640">
      <w:pPr>
        <w:pStyle w:val="23"/>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（1）投标文件中开标一览表（报价表）内容与投标文件中相应内容不一致的，以开标一览表（报价表）为准；</w:t>
      </w:r>
    </w:p>
    <w:p w14:paraId="2A460076">
      <w:pPr>
        <w:pStyle w:val="23"/>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（2）大写金额和小写金额不一致的，以大写金额为准；</w:t>
      </w:r>
    </w:p>
    <w:p w14:paraId="0AC49472">
      <w:pPr>
        <w:pStyle w:val="23"/>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（3）单价金额小数点或者百分比有明显错位的，以开标一览表的总价为准，并修改单价；</w:t>
      </w:r>
    </w:p>
    <w:p w14:paraId="6F5E32DD">
      <w:pPr>
        <w:pStyle w:val="23"/>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（4）总价金额与按单价汇总金额不一致的，以单价金额计算结果为准。</w:t>
      </w:r>
    </w:p>
    <w:p w14:paraId="61295CEA">
      <w:pPr>
        <w:pStyle w:val="23"/>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同时出现两种以上不一致的，按照以上（1）-（4）规定的顺序修正。修正后的报价经投标人确认后产生约束力，投标人不确认的，</w:t>
      </w:r>
      <w:r>
        <w:rPr>
          <w:rFonts w:hint="eastAsia" w:ascii="仿宋" w:hAnsi="仿宋" w:eastAsia="仿宋" w:cs="仿宋"/>
          <w:b/>
          <w:color w:val="auto"/>
          <w:kern w:val="2"/>
          <w:sz w:val="24"/>
          <w:szCs w:val="24"/>
          <w:highlight w:val="none"/>
        </w:rPr>
        <w:t>其投标无效</w:t>
      </w:r>
      <w:r>
        <w:rPr>
          <w:rFonts w:hint="eastAsia" w:ascii="仿宋" w:hAnsi="仿宋" w:eastAsia="仿宋" w:cs="仿宋"/>
          <w:color w:val="auto"/>
          <w:sz w:val="24"/>
          <w:szCs w:val="24"/>
          <w:highlight w:val="none"/>
        </w:rPr>
        <w:t>。</w:t>
      </w:r>
    </w:p>
    <w:p w14:paraId="3EC88408">
      <w:pPr>
        <w:pStyle w:val="5"/>
        <w:keepNext w:val="0"/>
        <w:keepLines w:val="0"/>
        <w:spacing w:before="0" w:after="0"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b w:val="0"/>
          <w:bCs/>
          <w:color w:val="auto"/>
          <w:sz w:val="24"/>
          <w:highlight w:val="none"/>
        </w:rPr>
        <w:t>4.2经投标人确认修正后的报价若超过采购预算金额或者最高限价，投标人的投标文件</w:t>
      </w:r>
      <w:r>
        <w:rPr>
          <w:rFonts w:hint="eastAsia" w:ascii="仿宋" w:hAnsi="仿宋" w:eastAsia="仿宋" w:cs="仿宋"/>
          <w:color w:val="auto"/>
          <w:sz w:val="24"/>
          <w:highlight w:val="none"/>
        </w:rPr>
        <w:t>作无效投标处理。</w:t>
      </w:r>
    </w:p>
    <w:p w14:paraId="1E6FB721">
      <w:pPr>
        <w:snapToGrid w:val="0"/>
        <w:spacing w:line="360" w:lineRule="auto"/>
        <w:ind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rPr>
        <w:t>4.3经投标人确认修正后的报价作为签订合同的依据，并以此报价计算价格分。</w:t>
      </w:r>
    </w:p>
    <w:p w14:paraId="71FB2B9B">
      <w:pPr>
        <w:pStyle w:val="5"/>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5.比较与评价</w:t>
      </w:r>
    </w:p>
    <w:p w14:paraId="0D111E54">
      <w:pPr>
        <w:pStyle w:val="23"/>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（1）评标委员会按照招标文件中规定的评标方法和评标标准，对符合性审查合格的投标文件进行商务和技术评估，综合比较与评价。</w:t>
      </w:r>
    </w:p>
    <w:p w14:paraId="11A9ADD2">
      <w:pPr>
        <w:pStyle w:val="23"/>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（2）评标委员会独立对每个投标人的投标文件进行评价，并汇总每个投标人的得分。</w:t>
      </w:r>
    </w:p>
    <w:p w14:paraId="31BA0833">
      <w:pPr>
        <w:pStyle w:val="23"/>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w:t>
      </w:r>
      <w:r>
        <w:rPr>
          <w:rFonts w:hint="eastAsia" w:ascii="仿宋" w:hAnsi="仿宋" w:eastAsia="仿宋" w:cs="仿宋"/>
          <w:b/>
          <w:color w:val="auto"/>
          <w:kern w:val="2"/>
          <w:sz w:val="24"/>
          <w:szCs w:val="24"/>
          <w:highlight w:val="none"/>
        </w:rPr>
        <w:t>评标委员会将其作为无效投标处理</w:t>
      </w:r>
      <w:r>
        <w:rPr>
          <w:rFonts w:hint="eastAsia" w:ascii="仿宋" w:hAnsi="仿宋" w:eastAsia="仿宋" w:cs="仿宋"/>
          <w:color w:val="auto"/>
          <w:sz w:val="24"/>
          <w:szCs w:val="24"/>
          <w:highlight w:val="none"/>
        </w:rPr>
        <w:t>。</w:t>
      </w:r>
    </w:p>
    <w:p w14:paraId="0BE99299">
      <w:pPr>
        <w:pStyle w:val="23"/>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（3）评标委员会按照招标文件中规定的评标方法和标准计算各投标人的报价得分。在计算过程中，不得去掉最高报价或者最低报价。</w:t>
      </w:r>
    </w:p>
    <w:p w14:paraId="167C46E0">
      <w:pPr>
        <w:pStyle w:val="23"/>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（4）各投标人的得分为所有评委的有效评分的算术平均数。</w:t>
      </w:r>
    </w:p>
    <w:p w14:paraId="5C0E58F5">
      <w:pPr>
        <w:pStyle w:val="23"/>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（5）评标委员会按照招标文件中的规定推荐中标候选人。</w:t>
      </w:r>
    </w:p>
    <w:p w14:paraId="7500485C">
      <w:pPr>
        <w:pStyle w:val="23"/>
        <w:snapToGrid w:val="0"/>
        <w:spacing w:line="360" w:lineRule="auto"/>
        <w:ind w:firstLine="480" w:firstLineChars="200"/>
        <w:rPr>
          <w:rFonts w:hint="eastAsia" w:ascii="仿宋" w:hAnsi="仿宋" w:eastAsia="仿宋" w:cs="仿宋"/>
          <w:color w:val="auto"/>
          <w:sz w:val="21"/>
          <w:highlight w:val="none"/>
        </w:rPr>
      </w:pPr>
      <w:r>
        <w:rPr>
          <w:rFonts w:hint="eastAsia" w:ascii="仿宋" w:hAnsi="仿宋" w:eastAsia="仿宋" w:cs="仿宋"/>
          <w:color w:val="auto"/>
          <w:sz w:val="24"/>
          <w:szCs w:val="24"/>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14:paraId="27F492FF">
      <w:pPr>
        <w:pStyle w:val="4"/>
        <w:keepNext w:val="0"/>
        <w:keepLines w:val="0"/>
        <w:spacing w:before="0" w:after="0" w:line="415" w:lineRule="auto"/>
        <w:rPr>
          <w:rFonts w:hint="eastAsia" w:ascii="仿宋" w:hAnsi="仿宋" w:eastAsia="仿宋" w:cs="仿宋"/>
          <w:color w:val="auto"/>
          <w:sz w:val="30"/>
          <w:szCs w:val="30"/>
          <w:highlight w:val="none"/>
        </w:rPr>
      </w:pPr>
      <w:bookmarkStart w:id="153" w:name="_Hlk114737820"/>
      <w:r>
        <w:rPr>
          <w:rFonts w:hint="eastAsia" w:ascii="仿宋" w:hAnsi="仿宋" w:eastAsia="仿宋" w:cs="仿宋"/>
          <w:color w:val="auto"/>
          <w:sz w:val="30"/>
          <w:szCs w:val="30"/>
          <w:highlight w:val="none"/>
        </w:rPr>
        <w:t>三、评标标准（综合评分法，计分方法按四舍五入取至百分位，）</w:t>
      </w:r>
    </w:p>
    <w:tbl>
      <w:tblPr>
        <w:tblStyle w:val="45"/>
        <w:tblW w:w="92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921"/>
        <w:gridCol w:w="1134"/>
        <w:gridCol w:w="6475"/>
      </w:tblGrid>
      <w:tr w14:paraId="2F59B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vAlign w:val="center"/>
          </w:tcPr>
          <w:p w14:paraId="5CF403FC">
            <w:pPr>
              <w:adjustRightInd w:val="0"/>
              <w:spacing w:line="400" w:lineRule="exact"/>
              <w:jc w:val="center"/>
              <w:textAlignment w:val="baseline"/>
              <w:rPr>
                <w:rFonts w:hint="eastAsia" w:ascii="仿宋" w:hAnsi="仿宋" w:eastAsia="仿宋" w:cs="仿宋"/>
                <w:color w:val="auto"/>
                <w:sz w:val="24"/>
                <w:highlight w:val="none"/>
              </w:rPr>
            </w:pPr>
            <w:bookmarkStart w:id="154" w:name="_Hlk117257734"/>
            <w:r>
              <w:rPr>
                <w:rFonts w:hint="eastAsia" w:ascii="仿宋" w:hAnsi="仿宋" w:eastAsia="仿宋" w:cs="仿宋"/>
                <w:b/>
                <w:color w:val="auto"/>
                <w:sz w:val="24"/>
                <w:highlight w:val="none"/>
              </w:rPr>
              <w:t>序号</w:t>
            </w:r>
          </w:p>
        </w:tc>
        <w:tc>
          <w:tcPr>
            <w:tcW w:w="2055" w:type="dxa"/>
            <w:gridSpan w:val="2"/>
            <w:vAlign w:val="center"/>
          </w:tcPr>
          <w:p w14:paraId="68D92A53">
            <w:pPr>
              <w:adjustRightInd w:val="0"/>
              <w:spacing w:line="400" w:lineRule="exact"/>
              <w:jc w:val="center"/>
              <w:textAlignment w:val="baseline"/>
              <w:rPr>
                <w:rFonts w:hint="eastAsia" w:ascii="仿宋" w:hAnsi="仿宋" w:eastAsia="仿宋" w:cs="仿宋"/>
                <w:color w:val="auto"/>
                <w:sz w:val="24"/>
                <w:highlight w:val="none"/>
              </w:rPr>
            </w:pPr>
            <w:r>
              <w:rPr>
                <w:rFonts w:hint="eastAsia" w:ascii="仿宋" w:hAnsi="仿宋" w:eastAsia="仿宋" w:cs="仿宋"/>
                <w:b/>
                <w:color w:val="auto"/>
                <w:sz w:val="24"/>
                <w:highlight w:val="none"/>
              </w:rPr>
              <w:t>评审因素</w:t>
            </w:r>
          </w:p>
        </w:tc>
        <w:tc>
          <w:tcPr>
            <w:tcW w:w="6475" w:type="dxa"/>
            <w:vAlign w:val="center"/>
          </w:tcPr>
          <w:p w14:paraId="5B55B60E">
            <w:pPr>
              <w:adjustRightInd w:val="0"/>
              <w:spacing w:line="400" w:lineRule="exact"/>
              <w:jc w:val="center"/>
              <w:textAlignment w:val="baseline"/>
              <w:rPr>
                <w:rFonts w:hint="eastAsia" w:ascii="仿宋" w:hAnsi="仿宋" w:eastAsia="仿宋" w:cs="仿宋"/>
                <w:color w:val="auto"/>
                <w:sz w:val="24"/>
                <w:highlight w:val="none"/>
              </w:rPr>
            </w:pPr>
            <w:r>
              <w:rPr>
                <w:rFonts w:hint="eastAsia" w:ascii="仿宋" w:hAnsi="仿宋" w:eastAsia="仿宋" w:cs="仿宋"/>
                <w:b/>
                <w:color w:val="auto"/>
                <w:sz w:val="24"/>
                <w:highlight w:val="none"/>
              </w:rPr>
              <w:t>评标标准</w:t>
            </w:r>
          </w:p>
        </w:tc>
      </w:tr>
      <w:tr w14:paraId="5D7DF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vAlign w:val="center"/>
          </w:tcPr>
          <w:p w14:paraId="39FF6124">
            <w:pPr>
              <w:adjustRightInd w:val="0"/>
              <w:spacing w:line="400" w:lineRule="exact"/>
              <w:jc w:val="center"/>
              <w:textAlignment w:val="baseline"/>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w:t>
            </w:r>
          </w:p>
        </w:tc>
        <w:tc>
          <w:tcPr>
            <w:tcW w:w="921" w:type="dxa"/>
            <w:vAlign w:val="center"/>
          </w:tcPr>
          <w:p w14:paraId="713D34B0">
            <w:pPr>
              <w:adjustRightInd w:val="0"/>
              <w:spacing w:line="400" w:lineRule="exact"/>
              <w:jc w:val="center"/>
              <w:textAlignment w:val="baseline"/>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价格分（满分</w:t>
            </w:r>
            <w:r>
              <w:rPr>
                <w:rFonts w:hint="eastAsia" w:ascii="仿宋" w:hAnsi="仿宋" w:eastAsia="仿宋" w:cs="仿宋"/>
                <w:b/>
                <w:color w:val="auto"/>
                <w:sz w:val="24"/>
                <w:highlight w:val="none"/>
                <w:u w:val="single"/>
              </w:rPr>
              <w:t>30</w:t>
            </w:r>
            <w:r>
              <w:rPr>
                <w:rFonts w:hint="eastAsia" w:ascii="仿宋" w:hAnsi="仿宋" w:eastAsia="仿宋" w:cs="仿宋"/>
                <w:b/>
                <w:color w:val="auto"/>
                <w:sz w:val="24"/>
                <w:highlight w:val="none"/>
              </w:rPr>
              <w:t>分）</w:t>
            </w:r>
          </w:p>
        </w:tc>
        <w:tc>
          <w:tcPr>
            <w:tcW w:w="1134" w:type="dxa"/>
            <w:vAlign w:val="center"/>
          </w:tcPr>
          <w:p w14:paraId="063DF830">
            <w:pPr>
              <w:adjustRightInd w:val="0"/>
              <w:spacing w:line="400" w:lineRule="exact"/>
              <w:jc w:val="center"/>
              <w:textAlignment w:val="baseline"/>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投标报价</w:t>
            </w:r>
          </w:p>
        </w:tc>
        <w:tc>
          <w:tcPr>
            <w:tcW w:w="6475" w:type="dxa"/>
            <w:vAlign w:val="center"/>
          </w:tcPr>
          <w:p w14:paraId="4F055199">
            <w:pPr>
              <w:snapToGrid w:val="0"/>
              <w:spacing w:line="40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（1）评标报价为投标人的投标报价进行政策性扣除后的价格，评标报价只是作为评标时使用。最终中标人的中标金额等于投标报价。</w:t>
            </w:r>
          </w:p>
          <w:p w14:paraId="12E12D6C">
            <w:pPr>
              <w:snapToGrid w:val="0"/>
              <w:spacing w:line="400" w:lineRule="exact"/>
              <w:rPr>
                <w:rFonts w:hint="eastAsia" w:ascii="仿宋" w:hAnsi="仿宋" w:eastAsia="仿宋" w:cs="仿宋"/>
                <w:color w:val="auto"/>
                <w:sz w:val="24"/>
                <w:highlight w:val="none"/>
              </w:rPr>
            </w:pPr>
            <w:r>
              <w:rPr>
                <w:rFonts w:hint="eastAsia" w:ascii="仿宋" w:hAnsi="仿宋" w:eastAsia="仿宋" w:cs="仿宋"/>
                <w:bCs/>
                <w:color w:val="auto"/>
                <w:sz w:val="24"/>
                <w:highlight w:val="none"/>
              </w:rPr>
              <w:t>（2）</w:t>
            </w:r>
            <w:r>
              <w:rPr>
                <w:rFonts w:hint="eastAsia" w:ascii="仿宋" w:hAnsi="仿宋" w:eastAsia="仿宋" w:cs="仿宋"/>
                <w:color w:val="auto"/>
                <w:sz w:val="24"/>
                <w:highlight w:val="none"/>
              </w:rPr>
              <w:t>按照《政府采购促进中小企业发展管理办法》（财库﹝2020﹞46 号）、《广西壮族自治区财政厅关于持续优化政府采购营商环境推动高质量发展的通知》（桂财采〔2024〕55号）等规定，投标人为小型和微型企业，并在其投标文件中提供《中小企业声明函》，且其所投标产品全部为小型和微型企业产品的，对其投标价格给予10%的扣除。</w:t>
            </w:r>
          </w:p>
          <w:p w14:paraId="14906FAC">
            <w:pPr>
              <w:snapToGrid w:val="0"/>
              <w:spacing w:line="400" w:lineRule="exact"/>
              <w:rPr>
                <w:rFonts w:hint="eastAsia" w:ascii="仿宋" w:hAnsi="仿宋" w:eastAsia="仿宋" w:cs="仿宋"/>
                <w:bCs/>
                <w:color w:val="auto"/>
                <w:sz w:val="24"/>
                <w:highlight w:val="none"/>
              </w:rPr>
            </w:pPr>
            <w:r>
              <w:rPr>
                <w:rFonts w:hint="eastAsia" w:ascii="仿宋" w:hAnsi="仿宋" w:eastAsia="仿宋" w:cs="仿宋"/>
                <w:color w:val="auto"/>
                <w:sz w:val="24"/>
                <w:highlight w:val="none"/>
              </w:rPr>
              <w:t>（3）大中型企业在其投标文件中提供制造商《中小企业声明函》且提供的所有采购标的均为小微企业制造的，对其投标价格给予10%的扣除。</w:t>
            </w:r>
          </w:p>
          <w:p w14:paraId="6A28FD85">
            <w:pPr>
              <w:snapToGrid w:val="0"/>
              <w:spacing w:line="40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（4）按照《财政部、司法部关于政府采购支持监狱企业发展有关问题的通知》（财库〔2014〕68号）的规定，监狱企业视同小型、微型企业，享受预留份额、评审中价格扣除等促进中小企业发展的政府采购政策。</w:t>
            </w:r>
            <w:r>
              <w:rPr>
                <w:rFonts w:hint="eastAsia" w:ascii="仿宋" w:hAnsi="仿宋" w:eastAsia="仿宋" w:cs="仿宋"/>
                <w:color w:val="auto"/>
                <w:sz w:val="24"/>
                <w:highlight w:val="none"/>
              </w:rPr>
              <w:t>监狱企业参加政府采购活动时，应当提供由省级以上监狱管理局、戒毒管理局(含新疆生产建设兵团)出具的属于监狱企业的证明文件。</w:t>
            </w:r>
            <w:r>
              <w:rPr>
                <w:rFonts w:hint="eastAsia" w:ascii="仿宋" w:hAnsi="仿宋" w:eastAsia="仿宋" w:cs="仿宋"/>
                <w:bCs/>
                <w:color w:val="auto"/>
                <w:sz w:val="24"/>
                <w:highlight w:val="none"/>
              </w:rPr>
              <w:t>不重复享受政策。</w:t>
            </w:r>
          </w:p>
          <w:p w14:paraId="57F79644">
            <w:pPr>
              <w:snapToGrid w:val="0"/>
              <w:spacing w:line="400" w:lineRule="exact"/>
              <w:rPr>
                <w:rFonts w:hint="eastAsia" w:ascii="仿宋" w:hAnsi="仿宋" w:eastAsia="仿宋" w:cs="仿宋"/>
                <w:bCs/>
                <w:color w:val="auto"/>
                <w:sz w:val="24"/>
                <w:highlight w:val="none"/>
              </w:rPr>
            </w:pPr>
            <w:r>
              <w:rPr>
                <w:rFonts w:hint="eastAsia" w:ascii="仿宋" w:hAnsi="仿宋" w:eastAsia="仿宋" w:cs="仿宋"/>
                <w:color w:val="auto"/>
                <w:sz w:val="24"/>
                <w:highlight w:val="none"/>
              </w:rPr>
              <w:t>（5）按照</w:t>
            </w:r>
            <w:r>
              <w:rPr>
                <w:rFonts w:hint="eastAsia" w:ascii="仿宋" w:hAnsi="仿宋" w:eastAsia="仿宋" w:cs="仿宋"/>
                <w:bCs/>
                <w:color w:val="auto"/>
                <w:sz w:val="24"/>
                <w:highlight w:val="none"/>
              </w:rPr>
              <w:t>《关于促进残疾人就业政府采购政策的通知》（财库〔2017〕141号）的规定，残疾人福利性单位视同小型、微型企业，享受预留份额、评审中价格扣除等促进中小企业发展的政府采购政策。</w:t>
            </w:r>
            <w:r>
              <w:rPr>
                <w:rFonts w:hint="eastAsia" w:ascii="仿宋" w:hAnsi="仿宋" w:eastAsia="仿宋" w:cs="仿宋"/>
                <w:color w:val="auto"/>
                <w:sz w:val="24"/>
                <w:highlight w:val="none"/>
              </w:rPr>
              <w:t>残疾人福利性单位参加政府采购活动时，应当提供该通知规定的《残疾人福利性单位声明函》，并对声明的真实性负责。</w:t>
            </w:r>
            <w:r>
              <w:rPr>
                <w:rFonts w:hint="eastAsia" w:ascii="仿宋" w:hAnsi="仿宋" w:eastAsia="仿宋" w:cs="仿宋"/>
                <w:bCs/>
                <w:color w:val="auto"/>
                <w:sz w:val="24"/>
                <w:highlight w:val="none"/>
              </w:rPr>
              <w:t>残疾人福利性单位属于小型、微型企业的，不重复享受政策。</w:t>
            </w:r>
          </w:p>
          <w:p w14:paraId="3E2E20B3">
            <w:pPr>
              <w:snapToGrid w:val="0"/>
              <w:spacing w:line="40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（6）政策性扣除计算方法。</w:t>
            </w:r>
          </w:p>
          <w:p w14:paraId="541E2BE0">
            <w:pPr>
              <w:snapToGrid w:val="0"/>
              <w:spacing w:line="400" w:lineRule="exact"/>
              <w:rPr>
                <w:rFonts w:hint="eastAsia" w:ascii="仿宋" w:hAnsi="仿宋" w:eastAsia="仿宋" w:cs="仿宋"/>
                <w:color w:val="auto"/>
                <w:sz w:val="24"/>
                <w:highlight w:val="none"/>
              </w:rPr>
            </w:pPr>
            <w:r>
              <w:rPr>
                <w:rFonts w:hint="eastAsia" w:ascii="仿宋" w:hAnsi="仿宋" w:eastAsia="仿宋" w:cs="仿宋"/>
                <w:bCs/>
                <w:color w:val="auto"/>
                <w:sz w:val="24"/>
                <w:highlight w:val="none"/>
              </w:rPr>
              <w:t>投标人</w:t>
            </w:r>
            <w:r>
              <w:rPr>
                <w:rFonts w:hint="eastAsia" w:ascii="仿宋" w:hAnsi="仿宋" w:eastAsia="仿宋" w:cs="仿宋"/>
                <w:color w:val="auto"/>
                <w:sz w:val="24"/>
                <w:highlight w:val="none"/>
              </w:rPr>
              <w:t>被评定为</w:t>
            </w:r>
            <w:r>
              <w:rPr>
                <w:rFonts w:hint="eastAsia" w:ascii="仿宋" w:hAnsi="仿宋" w:eastAsia="仿宋" w:cs="仿宋"/>
                <w:bCs/>
                <w:color w:val="auto"/>
                <w:sz w:val="24"/>
                <w:highlight w:val="none"/>
              </w:rPr>
              <w:t>监狱企业或者残疾人福利性单位或者</w:t>
            </w:r>
            <w:r>
              <w:rPr>
                <w:rFonts w:hint="eastAsia" w:ascii="仿宋" w:hAnsi="仿宋" w:eastAsia="仿宋" w:cs="仿宋"/>
                <w:color w:val="auto"/>
                <w:sz w:val="24"/>
                <w:highlight w:val="none"/>
              </w:rPr>
              <w:t>小型和微型企业且其所投标全部产品为小型和微型企业产品的，</w:t>
            </w:r>
            <w:r>
              <w:rPr>
                <w:rFonts w:hint="eastAsia" w:ascii="仿宋" w:hAnsi="仿宋" w:eastAsia="仿宋" w:cs="仿宋"/>
                <w:bCs/>
                <w:color w:val="auto"/>
                <w:sz w:val="24"/>
                <w:highlight w:val="none"/>
              </w:rPr>
              <w:t>该投标人的投标报价</w:t>
            </w:r>
            <w:r>
              <w:rPr>
                <w:rFonts w:hint="eastAsia" w:ascii="仿宋" w:hAnsi="仿宋" w:eastAsia="仿宋" w:cs="仿宋"/>
                <w:color w:val="auto"/>
                <w:sz w:val="24"/>
                <w:highlight w:val="none"/>
              </w:rPr>
              <w:t>给予10%的扣除</w:t>
            </w:r>
            <w:r>
              <w:rPr>
                <w:rFonts w:hint="eastAsia" w:ascii="仿宋" w:hAnsi="仿宋" w:eastAsia="仿宋" w:cs="仿宋"/>
                <w:bCs/>
                <w:color w:val="auto"/>
                <w:sz w:val="24"/>
                <w:highlight w:val="none"/>
              </w:rPr>
              <w:t>，</w:t>
            </w:r>
            <w:r>
              <w:rPr>
                <w:rFonts w:hint="eastAsia" w:ascii="仿宋" w:hAnsi="仿宋" w:eastAsia="仿宋" w:cs="仿宋"/>
                <w:color w:val="auto"/>
                <w:sz w:val="24"/>
                <w:highlight w:val="none"/>
              </w:rPr>
              <w:t>扣除后的价格为评标报价，即评标报价=投标报价×（1-10%）；大中型企业和其他自然人、法人或者其他组织与小型、微型企业组成联合体投标，且联合体协议中约定小型、微型企业的协议合同金额占到联合体协议合同总金额30%以上的，联合体投标价给予</w:t>
            </w:r>
            <w:r>
              <w:rPr>
                <w:rFonts w:hint="eastAsia" w:ascii="仿宋" w:hAnsi="仿宋" w:eastAsia="仿宋" w:cs="仿宋"/>
                <w:color w:val="auto"/>
                <w:sz w:val="24"/>
                <w:highlight w:val="none"/>
                <w:u w:val="single"/>
              </w:rPr>
              <w:t xml:space="preserve"> 4 </w:t>
            </w:r>
            <w:r>
              <w:rPr>
                <w:rFonts w:hint="eastAsia" w:ascii="仿宋" w:hAnsi="仿宋" w:eastAsia="仿宋" w:cs="仿宋"/>
                <w:color w:val="auto"/>
                <w:sz w:val="24"/>
                <w:highlight w:val="none"/>
              </w:rPr>
              <w:t>%的扣除，扣除后的价格为评标价，即评标报价=投标报价×（1-</w:t>
            </w:r>
            <w:r>
              <w:rPr>
                <w:rFonts w:hint="eastAsia" w:ascii="仿宋" w:hAnsi="仿宋" w:eastAsia="仿宋" w:cs="仿宋"/>
                <w:color w:val="auto"/>
                <w:sz w:val="24"/>
                <w:highlight w:val="none"/>
                <w:u w:val="single"/>
              </w:rPr>
              <w:t xml:space="preserve"> 4 </w:t>
            </w:r>
            <w:r>
              <w:rPr>
                <w:rFonts w:hint="eastAsia" w:ascii="仿宋" w:hAnsi="仿宋" w:eastAsia="仿宋" w:cs="仿宋"/>
                <w:color w:val="auto"/>
                <w:sz w:val="24"/>
                <w:highlight w:val="none"/>
              </w:rPr>
              <w:t>%）；除上述情况外，评标报价=投标报价。</w:t>
            </w:r>
          </w:p>
          <w:p w14:paraId="6E24CEF2">
            <w:pPr>
              <w:snapToGrid w:val="0"/>
              <w:spacing w:line="40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（7）满足招标文件要求且评标报价最低的评标报价为评标基准价，基准价报价得分为</w:t>
            </w:r>
            <w:r>
              <w:rPr>
                <w:rFonts w:hint="eastAsia" w:ascii="仿宋" w:hAnsi="仿宋" w:eastAsia="仿宋" w:cs="仿宋"/>
                <w:bCs/>
                <w:color w:val="auto"/>
                <w:sz w:val="24"/>
                <w:highlight w:val="none"/>
                <w:u w:val="single"/>
              </w:rPr>
              <w:t>30</w:t>
            </w:r>
            <w:r>
              <w:rPr>
                <w:rFonts w:hint="eastAsia" w:ascii="仿宋" w:hAnsi="仿宋" w:eastAsia="仿宋" w:cs="仿宋"/>
                <w:bCs/>
                <w:color w:val="auto"/>
                <w:sz w:val="24"/>
                <w:highlight w:val="none"/>
              </w:rPr>
              <w:t>分。</w:t>
            </w:r>
          </w:p>
          <w:p w14:paraId="14A3C0CB">
            <w:pPr>
              <w:spacing w:line="40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（8）价格分计算公式：价格分=(评标基准价／评标报价)×</w:t>
            </w:r>
            <w:r>
              <w:rPr>
                <w:rFonts w:hint="eastAsia" w:ascii="仿宋" w:hAnsi="仿宋" w:eastAsia="仿宋" w:cs="仿宋"/>
                <w:bCs/>
                <w:color w:val="auto"/>
                <w:sz w:val="24"/>
                <w:highlight w:val="none"/>
                <w:u w:val="single"/>
              </w:rPr>
              <w:t xml:space="preserve"> 30</w:t>
            </w:r>
            <w:r>
              <w:rPr>
                <w:rFonts w:hint="eastAsia" w:ascii="仿宋" w:hAnsi="仿宋" w:eastAsia="仿宋" w:cs="仿宋"/>
                <w:bCs/>
                <w:color w:val="auto"/>
                <w:sz w:val="24"/>
                <w:highlight w:val="none"/>
              </w:rPr>
              <w:t>分。</w:t>
            </w:r>
          </w:p>
        </w:tc>
      </w:tr>
      <w:tr w14:paraId="036EE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jc w:val="center"/>
        </w:trPr>
        <w:tc>
          <w:tcPr>
            <w:tcW w:w="693" w:type="dxa"/>
            <w:vMerge w:val="restart"/>
            <w:vAlign w:val="center"/>
          </w:tcPr>
          <w:p w14:paraId="610D6F85">
            <w:pPr>
              <w:adjustRightInd w:val="0"/>
              <w:spacing w:line="400" w:lineRule="exact"/>
              <w:jc w:val="center"/>
              <w:textAlignment w:val="baseline"/>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w:t>
            </w:r>
          </w:p>
        </w:tc>
        <w:tc>
          <w:tcPr>
            <w:tcW w:w="921" w:type="dxa"/>
            <w:vMerge w:val="restart"/>
            <w:vAlign w:val="center"/>
          </w:tcPr>
          <w:p w14:paraId="252EA6F0">
            <w:pPr>
              <w:adjustRightInd w:val="0"/>
              <w:spacing w:line="400" w:lineRule="exact"/>
              <w:ind w:left="-105" w:leftChars="-50" w:right="-105" w:rightChars="-50"/>
              <w:jc w:val="center"/>
              <w:textAlignment w:val="baseline"/>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技术分</w:t>
            </w:r>
          </w:p>
          <w:p w14:paraId="0D8399F4">
            <w:pPr>
              <w:adjustRightInd w:val="0"/>
              <w:spacing w:line="400" w:lineRule="exact"/>
              <w:ind w:left="-105" w:leftChars="-50" w:right="-105" w:rightChars="-50"/>
              <w:jc w:val="center"/>
              <w:textAlignment w:val="baseline"/>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（满分</w:t>
            </w:r>
            <w:r>
              <w:rPr>
                <w:rFonts w:hint="eastAsia" w:ascii="仿宋" w:hAnsi="仿宋" w:eastAsia="仿宋" w:cs="仿宋"/>
                <w:b/>
                <w:bCs/>
                <w:color w:val="auto"/>
                <w:sz w:val="24"/>
                <w:highlight w:val="none"/>
                <w:u w:val="single"/>
              </w:rPr>
              <w:t>6</w:t>
            </w:r>
            <w:r>
              <w:rPr>
                <w:rFonts w:hint="eastAsia" w:ascii="仿宋" w:hAnsi="仿宋" w:eastAsia="仿宋" w:cs="仿宋"/>
                <w:b/>
                <w:bCs/>
                <w:color w:val="auto"/>
                <w:sz w:val="24"/>
                <w:highlight w:val="none"/>
                <w:u w:val="single"/>
                <w:lang w:val="en-US" w:eastAsia="zh-CN"/>
              </w:rPr>
              <w:t>5.4分</w:t>
            </w:r>
            <w:r>
              <w:rPr>
                <w:rFonts w:hint="eastAsia" w:ascii="仿宋" w:hAnsi="仿宋" w:eastAsia="仿宋" w:cs="仿宋"/>
                <w:b/>
                <w:bCs/>
                <w:color w:val="auto"/>
                <w:sz w:val="24"/>
                <w:highlight w:val="none"/>
              </w:rPr>
              <w:t>）</w:t>
            </w:r>
          </w:p>
        </w:tc>
        <w:tc>
          <w:tcPr>
            <w:tcW w:w="1134" w:type="dxa"/>
            <w:vAlign w:val="center"/>
          </w:tcPr>
          <w:p w14:paraId="76610C5E">
            <w:pPr>
              <w:spacing w:line="400" w:lineRule="exact"/>
              <w:jc w:val="center"/>
              <w:rPr>
                <w:rFonts w:hint="eastAsia" w:ascii="仿宋" w:hAnsi="仿宋" w:eastAsia="仿宋" w:cs="仿宋"/>
                <w:b/>
                <w:bCs/>
                <w:color w:val="auto"/>
                <w:kern w:val="1"/>
                <w:sz w:val="24"/>
                <w:highlight w:val="none"/>
              </w:rPr>
            </w:pPr>
            <w:r>
              <w:rPr>
                <w:rFonts w:hint="eastAsia" w:ascii="仿宋" w:hAnsi="仿宋" w:eastAsia="仿宋" w:cs="仿宋"/>
                <w:b/>
                <w:bCs/>
                <w:color w:val="auto"/>
                <w:kern w:val="1"/>
                <w:sz w:val="24"/>
                <w:highlight w:val="none"/>
              </w:rPr>
              <w:t>技术性能</w:t>
            </w:r>
          </w:p>
          <w:p w14:paraId="2410A9C4">
            <w:pPr>
              <w:spacing w:line="400" w:lineRule="exact"/>
              <w:jc w:val="center"/>
              <w:rPr>
                <w:rFonts w:hint="eastAsia" w:ascii="仿宋" w:hAnsi="仿宋" w:eastAsia="仿宋" w:cs="仿宋"/>
                <w:b/>
                <w:bCs/>
                <w:color w:val="auto"/>
                <w:kern w:val="1"/>
                <w:sz w:val="24"/>
                <w:highlight w:val="none"/>
              </w:rPr>
            </w:pPr>
            <w:r>
              <w:rPr>
                <w:rFonts w:hint="eastAsia" w:ascii="仿宋" w:hAnsi="仿宋" w:eastAsia="仿宋" w:cs="仿宋"/>
                <w:b/>
                <w:bCs/>
                <w:color w:val="auto"/>
                <w:kern w:val="1"/>
                <w:sz w:val="24"/>
                <w:highlight w:val="none"/>
              </w:rPr>
              <w:t>（满分</w:t>
            </w:r>
            <w:r>
              <w:rPr>
                <w:rFonts w:hint="eastAsia" w:ascii="仿宋" w:hAnsi="仿宋" w:eastAsia="仿宋" w:cs="仿宋"/>
                <w:b/>
                <w:bCs/>
                <w:color w:val="auto"/>
                <w:kern w:val="1"/>
                <w:sz w:val="24"/>
                <w:highlight w:val="none"/>
                <w:u w:val="single"/>
                <w:lang w:val="en-US" w:eastAsia="zh-CN"/>
              </w:rPr>
              <w:t>43.4</w:t>
            </w:r>
            <w:r>
              <w:rPr>
                <w:rFonts w:hint="eastAsia" w:ascii="仿宋" w:hAnsi="仿宋" w:eastAsia="仿宋" w:cs="仿宋"/>
                <w:b/>
                <w:bCs/>
                <w:color w:val="auto"/>
                <w:kern w:val="1"/>
                <w:sz w:val="24"/>
                <w:highlight w:val="none"/>
              </w:rPr>
              <w:t>分）</w:t>
            </w:r>
          </w:p>
        </w:tc>
        <w:tc>
          <w:tcPr>
            <w:tcW w:w="6475" w:type="dxa"/>
            <w:vAlign w:val="center"/>
          </w:tcPr>
          <w:p w14:paraId="7B146D19">
            <w:pPr>
              <w:numPr>
                <w:ilvl w:val="-1"/>
                <w:numId w:val="0"/>
              </w:numPr>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1.</w:t>
            </w:r>
            <w:r>
              <w:rPr>
                <w:rFonts w:hint="eastAsia" w:ascii="仿宋" w:hAnsi="仿宋" w:eastAsia="仿宋" w:cs="仿宋"/>
                <w:color w:val="auto"/>
                <w:sz w:val="24"/>
                <w:highlight w:val="none"/>
              </w:rPr>
              <w:t>重要</w:t>
            </w:r>
            <w:r>
              <w:rPr>
                <w:rFonts w:hint="eastAsia" w:ascii="仿宋" w:hAnsi="仿宋" w:eastAsia="仿宋" w:cs="仿宋"/>
                <w:color w:val="auto"/>
                <w:sz w:val="24"/>
                <w:highlight w:val="none"/>
                <w:lang w:bidi="ar"/>
              </w:rPr>
              <w:t>技术指标（</w:t>
            </w:r>
            <w:r>
              <w:rPr>
                <w:rFonts w:hint="eastAsia" w:ascii="仿宋" w:hAnsi="仿宋" w:eastAsia="仿宋" w:cs="仿宋"/>
                <w:color w:val="auto"/>
                <w:sz w:val="24"/>
                <w:highlight w:val="none"/>
                <w:lang w:val="en-US" w:eastAsia="zh-CN" w:bidi="ar"/>
              </w:rPr>
              <w:t>招标文件第二章采购需求中“</w:t>
            </w:r>
            <w:r>
              <w:rPr>
                <w:rFonts w:hint="eastAsia" w:ascii="仿宋" w:hAnsi="仿宋" w:eastAsia="仿宋" w:cs="仿宋"/>
                <w:color w:val="auto"/>
                <w:sz w:val="24"/>
                <w:highlight w:val="none"/>
              </w:rPr>
              <w:t>技术指标要求</w:t>
            </w:r>
            <w:r>
              <w:rPr>
                <w:rFonts w:hint="eastAsia" w:ascii="仿宋" w:hAnsi="仿宋" w:eastAsia="仿宋" w:cs="仿宋"/>
                <w:color w:val="auto"/>
                <w:sz w:val="24"/>
                <w:highlight w:val="none"/>
                <w:lang w:val="en-US" w:eastAsia="zh-CN" w:bidi="ar"/>
              </w:rPr>
              <w:t>”</w:t>
            </w:r>
            <w:r>
              <w:rPr>
                <w:rFonts w:hint="eastAsia" w:ascii="仿宋" w:hAnsi="仿宋" w:eastAsia="仿宋" w:cs="仿宋"/>
                <w:color w:val="auto"/>
                <w:sz w:val="24"/>
                <w:highlight w:val="none"/>
                <w:lang w:bidi="ar"/>
              </w:rPr>
              <w:t>标注“</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bidi="ar"/>
              </w:rPr>
              <w:t>”的技术指标）每有一项满足招标文件要求得</w:t>
            </w:r>
            <w:r>
              <w:rPr>
                <w:rFonts w:hint="default" w:ascii="仿宋" w:hAnsi="仿宋" w:eastAsia="仿宋" w:cs="仿宋"/>
                <w:color w:val="auto"/>
                <w:sz w:val="24"/>
                <w:highlight w:val="none"/>
                <w:lang w:val="en-US" w:eastAsia="zh-CN" w:bidi="ar"/>
              </w:rPr>
              <w:t>1.6</w:t>
            </w:r>
            <w:r>
              <w:rPr>
                <w:rFonts w:hint="eastAsia" w:ascii="仿宋" w:hAnsi="仿宋" w:eastAsia="仿宋" w:cs="仿宋"/>
                <w:color w:val="auto"/>
                <w:sz w:val="24"/>
                <w:highlight w:val="none"/>
                <w:lang w:bidi="ar"/>
              </w:rPr>
              <w:t>分（负偏离或漏项不得分），满分</w:t>
            </w:r>
            <w:r>
              <w:rPr>
                <w:rFonts w:hint="eastAsia" w:ascii="仿宋" w:hAnsi="仿宋" w:eastAsia="仿宋" w:cs="仿宋"/>
                <w:color w:val="auto"/>
                <w:sz w:val="24"/>
                <w:highlight w:val="none"/>
                <w:lang w:val="en-US" w:eastAsia="zh-CN" w:bidi="ar"/>
              </w:rPr>
              <w:t>12.8</w:t>
            </w:r>
            <w:r>
              <w:rPr>
                <w:rFonts w:hint="eastAsia" w:ascii="仿宋" w:hAnsi="仿宋" w:eastAsia="仿宋" w:cs="仿宋"/>
                <w:color w:val="auto"/>
                <w:sz w:val="24"/>
                <w:highlight w:val="none"/>
                <w:lang w:bidi="ar"/>
              </w:rPr>
              <w:t>分。</w:t>
            </w:r>
          </w:p>
          <w:p w14:paraId="4151FB29">
            <w:pPr>
              <w:numPr>
                <w:ilvl w:val="-1"/>
                <w:numId w:val="0"/>
              </w:numPr>
              <w:rPr>
                <w:rFonts w:hint="eastAsia" w:ascii="仿宋" w:hAnsi="仿宋" w:eastAsia="仿宋" w:cs="仿宋"/>
                <w:color w:val="auto"/>
                <w:sz w:val="24"/>
                <w:highlight w:val="none"/>
                <w:lang w:val="en-US" w:eastAsia="zh-CN" w:bidi="ar"/>
              </w:rPr>
            </w:pPr>
            <w:r>
              <w:rPr>
                <w:rFonts w:hint="eastAsia" w:ascii="仿宋" w:hAnsi="仿宋" w:eastAsia="仿宋" w:cs="仿宋"/>
                <w:color w:val="auto"/>
                <w:sz w:val="24"/>
                <w:highlight w:val="none"/>
              </w:rPr>
              <w:t>重要</w:t>
            </w:r>
            <w:r>
              <w:rPr>
                <w:rFonts w:hint="eastAsia" w:ascii="仿宋" w:hAnsi="仿宋" w:eastAsia="仿宋" w:cs="仿宋"/>
                <w:color w:val="auto"/>
                <w:sz w:val="24"/>
                <w:highlight w:val="none"/>
                <w:lang w:bidi="ar"/>
              </w:rPr>
              <w:t>技术指标</w:t>
            </w:r>
            <w:r>
              <w:rPr>
                <w:rFonts w:hint="eastAsia" w:ascii="仿宋" w:hAnsi="仿宋" w:eastAsia="仿宋" w:cs="仿宋"/>
                <w:color w:val="auto"/>
                <w:sz w:val="24"/>
                <w:highlight w:val="none"/>
                <w:lang w:val="en-US" w:eastAsia="zh-CN" w:bidi="ar"/>
              </w:rPr>
              <w:t>项数认定规则：</w:t>
            </w:r>
          </w:p>
          <w:p w14:paraId="36A994FD">
            <w:pPr>
              <w:numPr>
                <w:ilvl w:val="-1"/>
                <w:numId w:val="0"/>
              </w:numPr>
              <w:rPr>
                <w:rFonts w:hint="eastAsia" w:ascii="仿宋" w:hAnsi="仿宋" w:eastAsia="仿宋" w:cs="仿宋"/>
                <w:color w:val="auto"/>
                <w:sz w:val="24"/>
                <w:highlight w:val="none"/>
                <w:lang w:val="en-US" w:eastAsia="zh-CN" w:bidi="ar"/>
              </w:rPr>
            </w:pPr>
            <w:r>
              <w:rPr>
                <w:rFonts w:hint="eastAsia" w:ascii="仿宋" w:hAnsi="仿宋" w:eastAsia="仿宋" w:cs="仿宋"/>
                <w:color w:val="auto"/>
                <w:sz w:val="24"/>
                <w:highlight w:val="none"/>
                <w:lang w:val="en-US" w:eastAsia="zh-CN" w:bidi="ar"/>
              </w:rPr>
              <w:t>1）3.</w:t>
            </w:r>
            <w:r>
              <w:rPr>
                <w:rFonts w:hint="eastAsia" w:ascii="仿宋" w:hAnsi="仿宋" w:eastAsia="仿宋" w:cs="仿宋"/>
                <w:color w:val="auto"/>
                <w:sz w:val="24"/>
                <w:highlight w:val="none"/>
                <w:lang w:bidi="ar"/>
              </w:rPr>
              <w:t>导管床系统</w:t>
            </w:r>
            <w:r>
              <w:rPr>
                <w:rFonts w:hint="eastAsia" w:ascii="仿宋" w:hAnsi="仿宋" w:eastAsia="仿宋" w:cs="仿宋"/>
                <w:color w:val="auto"/>
                <w:sz w:val="24"/>
                <w:highlight w:val="none"/>
                <w:lang w:eastAsia="zh-CN" w:bidi="ar"/>
              </w:rPr>
              <w:t>：</w:t>
            </w:r>
            <w:r>
              <w:rPr>
                <w:rFonts w:hint="eastAsia" w:ascii="仿宋" w:hAnsi="仿宋" w:eastAsia="仿宋" w:cs="仿宋"/>
                <w:color w:val="auto"/>
                <w:sz w:val="24"/>
                <w:highlight w:val="none"/>
                <w:lang w:val="en-US" w:eastAsia="zh-CN" w:bidi="ar"/>
              </w:rPr>
              <w:t>序号3.3~3.5为3项；</w:t>
            </w:r>
          </w:p>
          <w:p w14:paraId="225D73E3">
            <w:pPr>
              <w:numPr>
                <w:ilvl w:val="-1"/>
                <w:numId w:val="0"/>
              </w:numPr>
              <w:rPr>
                <w:rFonts w:hint="eastAsia" w:ascii="仿宋" w:hAnsi="仿宋" w:eastAsia="仿宋" w:cs="仿宋"/>
                <w:color w:val="auto"/>
                <w:sz w:val="24"/>
                <w:highlight w:val="none"/>
                <w:lang w:val="en-US" w:eastAsia="zh-CN" w:bidi="ar"/>
              </w:rPr>
            </w:pPr>
            <w:r>
              <w:rPr>
                <w:rFonts w:hint="eastAsia" w:ascii="仿宋" w:hAnsi="仿宋" w:eastAsia="仿宋" w:cs="仿宋"/>
                <w:color w:val="auto"/>
                <w:sz w:val="24"/>
                <w:highlight w:val="none"/>
                <w:lang w:val="en-US" w:eastAsia="zh-CN" w:bidi="ar"/>
              </w:rPr>
              <w:t>2）4.</w:t>
            </w:r>
            <w:r>
              <w:rPr>
                <w:rFonts w:hint="eastAsia" w:ascii="仿宋" w:hAnsi="仿宋" w:eastAsia="仿宋" w:cs="仿宋"/>
                <w:color w:val="auto"/>
                <w:sz w:val="24"/>
                <w:highlight w:val="none"/>
                <w:lang w:bidi="ar"/>
              </w:rPr>
              <w:t>X线发生器系统</w:t>
            </w:r>
            <w:r>
              <w:rPr>
                <w:rFonts w:hint="eastAsia" w:ascii="仿宋" w:hAnsi="仿宋" w:eastAsia="仿宋" w:cs="仿宋"/>
                <w:color w:val="auto"/>
                <w:sz w:val="24"/>
                <w:highlight w:val="none"/>
                <w:lang w:eastAsia="zh-CN" w:bidi="ar"/>
              </w:rPr>
              <w:t>：</w:t>
            </w:r>
            <w:r>
              <w:rPr>
                <w:rFonts w:hint="eastAsia" w:ascii="仿宋" w:hAnsi="仿宋" w:eastAsia="仿宋" w:cs="仿宋"/>
                <w:color w:val="auto"/>
                <w:sz w:val="24"/>
                <w:highlight w:val="none"/>
                <w:lang w:val="en-US" w:eastAsia="zh-CN" w:bidi="ar"/>
              </w:rPr>
              <w:t>序号4.2为1项；</w:t>
            </w:r>
          </w:p>
          <w:p w14:paraId="6989B008">
            <w:pPr>
              <w:numPr>
                <w:ilvl w:val="-1"/>
                <w:numId w:val="0"/>
              </w:numPr>
              <w:rPr>
                <w:rFonts w:hint="eastAsia" w:ascii="仿宋" w:hAnsi="仿宋" w:eastAsia="仿宋" w:cs="仿宋"/>
                <w:color w:val="auto"/>
                <w:sz w:val="24"/>
                <w:highlight w:val="none"/>
                <w:lang w:val="en-US" w:eastAsia="zh-CN" w:bidi="ar"/>
              </w:rPr>
            </w:pPr>
            <w:r>
              <w:rPr>
                <w:rFonts w:hint="eastAsia" w:ascii="仿宋" w:hAnsi="仿宋" w:eastAsia="仿宋" w:cs="仿宋"/>
                <w:color w:val="auto"/>
                <w:sz w:val="24"/>
                <w:highlight w:val="none"/>
                <w:lang w:val="en-US" w:eastAsia="zh-CN" w:bidi="ar"/>
              </w:rPr>
              <w:t>3）5.</w:t>
            </w:r>
            <w:r>
              <w:rPr>
                <w:rFonts w:hint="default" w:ascii="仿宋" w:hAnsi="仿宋" w:eastAsia="仿宋" w:cs="仿宋"/>
                <w:color w:val="auto"/>
                <w:sz w:val="24"/>
                <w:highlight w:val="none"/>
                <w:lang w:bidi="ar"/>
              </w:rPr>
              <w:t>球管系统</w:t>
            </w:r>
            <w:r>
              <w:rPr>
                <w:rFonts w:hint="eastAsia" w:ascii="仿宋" w:hAnsi="仿宋" w:eastAsia="仿宋" w:cs="仿宋"/>
                <w:color w:val="auto"/>
                <w:sz w:val="24"/>
                <w:highlight w:val="none"/>
                <w:lang w:eastAsia="zh-CN" w:bidi="ar"/>
              </w:rPr>
              <w:t>：</w:t>
            </w:r>
            <w:r>
              <w:rPr>
                <w:rFonts w:hint="eastAsia" w:ascii="仿宋" w:hAnsi="仿宋" w:eastAsia="仿宋" w:cs="仿宋"/>
                <w:color w:val="auto"/>
                <w:sz w:val="24"/>
                <w:highlight w:val="none"/>
                <w:lang w:val="en-US" w:eastAsia="zh-CN" w:bidi="ar"/>
              </w:rPr>
              <w:t>序号5.3、5.10~5.11为3项；</w:t>
            </w:r>
          </w:p>
          <w:p w14:paraId="15A23326">
            <w:pPr>
              <w:numPr>
                <w:ilvl w:val="-1"/>
                <w:numId w:val="0"/>
              </w:numPr>
              <w:rPr>
                <w:rFonts w:hint="eastAsia" w:ascii="仿宋" w:hAnsi="仿宋" w:eastAsia="仿宋" w:cs="仿宋"/>
                <w:color w:val="auto"/>
                <w:sz w:val="24"/>
                <w:highlight w:val="none"/>
                <w:lang w:val="en-US" w:eastAsia="zh-CN" w:bidi="ar"/>
              </w:rPr>
            </w:pPr>
            <w:r>
              <w:rPr>
                <w:rFonts w:hint="eastAsia" w:ascii="仿宋" w:hAnsi="仿宋" w:eastAsia="仿宋" w:cs="仿宋"/>
                <w:color w:val="auto"/>
                <w:sz w:val="24"/>
                <w:highlight w:val="none"/>
                <w:lang w:val="en-US" w:eastAsia="zh-CN" w:bidi="ar"/>
              </w:rPr>
              <w:t>4）6.</w:t>
            </w:r>
            <w:r>
              <w:rPr>
                <w:rFonts w:hint="default" w:ascii="仿宋" w:hAnsi="仿宋" w:eastAsia="仿宋" w:cs="仿宋"/>
                <w:color w:val="auto"/>
                <w:sz w:val="24"/>
                <w:highlight w:val="none"/>
                <w:lang w:bidi="ar"/>
              </w:rPr>
              <w:t>数字化平板探测器</w:t>
            </w:r>
            <w:r>
              <w:rPr>
                <w:rFonts w:hint="eastAsia" w:ascii="仿宋" w:hAnsi="仿宋" w:eastAsia="仿宋" w:cs="仿宋"/>
                <w:color w:val="auto"/>
                <w:sz w:val="24"/>
                <w:highlight w:val="none"/>
                <w:lang w:eastAsia="zh-CN" w:bidi="ar"/>
              </w:rPr>
              <w:t>：</w:t>
            </w:r>
            <w:r>
              <w:rPr>
                <w:rFonts w:hint="eastAsia" w:ascii="仿宋" w:hAnsi="仿宋" w:eastAsia="仿宋" w:cs="仿宋"/>
                <w:color w:val="auto"/>
                <w:sz w:val="24"/>
                <w:highlight w:val="none"/>
                <w:lang w:val="en-US" w:eastAsia="zh-CN" w:bidi="ar"/>
              </w:rPr>
              <w:t>序号6.5为1项；</w:t>
            </w:r>
          </w:p>
          <w:p w14:paraId="0ADA01E3">
            <w:pPr>
              <w:numPr>
                <w:ilvl w:val="0"/>
                <w:numId w:val="0"/>
              </w:numPr>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2.一般技术指标（</w:t>
            </w:r>
            <w:r>
              <w:rPr>
                <w:rFonts w:hint="eastAsia" w:ascii="仿宋" w:hAnsi="仿宋" w:eastAsia="仿宋" w:cs="仿宋"/>
                <w:color w:val="auto"/>
                <w:sz w:val="24"/>
                <w:highlight w:val="none"/>
                <w:lang w:val="en-US" w:eastAsia="zh-CN" w:bidi="ar"/>
              </w:rPr>
              <w:t>招标文件第二章采购需求中“</w:t>
            </w:r>
            <w:r>
              <w:rPr>
                <w:rFonts w:hint="eastAsia" w:ascii="仿宋" w:hAnsi="仿宋" w:eastAsia="仿宋" w:cs="仿宋"/>
                <w:color w:val="auto"/>
                <w:sz w:val="24"/>
                <w:highlight w:val="none"/>
              </w:rPr>
              <w:t>技术指标要求</w:t>
            </w:r>
            <w:r>
              <w:rPr>
                <w:rFonts w:hint="eastAsia" w:ascii="仿宋" w:hAnsi="仿宋" w:eastAsia="仿宋" w:cs="仿宋"/>
                <w:color w:val="auto"/>
                <w:sz w:val="24"/>
                <w:highlight w:val="none"/>
                <w:lang w:val="en-US" w:eastAsia="zh-CN" w:bidi="ar"/>
              </w:rPr>
              <w:t>”</w:t>
            </w:r>
            <w:r>
              <w:rPr>
                <w:rFonts w:hint="eastAsia" w:ascii="仿宋" w:hAnsi="仿宋" w:eastAsia="仿宋" w:cs="仿宋"/>
                <w:color w:val="auto"/>
                <w:sz w:val="24"/>
                <w:highlight w:val="none"/>
                <w:lang w:bidi="ar"/>
              </w:rPr>
              <w:t>未标注“▲”或者未标注“</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bidi="ar"/>
              </w:rPr>
              <w:t>”的技术指标）每有一项满足招标文件要求得</w:t>
            </w:r>
            <w:r>
              <w:rPr>
                <w:rFonts w:hint="eastAsia" w:ascii="仿宋" w:hAnsi="仿宋" w:eastAsia="仿宋" w:cs="仿宋"/>
                <w:color w:val="auto"/>
                <w:sz w:val="24"/>
                <w:highlight w:val="none"/>
                <w:lang w:val="en-US" w:eastAsia="zh-CN" w:bidi="ar"/>
              </w:rPr>
              <w:t>0.6</w:t>
            </w:r>
            <w:r>
              <w:rPr>
                <w:rFonts w:hint="eastAsia" w:ascii="仿宋" w:hAnsi="仿宋" w:eastAsia="仿宋" w:cs="仿宋"/>
                <w:color w:val="auto"/>
                <w:sz w:val="24"/>
                <w:highlight w:val="none"/>
                <w:lang w:bidi="ar"/>
              </w:rPr>
              <w:t>分（负偏离或漏项不得分），满分</w:t>
            </w:r>
            <w:r>
              <w:rPr>
                <w:rFonts w:hint="eastAsia" w:ascii="仿宋" w:hAnsi="仿宋" w:eastAsia="仿宋" w:cs="仿宋"/>
                <w:color w:val="auto"/>
                <w:sz w:val="24"/>
                <w:highlight w:val="none"/>
                <w:lang w:val="en-US" w:eastAsia="zh-CN" w:bidi="ar"/>
              </w:rPr>
              <w:t>30.6</w:t>
            </w:r>
            <w:r>
              <w:rPr>
                <w:rFonts w:hint="eastAsia" w:ascii="仿宋" w:hAnsi="仿宋" w:eastAsia="仿宋" w:cs="仿宋"/>
                <w:color w:val="auto"/>
                <w:sz w:val="24"/>
                <w:highlight w:val="none"/>
                <w:lang w:bidi="ar"/>
              </w:rPr>
              <w:t>分。</w:t>
            </w:r>
          </w:p>
          <w:p w14:paraId="0AE374CB">
            <w:pPr>
              <w:numPr>
                <w:ilvl w:val="-1"/>
                <w:numId w:val="0"/>
              </w:numPr>
              <w:rPr>
                <w:rFonts w:hint="eastAsia" w:ascii="仿宋" w:hAnsi="仿宋" w:eastAsia="仿宋" w:cs="仿宋"/>
                <w:color w:val="auto"/>
                <w:sz w:val="24"/>
                <w:highlight w:val="none"/>
                <w:lang w:val="en-US" w:eastAsia="zh-CN" w:bidi="ar"/>
              </w:rPr>
            </w:pPr>
            <w:r>
              <w:rPr>
                <w:rFonts w:hint="eastAsia" w:ascii="仿宋" w:hAnsi="仿宋" w:eastAsia="仿宋" w:cs="仿宋"/>
                <w:color w:val="auto"/>
                <w:sz w:val="24"/>
                <w:highlight w:val="none"/>
                <w:lang w:val="en-US" w:eastAsia="zh-CN"/>
              </w:rPr>
              <w:t>一般</w:t>
            </w:r>
            <w:r>
              <w:rPr>
                <w:rFonts w:hint="eastAsia" w:ascii="仿宋" w:hAnsi="仿宋" w:eastAsia="仿宋" w:cs="仿宋"/>
                <w:color w:val="auto"/>
                <w:sz w:val="24"/>
                <w:highlight w:val="none"/>
                <w:lang w:bidi="ar"/>
              </w:rPr>
              <w:t>技术指标</w:t>
            </w:r>
            <w:r>
              <w:rPr>
                <w:rFonts w:hint="eastAsia" w:ascii="仿宋" w:hAnsi="仿宋" w:eastAsia="仿宋" w:cs="仿宋"/>
                <w:color w:val="auto"/>
                <w:sz w:val="24"/>
                <w:highlight w:val="none"/>
                <w:lang w:val="en-US" w:eastAsia="zh-CN" w:bidi="ar"/>
              </w:rPr>
              <w:t>项数认定规则：</w:t>
            </w:r>
          </w:p>
          <w:p w14:paraId="74F1DCC3">
            <w:pPr>
              <w:numPr>
                <w:ilvl w:val="-1"/>
                <w:numId w:val="0"/>
              </w:numPr>
              <w:rPr>
                <w:rFonts w:hint="eastAsia" w:ascii="仿宋" w:hAnsi="仿宋" w:eastAsia="仿宋" w:cs="仿宋"/>
                <w:color w:val="auto"/>
                <w:sz w:val="24"/>
                <w:highlight w:val="none"/>
                <w:lang w:val="en-US" w:eastAsia="zh-CN" w:bidi="ar"/>
              </w:rPr>
            </w:pPr>
            <w:r>
              <w:rPr>
                <w:rFonts w:hint="eastAsia" w:ascii="仿宋" w:hAnsi="仿宋" w:eastAsia="仿宋" w:cs="仿宋"/>
                <w:color w:val="auto"/>
                <w:sz w:val="24"/>
                <w:highlight w:val="none"/>
                <w:lang w:val="en-US" w:eastAsia="zh-CN" w:bidi="ar"/>
              </w:rPr>
              <w:t>1）1.</w:t>
            </w:r>
            <w:r>
              <w:rPr>
                <w:rFonts w:hint="eastAsia" w:ascii="仿宋" w:hAnsi="仿宋" w:eastAsia="仿宋" w:cs="仿宋"/>
                <w:color w:val="auto"/>
                <w:sz w:val="24"/>
                <w:highlight w:val="none"/>
                <w:lang w:bidi="ar"/>
              </w:rPr>
              <w:t>设备用途</w:t>
            </w:r>
            <w:r>
              <w:rPr>
                <w:rFonts w:hint="eastAsia" w:ascii="仿宋" w:hAnsi="仿宋" w:eastAsia="仿宋" w:cs="仿宋"/>
                <w:color w:val="auto"/>
                <w:sz w:val="24"/>
                <w:highlight w:val="none"/>
                <w:lang w:val="en-US" w:eastAsia="zh-CN" w:bidi="ar"/>
              </w:rPr>
              <w:t>为1项；</w:t>
            </w:r>
          </w:p>
          <w:p w14:paraId="08564C73">
            <w:pPr>
              <w:numPr>
                <w:ilvl w:val="-1"/>
                <w:numId w:val="0"/>
              </w:numPr>
              <w:rPr>
                <w:rFonts w:hint="default" w:ascii="仿宋" w:hAnsi="仿宋" w:eastAsia="仿宋" w:cs="仿宋"/>
                <w:color w:val="auto"/>
                <w:sz w:val="24"/>
                <w:highlight w:val="none"/>
                <w:lang w:bidi="ar"/>
              </w:rPr>
            </w:pPr>
            <w:r>
              <w:rPr>
                <w:rFonts w:hint="eastAsia" w:ascii="仿宋" w:hAnsi="仿宋" w:eastAsia="仿宋" w:cs="仿宋"/>
                <w:color w:val="auto"/>
                <w:sz w:val="24"/>
                <w:highlight w:val="none"/>
                <w:lang w:val="en-US" w:eastAsia="zh-CN" w:bidi="ar"/>
              </w:rPr>
              <w:t>2）2.</w:t>
            </w:r>
            <w:r>
              <w:rPr>
                <w:rFonts w:hint="default" w:ascii="仿宋" w:hAnsi="仿宋" w:eastAsia="仿宋" w:cs="仿宋"/>
                <w:color w:val="auto"/>
                <w:sz w:val="24"/>
                <w:highlight w:val="none"/>
                <w:lang w:bidi="ar"/>
              </w:rPr>
              <w:t>机架系统（C型臂）：序号</w:t>
            </w:r>
            <w:r>
              <w:rPr>
                <w:rFonts w:hint="eastAsia" w:ascii="仿宋" w:hAnsi="仿宋" w:eastAsia="仿宋" w:cs="仿宋"/>
                <w:color w:val="auto"/>
                <w:sz w:val="24"/>
                <w:highlight w:val="none"/>
                <w:lang w:val="en-US" w:eastAsia="zh-CN" w:bidi="ar"/>
              </w:rPr>
              <w:t>2.1</w:t>
            </w:r>
            <w:r>
              <w:rPr>
                <w:rFonts w:hint="default" w:ascii="仿宋" w:hAnsi="仿宋" w:eastAsia="仿宋" w:cs="仿宋"/>
                <w:color w:val="auto"/>
                <w:sz w:val="24"/>
                <w:highlight w:val="none"/>
                <w:lang w:bidi="ar"/>
              </w:rPr>
              <w:t>~</w:t>
            </w:r>
            <w:r>
              <w:rPr>
                <w:rFonts w:hint="eastAsia" w:ascii="仿宋" w:hAnsi="仿宋" w:eastAsia="仿宋" w:cs="仿宋"/>
                <w:color w:val="auto"/>
                <w:sz w:val="24"/>
                <w:highlight w:val="none"/>
                <w:lang w:val="en-US" w:eastAsia="zh-CN" w:bidi="ar"/>
              </w:rPr>
              <w:t>2.8</w:t>
            </w:r>
            <w:r>
              <w:rPr>
                <w:rFonts w:hint="default" w:ascii="仿宋" w:hAnsi="仿宋" w:eastAsia="仿宋" w:cs="仿宋"/>
                <w:color w:val="auto"/>
                <w:sz w:val="24"/>
                <w:highlight w:val="none"/>
                <w:lang w:bidi="ar"/>
              </w:rPr>
              <w:t>为</w:t>
            </w:r>
            <w:r>
              <w:rPr>
                <w:rFonts w:hint="eastAsia" w:ascii="仿宋" w:hAnsi="仿宋" w:eastAsia="仿宋" w:cs="仿宋"/>
                <w:color w:val="auto"/>
                <w:sz w:val="24"/>
                <w:highlight w:val="none"/>
                <w:lang w:val="en-US" w:eastAsia="zh-CN" w:bidi="ar"/>
              </w:rPr>
              <w:t>8</w:t>
            </w:r>
            <w:r>
              <w:rPr>
                <w:rFonts w:hint="default" w:ascii="仿宋" w:hAnsi="仿宋" w:eastAsia="仿宋" w:cs="仿宋"/>
                <w:color w:val="auto"/>
                <w:sz w:val="24"/>
                <w:highlight w:val="none"/>
                <w:lang w:bidi="ar"/>
              </w:rPr>
              <w:t>项；</w:t>
            </w:r>
          </w:p>
          <w:p w14:paraId="23584F63">
            <w:pPr>
              <w:numPr>
                <w:ilvl w:val="-1"/>
                <w:numId w:val="0"/>
              </w:numPr>
              <w:rPr>
                <w:rFonts w:hint="default" w:ascii="仿宋" w:hAnsi="仿宋" w:eastAsia="仿宋" w:cs="仿宋"/>
                <w:color w:val="auto"/>
                <w:sz w:val="24"/>
                <w:highlight w:val="none"/>
                <w:lang w:bidi="ar"/>
              </w:rPr>
            </w:pPr>
            <w:r>
              <w:rPr>
                <w:rFonts w:hint="eastAsia" w:ascii="仿宋" w:hAnsi="仿宋" w:eastAsia="仿宋" w:cs="仿宋"/>
                <w:color w:val="auto"/>
                <w:sz w:val="24"/>
                <w:highlight w:val="none"/>
                <w:lang w:val="en-US" w:eastAsia="zh-CN" w:bidi="ar"/>
              </w:rPr>
              <w:t>3）3.</w:t>
            </w:r>
            <w:r>
              <w:rPr>
                <w:rFonts w:hint="default" w:ascii="仿宋" w:hAnsi="仿宋" w:eastAsia="仿宋" w:cs="仿宋"/>
                <w:color w:val="auto"/>
                <w:sz w:val="24"/>
                <w:highlight w:val="none"/>
                <w:lang w:bidi="ar"/>
              </w:rPr>
              <w:t>导管床</w:t>
            </w:r>
            <w:r>
              <w:rPr>
                <w:rFonts w:hint="eastAsia" w:ascii="仿宋" w:hAnsi="仿宋" w:eastAsia="仿宋" w:cs="仿宋"/>
                <w:color w:val="auto"/>
                <w:sz w:val="24"/>
                <w:highlight w:val="none"/>
                <w:lang w:val="en-US" w:eastAsia="zh-CN" w:bidi="ar"/>
              </w:rPr>
              <w:t>系统</w:t>
            </w:r>
            <w:r>
              <w:rPr>
                <w:rFonts w:hint="default" w:ascii="仿宋" w:hAnsi="仿宋" w:eastAsia="仿宋" w:cs="仿宋"/>
                <w:color w:val="auto"/>
                <w:sz w:val="24"/>
                <w:highlight w:val="none"/>
                <w:lang w:bidi="ar"/>
              </w:rPr>
              <w:t>：序号</w:t>
            </w:r>
            <w:r>
              <w:rPr>
                <w:rFonts w:hint="eastAsia" w:ascii="仿宋" w:hAnsi="仿宋" w:eastAsia="仿宋" w:cs="仿宋"/>
                <w:color w:val="auto"/>
                <w:sz w:val="24"/>
                <w:highlight w:val="none"/>
                <w:lang w:val="en-US" w:eastAsia="zh-CN" w:bidi="ar"/>
              </w:rPr>
              <w:t>3.1~3.2</w:t>
            </w:r>
            <w:r>
              <w:rPr>
                <w:rFonts w:hint="default" w:ascii="仿宋" w:hAnsi="仿宋" w:eastAsia="仿宋" w:cs="仿宋"/>
                <w:color w:val="auto"/>
                <w:sz w:val="24"/>
                <w:highlight w:val="none"/>
                <w:lang w:bidi="ar"/>
              </w:rPr>
              <w:t>为</w:t>
            </w:r>
            <w:r>
              <w:rPr>
                <w:rFonts w:hint="eastAsia" w:ascii="仿宋" w:hAnsi="仿宋" w:eastAsia="仿宋" w:cs="仿宋"/>
                <w:color w:val="auto"/>
                <w:sz w:val="24"/>
                <w:highlight w:val="none"/>
                <w:lang w:val="en-US" w:eastAsia="zh-CN" w:bidi="ar"/>
              </w:rPr>
              <w:t>2</w:t>
            </w:r>
            <w:r>
              <w:rPr>
                <w:rFonts w:hint="default" w:ascii="仿宋" w:hAnsi="仿宋" w:eastAsia="仿宋" w:cs="仿宋"/>
                <w:color w:val="auto"/>
                <w:sz w:val="24"/>
                <w:highlight w:val="none"/>
                <w:lang w:bidi="ar"/>
              </w:rPr>
              <w:t>项：</w:t>
            </w:r>
          </w:p>
          <w:p w14:paraId="49D00138">
            <w:pPr>
              <w:numPr>
                <w:ilvl w:val="-1"/>
                <w:numId w:val="0"/>
              </w:numPr>
              <w:rPr>
                <w:rFonts w:hint="default" w:ascii="仿宋" w:hAnsi="仿宋" w:eastAsia="仿宋" w:cs="仿宋"/>
                <w:color w:val="auto"/>
                <w:sz w:val="24"/>
                <w:highlight w:val="none"/>
                <w:lang w:bidi="ar"/>
              </w:rPr>
            </w:pPr>
            <w:r>
              <w:rPr>
                <w:rFonts w:hint="eastAsia" w:ascii="仿宋" w:hAnsi="仿宋" w:eastAsia="仿宋" w:cs="仿宋"/>
                <w:color w:val="auto"/>
                <w:sz w:val="24"/>
                <w:highlight w:val="none"/>
                <w:lang w:val="en-US" w:eastAsia="zh-CN" w:bidi="ar"/>
              </w:rPr>
              <w:t>4）4.</w:t>
            </w:r>
            <w:r>
              <w:rPr>
                <w:rFonts w:hint="default" w:ascii="仿宋" w:hAnsi="仿宋" w:eastAsia="仿宋" w:cs="仿宋"/>
                <w:color w:val="auto"/>
                <w:sz w:val="24"/>
                <w:highlight w:val="none"/>
                <w:lang w:bidi="ar"/>
              </w:rPr>
              <w:t>X线发生器</w:t>
            </w:r>
            <w:r>
              <w:rPr>
                <w:rFonts w:hint="eastAsia" w:ascii="仿宋" w:hAnsi="仿宋" w:eastAsia="仿宋" w:cs="仿宋"/>
                <w:color w:val="auto"/>
                <w:sz w:val="24"/>
                <w:highlight w:val="none"/>
                <w:lang w:val="en-US" w:eastAsia="zh-CN" w:bidi="ar"/>
              </w:rPr>
              <w:t>系统</w:t>
            </w:r>
            <w:r>
              <w:rPr>
                <w:rFonts w:hint="default" w:ascii="仿宋" w:hAnsi="仿宋" w:eastAsia="仿宋" w:cs="仿宋"/>
                <w:color w:val="auto"/>
                <w:sz w:val="24"/>
                <w:highlight w:val="none"/>
                <w:lang w:bidi="ar"/>
              </w:rPr>
              <w:t>：序号</w:t>
            </w:r>
            <w:r>
              <w:rPr>
                <w:rFonts w:hint="eastAsia" w:ascii="仿宋" w:hAnsi="仿宋" w:eastAsia="仿宋" w:cs="仿宋"/>
                <w:color w:val="auto"/>
                <w:sz w:val="24"/>
                <w:highlight w:val="none"/>
                <w:lang w:val="en-US" w:eastAsia="zh-CN" w:bidi="ar"/>
              </w:rPr>
              <w:t>4</w:t>
            </w:r>
            <w:r>
              <w:rPr>
                <w:rFonts w:hint="default" w:ascii="仿宋" w:hAnsi="仿宋" w:eastAsia="仿宋" w:cs="仿宋"/>
                <w:color w:val="auto"/>
                <w:sz w:val="24"/>
                <w:highlight w:val="none"/>
                <w:lang w:bidi="ar"/>
              </w:rPr>
              <w:t>.1、</w:t>
            </w:r>
            <w:r>
              <w:rPr>
                <w:rFonts w:hint="eastAsia" w:ascii="仿宋" w:hAnsi="仿宋" w:eastAsia="仿宋" w:cs="仿宋"/>
                <w:color w:val="auto"/>
                <w:sz w:val="24"/>
                <w:highlight w:val="none"/>
                <w:lang w:val="en-US" w:eastAsia="zh-CN" w:bidi="ar"/>
              </w:rPr>
              <w:t>4</w:t>
            </w:r>
            <w:r>
              <w:rPr>
                <w:rFonts w:hint="default" w:ascii="仿宋" w:hAnsi="仿宋" w:eastAsia="仿宋" w:cs="仿宋"/>
                <w:color w:val="auto"/>
                <w:sz w:val="24"/>
                <w:highlight w:val="none"/>
                <w:lang w:bidi="ar"/>
              </w:rPr>
              <w:t>.3</w:t>
            </w:r>
            <w:r>
              <w:rPr>
                <w:rFonts w:hint="eastAsia" w:ascii="仿宋" w:hAnsi="仿宋" w:eastAsia="仿宋" w:cs="仿宋"/>
                <w:color w:val="auto"/>
                <w:sz w:val="24"/>
                <w:highlight w:val="none"/>
                <w:lang w:val="en-US" w:eastAsia="zh-CN" w:bidi="ar"/>
              </w:rPr>
              <w:t>~4</w:t>
            </w:r>
            <w:r>
              <w:rPr>
                <w:rFonts w:hint="default" w:ascii="仿宋" w:hAnsi="仿宋" w:eastAsia="仿宋" w:cs="仿宋"/>
                <w:color w:val="auto"/>
                <w:sz w:val="24"/>
                <w:highlight w:val="none"/>
                <w:lang w:bidi="ar"/>
              </w:rPr>
              <w:t>.4为3项；</w:t>
            </w:r>
          </w:p>
          <w:p w14:paraId="3AB30BAD">
            <w:pPr>
              <w:numPr>
                <w:ilvl w:val="-1"/>
                <w:numId w:val="0"/>
              </w:numPr>
              <w:rPr>
                <w:rFonts w:hint="default" w:ascii="仿宋" w:hAnsi="仿宋" w:eastAsia="仿宋" w:cs="仿宋"/>
                <w:color w:val="auto"/>
                <w:sz w:val="24"/>
                <w:highlight w:val="none"/>
                <w:lang w:bidi="ar"/>
              </w:rPr>
            </w:pPr>
            <w:r>
              <w:rPr>
                <w:rFonts w:hint="eastAsia" w:ascii="仿宋" w:hAnsi="仿宋" w:eastAsia="仿宋" w:cs="仿宋"/>
                <w:color w:val="auto"/>
                <w:sz w:val="24"/>
                <w:highlight w:val="none"/>
                <w:lang w:val="en-US" w:eastAsia="zh-CN" w:bidi="ar"/>
              </w:rPr>
              <w:t>5）5.</w:t>
            </w:r>
            <w:r>
              <w:rPr>
                <w:rFonts w:hint="default" w:ascii="仿宋" w:hAnsi="仿宋" w:eastAsia="仿宋" w:cs="仿宋"/>
                <w:color w:val="auto"/>
                <w:sz w:val="24"/>
                <w:highlight w:val="none"/>
                <w:lang w:bidi="ar"/>
              </w:rPr>
              <w:t>球管</w:t>
            </w:r>
            <w:r>
              <w:rPr>
                <w:rFonts w:hint="eastAsia" w:ascii="仿宋" w:hAnsi="仿宋" w:eastAsia="仿宋" w:cs="仿宋"/>
                <w:color w:val="auto"/>
                <w:sz w:val="24"/>
                <w:highlight w:val="none"/>
                <w:lang w:val="en-US" w:eastAsia="zh-CN" w:bidi="ar"/>
              </w:rPr>
              <w:t>系统</w:t>
            </w:r>
            <w:r>
              <w:rPr>
                <w:rFonts w:hint="default" w:ascii="仿宋" w:hAnsi="仿宋" w:eastAsia="仿宋" w:cs="仿宋"/>
                <w:color w:val="auto"/>
                <w:sz w:val="24"/>
                <w:highlight w:val="none"/>
                <w:lang w:bidi="ar"/>
              </w:rPr>
              <w:t>：序号</w:t>
            </w:r>
            <w:r>
              <w:rPr>
                <w:rFonts w:hint="eastAsia" w:ascii="仿宋" w:hAnsi="仿宋" w:eastAsia="仿宋" w:cs="仿宋"/>
                <w:color w:val="auto"/>
                <w:sz w:val="24"/>
                <w:highlight w:val="none"/>
                <w:lang w:val="en-US" w:eastAsia="zh-CN" w:bidi="ar"/>
              </w:rPr>
              <w:t>5</w:t>
            </w:r>
            <w:r>
              <w:rPr>
                <w:rFonts w:hint="default" w:ascii="仿宋" w:hAnsi="仿宋" w:eastAsia="仿宋" w:cs="仿宋"/>
                <w:color w:val="auto"/>
                <w:sz w:val="24"/>
                <w:highlight w:val="none"/>
                <w:lang w:bidi="ar"/>
              </w:rPr>
              <w:t>.1</w:t>
            </w:r>
            <w:r>
              <w:rPr>
                <w:rFonts w:hint="eastAsia" w:ascii="仿宋" w:hAnsi="仿宋" w:eastAsia="仿宋" w:cs="仿宋"/>
                <w:color w:val="auto"/>
                <w:sz w:val="24"/>
                <w:highlight w:val="none"/>
                <w:lang w:val="en-US" w:eastAsia="zh-CN" w:bidi="ar"/>
              </w:rPr>
              <w:t>~5.2、5.4~5.5、5.7~5.9</w:t>
            </w:r>
            <w:r>
              <w:rPr>
                <w:rFonts w:hint="default" w:ascii="仿宋" w:hAnsi="仿宋" w:eastAsia="仿宋" w:cs="仿宋"/>
                <w:color w:val="auto"/>
                <w:sz w:val="24"/>
                <w:highlight w:val="none"/>
                <w:lang w:bidi="ar"/>
              </w:rPr>
              <w:t>为</w:t>
            </w:r>
            <w:r>
              <w:rPr>
                <w:rFonts w:hint="eastAsia" w:ascii="仿宋" w:hAnsi="仿宋" w:eastAsia="仿宋" w:cs="仿宋"/>
                <w:color w:val="auto"/>
                <w:sz w:val="24"/>
                <w:highlight w:val="none"/>
                <w:lang w:val="en-US" w:eastAsia="zh-CN" w:bidi="ar"/>
              </w:rPr>
              <w:t>7</w:t>
            </w:r>
            <w:r>
              <w:rPr>
                <w:rFonts w:hint="default" w:ascii="仿宋" w:hAnsi="仿宋" w:eastAsia="仿宋" w:cs="仿宋"/>
                <w:color w:val="auto"/>
                <w:sz w:val="24"/>
                <w:highlight w:val="none"/>
                <w:lang w:bidi="ar"/>
              </w:rPr>
              <w:t>项；</w:t>
            </w:r>
          </w:p>
          <w:p w14:paraId="626B2309">
            <w:pPr>
              <w:numPr>
                <w:ilvl w:val="-1"/>
                <w:numId w:val="0"/>
              </w:numPr>
              <w:rPr>
                <w:rFonts w:hint="default" w:ascii="仿宋" w:hAnsi="仿宋" w:eastAsia="仿宋" w:cs="仿宋"/>
                <w:color w:val="auto"/>
                <w:sz w:val="24"/>
                <w:highlight w:val="none"/>
                <w:lang w:bidi="ar"/>
              </w:rPr>
            </w:pPr>
            <w:r>
              <w:rPr>
                <w:rFonts w:hint="eastAsia" w:ascii="仿宋" w:hAnsi="仿宋" w:eastAsia="仿宋" w:cs="仿宋"/>
                <w:color w:val="auto"/>
                <w:sz w:val="24"/>
                <w:highlight w:val="none"/>
                <w:lang w:val="en-US" w:eastAsia="zh-CN" w:bidi="ar"/>
              </w:rPr>
              <w:t>6）6.</w:t>
            </w:r>
            <w:r>
              <w:rPr>
                <w:rFonts w:hint="default" w:ascii="仿宋" w:hAnsi="仿宋" w:eastAsia="仿宋" w:cs="仿宋"/>
                <w:color w:val="auto"/>
                <w:sz w:val="24"/>
                <w:highlight w:val="none"/>
                <w:lang w:bidi="ar"/>
              </w:rPr>
              <w:t>数字化平板探测器：序号</w:t>
            </w:r>
            <w:r>
              <w:rPr>
                <w:rFonts w:hint="eastAsia" w:ascii="仿宋" w:hAnsi="仿宋" w:eastAsia="仿宋" w:cs="仿宋"/>
                <w:color w:val="auto"/>
                <w:sz w:val="24"/>
                <w:highlight w:val="none"/>
                <w:lang w:val="en-US" w:eastAsia="zh-CN" w:bidi="ar"/>
              </w:rPr>
              <w:t>6</w:t>
            </w:r>
            <w:r>
              <w:rPr>
                <w:rFonts w:hint="default" w:ascii="仿宋" w:hAnsi="仿宋" w:eastAsia="仿宋" w:cs="仿宋"/>
                <w:color w:val="auto"/>
                <w:sz w:val="24"/>
                <w:highlight w:val="none"/>
                <w:lang w:bidi="ar"/>
              </w:rPr>
              <w:t>.1、</w:t>
            </w:r>
            <w:r>
              <w:rPr>
                <w:rFonts w:hint="eastAsia" w:ascii="仿宋" w:hAnsi="仿宋" w:eastAsia="仿宋" w:cs="仿宋"/>
                <w:color w:val="auto"/>
                <w:sz w:val="24"/>
                <w:highlight w:val="none"/>
                <w:lang w:val="en-US" w:eastAsia="zh-CN" w:bidi="ar"/>
              </w:rPr>
              <w:t>6</w:t>
            </w:r>
            <w:r>
              <w:rPr>
                <w:rFonts w:hint="default" w:ascii="仿宋" w:hAnsi="仿宋" w:eastAsia="仿宋" w:cs="仿宋"/>
                <w:color w:val="auto"/>
                <w:sz w:val="24"/>
                <w:highlight w:val="none"/>
                <w:lang w:bidi="ar"/>
              </w:rPr>
              <w:t>.</w:t>
            </w:r>
            <w:r>
              <w:rPr>
                <w:rFonts w:hint="eastAsia" w:ascii="仿宋" w:hAnsi="仿宋" w:eastAsia="仿宋" w:cs="仿宋"/>
                <w:color w:val="auto"/>
                <w:sz w:val="24"/>
                <w:highlight w:val="none"/>
                <w:lang w:val="en-US" w:eastAsia="zh-CN" w:bidi="ar"/>
              </w:rPr>
              <w:t>3~6.4、6</w:t>
            </w:r>
            <w:r>
              <w:rPr>
                <w:rFonts w:hint="default" w:ascii="仿宋" w:hAnsi="仿宋" w:eastAsia="仿宋" w:cs="仿宋"/>
                <w:color w:val="auto"/>
                <w:sz w:val="24"/>
                <w:highlight w:val="none"/>
                <w:lang w:bidi="ar"/>
              </w:rPr>
              <w:t>.</w:t>
            </w:r>
            <w:r>
              <w:rPr>
                <w:rFonts w:hint="eastAsia" w:ascii="仿宋" w:hAnsi="仿宋" w:eastAsia="仿宋" w:cs="仿宋"/>
                <w:color w:val="auto"/>
                <w:sz w:val="24"/>
                <w:highlight w:val="none"/>
                <w:lang w:val="en-US" w:eastAsia="zh-CN" w:bidi="ar"/>
              </w:rPr>
              <w:t>6</w:t>
            </w:r>
            <w:r>
              <w:rPr>
                <w:rFonts w:hint="default" w:ascii="仿宋" w:hAnsi="仿宋" w:eastAsia="仿宋" w:cs="仿宋"/>
                <w:color w:val="auto"/>
                <w:sz w:val="24"/>
                <w:highlight w:val="none"/>
                <w:lang w:bidi="ar"/>
              </w:rPr>
              <w:t>~</w:t>
            </w:r>
            <w:r>
              <w:rPr>
                <w:rFonts w:hint="eastAsia" w:ascii="仿宋" w:hAnsi="仿宋" w:eastAsia="仿宋" w:cs="仿宋"/>
                <w:color w:val="auto"/>
                <w:sz w:val="24"/>
                <w:highlight w:val="none"/>
                <w:lang w:val="en-US" w:eastAsia="zh-CN" w:bidi="ar"/>
              </w:rPr>
              <w:t>6</w:t>
            </w:r>
            <w:r>
              <w:rPr>
                <w:rFonts w:hint="default" w:ascii="仿宋" w:hAnsi="仿宋" w:eastAsia="仿宋" w:cs="仿宋"/>
                <w:color w:val="auto"/>
                <w:sz w:val="24"/>
                <w:highlight w:val="none"/>
                <w:lang w:bidi="ar"/>
              </w:rPr>
              <w:t>.</w:t>
            </w:r>
            <w:r>
              <w:rPr>
                <w:rFonts w:hint="eastAsia" w:ascii="仿宋" w:hAnsi="仿宋" w:eastAsia="仿宋" w:cs="仿宋"/>
                <w:color w:val="auto"/>
                <w:sz w:val="24"/>
                <w:highlight w:val="none"/>
                <w:lang w:val="en-US" w:eastAsia="zh-CN" w:bidi="ar"/>
              </w:rPr>
              <w:t>8</w:t>
            </w:r>
            <w:r>
              <w:rPr>
                <w:rFonts w:hint="default" w:ascii="仿宋" w:hAnsi="仿宋" w:eastAsia="仿宋" w:cs="仿宋"/>
                <w:color w:val="auto"/>
                <w:sz w:val="24"/>
                <w:highlight w:val="none"/>
                <w:lang w:bidi="ar"/>
              </w:rPr>
              <w:t>为</w:t>
            </w:r>
            <w:r>
              <w:rPr>
                <w:rFonts w:hint="eastAsia" w:ascii="仿宋" w:hAnsi="仿宋" w:eastAsia="仿宋" w:cs="仿宋"/>
                <w:color w:val="auto"/>
                <w:sz w:val="24"/>
                <w:highlight w:val="none"/>
                <w:lang w:val="en-US" w:eastAsia="zh-CN" w:bidi="ar"/>
              </w:rPr>
              <w:t>6</w:t>
            </w:r>
            <w:r>
              <w:rPr>
                <w:rFonts w:hint="default" w:ascii="仿宋" w:hAnsi="仿宋" w:eastAsia="仿宋" w:cs="仿宋"/>
                <w:color w:val="auto"/>
                <w:sz w:val="24"/>
                <w:highlight w:val="none"/>
                <w:lang w:bidi="ar"/>
              </w:rPr>
              <w:t>项；</w:t>
            </w:r>
          </w:p>
          <w:p w14:paraId="1A409007">
            <w:pPr>
              <w:numPr>
                <w:ilvl w:val="-1"/>
                <w:numId w:val="0"/>
              </w:numPr>
              <w:rPr>
                <w:rFonts w:hint="default" w:ascii="仿宋" w:hAnsi="仿宋" w:eastAsia="仿宋" w:cs="仿宋"/>
                <w:color w:val="auto"/>
                <w:sz w:val="24"/>
                <w:highlight w:val="none"/>
                <w:lang w:val="en-US" w:eastAsia="zh-CN" w:bidi="ar"/>
              </w:rPr>
            </w:pPr>
            <w:r>
              <w:rPr>
                <w:rFonts w:hint="eastAsia" w:ascii="仿宋" w:hAnsi="仿宋" w:eastAsia="仿宋" w:cs="仿宋"/>
                <w:color w:val="auto"/>
                <w:sz w:val="24"/>
                <w:highlight w:val="none"/>
                <w:lang w:val="en-US" w:eastAsia="zh-CN" w:bidi="ar"/>
              </w:rPr>
              <w:t>7）8.</w:t>
            </w:r>
            <w:r>
              <w:rPr>
                <w:rFonts w:hint="default" w:ascii="仿宋" w:hAnsi="仿宋" w:eastAsia="仿宋" w:cs="仿宋"/>
                <w:color w:val="auto"/>
                <w:sz w:val="24"/>
                <w:highlight w:val="none"/>
                <w:lang w:bidi="ar"/>
              </w:rPr>
              <w:t>图像采集及处理系统</w:t>
            </w:r>
            <w:r>
              <w:rPr>
                <w:rFonts w:hint="eastAsia" w:ascii="仿宋" w:hAnsi="仿宋" w:eastAsia="仿宋" w:cs="仿宋"/>
                <w:color w:val="auto"/>
                <w:sz w:val="24"/>
                <w:highlight w:val="none"/>
                <w:lang w:eastAsia="zh-CN" w:bidi="ar"/>
              </w:rPr>
              <w:t>：</w:t>
            </w:r>
            <w:r>
              <w:rPr>
                <w:rFonts w:hint="eastAsia" w:ascii="仿宋" w:hAnsi="仿宋" w:eastAsia="仿宋" w:cs="仿宋"/>
                <w:color w:val="auto"/>
                <w:sz w:val="24"/>
                <w:highlight w:val="none"/>
                <w:lang w:val="en-US" w:eastAsia="zh-CN" w:bidi="ar"/>
              </w:rPr>
              <w:t>序号8.1~8.6、8.8为7项；</w:t>
            </w:r>
          </w:p>
          <w:p w14:paraId="53149A9C">
            <w:pPr>
              <w:numPr>
                <w:ilvl w:val="-1"/>
                <w:numId w:val="0"/>
              </w:numPr>
              <w:rPr>
                <w:rFonts w:hint="default" w:ascii="仿宋" w:hAnsi="仿宋" w:eastAsia="仿宋" w:cs="仿宋"/>
                <w:color w:val="auto"/>
                <w:sz w:val="24"/>
                <w:highlight w:val="none"/>
                <w:lang w:bidi="ar"/>
              </w:rPr>
            </w:pPr>
            <w:r>
              <w:rPr>
                <w:rFonts w:hint="eastAsia" w:ascii="仿宋" w:hAnsi="仿宋" w:eastAsia="仿宋" w:cs="仿宋"/>
                <w:color w:val="auto"/>
                <w:sz w:val="24"/>
                <w:highlight w:val="none"/>
                <w:lang w:val="en-US" w:eastAsia="zh-CN" w:bidi="ar"/>
              </w:rPr>
              <w:t>9）9.主机系统工作站</w:t>
            </w:r>
            <w:r>
              <w:rPr>
                <w:rFonts w:hint="default" w:ascii="仿宋" w:hAnsi="仿宋" w:eastAsia="仿宋" w:cs="仿宋"/>
                <w:color w:val="auto"/>
                <w:sz w:val="24"/>
                <w:highlight w:val="none"/>
                <w:lang w:bidi="ar"/>
              </w:rPr>
              <w:t>：序号</w:t>
            </w:r>
            <w:r>
              <w:rPr>
                <w:rFonts w:hint="eastAsia" w:ascii="仿宋" w:hAnsi="仿宋" w:eastAsia="仿宋" w:cs="仿宋"/>
                <w:color w:val="auto"/>
                <w:sz w:val="24"/>
                <w:highlight w:val="none"/>
                <w:lang w:val="en-US" w:eastAsia="zh-CN" w:bidi="ar"/>
              </w:rPr>
              <w:t>9.</w:t>
            </w:r>
            <w:r>
              <w:rPr>
                <w:rFonts w:hint="default" w:ascii="仿宋" w:hAnsi="仿宋" w:eastAsia="仿宋" w:cs="仿宋"/>
                <w:color w:val="auto"/>
                <w:sz w:val="24"/>
                <w:highlight w:val="none"/>
                <w:lang w:bidi="ar"/>
              </w:rPr>
              <w:t>1</w:t>
            </w:r>
            <w:r>
              <w:rPr>
                <w:rFonts w:hint="eastAsia" w:ascii="仿宋" w:hAnsi="仿宋" w:eastAsia="仿宋" w:cs="仿宋"/>
                <w:color w:val="auto"/>
                <w:sz w:val="24"/>
                <w:highlight w:val="none"/>
                <w:lang w:val="en-US" w:eastAsia="zh-CN" w:bidi="ar"/>
              </w:rPr>
              <w:t>~9.2</w:t>
            </w:r>
            <w:r>
              <w:rPr>
                <w:rFonts w:hint="default" w:ascii="仿宋" w:hAnsi="仿宋" w:eastAsia="仿宋" w:cs="仿宋"/>
                <w:color w:val="auto"/>
                <w:sz w:val="24"/>
                <w:highlight w:val="none"/>
                <w:lang w:bidi="ar"/>
              </w:rPr>
              <w:t>为</w:t>
            </w:r>
            <w:r>
              <w:rPr>
                <w:rFonts w:hint="eastAsia" w:ascii="仿宋" w:hAnsi="仿宋" w:eastAsia="仿宋" w:cs="仿宋"/>
                <w:color w:val="auto"/>
                <w:sz w:val="24"/>
                <w:highlight w:val="none"/>
                <w:lang w:val="en-US" w:eastAsia="zh-CN" w:bidi="ar"/>
              </w:rPr>
              <w:t>2</w:t>
            </w:r>
            <w:r>
              <w:rPr>
                <w:rFonts w:hint="default" w:ascii="仿宋" w:hAnsi="仿宋" w:eastAsia="仿宋" w:cs="仿宋"/>
                <w:color w:val="auto"/>
                <w:sz w:val="24"/>
                <w:highlight w:val="none"/>
                <w:lang w:bidi="ar"/>
              </w:rPr>
              <w:t>项；</w:t>
            </w:r>
          </w:p>
          <w:p w14:paraId="0A3BC60E">
            <w:pPr>
              <w:numPr>
                <w:ilvl w:val="-1"/>
                <w:numId w:val="0"/>
              </w:numPr>
              <w:rPr>
                <w:rFonts w:hint="default" w:ascii="仿宋" w:hAnsi="仿宋" w:eastAsia="仿宋" w:cs="仿宋"/>
                <w:color w:val="auto"/>
                <w:sz w:val="24"/>
                <w:highlight w:val="none"/>
                <w:lang w:bidi="ar"/>
              </w:rPr>
            </w:pPr>
            <w:r>
              <w:rPr>
                <w:rFonts w:hint="eastAsia" w:ascii="仿宋" w:hAnsi="仿宋" w:eastAsia="仿宋" w:cs="仿宋"/>
                <w:color w:val="auto"/>
                <w:sz w:val="24"/>
                <w:highlight w:val="none"/>
                <w:lang w:val="en-US" w:eastAsia="zh-CN" w:bidi="ar"/>
              </w:rPr>
              <w:t>10）12.</w:t>
            </w:r>
            <w:r>
              <w:rPr>
                <w:rFonts w:hint="default" w:ascii="仿宋" w:hAnsi="仿宋" w:eastAsia="仿宋" w:cs="仿宋"/>
                <w:color w:val="auto"/>
                <w:sz w:val="24"/>
                <w:highlight w:val="none"/>
                <w:lang w:bidi="ar"/>
              </w:rPr>
              <w:t>床旁中央控制系统：序号</w:t>
            </w:r>
            <w:r>
              <w:rPr>
                <w:rFonts w:hint="eastAsia" w:ascii="仿宋" w:hAnsi="仿宋" w:eastAsia="仿宋" w:cs="仿宋"/>
                <w:color w:val="auto"/>
                <w:sz w:val="24"/>
                <w:highlight w:val="none"/>
                <w:lang w:val="en-US" w:eastAsia="zh-CN" w:bidi="ar"/>
              </w:rPr>
              <w:t>12</w:t>
            </w:r>
            <w:r>
              <w:rPr>
                <w:rFonts w:hint="default" w:ascii="仿宋" w:hAnsi="仿宋" w:eastAsia="仿宋" w:cs="仿宋"/>
                <w:color w:val="auto"/>
                <w:sz w:val="24"/>
                <w:highlight w:val="none"/>
                <w:lang w:bidi="ar"/>
              </w:rPr>
              <w:t>.1~</w:t>
            </w:r>
            <w:r>
              <w:rPr>
                <w:rFonts w:hint="eastAsia" w:ascii="仿宋" w:hAnsi="仿宋" w:eastAsia="仿宋" w:cs="仿宋"/>
                <w:color w:val="auto"/>
                <w:sz w:val="24"/>
                <w:highlight w:val="none"/>
                <w:lang w:val="en-US" w:eastAsia="zh-CN" w:bidi="ar"/>
              </w:rPr>
              <w:t>12</w:t>
            </w:r>
            <w:r>
              <w:rPr>
                <w:rFonts w:hint="default" w:ascii="仿宋" w:hAnsi="仿宋" w:eastAsia="仿宋" w:cs="仿宋"/>
                <w:color w:val="auto"/>
                <w:sz w:val="24"/>
                <w:highlight w:val="none"/>
                <w:lang w:bidi="ar"/>
              </w:rPr>
              <w:t>.</w:t>
            </w:r>
            <w:r>
              <w:rPr>
                <w:rFonts w:hint="eastAsia" w:ascii="仿宋" w:hAnsi="仿宋" w:eastAsia="仿宋" w:cs="仿宋"/>
                <w:color w:val="auto"/>
                <w:sz w:val="24"/>
                <w:highlight w:val="none"/>
                <w:lang w:val="en-US" w:eastAsia="zh-CN" w:bidi="ar"/>
              </w:rPr>
              <w:t>3</w:t>
            </w:r>
            <w:r>
              <w:rPr>
                <w:rFonts w:hint="default" w:ascii="仿宋" w:hAnsi="仿宋" w:eastAsia="仿宋" w:cs="仿宋"/>
                <w:color w:val="auto"/>
                <w:sz w:val="24"/>
                <w:highlight w:val="none"/>
                <w:lang w:bidi="ar"/>
              </w:rPr>
              <w:t>为</w:t>
            </w:r>
            <w:r>
              <w:rPr>
                <w:rFonts w:hint="eastAsia" w:ascii="仿宋" w:hAnsi="仿宋" w:eastAsia="仿宋" w:cs="仿宋"/>
                <w:color w:val="auto"/>
                <w:sz w:val="24"/>
                <w:highlight w:val="none"/>
                <w:lang w:val="en-US" w:eastAsia="zh-CN" w:bidi="ar"/>
              </w:rPr>
              <w:t>3</w:t>
            </w:r>
            <w:r>
              <w:rPr>
                <w:rFonts w:hint="default" w:ascii="仿宋" w:hAnsi="仿宋" w:eastAsia="仿宋" w:cs="仿宋"/>
                <w:color w:val="auto"/>
                <w:sz w:val="24"/>
                <w:highlight w:val="none"/>
                <w:lang w:bidi="ar"/>
              </w:rPr>
              <w:t>项；</w:t>
            </w:r>
          </w:p>
          <w:p w14:paraId="1E07D282">
            <w:pPr>
              <w:numPr>
                <w:ilvl w:val="-1"/>
                <w:numId w:val="0"/>
              </w:numPr>
              <w:rPr>
                <w:rFonts w:hint="default" w:ascii="仿宋" w:hAnsi="仿宋" w:eastAsia="仿宋" w:cs="仿宋"/>
                <w:color w:val="auto"/>
                <w:sz w:val="24"/>
                <w:highlight w:val="none"/>
                <w:lang w:bidi="ar"/>
              </w:rPr>
            </w:pPr>
            <w:r>
              <w:rPr>
                <w:rFonts w:hint="eastAsia" w:ascii="仿宋" w:hAnsi="仿宋" w:eastAsia="仿宋" w:cs="仿宋"/>
                <w:color w:val="auto"/>
                <w:sz w:val="24"/>
                <w:highlight w:val="none"/>
                <w:lang w:val="en-US" w:eastAsia="zh-CN" w:bidi="ar"/>
              </w:rPr>
              <w:t>11）13.</w:t>
            </w:r>
            <w:r>
              <w:rPr>
                <w:rFonts w:hint="eastAsia" w:ascii="仿宋" w:hAnsi="仿宋" w:eastAsia="仿宋" w:cs="仿宋"/>
                <w:color w:val="auto"/>
                <w:sz w:val="24"/>
                <w:highlight w:val="none"/>
                <w:lang w:bidi="ar"/>
              </w:rPr>
              <w:t>后处理工作站</w:t>
            </w:r>
            <w:r>
              <w:rPr>
                <w:rFonts w:hint="default" w:ascii="仿宋" w:hAnsi="仿宋" w:eastAsia="仿宋" w:cs="仿宋"/>
                <w:color w:val="auto"/>
                <w:sz w:val="24"/>
                <w:highlight w:val="none"/>
                <w:lang w:bidi="ar"/>
              </w:rPr>
              <w:t>：序号</w:t>
            </w:r>
            <w:r>
              <w:rPr>
                <w:rFonts w:hint="eastAsia" w:ascii="仿宋" w:hAnsi="仿宋" w:eastAsia="仿宋" w:cs="仿宋"/>
                <w:color w:val="auto"/>
                <w:sz w:val="24"/>
                <w:highlight w:val="none"/>
                <w:lang w:val="en-US" w:eastAsia="zh-CN" w:bidi="ar"/>
              </w:rPr>
              <w:t>13.1</w:t>
            </w:r>
            <w:r>
              <w:rPr>
                <w:rFonts w:hint="default" w:ascii="仿宋" w:hAnsi="仿宋" w:eastAsia="仿宋" w:cs="仿宋"/>
                <w:color w:val="auto"/>
                <w:sz w:val="24"/>
                <w:highlight w:val="none"/>
                <w:lang w:bidi="ar"/>
              </w:rPr>
              <w:t>为</w:t>
            </w:r>
            <w:r>
              <w:rPr>
                <w:rFonts w:hint="eastAsia" w:ascii="仿宋" w:hAnsi="仿宋" w:eastAsia="仿宋" w:cs="仿宋"/>
                <w:color w:val="auto"/>
                <w:sz w:val="24"/>
                <w:highlight w:val="none"/>
                <w:lang w:val="en-US" w:eastAsia="zh-CN" w:bidi="ar"/>
              </w:rPr>
              <w:t>1</w:t>
            </w:r>
            <w:r>
              <w:rPr>
                <w:rFonts w:hint="default" w:ascii="仿宋" w:hAnsi="仿宋" w:eastAsia="仿宋" w:cs="仿宋"/>
                <w:color w:val="auto"/>
                <w:sz w:val="24"/>
                <w:highlight w:val="none"/>
                <w:lang w:bidi="ar"/>
              </w:rPr>
              <w:t>项；</w:t>
            </w:r>
          </w:p>
          <w:p w14:paraId="3AA69512">
            <w:pPr>
              <w:numPr>
                <w:ilvl w:val="-1"/>
                <w:numId w:val="0"/>
              </w:numPr>
              <w:rPr>
                <w:rFonts w:hint="default" w:ascii="仿宋" w:hAnsi="仿宋" w:eastAsia="仿宋" w:cs="仿宋"/>
                <w:color w:val="auto"/>
                <w:sz w:val="24"/>
                <w:highlight w:val="none"/>
                <w:lang w:bidi="ar"/>
              </w:rPr>
            </w:pPr>
            <w:r>
              <w:rPr>
                <w:rFonts w:hint="eastAsia" w:ascii="仿宋" w:hAnsi="仿宋" w:eastAsia="仿宋" w:cs="仿宋"/>
                <w:color w:val="auto"/>
                <w:sz w:val="24"/>
                <w:highlight w:val="none"/>
                <w:lang w:val="en-US" w:eastAsia="zh-CN" w:bidi="ar"/>
              </w:rPr>
              <w:t>12）14.</w:t>
            </w:r>
            <w:r>
              <w:rPr>
                <w:rFonts w:hint="default" w:ascii="仿宋" w:hAnsi="仿宋" w:eastAsia="仿宋" w:cs="仿宋"/>
                <w:color w:val="auto"/>
                <w:sz w:val="24"/>
                <w:highlight w:val="none"/>
                <w:lang w:bidi="ar"/>
              </w:rPr>
              <w:t>射线防护：序号</w:t>
            </w:r>
            <w:r>
              <w:rPr>
                <w:rFonts w:hint="eastAsia" w:ascii="仿宋" w:hAnsi="仿宋" w:eastAsia="仿宋" w:cs="仿宋"/>
                <w:color w:val="auto"/>
                <w:sz w:val="24"/>
                <w:highlight w:val="none"/>
                <w:lang w:val="en-US" w:eastAsia="zh-CN" w:bidi="ar"/>
              </w:rPr>
              <w:t>14</w:t>
            </w:r>
            <w:r>
              <w:rPr>
                <w:rFonts w:hint="default" w:ascii="仿宋" w:hAnsi="仿宋" w:eastAsia="仿宋" w:cs="仿宋"/>
                <w:color w:val="auto"/>
                <w:sz w:val="24"/>
                <w:highlight w:val="none"/>
                <w:lang w:bidi="ar"/>
              </w:rPr>
              <w:t>.1</w:t>
            </w:r>
            <w:r>
              <w:rPr>
                <w:rFonts w:hint="eastAsia" w:ascii="仿宋" w:hAnsi="仿宋" w:eastAsia="仿宋" w:cs="仿宋"/>
                <w:color w:val="auto"/>
                <w:sz w:val="24"/>
                <w:highlight w:val="none"/>
                <w:lang w:val="en-US" w:eastAsia="zh-CN" w:bidi="ar"/>
              </w:rPr>
              <w:t>~14</w:t>
            </w:r>
            <w:r>
              <w:rPr>
                <w:rFonts w:hint="default" w:ascii="仿宋" w:hAnsi="仿宋" w:eastAsia="仿宋" w:cs="仿宋"/>
                <w:color w:val="auto"/>
                <w:sz w:val="24"/>
                <w:highlight w:val="none"/>
                <w:lang w:bidi="ar"/>
              </w:rPr>
              <w:t>.2为2项；</w:t>
            </w:r>
          </w:p>
          <w:p w14:paraId="4D6C6113">
            <w:pPr>
              <w:numPr>
                <w:ilvl w:val="-1"/>
                <w:numId w:val="0"/>
              </w:numPr>
              <w:rPr>
                <w:rFonts w:hint="default" w:ascii="仿宋" w:hAnsi="仿宋" w:eastAsia="仿宋" w:cs="仿宋"/>
                <w:color w:val="auto"/>
                <w:sz w:val="24"/>
                <w:highlight w:val="none"/>
                <w:lang w:bidi="ar"/>
              </w:rPr>
            </w:pPr>
            <w:r>
              <w:rPr>
                <w:rFonts w:hint="eastAsia" w:ascii="仿宋" w:hAnsi="仿宋" w:eastAsia="仿宋" w:cs="仿宋"/>
                <w:color w:val="auto"/>
                <w:sz w:val="24"/>
                <w:highlight w:val="none"/>
                <w:lang w:val="en-US" w:eastAsia="zh-CN" w:bidi="ar"/>
              </w:rPr>
              <w:t>13）15.其它</w:t>
            </w:r>
            <w:r>
              <w:rPr>
                <w:rFonts w:hint="default" w:ascii="仿宋" w:hAnsi="仿宋" w:eastAsia="仿宋" w:cs="仿宋"/>
                <w:color w:val="auto"/>
                <w:sz w:val="24"/>
                <w:highlight w:val="none"/>
                <w:lang w:bidi="ar"/>
              </w:rPr>
              <w:t>为1项；</w:t>
            </w:r>
          </w:p>
          <w:p w14:paraId="3B96DA64">
            <w:pPr>
              <w:numPr>
                <w:ilvl w:val="0"/>
                <w:numId w:val="0"/>
              </w:numPr>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val="en-US" w:eastAsia="zh-CN" w:bidi="ar"/>
              </w:rPr>
              <w:t>14）16.</w:t>
            </w:r>
            <w:r>
              <w:rPr>
                <w:rFonts w:hint="default" w:ascii="仿宋" w:hAnsi="仿宋" w:eastAsia="仿宋" w:cs="仿宋"/>
                <w:color w:val="auto"/>
                <w:sz w:val="24"/>
                <w:highlight w:val="none"/>
                <w:lang w:bidi="ar"/>
              </w:rPr>
              <w:t>配置清单</w:t>
            </w:r>
            <w:r>
              <w:rPr>
                <w:rFonts w:hint="eastAsia" w:ascii="仿宋" w:hAnsi="仿宋" w:eastAsia="仿宋" w:cs="仿宋"/>
                <w:color w:val="auto"/>
                <w:sz w:val="24"/>
                <w:highlight w:val="none"/>
                <w:lang w:eastAsia="zh-CN" w:bidi="ar"/>
              </w:rPr>
              <w:t>：</w:t>
            </w:r>
            <w:r>
              <w:rPr>
                <w:rFonts w:hint="eastAsia" w:ascii="仿宋" w:hAnsi="仿宋" w:eastAsia="仿宋" w:cs="仿宋"/>
                <w:color w:val="auto"/>
                <w:sz w:val="24"/>
                <w:highlight w:val="none"/>
                <w:lang w:val="en-US" w:eastAsia="zh-CN" w:bidi="ar"/>
              </w:rPr>
              <w:t>序号16.1~16.8</w:t>
            </w:r>
            <w:r>
              <w:rPr>
                <w:rFonts w:hint="default" w:ascii="仿宋" w:hAnsi="仿宋" w:eastAsia="仿宋" w:cs="仿宋"/>
                <w:color w:val="auto"/>
                <w:sz w:val="24"/>
                <w:highlight w:val="none"/>
                <w:lang w:bidi="ar"/>
              </w:rPr>
              <w:t>为</w:t>
            </w:r>
            <w:r>
              <w:rPr>
                <w:rFonts w:hint="eastAsia" w:ascii="仿宋" w:hAnsi="仿宋" w:eastAsia="仿宋" w:cs="仿宋"/>
                <w:color w:val="auto"/>
                <w:sz w:val="24"/>
                <w:highlight w:val="none"/>
                <w:lang w:val="en-US" w:eastAsia="zh-CN" w:bidi="ar"/>
              </w:rPr>
              <w:t>8</w:t>
            </w:r>
            <w:r>
              <w:rPr>
                <w:rFonts w:hint="default" w:ascii="仿宋" w:hAnsi="仿宋" w:eastAsia="仿宋" w:cs="仿宋"/>
                <w:color w:val="auto"/>
                <w:sz w:val="24"/>
                <w:highlight w:val="none"/>
                <w:lang w:bidi="ar"/>
              </w:rPr>
              <w:t>项。</w:t>
            </w:r>
          </w:p>
        </w:tc>
      </w:tr>
      <w:tr w14:paraId="0C6C3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93" w:type="dxa"/>
            <w:vMerge w:val="continue"/>
            <w:vAlign w:val="center"/>
          </w:tcPr>
          <w:p w14:paraId="08E81731">
            <w:pPr>
              <w:adjustRightInd w:val="0"/>
              <w:spacing w:line="400" w:lineRule="exact"/>
              <w:jc w:val="center"/>
              <w:textAlignment w:val="baseline"/>
              <w:rPr>
                <w:rFonts w:hint="eastAsia" w:ascii="仿宋" w:hAnsi="仿宋" w:eastAsia="仿宋" w:cs="仿宋"/>
                <w:b/>
                <w:color w:val="auto"/>
                <w:sz w:val="24"/>
                <w:highlight w:val="none"/>
              </w:rPr>
            </w:pPr>
          </w:p>
        </w:tc>
        <w:tc>
          <w:tcPr>
            <w:tcW w:w="921" w:type="dxa"/>
            <w:vMerge w:val="continue"/>
            <w:vAlign w:val="center"/>
          </w:tcPr>
          <w:p w14:paraId="6136DE17">
            <w:pPr>
              <w:adjustRightInd w:val="0"/>
              <w:spacing w:line="400" w:lineRule="exact"/>
              <w:ind w:left="-105" w:leftChars="-50" w:right="-105" w:rightChars="-50"/>
              <w:jc w:val="center"/>
              <w:textAlignment w:val="baseline"/>
              <w:rPr>
                <w:rFonts w:hint="eastAsia" w:ascii="仿宋" w:hAnsi="仿宋" w:eastAsia="仿宋" w:cs="仿宋"/>
                <w:b/>
                <w:bCs/>
                <w:color w:val="auto"/>
                <w:spacing w:val="-18"/>
                <w:sz w:val="24"/>
                <w:highlight w:val="none"/>
              </w:rPr>
            </w:pPr>
          </w:p>
        </w:tc>
        <w:tc>
          <w:tcPr>
            <w:tcW w:w="1134" w:type="dxa"/>
            <w:vAlign w:val="center"/>
          </w:tcPr>
          <w:p w14:paraId="4DFD7252">
            <w:pPr>
              <w:spacing w:line="400" w:lineRule="exact"/>
              <w:jc w:val="center"/>
              <w:rPr>
                <w:rFonts w:hint="eastAsia" w:ascii="仿宋" w:hAnsi="仿宋" w:eastAsia="仿宋" w:cs="仿宋"/>
                <w:b/>
                <w:bCs/>
                <w:color w:val="auto"/>
                <w:sz w:val="24"/>
                <w:highlight w:val="none"/>
                <w:u w:val="single"/>
              </w:rPr>
            </w:pPr>
            <w:r>
              <w:rPr>
                <w:rFonts w:hint="eastAsia" w:ascii="仿宋" w:hAnsi="仿宋" w:eastAsia="仿宋" w:cs="仿宋"/>
                <w:b/>
                <w:bCs/>
                <w:color w:val="auto"/>
                <w:kern w:val="1"/>
                <w:sz w:val="24"/>
                <w:highlight w:val="none"/>
              </w:rPr>
              <w:t>项目实施方案</w:t>
            </w:r>
            <w:r>
              <w:rPr>
                <w:rFonts w:hint="eastAsia" w:ascii="仿宋" w:hAnsi="仿宋" w:eastAsia="仿宋" w:cs="仿宋"/>
                <w:b/>
                <w:bCs/>
                <w:color w:val="auto"/>
                <w:sz w:val="24"/>
                <w:highlight w:val="none"/>
              </w:rPr>
              <w:t>（满分</w:t>
            </w:r>
            <w:r>
              <w:rPr>
                <w:rFonts w:hint="default" w:ascii="仿宋" w:hAnsi="仿宋" w:eastAsia="仿宋" w:cs="仿宋"/>
                <w:b/>
                <w:bCs/>
                <w:color w:val="auto"/>
                <w:sz w:val="24"/>
                <w:highlight w:val="none"/>
                <w:u w:val="single"/>
                <w:lang w:val="en-US" w:eastAsia="zh-CN"/>
              </w:rPr>
              <w:t>9</w:t>
            </w:r>
            <w:r>
              <w:rPr>
                <w:rFonts w:hint="eastAsia" w:ascii="仿宋" w:hAnsi="仿宋" w:eastAsia="仿宋" w:cs="仿宋"/>
                <w:b/>
                <w:bCs/>
                <w:color w:val="auto"/>
                <w:sz w:val="24"/>
                <w:highlight w:val="none"/>
              </w:rPr>
              <w:t>分）</w:t>
            </w:r>
          </w:p>
        </w:tc>
        <w:tc>
          <w:tcPr>
            <w:tcW w:w="6475" w:type="dxa"/>
            <w:vAlign w:val="center"/>
          </w:tcPr>
          <w:p w14:paraId="4E81FA11">
            <w:pPr>
              <w:spacing w:line="40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评委根据各投标人提供的项目实施方案（管理措施、具体实施流程、进度安排、质量保证措施、风险防范措施</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lang w:val="en-US" w:eastAsia="zh-CN"/>
              </w:rPr>
              <w:t>安装调试和验收</w:t>
            </w:r>
            <w:r>
              <w:rPr>
                <w:rFonts w:hint="eastAsia" w:ascii="仿宋" w:hAnsi="仿宋" w:eastAsia="仿宋" w:cs="仿宋"/>
                <w:color w:val="auto"/>
                <w:kern w:val="0"/>
                <w:sz w:val="24"/>
                <w:highlight w:val="none"/>
              </w:rPr>
              <w:t>等）进行评审。</w:t>
            </w:r>
          </w:p>
          <w:p w14:paraId="17E88123">
            <w:pPr>
              <w:spacing w:line="400" w:lineRule="exact"/>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一档（</w:t>
            </w:r>
            <w:r>
              <w:rPr>
                <w:rFonts w:hint="default" w:ascii="仿宋" w:hAnsi="仿宋" w:eastAsia="仿宋" w:cs="仿宋"/>
                <w:bCs/>
                <w:color w:val="auto"/>
                <w:sz w:val="24"/>
                <w:highlight w:val="none"/>
                <w:lang w:val="en-US" w:eastAsia="zh-CN"/>
              </w:rPr>
              <w:t>3</w:t>
            </w:r>
            <w:r>
              <w:rPr>
                <w:rFonts w:hint="eastAsia" w:ascii="仿宋" w:hAnsi="仿宋" w:eastAsia="仿宋" w:cs="仿宋"/>
                <w:bCs/>
                <w:color w:val="auto"/>
                <w:sz w:val="24"/>
                <w:highlight w:val="none"/>
              </w:rPr>
              <w:t>分）：提供的管理措施、实施流程、进度安排等方案内容简单，基本满足</w:t>
            </w:r>
            <w:r>
              <w:rPr>
                <w:rFonts w:hint="eastAsia" w:ascii="仿宋" w:hAnsi="仿宋" w:eastAsia="仿宋" w:cs="仿宋"/>
                <w:bCs/>
                <w:color w:val="auto"/>
                <w:sz w:val="24"/>
                <w:highlight w:val="none"/>
                <w:lang w:val="en-US" w:eastAsia="zh-CN"/>
              </w:rPr>
              <w:t>项目实施</w:t>
            </w:r>
            <w:r>
              <w:rPr>
                <w:rFonts w:hint="eastAsia" w:ascii="仿宋" w:hAnsi="仿宋" w:eastAsia="仿宋" w:cs="仿宋"/>
                <w:bCs/>
                <w:color w:val="auto"/>
                <w:sz w:val="24"/>
                <w:highlight w:val="none"/>
              </w:rPr>
              <w:t xml:space="preserve">。 </w:t>
            </w:r>
          </w:p>
          <w:p w14:paraId="4DAEDE8D">
            <w:pPr>
              <w:spacing w:line="400" w:lineRule="exact"/>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二档（</w:t>
            </w:r>
            <w:r>
              <w:rPr>
                <w:rFonts w:hint="default" w:ascii="仿宋" w:hAnsi="仿宋" w:eastAsia="仿宋" w:cs="仿宋"/>
                <w:bCs/>
                <w:color w:val="auto"/>
                <w:sz w:val="24"/>
                <w:highlight w:val="none"/>
                <w:lang w:val="en-US" w:eastAsia="zh-CN"/>
              </w:rPr>
              <w:t>6</w:t>
            </w:r>
            <w:r>
              <w:rPr>
                <w:rFonts w:hint="eastAsia" w:ascii="仿宋" w:hAnsi="仿宋" w:eastAsia="仿宋" w:cs="仿宋"/>
                <w:bCs/>
                <w:color w:val="auto"/>
                <w:sz w:val="24"/>
                <w:highlight w:val="none"/>
              </w:rPr>
              <w:t>分）：提供的管理措施、实施流程、进度安排、质量保证措施、设备运输安装保障、应急方案等内容齐全，措施逻辑合理且满足</w:t>
            </w:r>
            <w:r>
              <w:rPr>
                <w:rFonts w:hint="eastAsia" w:ascii="仿宋" w:hAnsi="仿宋" w:eastAsia="仿宋" w:cs="仿宋"/>
                <w:bCs/>
                <w:color w:val="auto"/>
                <w:sz w:val="24"/>
                <w:highlight w:val="none"/>
                <w:lang w:val="en-US" w:eastAsia="zh-CN"/>
              </w:rPr>
              <w:t>项目实施</w:t>
            </w:r>
            <w:r>
              <w:rPr>
                <w:rFonts w:hint="eastAsia" w:ascii="仿宋" w:hAnsi="仿宋" w:eastAsia="仿宋" w:cs="仿宋"/>
                <w:bCs/>
                <w:color w:val="auto"/>
                <w:sz w:val="24"/>
                <w:highlight w:val="none"/>
              </w:rPr>
              <w:t>。</w:t>
            </w:r>
          </w:p>
          <w:p w14:paraId="6EC95E1A">
            <w:pPr>
              <w:pStyle w:val="23"/>
              <w:spacing w:line="40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三档（</w:t>
            </w:r>
            <w:r>
              <w:rPr>
                <w:rFonts w:hint="default" w:ascii="仿宋" w:hAnsi="仿宋" w:eastAsia="仿宋" w:cs="仿宋"/>
                <w:bCs/>
                <w:color w:val="auto"/>
                <w:sz w:val="24"/>
                <w:highlight w:val="none"/>
                <w:lang w:val="en-US" w:eastAsia="zh-CN"/>
              </w:rPr>
              <w:t>9</w:t>
            </w:r>
            <w:r>
              <w:rPr>
                <w:rFonts w:hint="eastAsia" w:ascii="仿宋" w:hAnsi="仿宋" w:eastAsia="仿宋" w:cs="仿宋"/>
                <w:bCs/>
                <w:color w:val="auto"/>
                <w:sz w:val="24"/>
                <w:highlight w:val="none"/>
              </w:rPr>
              <w:t>分）：提供的管理措施、实施流程、进度安排、质量保证措施、设备运输安装保障、应急方案</w:t>
            </w:r>
            <w:r>
              <w:rPr>
                <w:rFonts w:hint="eastAsia" w:ascii="仿宋" w:hAnsi="仿宋" w:eastAsia="仿宋" w:cs="仿宋"/>
                <w:bCs/>
                <w:color w:val="auto"/>
                <w:sz w:val="24"/>
                <w:highlight w:val="none"/>
                <w:lang w:eastAsia="zh-CN"/>
              </w:rPr>
              <w:t>、</w:t>
            </w:r>
            <w:r>
              <w:rPr>
                <w:rFonts w:hint="eastAsia" w:ascii="仿宋" w:hAnsi="仿宋" w:eastAsia="仿宋" w:cs="仿宋"/>
                <w:color w:val="auto"/>
                <w:kern w:val="0"/>
                <w:sz w:val="24"/>
                <w:highlight w:val="none"/>
                <w:lang w:val="en-US" w:eastAsia="zh-CN"/>
              </w:rPr>
              <w:t>安装调试和验收</w:t>
            </w:r>
            <w:r>
              <w:rPr>
                <w:rFonts w:hint="eastAsia" w:ascii="仿宋" w:hAnsi="仿宋" w:eastAsia="仿宋" w:cs="仿宋"/>
                <w:bCs/>
                <w:color w:val="auto"/>
                <w:sz w:val="24"/>
                <w:highlight w:val="none"/>
              </w:rPr>
              <w:t>等内容齐全</w:t>
            </w:r>
            <w:r>
              <w:rPr>
                <w:rFonts w:hint="eastAsia" w:ascii="仿宋" w:hAnsi="仿宋" w:eastAsia="仿宋" w:cs="仿宋"/>
                <w:bCs/>
                <w:color w:val="auto"/>
                <w:sz w:val="24"/>
                <w:highlight w:val="none"/>
                <w:lang w:val="en-US" w:eastAsia="zh-CN"/>
              </w:rPr>
              <w:t>完善</w:t>
            </w:r>
            <w:r>
              <w:rPr>
                <w:rFonts w:hint="eastAsia" w:ascii="仿宋" w:hAnsi="仿宋" w:eastAsia="仿宋" w:cs="仿宋"/>
                <w:bCs/>
                <w:color w:val="auto"/>
                <w:sz w:val="24"/>
                <w:highlight w:val="none"/>
              </w:rPr>
              <w:t>、措施逻辑</w:t>
            </w:r>
            <w:r>
              <w:rPr>
                <w:rFonts w:hint="eastAsia" w:ascii="仿宋" w:hAnsi="仿宋" w:eastAsia="仿宋" w:cs="仿宋"/>
                <w:bCs/>
                <w:color w:val="auto"/>
                <w:sz w:val="24"/>
                <w:highlight w:val="none"/>
                <w:lang w:val="en-US" w:eastAsia="zh-CN"/>
              </w:rPr>
              <w:t>合理</w:t>
            </w:r>
            <w:r>
              <w:rPr>
                <w:rFonts w:hint="eastAsia" w:ascii="仿宋" w:hAnsi="仿宋" w:eastAsia="仿宋" w:cs="仿宋"/>
                <w:bCs/>
                <w:color w:val="auto"/>
                <w:sz w:val="24"/>
                <w:highlight w:val="none"/>
              </w:rPr>
              <w:t>清晰且贴合</w:t>
            </w:r>
            <w:r>
              <w:rPr>
                <w:rFonts w:hint="eastAsia" w:ascii="仿宋" w:hAnsi="仿宋" w:eastAsia="仿宋" w:cs="仿宋"/>
                <w:bCs/>
                <w:color w:val="auto"/>
                <w:sz w:val="24"/>
                <w:highlight w:val="none"/>
                <w:lang w:val="en-US" w:eastAsia="zh-CN"/>
              </w:rPr>
              <w:t>项目实施</w:t>
            </w:r>
            <w:r>
              <w:rPr>
                <w:rFonts w:hint="eastAsia" w:ascii="仿宋" w:hAnsi="仿宋" w:eastAsia="仿宋" w:cs="仿宋"/>
                <w:bCs/>
                <w:color w:val="auto"/>
                <w:sz w:val="24"/>
                <w:highlight w:val="none"/>
              </w:rPr>
              <w:t>，安排严密，保障措施有力，实施进度及风险防范管理规范化程度高，更有利于项目的开展实施。</w:t>
            </w:r>
          </w:p>
          <w:p w14:paraId="7D4B6511">
            <w:pPr>
              <w:pStyle w:val="23"/>
              <w:spacing w:line="40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未提供实施方案或未达到一档要求的不得分。</w:t>
            </w:r>
          </w:p>
        </w:tc>
      </w:tr>
      <w:tr w14:paraId="45F40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vMerge w:val="continue"/>
            <w:vAlign w:val="center"/>
          </w:tcPr>
          <w:p w14:paraId="41AF91FD">
            <w:pPr>
              <w:adjustRightInd w:val="0"/>
              <w:spacing w:line="400" w:lineRule="exact"/>
              <w:jc w:val="center"/>
              <w:textAlignment w:val="baseline"/>
              <w:rPr>
                <w:rFonts w:hint="eastAsia" w:ascii="仿宋" w:hAnsi="仿宋" w:eastAsia="仿宋" w:cs="仿宋"/>
                <w:b/>
                <w:color w:val="auto"/>
                <w:sz w:val="24"/>
                <w:highlight w:val="none"/>
              </w:rPr>
            </w:pPr>
          </w:p>
        </w:tc>
        <w:tc>
          <w:tcPr>
            <w:tcW w:w="921" w:type="dxa"/>
            <w:vMerge w:val="continue"/>
            <w:vAlign w:val="center"/>
          </w:tcPr>
          <w:p w14:paraId="0AE20959">
            <w:pPr>
              <w:adjustRightInd w:val="0"/>
              <w:spacing w:line="400" w:lineRule="exact"/>
              <w:jc w:val="center"/>
              <w:textAlignment w:val="baseline"/>
              <w:rPr>
                <w:rFonts w:hint="eastAsia" w:ascii="仿宋" w:hAnsi="仿宋" w:eastAsia="仿宋" w:cs="仿宋"/>
                <w:color w:val="auto"/>
                <w:sz w:val="24"/>
                <w:highlight w:val="none"/>
              </w:rPr>
            </w:pPr>
          </w:p>
        </w:tc>
        <w:tc>
          <w:tcPr>
            <w:tcW w:w="1134" w:type="dxa"/>
            <w:tcMar>
              <w:left w:w="57" w:type="dxa"/>
              <w:right w:w="57" w:type="dxa"/>
            </w:tcMar>
            <w:vAlign w:val="center"/>
          </w:tcPr>
          <w:p w14:paraId="6E383E23">
            <w:pPr>
              <w:spacing w:line="400" w:lineRule="exact"/>
              <w:jc w:val="center"/>
              <w:rPr>
                <w:rFonts w:hint="eastAsia" w:ascii="仿宋" w:hAnsi="仿宋" w:eastAsia="仿宋" w:cs="仿宋"/>
                <w:b/>
                <w:bCs/>
                <w:color w:val="auto"/>
                <w:kern w:val="1"/>
                <w:sz w:val="24"/>
                <w:highlight w:val="none"/>
              </w:rPr>
            </w:pPr>
            <w:r>
              <w:rPr>
                <w:rFonts w:hint="eastAsia" w:ascii="仿宋" w:hAnsi="仿宋" w:eastAsia="仿宋" w:cs="仿宋"/>
                <w:b/>
                <w:bCs/>
                <w:color w:val="auto"/>
                <w:kern w:val="1"/>
                <w:sz w:val="24"/>
                <w:highlight w:val="none"/>
              </w:rPr>
              <w:t>售后服务</w:t>
            </w:r>
          </w:p>
          <w:p w14:paraId="564A843B">
            <w:pPr>
              <w:spacing w:line="400" w:lineRule="exact"/>
              <w:jc w:val="center"/>
              <w:rPr>
                <w:rFonts w:hint="eastAsia" w:ascii="仿宋" w:hAnsi="仿宋" w:eastAsia="仿宋" w:cs="仿宋"/>
                <w:bCs/>
                <w:color w:val="auto"/>
                <w:sz w:val="24"/>
                <w:highlight w:val="none"/>
              </w:rPr>
            </w:pPr>
            <w:r>
              <w:rPr>
                <w:rFonts w:hint="eastAsia" w:ascii="仿宋" w:hAnsi="仿宋" w:eastAsia="仿宋" w:cs="仿宋"/>
                <w:b/>
                <w:bCs/>
                <w:color w:val="auto"/>
                <w:sz w:val="24"/>
                <w:highlight w:val="none"/>
              </w:rPr>
              <w:t>（满分</w:t>
            </w:r>
            <w:r>
              <w:rPr>
                <w:rFonts w:hint="eastAsia" w:ascii="仿宋" w:hAnsi="仿宋" w:eastAsia="仿宋" w:cs="仿宋"/>
                <w:b/>
                <w:bCs/>
                <w:color w:val="auto"/>
                <w:sz w:val="24"/>
                <w:highlight w:val="none"/>
                <w:u w:val="single"/>
              </w:rPr>
              <w:t>1</w:t>
            </w:r>
            <w:r>
              <w:rPr>
                <w:rFonts w:hint="eastAsia" w:ascii="仿宋" w:hAnsi="仿宋" w:eastAsia="仿宋" w:cs="仿宋"/>
                <w:b/>
                <w:bCs/>
                <w:color w:val="auto"/>
                <w:sz w:val="24"/>
                <w:highlight w:val="none"/>
                <w:u w:val="single"/>
                <w:lang w:val="en-US" w:eastAsia="zh-CN"/>
              </w:rPr>
              <w:t>3</w:t>
            </w:r>
            <w:r>
              <w:rPr>
                <w:rFonts w:hint="eastAsia" w:ascii="仿宋" w:hAnsi="仿宋" w:eastAsia="仿宋" w:cs="仿宋"/>
                <w:b/>
                <w:bCs/>
                <w:color w:val="auto"/>
                <w:sz w:val="24"/>
                <w:highlight w:val="none"/>
              </w:rPr>
              <w:t>分）</w:t>
            </w:r>
          </w:p>
        </w:tc>
        <w:tc>
          <w:tcPr>
            <w:tcW w:w="6475" w:type="dxa"/>
            <w:vAlign w:val="center"/>
          </w:tcPr>
          <w:p w14:paraId="76087A7D">
            <w:pPr>
              <w:spacing w:line="40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评委根据各投标人提供的售后服务方案（培训计划、</w:t>
            </w:r>
            <w:r>
              <w:rPr>
                <w:rFonts w:hint="eastAsia" w:ascii="仿宋" w:hAnsi="仿宋" w:eastAsia="仿宋" w:cs="仿宋"/>
                <w:color w:val="auto"/>
                <w:kern w:val="0"/>
                <w:sz w:val="24"/>
                <w:highlight w:val="none"/>
                <w:lang w:val="en-US" w:eastAsia="zh-CN"/>
              </w:rPr>
              <w:t>售后服务承诺</w:t>
            </w:r>
            <w:r>
              <w:rPr>
                <w:rFonts w:hint="eastAsia" w:ascii="仿宋" w:hAnsi="仿宋" w:eastAsia="仿宋" w:cs="仿宋"/>
                <w:color w:val="auto"/>
                <w:kern w:val="0"/>
                <w:sz w:val="24"/>
                <w:highlight w:val="none"/>
              </w:rPr>
              <w:t>等）进行评审。</w:t>
            </w:r>
          </w:p>
          <w:p w14:paraId="0E8DC11F">
            <w:pPr>
              <w:spacing w:line="400" w:lineRule="exact"/>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lang w:val="en-US" w:eastAsia="zh-CN"/>
              </w:rPr>
              <w:t>1.</w:t>
            </w:r>
            <w:r>
              <w:rPr>
                <w:rFonts w:hint="eastAsia" w:ascii="仿宋" w:hAnsi="仿宋" w:eastAsia="仿宋" w:cs="仿宋"/>
                <w:b/>
                <w:bCs/>
                <w:color w:val="auto"/>
                <w:kern w:val="0"/>
                <w:sz w:val="24"/>
                <w:highlight w:val="none"/>
              </w:rPr>
              <w:t>培训计划（满分</w:t>
            </w:r>
            <w:r>
              <w:rPr>
                <w:rFonts w:hint="eastAsia" w:ascii="仿宋" w:hAnsi="仿宋" w:eastAsia="仿宋" w:cs="仿宋"/>
                <w:b/>
                <w:bCs/>
                <w:color w:val="auto"/>
                <w:kern w:val="0"/>
                <w:sz w:val="24"/>
                <w:highlight w:val="none"/>
                <w:lang w:val="en-US" w:eastAsia="zh-CN"/>
              </w:rPr>
              <w:t>4</w:t>
            </w:r>
            <w:r>
              <w:rPr>
                <w:rFonts w:hint="eastAsia" w:ascii="仿宋" w:hAnsi="仿宋" w:eastAsia="仿宋" w:cs="仿宋"/>
                <w:b/>
                <w:bCs/>
                <w:color w:val="auto"/>
                <w:kern w:val="0"/>
                <w:sz w:val="24"/>
                <w:highlight w:val="none"/>
              </w:rPr>
              <w:t>分）</w:t>
            </w:r>
          </w:p>
          <w:p w14:paraId="1D72D579">
            <w:pPr>
              <w:spacing w:line="400" w:lineRule="exact"/>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一档</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分）</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培训计划满足招标文件基本要求，具有</w:t>
            </w:r>
            <w:r>
              <w:rPr>
                <w:rFonts w:hint="eastAsia" w:ascii="仿宋" w:hAnsi="仿宋" w:eastAsia="仿宋" w:cs="仿宋"/>
                <w:color w:val="auto"/>
                <w:sz w:val="24"/>
                <w:highlight w:val="none"/>
                <w:lang w:val="en-US" w:eastAsia="zh-CN"/>
              </w:rPr>
              <w:t>较详细</w:t>
            </w:r>
            <w:r>
              <w:rPr>
                <w:rFonts w:hint="eastAsia" w:ascii="仿宋" w:hAnsi="仿宋" w:eastAsia="仿宋" w:cs="仿宋"/>
                <w:color w:val="auto"/>
                <w:sz w:val="24"/>
                <w:highlight w:val="none"/>
              </w:rPr>
              <w:t>的培训计划（包括培训人员安排</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培训方式、</w:t>
            </w:r>
            <w:r>
              <w:rPr>
                <w:rFonts w:hint="eastAsia" w:ascii="仿宋" w:hAnsi="仿宋" w:eastAsia="仿宋" w:cs="仿宋"/>
                <w:color w:val="auto"/>
                <w:sz w:val="24"/>
                <w:highlight w:val="none"/>
              </w:rPr>
              <w:t>培训内容安排）。</w:t>
            </w:r>
          </w:p>
          <w:p w14:paraId="6912F064">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二</w:t>
            </w:r>
            <w:r>
              <w:rPr>
                <w:rFonts w:hint="eastAsia" w:ascii="仿宋" w:hAnsi="仿宋" w:eastAsia="仿宋" w:cs="仿宋"/>
                <w:color w:val="auto"/>
                <w:sz w:val="24"/>
                <w:highlight w:val="none"/>
              </w:rPr>
              <w:t>档（</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分）</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培训计划优于招标文件基本要求，具有详细、完善的培训计划（包括培训人员安排</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培训方式、</w:t>
            </w:r>
            <w:r>
              <w:rPr>
                <w:rFonts w:hint="eastAsia" w:ascii="仿宋" w:hAnsi="仿宋" w:eastAsia="仿宋" w:cs="仿宋"/>
                <w:color w:val="auto"/>
                <w:sz w:val="24"/>
                <w:highlight w:val="none"/>
              </w:rPr>
              <w:t>培训内容安排，其中培训内容安排包括详细的设备功能理论培训计划、</w:t>
            </w:r>
            <w:r>
              <w:rPr>
                <w:rFonts w:hint="eastAsia" w:ascii="仿宋" w:hAnsi="仿宋" w:eastAsia="仿宋" w:cs="仿宋"/>
                <w:color w:val="auto"/>
                <w:sz w:val="24"/>
                <w:highlight w:val="none"/>
                <w:lang w:val="en-US" w:eastAsia="zh-CN"/>
              </w:rPr>
              <w:t>技术</w:t>
            </w:r>
            <w:r>
              <w:rPr>
                <w:rFonts w:hint="eastAsia" w:ascii="仿宋" w:hAnsi="仿宋" w:eastAsia="仿宋" w:cs="仿宋"/>
                <w:color w:val="auto"/>
                <w:sz w:val="24"/>
                <w:highlight w:val="none"/>
              </w:rPr>
              <w:t>操作培训计划、设备常见问题的基本维修操作培训计划等）。</w:t>
            </w:r>
          </w:p>
          <w:p w14:paraId="2B683E31">
            <w:pPr>
              <w:spacing w:line="40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2.</w:t>
            </w:r>
            <w:r>
              <w:rPr>
                <w:rFonts w:hint="eastAsia" w:ascii="仿宋" w:hAnsi="仿宋" w:eastAsia="仿宋" w:cs="仿宋"/>
                <w:b/>
                <w:bCs/>
                <w:color w:val="auto"/>
                <w:sz w:val="24"/>
                <w:highlight w:val="none"/>
              </w:rPr>
              <w:t>售后服务承诺（满分</w:t>
            </w:r>
            <w:r>
              <w:rPr>
                <w:rFonts w:hint="eastAsia" w:ascii="仿宋" w:hAnsi="仿宋" w:eastAsia="仿宋" w:cs="仿宋"/>
                <w:b/>
                <w:bCs/>
                <w:color w:val="auto"/>
                <w:sz w:val="24"/>
                <w:highlight w:val="none"/>
                <w:lang w:val="en-US" w:eastAsia="zh-CN"/>
              </w:rPr>
              <w:t>9</w:t>
            </w:r>
            <w:r>
              <w:rPr>
                <w:rFonts w:hint="eastAsia" w:ascii="仿宋" w:hAnsi="仿宋" w:eastAsia="仿宋" w:cs="仿宋"/>
                <w:b/>
                <w:bCs/>
                <w:color w:val="auto"/>
                <w:sz w:val="24"/>
                <w:highlight w:val="none"/>
              </w:rPr>
              <w:t>分）</w:t>
            </w:r>
          </w:p>
          <w:p w14:paraId="174C58B8">
            <w:pPr>
              <w:spacing w:line="400" w:lineRule="exact"/>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一档（</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分）：售后服务满足招标文件要求，且具有设备使用中的安全保障体系方案，回访计划。</w:t>
            </w:r>
          </w:p>
          <w:p w14:paraId="241F6AC8">
            <w:pPr>
              <w:spacing w:line="400" w:lineRule="exact"/>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二档（</w:t>
            </w:r>
            <w:r>
              <w:rPr>
                <w:rFonts w:hint="eastAsia" w:ascii="仿宋" w:hAnsi="仿宋" w:eastAsia="仿宋" w:cs="仿宋"/>
                <w:color w:val="auto"/>
                <w:kern w:val="0"/>
                <w:sz w:val="24"/>
                <w:highlight w:val="none"/>
                <w:lang w:val="en-US" w:eastAsia="zh-CN"/>
              </w:rPr>
              <w:t>6</w:t>
            </w:r>
            <w:r>
              <w:rPr>
                <w:rFonts w:hint="eastAsia" w:ascii="仿宋" w:hAnsi="仿宋" w:eastAsia="仿宋" w:cs="仿宋"/>
                <w:color w:val="auto"/>
                <w:kern w:val="0"/>
                <w:sz w:val="24"/>
                <w:highlight w:val="none"/>
              </w:rPr>
              <w:t>分）：满足一档的基础上</w:t>
            </w:r>
            <w:r>
              <w:rPr>
                <w:rFonts w:hint="eastAsia" w:ascii="仿宋" w:hAnsi="仿宋" w:eastAsia="仿宋" w:cs="仿宋"/>
                <w:color w:val="auto"/>
                <w:sz w:val="24"/>
                <w:highlight w:val="none"/>
              </w:rPr>
              <w:t>，售后技术支持能力</w:t>
            </w:r>
            <w:r>
              <w:rPr>
                <w:rFonts w:hint="eastAsia" w:ascii="仿宋" w:hAnsi="仿宋" w:eastAsia="仿宋" w:cs="仿宋"/>
                <w:color w:val="auto"/>
                <w:sz w:val="24"/>
                <w:highlight w:val="none"/>
                <w:lang w:val="en-US" w:eastAsia="zh-CN"/>
              </w:rPr>
              <w:t>较强</w:t>
            </w:r>
            <w:r>
              <w:rPr>
                <w:rFonts w:hint="eastAsia" w:ascii="仿宋" w:hAnsi="仿宋" w:eastAsia="仿宋" w:cs="仿宋"/>
                <w:color w:val="auto"/>
                <w:sz w:val="24"/>
                <w:highlight w:val="none"/>
              </w:rPr>
              <w:t>，</w:t>
            </w:r>
            <w:r>
              <w:rPr>
                <w:rFonts w:hint="eastAsia" w:ascii="仿宋" w:hAnsi="仿宋" w:eastAsia="仿宋" w:cs="仿宋"/>
                <w:color w:val="auto"/>
                <w:kern w:val="0"/>
                <w:sz w:val="24"/>
                <w:highlight w:val="none"/>
                <w:lang w:val="en-US" w:eastAsia="zh-CN"/>
              </w:rPr>
              <w:t>售后响应迅速，</w:t>
            </w:r>
            <w:r>
              <w:rPr>
                <w:rFonts w:hint="eastAsia" w:ascii="仿宋" w:hAnsi="仿宋" w:eastAsia="仿宋" w:cs="仿宋"/>
                <w:color w:val="auto"/>
                <w:sz w:val="24"/>
                <w:highlight w:val="none"/>
              </w:rPr>
              <w:t>具有完整的回访计划（包括回访时间计划、回访人员安排等</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lang w:val="en-US" w:eastAsia="zh-CN"/>
              </w:rPr>
              <w:t>有设备故障解决方案</w:t>
            </w:r>
            <w:r>
              <w:rPr>
                <w:rFonts w:hint="eastAsia" w:ascii="仿宋" w:hAnsi="仿宋" w:eastAsia="仿宋" w:cs="仿宋"/>
                <w:color w:val="auto"/>
                <w:sz w:val="24"/>
                <w:highlight w:val="none"/>
              </w:rPr>
              <w:t>。</w:t>
            </w:r>
          </w:p>
          <w:p w14:paraId="47A9D94D">
            <w:pPr>
              <w:spacing w:line="40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三档（</w:t>
            </w:r>
            <w:r>
              <w:rPr>
                <w:rFonts w:hint="eastAsia" w:ascii="仿宋" w:hAnsi="仿宋" w:eastAsia="仿宋" w:cs="仿宋"/>
                <w:color w:val="auto"/>
                <w:kern w:val="0"/>
                <w:sz w:val="24"/>
                <w:highlight w:val="none"/>
                <w:lang w:val="en-US" w:eastAsia="zh-CN"/>
              </w:rPr>
              <w:t>9</w:t>
            </w:r>
            <w:r>
              <w:rPr>
                <w:rFonts w:hint="eastAsia" w:ascii="仿宋" w:hAnsi="仿宋" w:eastAsia="仿宋" w:cs="仿宋"/>
                <w:color w:val="auto"/>
                <w:kern w:val="0"/>
                <w:sz w:val="24"/>
                <w:highlight w:val="none"/>
              </w:rPr>
              <w:t>分）：</w:t>
            </w:r>
            <w:r>
              <w:rPr>
                <w:rFonts w:hint="eastAsia" w:ascii="仿宋" w:hAnsi="仿宋" w:eastAsia="仿宋" w:cs="仿宋"/>
                <w:color w:val="auto"/>
                <w:kern w:val="0"/>
                <w:sz w:val="24"/>
                <w:highlight w:val="none"/>
                <w:lang w:val="en-US" w:eastAsia="zh-CN"/>
              </w:rPr>
              <w:t>满足二档的基础上，</w:t>
            </w:r>
            <w:r>
              <w:rPr>
                <w:rFonts w:hint="eastAsia" w:ascii="仿宋" w:hAnsi="仿宋" w:eastAsia="仿宋" w:cs="仿宋"/>
                <w:color w:val="auto"/>
                <w:kern w:val="0"/>
                <w:sz w:val="24"/>
                <w:highlight w:val="none"/>
              </w:rPr>
              <w:t>售后</w:t>
            </w:r>
            <w:r>
              <w:rPr>
                <w:rFonts w:hint="eastAsia" w:ascii="仿宋" w:hAnsi="仿宋" w:eastAsia="仿宋" w:cs="仿宋"/>
                <w:color w:val="auto"/>
                <w:sz w:val="24"/>
                <w:highlight w:val="none"/>
                <w:lang w:val="en-US" w:eastAsia="zh-CN"/>
              </w:rPr>
              <w:t>服务</w:t>
            </w:r>
            <w:r>
              <w:rPr>
                <w:rFonts w:hint="eastAsia" w:ascii="仿宋" w:hAnsi="仿宋" w:eastAsia="仿宋" w:cs="仿宋"/>
                <w:color w:val="auto"/>
                <w:sz w:val="24"/>
                <w:highlight w:val="none"/>
              </w:rPr>
              <w:t>保障体系及措施</w:t>
            </w:r>
            <w:r>
              <w:rPr>
                <w:rFonts w:hint="eastAsia" w:ascii="仿宋" w:hAnsi="仿宋" w:eastAsia="仿宋" w:cs="仿宋"/>
                <w:color w:val="auto"/>
                <w:kern w:val="0"/>
                <w:sz w:val="24"/>
                <w:highlight w:val="none"/>
              </w:rPr>
              <w:t>优于招标文件要求，具有</w:t>
            </w:r>
            <w:r>
              <w:rPr>
                <w:rFonts w:hint="eastAsia" w:ascii="仿宋" w:hAnsi="仿宋" w:eastAsia="仿宋" w:cs="仿宋"/>
                <w:color w:val="auto"/>
                <w:kern w:val="0"/>
                <w:sz w:val="24"/>
                <w:highlight w:val="none"/>
                <w:lang w:val="en-US" w:eastAsia="zh-CN"/>
              </w:rPr>
              <w:t>完整详细</w:t>
            </w:r>
            <w:r>
              <w:rPr>
                <w:rFonts w:hint="eastAsia" w:ascii="仿宋" w:hAnsi="仿宋" w:eastAsia="仿宋" w:cs="仿宋"/>
                <w:color w:val="auto"/>
                <w:kern w:val="0"/>
                <w:sz w:val="24"/>
                <w:highlight w:val="none"/>
              </w:rPr>
              <w:t>的回访计划（</w:t>
            </w:r>
            <w:r>
              <w:rPr>
                <w:rFonts w:hint="eastAsia" w:ascii="仿宋" w:hAnsi="仿宋" w:eastAsia="仿宋" w:cs="仿宋"/>
                <w:color w:val="auto"/>
                <w:sz w:val="24"/>
                <w:highlight w:val="none"/>
              </w:rPr>
              <w:t>包括回访时间计划、回访人员安排等</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en-US" w:eastAsia="zh-CN"/>
              </w:rPr>
              <w:t>设备故障解决方案完善，</w:t>
            </w:r>
            <w:r>
              <w:rPr>
                <w:rFonts w:hint="eastAsia" w:ascii="仿宋" w:hAnsi="仿宋" w:eastAsia="仿宋" w:cs="仿宋"/>
                <w:color w:val="auto"/>
                <w:kern w:val="0"/>
                <w:sz w:val="24"/>
                <w:highlight w:val="none"/>
              </w:rPr>
              <w:t>可提供质保期内的原厂售后服务承诺，针对本项目类似医疗设备的售后服务经验丰富，耗材和备品备件库存配备充足可及时供应。</w:t>
            </w:r>
          </w:p>
        </w:tc>
      </w:tr>
      <w:tr w14:paraId="13169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vMerge w:val="restart"/>
            <w:vAlign w:val="center"/>
          </w:tcPr>
          <w:p w14:paraId="1BC28C66">
            <w:pPr>
              <w:spacing w:line="40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3</w:t>
            </w:r>
          </w:p>
        </w:tc>
        <w:tc>
          <w:tcPr>
            <w:tcW w:w="921" w:type="dxa"/>
            <w:vMerge w:val="restart"/>
            <w:vAlign w:val="center"/>
          </w:tcPr>
          <w:p w14:paraId="6D54E6BB">
            <w:pPr>
              <w:adjustRightInd w:val="0"/>
              <w:spacing w:line="400" w:lineRule="exact"/>
              <w:jc w:val="center"/>
              <w:textAlignment w:val="baseline"/>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商务分</w:t>
            </w:r>
          </w:p>
          <w:p w14:paraId="5B4B4FB4">
            <w:pPr>
              <w:adjustRightInd w:val="0"/>
              <w:spacing w:line="400" w:lineRule="exact"/>
              <w:jc w:val="center"/>
              <w:textAlignment w:val="baseline"/>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（满分</w:t>
            </w:r>
            <w:r>
              <w:rPr>
                <w:rFonts w:hint="eastAsia" w:ascii="仿宋" w:hAnsi="仿宋" w:eastAsia="仿宋" w:cs="仿宋"/>
                <w:b/>
                <w:color w:val="auto"/>
                <w:sz w:val="24"/>
                <w:highlight w:val="none"/>
                <w:u w:val="single"/>
                <w:lang w:val="en-US" w:eastAsia="zh-CN"/>
              </w:rPr>
              <w:t>3.6</w:t>
            </w:r>
            <w:r>
              <w:rPr>
                <w:rFonts w:hint="eastAsia" w:ascii="仿宋" w:hAnsi="仿宋" w:eastAsia="仿宋" w:cs="仿宋"/>
                <w:b/>
                <w:color w:val="auto"/>
                <w:sz w:val="24"/>
                <w:highlight w:val="none"/>
                <w:u w:val="single"/>
              </w:rPr>
              <w:t>分</w:t>
            </w:r>
            <w:r>
              <w:rPr>
                <w:rFonts w:hint="eastAsia" w:ascii="仿宋" w:hAnsi="仿宋" w:eastAsia="仿宋" w:cs="仿宋"/>
                <w:b/>
                <w:color w:val="auto"/>
                <w:sz w:val="24"/>
                <w:highlight w:val="none"/>
              </w:rPr>
              <w:t>）</w:t>
            </w:r>
          </w:p>
        </w:tc>
        <w:tc>
          <w:tcPr>
            <w:tcW w:w="1134" w:type="dxa"/>
            <w:vAlign w:val="center"/>
          </w:tcPr>
          <w:p w14:paraId="00A86EBE">
            <w:pPr>
              <w:spacing w:line="40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业绩</w:t>
            </w:r>
          </w:p>
          <w:p w14:paraId="098BD0DE">
            <w:pPr>
              <w:adjustRightInd w:val="0"/>
              <w:spacing w:line="400" w:lineRule="exact"/>
              <w:jc w:val="center"/>
              <w:textAlignment w:val="baseline"/>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（满分</w:t>
            </w:r>
            <w:r>
              <w:rPr>
                <w:rFonts w:hint="eastAsia" w:ascii="仿宋" w:hAnsi="仿宋" w:eastAsia="仿宋" w:cs="仿宋"/>
                <w:b/>
                <w:color w:val="auto"/>
                <w:sz w:val="24"/>
                <w:highlight w:val="none"/>
                <w:u w:val="single"/>
                <w:lang w:val="en-US" w:eastAsia="zh-CN"/>
              </w:rPr>
              <w:t>2</w:t>
            </w:r>
            <w:r>
              <w:rPr>
                <w:rFonts w:hint="eastAsia" w:ascii="仿宋" w:hAnsi="仿宋" w:eastAsia="仿宋" w:cs="仿宋"/>
                <w:b/>
                <w:color w:val="auto"/>
                <w:sz w:val="24"/>
                <w:highlight w:val="none"/>
              </w:rPr>
              <w:t>分）</w:t>
            </w:r>
          </w:p>
        </w:tc>
        <w:tc>
          <w:tcPr>
            <w:tcW w:w="6475" w:type="dxa"/>
            <w:tcMar>
              <w:left w:w="57" w:type="dxa"/>
              <w:right w:w="57" w:type="dxa"/>
            </w:tcMar>
            <w:vAlign w:val="center"/>
          </w:tcPr>
          <w:p w14:paraId="033CCF42">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类似</w:t>
            </w:r>
            <w:r>
              <w:rPr>
                <w:rFonts w:hint="eastAsia" w:ascii="仿宋" w:hAnsi="仿宋" w:eastAsia="仿宋" w:cs="仿宋"/>
                <w:color w:val="auto"/>
                <w:sz w:val="24"/>
                <w:highlight w:val="none"/>
              </w:rPr>
              <w:t>项目业绩：投标人2022年1月1日至今（以合同签订日期为准）</w:t>
            </w:r>
            <w:r>
              <w:rPr>
                <w:rFonts w:hint="eastAsia" w:ascii="仿宋" w:hAnsi="仿宋" w:eastAsia="仿宋" w:cs="仿宋"/>
                <w:color w:val="auto"/>
                <w:sz w:val="24"/>
                <w:highlight w:val="none"/>
                <w:lang w:val="en-US" w:eastAsia="zh-CN"/>
              </w:rPr>
              <w:t>具有类似</w:t>
            </w:r>
            <w:r>
              <w:rPr>
                <w:rFonts w:hint="eastAsia" w:ascii="仿宋" w:hAnsi="仿宋" w:eastAsia="仿宋" w:cs="仿宋"/>
                <w:color w:val="auto"/>
                <w:sz w:val="24"/>
                <w:highlight w:val="none"/>
              </w:rPr>
              <w:t>医疗设备项目业绩</w:t>
            </w:r>
            <w:r>
              <w:rPr>
                <w:rFonts w:hint="eastAsia" w:ascii="仿宋" w:hAnsi="仿宋" w:eastAsia="仿宋" w:cs="仿宋"/>
                <w:color w:val="auto"/>
                <w:sz w:val="24"/>
                <w:highlight w:val="none"/>
                <w:lang w:eastAsia="zh-CN"/>
              </w:rPr>
              <w:t>的</w:t>
            </w:r>
            <w:r>
              <w:rPr>
                <w:rFonts w:hint="eastAsia" w:ascii="仿宋" w:hAnsi="仿宋" w:eastAsia="仿宋" w:cs="仿宋"/>
                <w:color w:val="auto"/>
                <w:sz w:val="24"/>
                <w:highlight w:val="none"/>
              </w:rPr>
              <w:t>，每项得1分，</w:t>
            </w:r>
            <w:r>
              <w:rPr>
                <w:rFonts w:hint="eastAsia" w:ascii="仿宋" w:hAnsi="仿宋" w:eastAsia="仿宋" w:cs="仿宋"/>
                <w:color w:val="auto"/>
                <w:sz w:val="24"/>
                <w:highlight w:val="none"/>
                <w:lang w:val="en-US" w:eastAsia="zh-CN"/>
              </w:rPr>
              <w:t>满分2</w:t>
            </w:r>
            <w:r>
              <w:rPr>
                <w:rFonts w:hint="eastAsia" w:ascii="仿宋" w:hAnsi="仿宋" w:eastAsia="仿宋" w:cs="仿宋"/>
                <w:color w:val="auto"/>
                <w:sz w:val="24"/>
                <w:highlight w:val="none"/>
              </w:rPr>
              <w:t>分。</w:t>
            </w:r>
          </w:p>
          <w:p w14:paraId="44F9F27D">
            <w:pPr>
              <w:spacing w:line="40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（注：须提供合同关键页扫描件</w:t>
            </w:r>
            <w:r>
              <w:rPr>
                <w:rFonts w:hint="eastAsia" w:ascii="仿宋" w:hAnsi="仿宋" w:eastAsia="仿宋" w:cs="仿宋"/>
                <w:b/>
                <w:bCs/>
                <w:color w:val="auto"/>
                <w:sz w:val="24"/>
                <w:highlight w:val="none"/>
                <w:lang w:eastAsia="zh-CN"/>
              </w:rPr>
              <w:t>（</w:t>
            </w:r>
            <w:r>
              <w:rPr>
                <w:rFonts w:hint="eastAsia" w:ascii="仿宋" w:hAnsi="仿宋" w:eastAsia="仿宋" w:cs="仿宋"/>
                <w:b/>
                <w:bCs/>
                <w:color w:val="auto"/>
                <w:sz w:val="24"/>
                <w:highlight w:val="none"/>
              </w:rPr>
              <w:t>包括但不限于合同名称页、合同主要内容页、合同签订日期页、合同双方签字盖章页</w:t>
            </w:r>
            <w:r>
              <w:rPr>
                <w:rFonts w:hint="eastAsia" w:ascii="仿宋" w:hAnsi="仿宋" w:eastAsia="仿宋" w:cs="仿宋"/>
                <w:b/>
                <w:bCs/>
                <w:color w:val="auto"/>
                <w:sz w:val="24"/>
                <w:highlight w:val="none"/>
                <w:lang w:eastAsia="zh-CN"/>
              </w:rPr>
              <w:t>）</w:t>
            </w:r>
            <w:r>
              <w:rPr>
                <w:rFonts w:hint="eastAsia" w:ascii="仿宋" w:hAnsi="仿宋" w:eastAsia="仿宋" w:cs="仿宋"/>
                <w:b/>
                <w:bCs/>
                <w:color w:val="auto"/>
                <w:sz w:val="24"/>
                <w:highlight w:val="none"/>
              </w:rPr>
              <w:t>并加盖投标人公章，否则不得分。合同体现签订日期的，以合同签订日期为准；合同未体现签订日期的，但是合同履行期限能明显判断在2022年1月1日或之后开始实施的，该合同应予以认可。若合同无法体现具体内容的，可增加客户方提供的证明材料作为佐证材料，否则不得分。）</w:t>
            </w:r>
          </w:p>
        </w:tc>
      </w:tr>
      <w:tr w14:paraId="48DD6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vMerge w:val="continue"/>
            <w:vAlign w:val="center"/>
          </w:tcPr>
          <w:p w14:paraId="25400EAD">
            <w:pPr>
              <w:spacing w:line="400" w:lineRule="exact"/>
              <w:jc w:val="center"/>
              <w:rPr>
                <w:rFonts w:hint="eastAsia" w:ascii="仿宋" w:hAnsi="仿宋" w:eastAsia="仿宋" w:cs="仿宋"/>
                <w:b/>
                <w:color w:val="auto"/>
                <w:sz w:val="24"/>
                <w:highlight w:val="none"/>
              </w:rPr>
            </w:pPr>
          </w:p>
        </w:tc>
        <w:tc>
          <w:tcPr>
            <w:tcW w:w="921" w:type="dxa"/>
            <w:vMerge w:val="continue"/>
            <w:vAlign w:val="center"/>
          </w:tcPr>
          <w:p w14:paraId="257FCC48">
            <w:pPr>
              <w:adjustRightInd w:val="0"/>
              <w:spacing w:line="400" w:lineRule="exact"/>
              <w:jc w:val="center"/>
              <w:textAlignment w:val="baseline"/>
              <w:rPr>
                <w:rFonts w:hint="eastAsia" w:ascii="仿宋" w:hAnsi="仿宋" w:eastAsia="仿宋" w:cs="仿宋"/>
                <w:b/>
                <w:color w:val="auto"/>
                <w:sz w:val="24"/>
                <w:highlight w:val="none"/>
              </w:rPr>
            </w:pPr>
          </w:p>
        </w:tc>
        <w:tc>
          <w:tcPr>
            <w:tcW w:w="1134" w:type="dxa"/>
            <w:vAlign w:val="center"/>
          </w:tcPr>
          <w:p w14:paraId="32CC99EF">
            <w:pPr>
              <w:spacing w:line="400" w:lineRule="exact"/>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企业信誉（满分</w:t>
            </w:r>
            <w:r>
              <w:rPr>
                <w:rFonts w:hint="eastAsia" w:ascii="仿宋" w:hAnsi="仿宋" w:eastAsia="仿宋" w:cs="仿宋"/>
                <w:b/>
                <w:bCs/>
                <w:color w:val="auto"/>
                <w:sz w:val="24"/>
                <w:highlight w:val="none"/>
                <w:u w:val="single"/>
                <w:lang w:val="en-US" w:eastAsia="zh-CN"/>
              </w:rPr>
              <w:t>1.6</w:t>
            </w:r>
            <w:r>
              <w:rPr>
                <w:rFonts w:hint="eastAsia" w:ascii="仿宋" w:hAnsi="仿宋" w:eastAsia="仿宋" w:cs="仿宋"/>
                <w:b/>
                <w:bCs/>
                <w:color w:val="auto"/>
                <w:sz w:val="24"/>
                <w:highlight w:val="none"/>
              </w:rPr>
              <w:t>分）</w:t>
            </w:r>
          </w:p>
        </w:tc>
        <w:tc>
          <w:tcPr>
            <w:tcW w:w="6475" w:type="dxa"/>
            <w:tcMar>
              <w:left w:w="57" w:type="dxa"/>
              <w:right w:w="57" w:type="dxa"/>
            </w:tcMar>
            <w:vAlign w:val="center"/>
          </w:tcPr>
          <w:p w14:paraId="390AFE2C">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投标人或投标产品生产厂家具备以下证书的，每有一个得</w:t>
            </w:r>
            <w:r>
              <w:rPr>
                <w:rFonts w:hint="eastAsia" w:ascii="仿宋" w:hAnsi="仿宋" w:eastAsia="仿宋" w:cs="仿宋"/>
                <w:color w:val="auto"/>
                <w:sz w:val="24"/>
                <w:highlight w:val="none"/>
                <w:lang w:val="en-US" w:eastAsia="zh-CN"/>
              </w:rPr>
              <w:t>0.8</w:t>
            </w:r>
            <w:r>
              <w:rPr>
                <w:rFonts w:hint="eastAsia" w:ascii="仿宋" w:hAnsi="仿宋" w:eastAsia="仿宋" w:cs="仿宋"/>
                <w:color w:val="auto"/>
                <w:sz w:val="24"/>
                <w:highlight w:val="none"/>
              </w:rPr>
              <w:t>分，满分</w:t>
            </w:r>
            <w:r>
              <w:rPr>
                <w:rFonts w:hint="eastAsia" w:ascii="仿宋" w:hAnsi="仿宋" w:eastAsia="仿宋" w:cs="仿宋"/>
                <w:color w:val="auto"/>
                <w:sz w:val="24"/>
                <w:highlight w:val="none"/>
                <w:lang w:val="en-US" w:eastAsia="zh-CN"/>
              </w:rPr>
              <w:t>1.6</w:t>
            </w:r>
            <w:r>
              <w:rPr>
                <w:rFonts w:hint="eastAsia" w:ascii="仿宋" w:hAnsi="仿宋" w:eastAsia="仿宋" w:cs="仿宋"/>
                <w:color w:val="auto"/>
                <w:sz w:val="24"/>
                <w:highlight w:val="none"/>
              </w:rPr>
              <w:t>分。</w:t>
            </w:r>
          </w:p>
          <w:p w14:paraId="163AD520">
            <w:pPr>
              <w:rPr>
                <w:rFonts w:hint="eastAsia" w:ascii="仿宋" w:hAnsi="仿宋" w:eastAsia="仿宋" w:cs="仿宋"/>
                <w:color w:val="auto"/>
                <w:sz w:val="24"/>
                <w:highlight w:val="none"/>
              </w:rPr>
            </w:pPr>
            <w:r>
              <w:rPr>
                <w:rFonts w:hint="eastAsia" w:ascii="仿宋" w:hAnsi="仿宋" w:eastAsia="仿宋" w:cs="仿宋"/>
                <w:color w:val="auto"/>
                <w:sz w:val="24"/>
                <w:highlight w:val="none"/>
              </w:rPr>
              <w:t>（1）ISO9001质量管理体系认证</w:t>
            </w:r>
          </w:p>
          <w:p w14:paraId="35D994C3">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（2）ISO13485医疗器械质量管理体系认证</w:t>
            </w:r>
          </w:p>
          <w:p w14:paraId="6E3A2D01">
            <w:pPr>
              <w:spacing w:line="40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（注：需提供有效证书扫描件并加盖投标人公章或电子签章，否则不得分。）</w:t>
            </w:r>
          </w:p>
        </w:tc>
      </w:tr>
      <w:tr w14:paraId="22AD9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vAlign w:val="center"/>
          </w:tcPr>
          <w:p w14:paraId="63F043BE">
            <w:pPr>
              <w:spacing w:line="40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4</w:t>
            </w:r>
          </w:p>
        </w:tc>
        <w:tc>
          <w:tcPr>
            <w:tcW w:w="921" w:type="dxa"/>
            <w:vAlign w:val="center"/>
          </w:tcPr>
          <w:p w14:paraId="60A94FC3">
            <w:pPr>
              <w:spacing w:line="40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政策分</w:t>
            </w:r>
          </w:p>
          <w:p w14:paraId="2A0F0CFD">
            <w:pPr>
              <w:adjustRightInd w:val="0"/>
              <w:spacing w:line="400" w:lineRule="exact"/>
              <w:jc w:val="center"/>
              <w:textAlignment w:val="baseline"/>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（满分</w:t>
            </w:r>
            <w:r>
              <w:rPr>
                <w:rFonts w:hint="eastAsia" w:ascii="仿宋" w:hAnsi="仿宋" w:eastAsia="仿宋" w:cs="仿宋"/>
                <w:b/>
                <w:bCs/>
                <w:color w:val="auto"/>
                <w:sz w:val="24"/>
                <w:highlight w:val="none"/>
                <w:u w:val="single"/>
                <w:lang w:val="en-US" w:eastAsia="zh-CN"/>
              </w:rPr>
              <w:t>1</w:t>
            </w:r>
            <w:r>
              <w:rPr>
                <w:rFonts w:hint="eastAsia" w:ascii="仿宋" w:hAnsi="仿宋" w:eastAsia="仿宋" w:cs="仿宋"/>
                <w:b/>
                <w:bCs/>
                <w:color w:val="auto"/>
                <w:sz w:val="24"/>
                <w:highlight w:val="none"/>
              </w:rPr>
              <w:t>分）</w:t>
            </w:r>
          </w:p>
        </w:tc>
        <w:tc>
          <w:tcPr>
            <w:tcW w:w="1134" w:type="dxa"/>
            <w:vAlign w:val="center"/>
          </w:tcPr>
          <w:p w14:paraId="7B956AA4">
            <w:pPr>
              <w:spacing w:line="40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节能、环境标志产品</w:t>
            </w:r>
            <w:r>
              <w:rPr>
                <w:rFonts w:hint="eastAsia" w:ascii="仿宋" w:hAnsi="仿宋" w:eastAsia="仿宋" w:cs="仿宋"/>
                <w:b/>
                <w:bCs/>
                <w:color w:val="auto"/>
                <w:sz w:val="24"/>
                <w:highlight w:val="none"/>
              </w:rPr>
              <w:t>（满分</w:t>
            </w:r>
            <w:r>
              <w:rPr>
                <w:rFonts w:hint="eastAsia" w:ascii="仿宋" w:hAnsi="仿宋" w:eastAsia="仿宋" w:cs="仿宋"/>
                <w:b/>
                <w:bCs/>
                <w:color w:val="auto"/>
                <w:sz w:val="24"/>
                <w:highlight w:val="none"/>
                <w:u w:val="single"/>
                <w:lang w:val="en-US" w:eastAsia="zh-CN"/>
              </w:rPr>
              <w:t>1</w:t>
            </w:r>
            <w:r>
              <w:rPr>
                <w:rFonts w:hint="eastAsia" w:ascii="仿宋" w:hAnsi="仿宋" w:eastAsia="仿宋" w:cs="仿宋"/>
                <w:b/>
                <w:bCs/>
                <w:color w:val="auto"/>
                <w:sz w:val="24"/>
                <w:highlight w:val="none"/>
              </w:rPr>
              <w:t>分）</w:t>
            </w:r>
          </w:p>
        </w:tc>
        <w:tc>
          <w:tcPr>
            <w:tcW w:w="6475" w:type="dxa"/>
            <w:vAlign w:val="center"/>
          </w:tcPr>
          <w:p w14:paraId="66C3DF9F">
            <w:pPr>
              <w:pStyle w:val="23"/>
              <w:spacing w:line="400" w:lineRule="exact"/>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1）属于财政部《节能产品政府采购品目清单》内优先采购（清单内未标注“★”的品目）的产品[投标文件中提供有效的认证证书复印件及品目清单（标注出投标产品在品目清单中所属的品目），并加盖投标人公章]，根据其所占项目（或者分标）预算金额比例得</w:t>
            </w:r>
            <w:r>
              <w:rPr>
                <w:rFonts w:hint="eastAsia" w:ascii="仿宋" w:hAnsi="仿宋" w:eastAsia="仿宋" w:cs="仿宋"/>
                <w:bCs/>
                <w:color w:val="auto"/>
                <w:kern w:val="2"/>
                <w:sz w:val="24"/>
                <w:szCs w:val="24"/>
                <w:highlight w:val="none"/>
                <w:u w:val="single"/>
              </w:rPr>
              <w:t>0</w:t>
            </w:r>
            <w:r>
              <w:rPr>
                <w:rFonts w:hint="eastAsia" w:ascii="仿宋" w:hAnsi="仿宋" w:eastAsia="仿宋" w:cs="仿宋"/>
                <w:bCs/>
                <w:color w:val="auto"/>
                <w:kern w:val="2"/>
                <w:sz w:val="24"/>
                <w:szCs w:val="24"/>
                <w:highlight w:val="none"/>
              </w:rPr>
              <w:t>至</w:t>
            </w:r>
            <w:r>
              <w:rPr>
                <w:rFonts w:hint="eastAsia" w:ascii="仿宋" w:hAnsi="仿宋" w:eastAsia="仿宋" w:cs="仿宋"/>
                <w:bCs/>
                <w:color w:val="auto"/>
                <w:kern w:val="2"/>
                <w:sz w:val="24"/>
                <w:szCs w:val="24"/>
                <w:highlight w:val="none"/>
                <w:u w:val="single"/>
                <w:lang w:val="en-US" w:eastAsia="zh-CN"/>
              </w:rPr>
              <w:t>0.5</w:t>
            </w:r>
            <w:r>
              <w:rPr>
                <w:rFonts w:hint="eastAsia" w:ascii="仿宋" w:hAnsi="仿宋" w:eastAsia="仿宋" w:cs="仿宋"/>
                <w:bCs/>
                <w:color w:val="auto"/>
                <w:kern w:val="2"/>
                <w:sz w:val="24"/>
                <w:szCs w:val="24"/>
                <w:highlight w:val="none"/>
              </w:rPr>
              <w:t>分，满分</w:t>
            </w:r>
            <w:r>
              <w:rPr>
                <w:rFonts w:hint="eastAsia" w:ascii="仿宋" w:hAnsi="仿宋" w:eastAsia="仿宋" w:cs="仿宋"/>
                <w:bCs/>
                <w:color w:val="auto"/>
                <w:kern w:val="2"/>
                <w:sz w:val="24"/>
                <w:szCs w:val="24"/>
                <w:highlight w:val="none"/>
                <w:u w:val="single"/>
                <w:lang w:val="en-US" w:eastAsia="zh-CN"/>
              </w:rPr>
              <w:t>0.5</w:t>
            </w:r>
            <w:r>
              <w:rPr>
                <w:rFonts w:hint="eastAsia" w:ascii="仿宋" w:hAnsi="仿宋" w:eastAsia="仿宋" w:cs="仿宋"/>
                <w:bCs/>
                <w:color w:val="auto"/>
                <w:kern w:val="2"/>
                <w:sz w:val="24"/>
                <w:szCs w:val="24"/>
                <w:highlight w:val="none"/>
              </w:rPr>
              <w:t>分。</w:t>
            </w:r>
          </w:p>
          <w:p w14:paraId="434B4BE8">
            <w:pPr>
              <w:pStyle w:val="23"/>
              <w:spacing w:line="400" w:lineRule="exact"/>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2）属于财政部《环境标志产品政府采购品目清单》内的产品[投标文件中提供有效的认证证书复印件及品目清单（标注出投标产品在品目清单中所属的品目），并加盖投标人公章]，根据其所占项目（或者分标）预算金额比例得</w:t>
            </w:r>
            <w:r>
              <w:rPr>
                <w:rFonts w:hint="eastAsia" w:ascii="仿宋" w:hAnsi="仿宋" w:eastAsia="仿宋" w:cs="仿宋"/>
                <w:bCs/>
                <w:color w:val="auto"/>
                <w:kern w:val="2"/>
                <w:sz w:val="24"/>
                <w:szCs w:val="24"/>
                <w:highlight w:val="none"/>
                <w:u w:val="single"/>
              </w:rPr>
              <w:t>0</w:t>
            </w:r>
            <w:r>
              <w:rPr>
                <w:rFonts w:hint="eastAsia" w:ascii="仿宋" w:hAnsi="仿宋" w:eastAsia="仿宋" w:cs="仿宋"/>
                <w:bCs/>
                <w:color w:val="auto"/>
                <w:kern w:val="2"/>
                <w:sz w:val="24"/>
                <w:szCs w:val="24"/>
                <w:highlight w:val="none"/>
              </w:rPr>
              <w:t>至</w:t>
            </w:r>
            <w:r>
              <w:rPr>
                <w:rFonts w:hint="eastAsia" w:ascii="仿宋" w:hAnsi="仿宋" w:eastAsia="仿宋" w:cs="仿宋"/>
                <w:bCs/>
                <w:color w:val="auto"/>
                <w:kern w:val="2"/>
                <w:sz w:val="24"/>
                <w:szCs w:val="24"/>
                <w:highlight w:val="none"/>
                <w:u w:val="single"/>
                <w:lang w:val="en-US" w:eastAsia="zh-CN"/>
              </w:rPr>
              <w:t>0.5</w:t>
            </w:r>
            <w:r>
              <w:rPr>
                <w:rFonts w:hint="eastAsia" w:ascii="仿宋" w:hAnsi="仿宋" w:eastAsia="仿宋" w:cs="仿宋"/>
                <w:bCs/>
                <w:color w:val="auto"/>
                <w:kern w:val="2"/>
                <w:sz w:val="24"/>
                <w:szCs w:val="24"/>
                <w:highlight w:val="none"/>
              </w:rPr>
              <w:t>分，满分</w:t>
            </w:r>
            <w:r>
              <w:rPr>
                <w:rFonts w:hint="eastAsia" w:ascii="仿宋" w:hAnsi="仿宋" w:eastAsia="仿宋" w:cs="仿宋"/>
                <w:bCs/>
                <w:color w:val="auto"/>
                <w:kern w:val="2"/>
                <w:sz w:val="24"/>
                <w:szCs w:val="24"/>
                <w:highlight w:val="none"/>
                <w:u w:val="single"/>
                <w:lang w:val="en-US" w:eastAsia="zh-CN"/>
              </w:rPr>
              <w:t>0.5</w:t>
            </w:r>
            <w:r>
              <w:rPr>
                <w:rFonts w:hint="eastAsia" w:ascii="仿宋" w:hAnsi="仿宋" w:eastAsia="仿宋" w:cs="仿宋"/>
                <w:bCs/>
                <w:color w:val="auto"/>
                <w:kern w:val="2"/>
                <w:sz w:val="24"/>
                <w:szCs w:val="24"/>
                <w:highlight w:val="none"/>
              </w:rPr>
              <w:t>分；</w:t>
            </w:r>
          </w:p>
          <w:p w14:paraId="42E55F81">
            <w:pPr>
              <w:pStyle w:val="23"/>
              <w:spacing w:line="400" w:lineRule="exact"/>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（3）非节能、环境标志产品的不得分。</w:t>
            </w:r>
          </w:p>
        </w:tc>
      </w:tr>
      <w:tr w14:paraId="1F9AB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3" w:type="dxa"/>
            <w:gridSpan w:val="4"/>
            <w:vAlign w:val="center"/>
          </w:tcPr>
          <w:p w14:paraId="184EBEE0">
            <w:pPr>
              <w:pStyle w:val="23"/>
              <w:spacing w:line="400" w:lineRule="exact"/>
              <w:rPr>
                <w:rFonts w:hint="eastAsia" w:ascii="仿宋" w:hAnsi="仿宋" w:eastAsia="仿宋" w:cs="仿宋"/>
                <w:bCs/>
                <w:color w:val="auto"/>
                <w:kern w:val="2"/>
                <w:sz w:val="24"/>
                <w:szCs w:val="24"/>
                <w:highlight w:val="none"/>
              </w:rPr>
            </w:pPr>
            <w:r>
              <w:rPr>
                <w:rFonts w:hint="eastAsia" w:ascii="仿宋" w:hAnsi="仿宋" w:eastAsia="仿宋" w:cs="仿宋"/>
                <w:b/>
                <w:bCs/>
                <w:color w:val="auto"/>
                <w:kern w:val="2"/>
                <w:sz w:val="24"/>
                <w:szCs w:val="24"/>
                <w:highlight w:val="none"/>
              </w:rPr>
              <w:t>总得分=1+2+3+4。</w:t>
            </w:r>
          </w:p>
        </w:tc>
      </w:tr>
      <w:bookmarkEnd w:id="154"/>
    </w:tbl>
    <w:p w14:paraId="24CF2FFB">
      <w:pPr>
        <w:pStyle w:val="23"/>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sz w:val="24"/>
          <w:szCs w:val="24"/>
          <w:highlight w:val="none"/>
        </w:rPr>
        <w:t>评标委员会将根据总得分由高到低排列次序并推荐3名中标候选人。得分相同的，以投标报价由低到高顺序排列。得分相同且投标报价相同的并列，投标文件满足招标文件全部实质性要求，且按照评审因素的量化指标评审得分最高的投标人为排名第一的中标候选人。</w:t>
      </w:r>
      <w:bookmarkEnd w:id="153"/>
      <w:r>
        <w:rPr>
          <w:rFonts w:hint="eastAsia" w:ascii="仿宋" w:hAnsi="仿宋" w:eastAsia="仿宋" w:cs="仿宋"/>
          <w:color w:val="auto"/>
          <w:highlight w:val="none"/>
        </w:rPr>
        <w:br w:type="column"/>
      </w:r>
      <w:bookmarkStart w:id="155" w:name="_Toc19686833"/>
    </w:p>
    <w:p w14:paraId="7F091979">
      <w:pPr>
        <w:jc w:val="center"/>
        <w:outlineLvl w:val="1"/>
        <w:rPr>
          <w:rFonts w:hint="eastAsia" w:ascii="仿宋" w:hAnsi="仿宋" w:eastAsia="仿宋" w:cs="仿宋"/>
          <w:color w:val="auto"/>
          <w:sz w:val="36"/>
          <w:szCs w:val="36"/>
          <w:highlight w:val="none"/>
        </w:rPr>
      </w:pPr>
      <w:bookmarkStart w:id="156" w:name="_Toc8443"/>
      <w:bookmarkStart w:id="157" w:name="_Toc11983"/>
      <w:r>
        <w:rPr>
          <w:rFonts w:hint="eastAsia" w:ascii="仿宋" w:hAnsi="仿宋" w:eastAsia="仿宋" w:cs="仿宋"/>
          <w:color w:val="auto"/>
          <w:sz w:val="36"/>
          <w:szCs w:val="36"/>
          <w:highlight w:val="none"/>
        </w:rPr>
        <w:t>第五章  拟签订的合同文本</w:t>
      </w:r>
      <w:bookmarkEnd w:id="155"/>
      <w:bookmarkEnd w:id="156"/>
      <w:bookmarkEnd w:id="157"/>
    </w:p>
    <w:p w14:paraId="25A0C55C">
      <w:pPr>
        <w:tabs>
          <w:tab w:val="left" w:pos="422"/>
          <w:tab w:val="center" w:pos="5198"/>
        </w:tabs>
        <w:spacing w:line="840" w:lineRule="exact"/>
        <w:ind w:firstLine="420"/>
        <w:jc w:val="center"/>
        <w:rPr>
          <w:rFonts w:hint="eastAsia" w:ascii="仿宋" w:hAnsi="仿宋" w:eastAsia="仿宋" w:cs="仿宋"/>
          <w:b/>
          <w:bCs/>
          <w:color w:val="auto"/>
          <w:sz w:val="72"/>
          <w:szCs w:val="20"/>
          <w:highlight w:val="none"/>
        </w:rPr>
      </w:pPr>
    </w:p>
    <w:p w14:paraId="23C02C3F">
      <w:pPr>
        <w:tabs>
          <w:tab w:val="left" w:pos="422"/>
          <w:tab w:val="center" w:pos="5198"/>
        </w:tabs>
        <w:spacing w:line="840" w:lineRule="exact"/>
        <w:ind w:firstLine="420"/>
        <w:jc w:val="center"/>
        <w:rPr>
          <w:rFonts w:hint="eastAsia" w:ascii="仿宋" w:hAnsi="仿宋" w:eastAsia="仿宋" w:cs="仿宋"/>
          <w:b/>
          <w:bCs/>
          <w:color w:val="auto"/>
          <w:sz w:val="72"/>
          <w:szCs w:val="20"/>
          <w:highlight w:val="none"/>
        </w:rPr>
      </w:pPr>
    </w:p>
    <w:p w14:paraId="1EE8B0DC">
      <w:pPr>
        <w:pStyle w:val="23"/>
        <w:tabs>
          <w:tab w:val="left" w:pos="422"/>
          <w:tab w:val="center" w:pos="5198"/>
        </w:tabs>
        <w:spacing w:line="840" w:lineRule="exact"/>
        <w:jc w:val="center"/>
        <w:rPr>
          <w:rFonts w:hint="eastAsia" w:ascii="仿宋" w:hAnsi="仿宋" w:eastAsia="仿宋" w:cs="仿宋"/>
          <w:b/>
          <w:bCs/>
          <w:color w:val="auto"/>
          <w:sz w:val="72"/>
          <w:highlight w:val="none"/>
        </w:rPr>
      </w:pPr>
      <w:r>
        <w:rPr>
          <w:rFonts w:hint="eastAsia" w:ascii="仿宋" w:hAnsi="仿宋" w:eastAsia="仿宋" w:cs="仿宋"/>
          <w:b/>
          <w:bCs/>
          <w:color w:val="auto"/>
          <w:sz w:val="72"/>
          <w:highlight w:val="none"/>
        </w:rPr>
        <w:t>广西壮族自治区人民医院</w:t>
      </w:r>
    </w:p>
    <w:p w14:paraId="4B1AC17A">
      <w:pPr>
        <w:pStyle w:val="23"/>
        <w:tabs>
          <w:tab w:val="left" w:pos="422"/>
          <w:tab w:val="center" w:pos="5198"/>
        </w:tabs>
        <w:spacing w:line="840" w:lineRule="exact"/>
        <w:ind w:firstLine="420"/>
        <w:jc w:val="center"/>
        <w:rPr>
          <w:rFonts w:hint="eastAsia" w:ascii="仿宋" w:hAnsi="仿宋" w:eastAsia="仿宋" w:cs="仿宋"/>
          <w:b/>
          <w:bCs/>
          <w:color w:val="auto"/>
          <w:sz w:val="72"/>
          <w:highlight w:val="none"/>
        </w:rPr>
      </w:pPr>
      <w:r>
        <w:rPr>
          <w:rFonts w:hint="eastAsia" w:ascii="仿宋" w:hAnsi="仿宋" w:eastAsia="仿宋" w:cs="仿宋"/>
          <w:b/>
          <w:bCs/>
          <w:color w:val="auto"/>
          <w:sz w:val="72"/>
          <w:highlight w:val="none"/>
        </w:rPr>
        <w:t>采购合同书</w:t>
      </w:r>
    </w:p>
    <w:p w14:paraId="7B0323DF">
      <w:pPr>
        <w:pStyle w:val="23"/>
        <w:spacing w:line="340" w:lineRule="exact"/>
        <w:ind w:firstLine="420"/>
        <w:rPr>
          <w:rFonts w:hint="eastAsia" w:ascii="仿宋" w:hAnsi="仿宋" w:eastAsia="仿宋" w:cs="仿宋"/>
          <w:color w:val="auto"/>
          <w:highlight w:val="none"/>
        </w:rPr>
      </w:pPr>
    </w:p>
    <w:p w14:paraId="795D7519">
      <w:pPr>
        <w:pStyle w:val="23"/>
        <w:spacing w:line="340" w:lineRule="exact"/>
        <w:rPr>
          <w:rFonts w:hint="eastAsia" w:ascii="仿宋" w:hAnsi="仿宋" w:eastAsia="仿宋" w:cs="仿宋"/>
          <w:color w:val="auto"/>
          <w:highlight w:val="none"/>
        </w:rPr>
      </w:pPr>
    </w:p>
    <w:p w14:paraId="5AD47CE5">
      <w:pPr>
        <w:pStyle w:val="23"/>
        <w:spacing w:line="340" w:lineRule="exact"/>
        <w:rPr>
          <w:rFonts w:hint="eastAsia" w:ascii="仿宋" w:hAnsi="仿宋" w:eastAsia="仿宋" w:cs="仿宋"/>
          <w:color w:val="auto"/>
          <w:highlight w:val="none"/>
        </w:rPr>
      </w:pPr>
    </w:p>
    <w:p w14:paraId="2E46E282">
      <w:pPr>
        <w:pStyle w:val="23"/>
        <w:spacing w:line="340" w:lineRule="exact"/>
        <w:rPr>
          <w:rFonts w:hint="eastAsia" w:ascii="仿宋" w:hAnsi="仿宋" w:eastAsia="仿宋" w:cs="仿宋"/>
          <w:color w:val="auto"/>
          <w:highlight w:val="none"/>
        </w:rPr>
      </w:pPr>
    </w:p>
    <w:p w14:paraId="0AD9D7AF">
      <w:pPr>
        <w:pStyle w:val="23"/>
        <w:spacing w:line="340" w:lineRule="exact"/>
        <w:rPr>
          <w:rFonts w:hint="eastAsia" w:ascii="仿宋" w:hAnsi="仿宋" w:eastAsia="仿宋" w:cs="仿宋"/>
          <w:color w:val="auto"/>
          <w:highlight w:val="none"/>
        </w:rPr>
      </w:pPr>
    </w:p>
    <w:p w14:paraId="3E00A69F">
      <w:pPr>
        <w:pStyle w:val="23"/>
        <w:spacing w:line="340" w:lineRule="exact"/>
        <w:rPr>
          <w:rFonts w:hint="eastAsia" w:ascii="仿宋" w:hAnsi="仿宋" w:eastAsia="仿宋" w:cs="仿宋"/>
          <w:color w:val="auto"/>
          <w:highlight w:val="none"/>
        </w:rPr>
      </w:pPr>
    </w:p>
    <w:p w14:paraId="2CCB7003">
      <w:pPr>
        <w:pStyle w:val="23"/>
        <w:spacing w:line="340" w:lineRule="exact"/>
        <w:rPr>
          <w:rFonts w:hint="eastAsia" w:ascii="仿宋" w:hAnsi="仿宋" w:eastAsia="仿宋" w:cs="仿宋"/>
          <w:color w:val="auto"/>
          <w:highlight w:val="none"/>
        </w:rPr>
      </w:pPr>
    </w:p>
    <w:p w14:paraId="389012F2">
      <w:pPr>
        <w:pStyle w:val="23"/>
        <w:spacing w:line="340" w:lineRule="exact"/>
        <w:rPr>
          <w:rFonts w:hint="eastAsia" w:ascii="仿宋" w:hAnsi="仿宋" w:eastAsia="仿宋" w:cs="仿宋"/>
          <w:color w:val="auto"/>
          <w:highlight w:val="none"/>
        </w:rPr>
      </w:pPr>
    </w:p>
    <w:p w14:paraId="3D8C00C4">
      <w:pPr>
        <w:pStyle w:val="23"/>
        <w:spacing w:line="340" w:lineRule="exact"/>
        <w:rPr>
          <w:rFonts w:hint="eastAsia" w:ascii="仿宋" w:hAnsi="仿宋" w:eastAsia="仿宋" w:cs="仿宋"/>
          <w:color w:val="auto"/>
          <w:highlight w:val="none"/>
        </w:rPr>
      </w:pPr>
    </w:p>
    <w:p w14:paraId="2C8BBC7B">
      <w:pPr>
        <w:pStyle w:val="23"/>
        <w:spacing w:line="340" w:lineRule="exact"/>
        <w:rPr>
          <w:rFonts w:hint="eastAsia" w:ascii="仿宋" w:hAnsi="仿宋" w:eastAsia="仿宋" w:cs="仿宋"/>
          <w:color w:val="auto"/>
          <w:highlight w:val="none"/>
        </w:rPr>
      </w:pPr>
    </w:p>
    <w:p w14:paraId="6C48E78B">
      <w:pPr>
        <w:pStyle w:val="23"/>
        <w:spacing w:line="340" w:lineRule="exact"/>
        <w:rPr>
          <w:rFonts w:hint="eastAsia" w:ascii="仿宋" w:hAnsi="仿宋" w:eastAsia="仿宋" w:cs="仿宋"/>
          <w:color w:val="auto"/>
          <w:highlight w:val="none"/>
        </w:rPr>
      </w:pPr>
    </w:p>
    <w:p w14:paraId="42287C4D">
      <w:pPr>
        <w:pStyle w:val="23"/>
        <w:spacing w:line="340" w:lineRule="exact"/>
        <w:rPr>
          <w:rFonts w:hint="eastAsia" w:ascii="仿宋" w:hAnsi="仿宋" w:eastAsia="仿宋" w:cs="仿宋"/>
          <w:color w:val="auto"/>
          <w:highlight w:val="none"/>
        </w:rPr>
      </w:pPr>
    </w:p>
    <w:p w14:paraId="3E0B5FDD">
      <w:pPr>
        <w:pStyle w:val="23"/>
        <w:spacing w:line="340" w:lineRule="exact"/>
        <w:rPr>
          <w:rFonts w:hint="eastAsia" w:ascii="仿宋" w:hAnsi="仿宋" w:eastAsia="仿宋" w:cs="仿宋"/>
          <w:color w:val="auto"/>
          <w:highlight w:val="none"/>
        </w:rPr>
      </w:pPr>
    </w:p>
    <w:tbl>
      <w:tblPr>
        <w:tblStyle w:val="46"/>
        <w:tblpPr w:leftFromText="180" w:rightFromText="180" w:vertAnchor="text" w:horzAnchor="page" w:tblpX="3029" w:tblpY="84"/>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60"/>
        <w:gridCol w:w="5239"/>
      </w:tblGrid>
      <w:tr w14:paraId="6B9D3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60" w:type="dxa"/>
            <w:noWrap w:val="0"/>
            <w:vAlign w:val="top"/>
          </w:tcPr>
          <w:p w14:paraId="7F2086F8">
            <w:pPr>
              <w:pStyle w:val="23"/>
              <w:spacing w:line="500" w:lineRule="exact"/>
              <w:jc w:val="both"/>
              <w:rPr>
                <w:rFonts w:hint="eastAsia" w:ascii="仿宋" w:hAnsi="仿宋" w:eastAsia="仿宋" w:cs="仿宋"/>
                <w:b/>
                <w:color w:val="auto"/>
                <w:spacing w:val="37"/>
                <w:kern w:val="0"/>
                <w:sz w:val="30"/>
                <w:szCs w:val="30"/>
                <w:highlight w:val="none"/>
                <w:fitText w:val="337" w:id="1939154515"/>
                <w:vertAlign w:val="baseline"/>
              </w:rPr>
            </w:pPr>
            <w:r>
              <w:rPr>
                <w:rFonts w:hint="eastAsia" w:ascii="仿宋" w:hAnsi="仿宋" w:eastAsia="仿宋" w:cs="仿宋"/>
                <w:b/>
                <w:color w:val="auto"/>
                <w:spacing w:val="37"/>
                <w:kern w:val="0"/>
                <w:sz w:val="30"/>
                <w:szCs w:val="30"/>
                <w:highlight w:val="none"/>
                <w:fitText w:val="1800" w:id="1015764903"/>
              </w:rPr>
              <w:t>合同名称</w:t>
            </w:r>
            <w:r>
              <w:rPr>
                <w:rFonts w:hint="eastAsia" w:ascii="仿宋" w:hAnsi="仿宋" w:eastAsia="仿宋" w:cs="仿宋"/>
                <w:b/>
                <w:color w:val="auto"/>
                <w:spacing w:val="2"/>
                <w:kern w:val="0"/>
                <w:sz w:val="30"/>
                <w:szCs w:val="30"/>
                <w:highlight w:val="none"/>
                <w:fitText w:val="1800" w:id="1015764903"/>
              </w:rPr>
              <w:t>：</w:t>
            </w:r>
          </w:p>
        </w:tc>
        <w:tc>
          <w:tcPr>
            <w:tcW w:w="5239" w:type="dxa"/>
            <w:tcBorders>
              <w:bottom w:val="nil"/>
            </w:tcBorders>
            <w:noWrap w:val="0"/>
            <w:vAlign w:val="center"/>
          </w:tcPr>
          <w:p w14:paraId="1151FC23">
            <w:pPr>
              <w:pStyle w:val="23"/>
              <w:spacing w:line="500" w:lineRule="exact"/>
              <w:jc w:val="both"/>
              <w:rPr>
                <w:rFonts w:hint="eastAsia" w:ascii="仿宋" w:hAnsi="仿宋" w:eastAsia="仿宋" w:cs="仿宋"/>
                <w:b/>
                <w:color w:val="auto"/>
                <w:kern w:val="0"/>
                <w:sz w:val="30"/>
                <w:szCs w:val="30"/>
                <w:highlight w:val="none"/>
                <w:vertAlign w:val="baseline"/>
                <w:lang w:val="en-US"/>
              </w:rPr>
            </w:pPr>
          </w:p>
        </w:tc>
      </w:tr>
      <w:tr w14:paraId="07076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760" w:type="dxa"/>
            <w:noWrap w:val="0"/>
            <w:vAlign w:val="top"/>
          </w:tcPr>
          <w:p w14:paraId="19665371">
            <w:pPr>
              <w:pStyle w:val="23"/>
              <w:spacing w:line="500" w:lineRule="exact"/>
              <w:jc w:val="both"/>
              <w:rPr>
                <w:rFonts w:hint="eastAsia" w:ascii="仿宋" w:hAnsi="仿宋" w:eastAsia="仿宋" w:cs="仿宋"/>
                <w:b/>
                <w:color w:val="auto"/>
                <w:kern w:val="0"/>
                <w:sz w:val="30"/>
                <w:szCs w:val="30"/>
                <w:highlight w:val="none"/>
                <w:vertAlign w:val="baseline"/>
              </w:rPr>
            </w:pPr>
            <w:r>
              <w:rPr>
                <w:rFonts w:hint="eastAsia" w:ascii="仿宋" w:hAnsi="仿宋" w:eastAsia="仿宋" w:cs="仿宋"/>
                <w:b/>
                <w:color w:val="auto"/>
                <w:spacing w:val="37"/>
                <w:kern w:val="0"/>
                <w:sz w:val="30"/>
                <w:szCs w:val="30"/>
                <w:highlight w:val="none"/>
                <w:fitText w:val="1800" w:id="1878093056"/>
              </w:rPr>
              <w:t>合同编号</w:t>
            </w:r>
            <w:r>
              <w:rPr>
                <w:rFonts w:hint="eastAsia" w:ascii="仿宋" w:hAnsi="仿宋" w:eastAsia="仿宋" w:cs="仿宋"/>
                <w:b/>
                <w:color w:val="auto"/>
                <w:spacing w:val="2"/>
                <w:kern w:val="0"/>
                <w:sz w:val="30"/>
                <w:szCs w:val="30"/>
                <w:highlight w:val="none"/>
                <w:fitText w:val="1800" w:id="1878093056"/>
              </w:rPr>
              <w:t>：</w:t>
            </w:r>
          </w:p>
        </w:tc>
        <w:tc>
          <w:tcPr>
            <w:tcW w:w="5239" w:type="dxa"/>
            <w:tcBorders>
              <w:top w:val="nil"/>
              <w:bottom w:val="nil"/>
            </w:tcBorders>
            <w:noWrap w:val="0"/>
            <w:vAlign w:val="center"/>
          </w:tcPr>
          <w:p w14:paraId="1372AA43">
            <w:pPr>
              <w:pStyle w:val="23"/>
              <w:spacing w:line="500" w:lineRule="exact"/>
              <w:jc w:val="both"/>
              <w:rPr>
                <w:rFonts w:hint="eastAsia" w:ascii="仿宋" w:hAnsi="仿宋" w:eastAsia="仿宋" w:cs="仿宋"/>
                <w:b/>
                <w:color w:val="auto"/>
                <w:kern w:val="0"/>
                <w:sz w:val="30"/>
                <w:szCs w:val="30"/>
                <w:highlight w:val="none"/>
                <w:vertAlign w:val="baseline"/>
              </w:rPr>
            </w:pPr>
          </w:p>
        </w:tc>
      </w:tr>
      <w:tr w14:paraId="61CD3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760" w:type="dxa"/>
            <w:noWrap w:val="0"/>
            <w:vAlign w:val="top"/>
          </w:tcPr>
          <w:p w14:paraId="2D68D8B6">
            <w:pPr>
              <w:pStyle w:val="23"/>
              <w:spacing w:line="500" w:lineRule="exact"/>
              <w:jc w:val="both"/>
              <w:rPr>
                <w:rFonts w:hint="eastAsia" w:ascii="仿宋" w:hAnsi="仿宋" w:eastAsia="仿宋" w:cs="仿宋"/>
                <w:b/>
                <w:color w:val="auto"/>
                <w:kern w:val="0"/>
                <w:sz w:val="30"/>
                <w:szCs w:val="30"/>
                <w:highlight w:val="none"/>
                <w:vertAlign w:val="baseline"/>
              </w:rPr>
            </w:pPr>
            <w:r>
              <w:rPr>
                <w:rFonts w:hint="eastAsia" w:ascii="仿宋" w:hAnsi="仿宋" w:eastAsia="仿宋" w:cs="仿宋"/>
                <w:b/>
                <w:color w:val="auto"/>
                <w:spacing w:val="0"/>
                <w:kern w:val="0"/>
                <w:sz w:val="30"/>
                <w:szCs w:val="30"/>
                <w:highlight w:val="none"/>
                <w:fitText w:val="1800" w:id="447173924"/>
              </w:rPr>
              <w:t>需方</w:t>
            </w:r>
            <w:r>
              <w:rPr>
                <w:rFonts w:hint="eastAsia" w:ascii="仿宋" w:hAnsi="仿宋" w:eastAsia="仿宋" w:cs="仿宋"/>
                <w:b/>
                <w:color w:val="auto"/>
                <w:spacing w:val="0"/>
                <w:kern w:val="0"/>
                <w:sz w:val="30"/>
                <w:szCs w:val="30"/>
                <w:highlight w:val="none"/>
                <w:fitText w:val="1800" w:id="447173924"/>
                <w:lang w:val="en-US" w:eastAsia="zh-CN"/>
              </w:rPr>
              <w:t>(</w:t>
            </w:r>
            <w:r>
              <w:rPr>
                <w:rFonts w:hint="eastAsia" w:ascii="仿宋" w:hAnsi="仿宋" w:eastAsia="仿宋" w:cs="仿宋"/>
                <w:b/>
                <w:color w:val="auto"/>
                <w:spacing w:val="0"/>
                <w:kern w:val="0"/>
                <w:sz w:val="30"/>
                <w:szCs w:val="30"/>
                <w:highlight w:val="none"/>
                <w:fitText w:val="1800" w:id="447173924"/>
              </w:rPr>
              <w:t>甲方</w:t>
            </w:r>
            <w:r>
              <w:rPr>
                <w:rFonts w:hint="eastAsia" w:ascii="仿宋" w:hAnsi="仿宋" w:eastAsia="仿宋" w:cs="仿宋"/>
                <w:b/>
                <w:color w:val="auto"/>
                <w:spacing w:val="0"/>
                <w:kern w:val="0"/>
                <w:sz w:val="30"/>
                <w:szCs w:val="30"/>
                <w:highlight w:val="none"/>
                <w:fitText w:val="1800" w:id="447173924"/>
                <w:lang w:val="en-US" w:eastAsia="zh-CN"/>
              </w:rPr>
              <w:t>)</w:t>
            </w:r>
            <w:r>
              <w:rPr>
                <w:rFonts w:hint="eastAsia" w:ascii="仿宋" w:hAnsi="仿宋" w:eastAsia="仿宋" w:cs="仿宋"/>
                <w:b/>
                <w:color w:val="auto"/>
                <w:spacing w:val="0"/>
                <w:kern w:val="0"/>
                <w:sz w:val="30"/>
                <w:szCs w:val="30"/>
                <w:highlight w:val="none"/>
                <w:fitText w:val="1800" w:id="447173924"/>
              </w:rPr>
              <w:t>：</w:t>
            </w:r>
          </w:p>
        </w:tc>
        <w:tc>
          <w:tcPr>
            <w:tcW w:w="5239" w:type="dxa"/>
            <w:tcBorders>
              <w:top w:val="nil"/>
              <w:bottom w:val="nil"/>
            </w:tcBorders>
            <w:noWrap w:val="0"/>
            <w:vAlign w:val="center"/>
          </w:tcPr>
          <w:p w14:paraId="2D749716">
            <w:pPr>
              <w:pStyle w:val="23"/>
              <w:spacing w:line="500" w:lineRule="exact"/>
              <w:jc w:val="left"/>
              <w:rPr>
                <w:rFonts w:hint="eastAsia" w:ascii="仿宋" w:hAnsi="仿宋" w:eastAsia="仿宋" w:cs="仿宋"/>
                <w:b/>
                <w:color w:val="auto"/>
                <w:spacing w:val="37"/>
                <w:kern w:val="0"/>
                <w:sz w:val="30"/>
                <w:szCs w:val="30"/>
                <w:highlight w:val="none"/>
                <w:fitText w:val="337" w:id="1939154515"/>
                <w:vertAlign w:val="baseline"/>
              </w:rPr>
            </w:pPr>
            <w:r>
              <w:rPr>
                <w:rFonts w:hint="eastAsia" w:ascii="仿宋" w:hAnsi="仿宋" w:eastAsia="仿宋" w:cs="仿宋"/>
                <w:b/>
                <w:color w:val="auto"/>
                <w:sz w:val="30"/>
                <w:szCs w:val="30"/>
                <w:highlight w:val="none"/>
                <w:lang w:eastAsia="zh-CN"/>
              </w:rPr>
              <w:t>广西壮族自治区人民医院</w:t>
            </w:r>
          </w:p>
        </w:tc>
      </w:tr>
      <w:tr w14:paraId="098D1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760" w:type="dxa"/>
            <w:noWrap w:val="0"/>
            <w:vAlign w:val="top"/>
          </w:tcPr>
          <w:p w14:paraId="746716CA">
            <w:pPr>
              <w:pStyle w:val="23"/>
              <w:spacing w:line="500" w:lineRule="exact"/>
              <w:jc w:val="both"/>
              <w:rPr>
                <w:rFonts w:hint="eastAsia" w:ascii="仿宋" w:hAnsi="仿宋" w:eastAsia="仿宋" w:cs="仿宋"/>
                <w:b/>
                <w:color w:val="auto"/>
                <w:spacing w:val="1500"/>
                <w:kern w:val="0"/>
                <w:sz w:val="30"/>
                <w:szCs w:val="30"/>
                <w:highlight w:val="none"/>
                <w:fitText w:val="1800" w:id="1300850442"/>
              </w:rPr>
            </w:pPr>
            <w:r>
              <w:rPr>
                <w:rFonts w:hint="eastAsia" w:ascii="仿宋" w:hAnsi="仿宋" w:eastAsia="仿宋" w:cs="仿宋"/>
                <w:b/>
                <w:color w:val="auto"/>
                <w:spacing w:val="0"/>
                <w:kern w:val="0"/>
                <w:sz w:val="30"/>
                <w:szCs w:val="30"/>
                <w:highlight w:val="none"/>
                <w:fitText w:val="1800" w:id="1157262644"/>
              </w:rPr>
              <w:t>供方</w:t>
            </w:r>
            <w:r>
              <w:rPr>
                <w:rFonts w:hint="eastAsia" w:ascii="仿宋" w:hAnsi="仿宋" w:eastAsia="仿宋" w:cs="仿宋"/>
                <w:b/>
                <w:color w:val="auto"/>
                <w:spacing w:val="0"/>
                <w:kern w:val="0"/>
                <w:sz w:val="30"/>
                <w:szCs w:val="30"/>
                <w:highlight w:val="none"/>
                <w:fitText w:val="1800" w:id="1157262644"/>
                <w:lang w:val="en-US" w:eastAsia="zh-CN"/>
              </w:rPr>
              <w:t>(</w:t>
            </w:r>
            <w:r>
              <w:rPr>
                <w:rFonts w:hint="eastAsia" w:ascii="仿宋" w:hAnsi="仿宋" w:eastAsia="仿宋" w:cs="仿宋"/>
                <w:b/>
                <w:color w:val="auto"/>
                <w:spacing w:val="0"/>
                <w:kern w:val="0"/>
                <w:sz w:val="30"/>
                <w:szCs w:val="30"/>
                <w:highlight w:val="none"/>
                <w:fitText w:val="1800" w:id="1157262644"/>
              </w:rPr>
              <w:t>乙方</w:t>
            </w:r>
            <w:r>
              <w:rPr>
                <w:rFonts w:hint="eastAsia" w:ascii="仿宋" w:hAnsi="仿宋" w:eastAsia="仿宋" w:cs="仿宋"/>
                <w:b/>
                <w:color w:val="auto"/>
                <w:spacing w:val="0"/>
                <w:kern w:val="0"/>
                <w:sz w:val="30"/>
                <w:szCs w:val="30"/>
                <w:highlight w:val="none"/>
                <w:fitText w:val="1800" w:id="1157262644"/>
                <w:lang w:val="en-US" w:eastAsia="zh-CN"/>
              </w:rPr>
              <w:t>)</w:t>
            </w:r>
            <w:r>
              <w:rPr>
                <w:rFonts w:hint="eastAsia" w:ascii="仿宋" w:hAnsi="仿宋" w:eastAsia="仿宋" w:cs="仿宋"/>
                <w:b/>
                <w:color w:val="auto"/>
                <w:spacing w:val="0"/>
                <w:kern w:val="0"/>
                <w:sz w:val="30"/>
                <w:szCs w:val="30"/>
                <w:highlight w:val="none"/>
                <w:fitText w:val="1800" w:id="1157262644"/>
              </w:rPr>
              <w:t>：</w:t>
            </w:r>
          </w:p>
        </w:tc>
        <w:tc>
          <w:tcPr>
            <w:tcW w:w="5239" w:type="dxa"/>
            <w:tcBorders>
              <w:top w:val="nil"/>
              <w:bottom w:val="nil"/>
            </w:tcBorders>
            <w:noWrap w:val="0"/>
            <w:vAlign w:val="center"/>
          </w:tcPr>
          <w:p w14:paraId="74CD6C3A">
            <w:pPr>
              <w:pStyle w:val="23"/>
              <w:spacing w:line="500" w:lineRule="exact"/>
              <w:jc w:val="both"/>
              <w:rPr>
                <w:rFonts w:hint="eastAsia" w:ascii="仿宋" w:hAnsi="仿宋" w:eastAsia="仿宋" w:cs="仿宋"/>
                <w:b/>
                <w:color w:val="auto"/>
                <w:kern w:val="0"/>
                <w:sz w:val="30"/>
                <w:szCs w:val="30"/>
                <w:highlight w:val="none"/>
                <w:vertAlign w:val="baseline"/>
              </w:rPr>
            </w:pPr>
          </w:p>
        </w:tc>
      </w:tr>
      <w:tr w14:paraId="3DB19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760" w:type="dxa"/>
            <w:noWrap w:val="0"/>
            <w:vAlign w:val="top"/>
          </w:tcPr>
          <w:p w14:paraId="3F0DE758">
            <w:pPr>
              <w:pStyle w:val="23"/>
              <w:spacing w:line="500" w:lineRule="exact"/>
              <w:jc w:val="both"/>
              <w:rPr>
                <w:rFonts w:hint="eastAsia" w:ascii="仿宋" w:hAnsi="仿宋" w:eastAsia="仿宋" w:cs="仿宋"/>
                <w:b/>
                <w:color w:val="auto"/>
                <w:spacing w:val="1500"/>
                <w:kern w:val="0"/>
                <w:sz w:val="30"/>
                <w:szCs w:val="30"/>
                <w:highlight w:val="none"/>
                <w:fitText w:val="1800" w:id="1300850442"/>
              </w:rPr>
            </w:pPr>
            <w:r>
              <w:rPr>
                <w:rFonts w:hint="eastAsia" w:ascii="仿宋" w:hAnsi="仿宋" w:eastAsia="仿宋" w:cs="仿宋"/>
                <w:b/>
                <w:color w:val="auto"/>
                <w:spacing w:val="37"/>
                <w:kern w:val="0"/>
                <w:sz w:val="30"/>
                <w:szCs w:val="30"/>
                <w:highlight w:val="none"/>
                <w:fitText w:val="1800" w:id="192505171"/>
              </w:rPr>
              <w:t>签订地点</w:t>
            </w:r>
            <w:r>
              <w:rPr>
                <w:rFonts w:hint="eastAsia" w:ascii="仿宋" w:hAnsi="仿宋" w:eastAsia="仿宋" w:cs="仿宋"/>
                <w:b/>
                <w:color w:val="auto"/>
                <w:spacing w:val="2"/>
                <w:kern w:val="0"/>
                <w:sz w:val="30"/>
                <w:szCs w:val="30"/>
                <w:highlight w:val="none"/>
                <w:fitText w:val="1800" w:id="192505171"/>
              </w:rPr>
              <w:t>：</w:t>
            </w:r>
          </w:p>
        </w:tc>
        <w:tc>
          <w:tcPr>
            <w:tcW w:w="5239" w:type="dxa"/>
            <w:tcBorders>
              <w:top w:val="nil"/>
              <w:bottom w:val="nil"/>
            </w:tcBorders>
            <w:noWrap w:val="0"/>
            <w:vAlign w:val="center"/>
          </w:tcPr>
          <w:p w14:paraId="0FADED43">
            <w:pPr>
              <w:pStyle w:val="23"/>
              <w:spacing w:line="500" w:lineRule="exact"/>
              <w:jc w:val="left"/>
              <w:rPr>
                <w:rFonts w:hint="eastAsia" w:ascii="仿宋" w:hAnsi="仿宋" w:eastAsia="仿宋" w:cs="仿宋"/>
                <w:b/>
                <w:color w:val="auto"/>
                <w:spacing w:val="37"/>
                <w:kern w:val="0"/>
                <w:sz w:val="30"/>
                <w:szCs w:val="30"/>
                <w:highlight w:val="none"/>
                <w:fitText w:val="337" w:id="1939154515"/>
                <w:vertAlign w:val="baseline"/>
              </w:rPr>
            </w:pPr>
            <w:r>
              <w:rPr>
                <w:rFonts w:hint="eastAsia" w:ascii="仿宋" w:hAnsi="仿宋" w:eastAsia="仿宋" w:cs="仿宋"/>
                <w:b/>
                <w:color w:val="auto"/>
                <w:sz w:val="30"/>
                <w:szCs w:val="30"/>
                <w:highlight w:val="none"/>
              </w:rPr>
              <w:t>南宁市青秀区</w:t>
            </w:r>
          </w:p>
        </w:tc>
      </w:tr>
      <w:tr w14:paraId="6F74E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760" w:type="dxa"/>
            <w:noWrap w:val="0"/>
            <w:vAlign w:val="top"/>
          </w:tcPr>
          <w:p w14:paraId="746E0756">
            <w:pPr>
              <w:pStyle w:val="23"/>
              <w:spacing w:line="500" w:lineRule="exact"/>
              <w:jc w:val="both"/>
              <w:rPr>
                <w:rFonts w:hint="eastAsia" w:ascii="仿宋" w:hAnsi="仿宋" w:eastAsia="仿宋" w:cs="仿宋"/>
                <w:b/>
                <w:color w:val="auto"/>
                <w:spacing w:val="1500"/>
                <w:kern w:val="0"/>
                <w:sz w:val="30"/>
                <w:szCs w:val="30"/>
                <w:highlight w:val="none"/>
                <w:fitText w:val="1800" w:id="1300850442"/>
              </w:rPr>
            </w:pPr>
            <w:r>
              <w:rPr>
                <w:rFonts w:hint="eastAsia" w:ascii="仿宋" w:hAnsi="仿宋" w:eastAsia="仿宋" w:cs="仿宋"/>
                <w:b/>
                <w:color w:val="auto"/>
                <w:spacing w:val="37"/>
                <w:kern w:val="0"/>
                <w:sz w:val="30"/>
                <w:szCs w:val="30"/>
                <w:highlight w:val="none"/>
                <w:fitText w:val="1800" w:id="1892960480"/>
              </w:rPr>
              <w:t>签订时间</w:t>
            </w:r>
            <w:r>
              <w:rPr>
                <w:rFonts w:hint="eastAsia" w:ascii="仿宋" w:hAnsi="仿宋" w:eastAsia="仿宋" w:cs="仿宋"/>
                <w:b/>
                <w:color w:val="auto"/>
                <w:spacing w:val="2"/>
                <w:kern w:val="0"/>
                <w:sz w:val="30"/>
                <w:szCs w:val="30"/>
                <w:highlight w:val="none"/>
                <w:fitText w:val="1800" w:id="1892960480"/>
              </w:rPr>
              <w:t>：</w:t>
            </w:r>
          </w:p>
        </w:tc>
        <w:tc>
          <w:tcPr>
            <w:tcW w:w="5239" w:type="dxa"/>
            <w:tcBorders>
              <w:top w:val="nil"/>
              <w:bottom w:val="nil"/>
            </w:tcBorders>
            <w:noWrap w:val="0"/>
            <w:vAlign w:val="center"/>
          </w:tcPr>
          <w:p w14:paraId="6DC0D367">
            <w:pPr>
              <w:pStyle w:val="23"/>
              <w:spacing w:line="500" w:lineRule="exact"/>
              <w:jc w:val="left"/>
              <w:rPr>
                <w:rFonts w:hint="eastAsia" w:ascii="仿宋" w:hAnsi="仿宋" w:eastAsia="仿宋" w:cs="仿宋"/>
                <w:b/>
                <w:color w:val="auto"/>
                <w:spacing w:val="37"/>
                <w:kern w:val="0"/>
                <w:sz w:val="30"/>
                <w:szCs w:val="30"/>
                <w:highlight w:val="none"/>
                <w:fitText w:val="337" w:id="1939154515"/>
                <w:vertAlign w:val="baseline"/>
              </w:rPr>
            </w:pPr>
            <w:r>
              <w:rPr>
                <w:rFonts w:hint="eastAsia" w:ascii="仿宋" w:hAnsi="仿宋" w:eastAsia="仿宋" w:cs="仿宋"/>
                <w:b/>
                <w:color w:val="auto"/>
                <w:sz w:val="30"/>
                <w:szCs w:val="30"/>
                <w:highlight w:val="none"/>
                <w:lang w:val="en-US" w:eastAsia="zh-CN"/>
              </w:rPr>
              <w:t xml:space="preserve">        </w:t>
            </w:r>
            <w:r>
              <w:rPr>
                <w:rFonts w:hint="eastAsia" w:ascii="仿宋" w:hAnsi="仿宋" w:eastAsia="仿宋" w:cs="仿宋"/>
                <w:b/>
                <w:color w:val="auto"/>
                <w:sz w:val="30"/>
                <w:szCs w:val="30"/>
                <w:highlight w:val="none"/>
              </w:rPr>
              <w:t>年   月   日</w:t>
            </w:r>
          </w:p>
        </w:tc>
      </w:tr>
    </w:tbl>
    <w:p w14:paraId="78308BDA">
      <w:pPr>
        <w:snapToGrid w:val="0"/>
        <w:spacing w:line="400" w:lineRule="exact"/>
        <w:jc w:val="center"/>
        <w:rPr>
          <w:rFonts w:hint="eastAsia" w:ascii="仿宋" w:hAnsi="仿宋" w:eastAsia="仿宋" w:cs="仿宋"/>
          <w:b/>
          <w:color w:val="auto"/>
          <w:sz w:val="30"/>
          <w:szCs w:val="30"/>
          <w:highlight w:val="none"/>
        </w:rPr>
      </w:pPr>
    </w:p>
    <w:p w14:paraId="17419B38">
      <w:pPr>
        <w:snapToGrid w:val="0"/>
        <w:spacing w:line="400" w:lineRule="exact"/>
        <w:jc w:val="center"/>
        <w:rPr>
          <w:rFonts w:hint="eastAsia" w:ascii="仿宋" w:hAnsi="仿宋" w:eastAsia="仿宋" w:cs="仿宋"/>
          <w:b/>
          <w:color w:val="auto"/>
          <w:sz w:val="30"/>
          <w:szCs w:val="30"/>
          <w:highlight w:val="none"/>
        </w:rPr>
      </w:pPr>
    </w:p>
    <w:p w14:paraId="16C17E4D">
      <w:pPr>
        <w:snapToGrid w:val="0"/>
        <w:spacing w:line="400" w:lineRule="exact"/>
        <w:jc w:val="center"/>
        <w:rPr>
          <w:rFonts w:hint="eastAsia" w:ascii="仿宋" w:hAnsi="仿宋" w:eastAsia="仿宋" w:cs="仿宋"/>
          <w:b/>
          <w:color w:val="auto"/>
          <w:sz w:val="30"/>
          <w:szCs w:val="30"/>
          <w:highlight w:val="none"/>
        </w:rPr>
      </w:pPr>
    </w:p>
    <w:p w14:paraId="47B5FD44">
      <w:pPr>
        <w:snapToGrid w:val="0"/>
        <w:spacing w:line="400" w:lineRule="exact"/>
        <w:jc w:val="center"/>
        <w:rPr>
          <w:rFonts w:hint="eastAsia" w:ascii="仿宋" w:hAnsi="仿宋" w:eastAsia="仿宋" w:cs="仿宋"/>
          <w:b/>
          <w:color w:val="auto"/>
          <w:sz w:val="30"/>
          <w:szCs w:val="30"/>
          <w:highlight w:val="none"/>
        </w:rPr>
      </w:pPr>
    </w:p>
    <w:p w14:paraId="09A24544">
      <w:pPr>
        <w:snapToGrid w:val="0"/>
        <w:spacing w:line="400" w:lineRule="exact"/>
        <w:jc w:val="center"/>
        <w:rPr>
          <w:rFonts w:hint="eastAsia" w:ascii="仿宋" w:hAnsi="仿宋" w:eastAsia="仿宋" w:cs="仿宋"/>
          <w:b/>
          <w:color w:val="auto"/>
          <w:sz w:val="30"/>
          <w:szCs w:val="30"/>
          <w:highlight w:val="none"/>
        </w:rPr>
      </w:pPr>
    </w:p>
    <w:p w14:paraId="4BC9645E">
      <w:pPr>
        <w:snapToGrid w:val="0"/>
        <w:spacing w:line="400" w:lineRule="exact"/>
        <w:jc w:val="center"/>
        <w:rPr>
          <w:rFonts w:hint="eastAsia" w:ascii="仿宋" w:hAnsi="仿宋" w:eastAsia="仿宋" w:cs="仿宋"/>
          <w:b/>
          <w:color w:val="auto"/>
          <w:sz w:val="30"/>
          <w:szCs w:val="30"/>
          <w:highlight w:val="none"/>
        </w:rPr>
      </w:pPr>
    </w:p>
    <w:p w14:paraId="115906DB">
      <w:pPr>
        <w:snapToGrid w:val="0"/>
        <w:spacing w:line="400" w:lineRule="exact"/>
        <w:jc w:val="center"/>
        <w:rPr>
          <w:rFonts w:hint="eastAsia" w:ascii="仿宋" w:hAnsi="仿宋" w:eastAsia="仿宋" w:cs="仿宋"/>
          <w:b/>
          <w:color w:val="auto"/>
          <w:sz w:val="30"/>
          <w:szCs w:val="30"/>
          <w:highlight w:val="none"/>
        </w:rPr>
      </w:pPr>
    </w:p>
    <w:p w14:paraId="033F5AD3">
      <w:pPr>
        <w:snapToGrid w:val="0"/>
        <w:spacing w:line="400" w:lineRule="exact"/>
        <w:jc w:val="center"/>
        <w:rPr>
          <w:rFonts w:hint="eastAsia" w:ascii="仿宋" w:hAnsi="仿宋" w:eastAsia="仿宋" w:cs="仿宋"/>
          <w:b/>
          <w:color w:val="auto"/>
          <w:sz w:val="30"/>
          <w:szCs w:val="30"/>
          <w:highlight w:val="none"/>
        </w:rPr>
      </w:pPr>
    </w:p>
    <w:p w14:paraId="28932B6F">
      <w:pPr>
        <w:snapToGrid w:val="0"/>
        <w:spacing w:line="400" w:lineRule="exact"/>
        <w:jc w:val="center"/>
        <w:rPr>
          <w:rFonts w:hint="eastAsia" w:ascii="仿宋" w:hAnsi="仿宋" w:eastAsia="仿宋" w:cs="仿宋"/>
          <w:b/>
          <w:color w:val="auto"/>
          <w:sz w:val="30"/>
          <w:szCs w:val="30"/>
          <w:highlight w:val="none"/>
        </w:rPr>
      </w:pPr>
    </w:p>
    <w:p w14:paraId="29749EA1">
      <w:pPr>
        <w:snapToGrid w:val="0"/>
        <w:spacing w:line="400" w:lineRule="exact"/>
        <w:jc w:val="center"/>
        <w:rPr>
          <w:rFonts w:hint="eastAsia" w:ascii="仿宋" w:hAnsi="仿宋" w:eastAsia="仿宋" w:cs="仿宋"/>
          <w:b/>
          <w:bCs/>
          <w:color w:val="auto"/>
          <w:sz w:val="32"/>
          <w:szCs w:val="32"/>
          <w:highlight w:val="none"/>
        </w:rPr>
        <w:sectPr>
          <w:headerReference r:id="rId12" w:type="default"/>
          <w:pgSz w:w="11906" w:h="16838"/>
          <w:pgMar w:top="1440" w:right="1800" w:bottom="1440" w:left="1800" w:header="851" w:footer="992" w:gutter="0"/>
          <w:pgNumType w:fmt="decimal"/>
          <w:cols w:space="720" w:num="1"/>
          <w:docGrid w:type="lines" w:linePitch="312" w:charSpace="0"/>
        </w:sectPr>
      </w:pPr>
    </w:p>
    <w:p w14:paraId="12DBC43A">
      <w:pPr>
        <w:snapToGrid w:val="0"/>
        <w:spacing w:line="400" w:lineRule="exact"/>
        <w:jc w:val="center"/>
        <w:rPr>
          <w:rFonts w:hint="eastAsia" w:ascii="仿宋" w:hAnsi="仿宋" w:eastAsia="仿宋" w:cs="仿宋"/>
          <w:b/>
          <w:bCs/>
          <w:color w:val="auto"/>
          <w:sz w:val="32"/>
          <w:szCs w:val="40"/>
          <w:highlight w:val="none"/>
        </w:rPr>
      </w:pPr>
      <w:r>
        <w:rPr>
          <w:rFonts w:hint="eastAsia" w:ascii="仿宋" w:hAnsi="仿宋" w:eastAsia="仿宋" w:cs="仿宋"/>
          <w:b/>
          <w:bCs/>
          <w:color w:val="auto"/>
          <w:sz w:val="32"/>
          <w:szCs w:val="40"/>
          <w:highlight w:val="none"/>
        </w:rPr>
        <w:t>目</w:t>
      </w:r>
      <w:r>
        <w:rPr>
          <w:rFonts w:hint="eastAsia" w:ascii="仿宋" w:hAnsi="仿宋" w:eastAsia="仿宋" w:cs="仿宋"/>
          <w:b/>
          <w:bCs/>
          <w:color w:val="auto"/>
          <w:sz w:val="32"/>
          <w:szCs w:val="40"/>
          <w:highlight w:val="none"/>
          <w:lang w:val="en-US" w:eastAsia="zh-CN"/>
        </w:rPr>
        <w:t xml:space="preserve">  </w:t>
      </w:r>
      <w:r>
        <w:rPr>
          <w:rFonts w:hint="eastAsia" w:ascii="仿宋" w:hAnsi="仿宋" w:eastAsia="仿宋" w:cs="仿宋"/>
          <w:b/>
          <w:bCs/>
          <w:color w:val="auto"/>
          <w:sz w:val="32"/>
          <w:szCs w:val="40"/>
          <w:highlight w:val="none"/>
        </w:rPr>
        <w:t>录</w:t>
      </w:r>
    </w:p>
    <w:p w14:paraId="4A5D93F1">
      <w:pPr>
        <w:pStyle w:val="31"/>
        <w:keepNext w:val="0"/>
        <w:keepLines w:val="0"/>
        <w:pageBreakBefore w:val="0"/>
        <w:widowControl w:val="0"/>
        <w:tabs>
          <w:tab w:val="right" w:leader="dot" w:pos="7980"/>
          <w:tab w:val="clear" w:pos="8398"/>
        </w:tabs>
        <w:kinsoku/>
        <w:wordWrap/>
        <w:overflowPunct/>
        <w:topLinePunct w:val="0"/>
        <w:autoSpaceDE/>
        <w:autoSpaceDN/>
        <w:bidi w:val="0"/>
        <w:adjustRightInd/>
        <w:snapToGrid/>
        <w:spacing w:line="500" w:lineRule="exact"/>
        <w:ind w:left="17" w:leftChars="8" w:firstLine="404" w:firstLineChars="183"/>
        <w:textAlignment w:val="auto"/>
        <w:rPr>
          <w:rFonts w:hint="eastAsia" w:ascii="仿宋" w:hAnsi="仿宋" w:eastAsia="仿宋" w:cs="仿宋"/>
          <w:bCs/>
          <w:color w:val="auto"/>
          <w:kern w:val="0"/>
          <w:sz w:val="24"/>
          <w:szCs w:val="36"/>
          <w:highlight w:val="none"/>
          <w:lang w:val="en-US" w:eastAsia="zh-CN" w:bidi="ar"/>
        </w:rPr>
      </w:pPr>
      <w:r>
        <w:rPr>
          <w:rFonts w:hint="eastAsia" w:ascii="仿宋" w:hAnsi="仿宋" w:eastAsia="仿宋" w:cs="仿宋"/>
          <w:color w:val="auto"/>
          <w:sz w:val="22"/>
          <w:szCs w:val="28"/>
          <w:highlight w:val="none"/>
        </w:rPr>
        <w:fldChar w:fldCharType="begin"/>
      </w:r>
      <w:r>
        <w:rPr>
          <w:rFonts w:hint="eastAsia" w:ascii="仿宋" w:hAnsi="仿宋" w:eastAsia="仿宋" w:cs="仿宋"/>
          <w:color w:val="auto"/>
          <w:sz w:val="22"/>
          <w:szCs w:val="28"/>
          <w:highlight w:val="none"/>
        </w:rPr>
        <w:instrText xml:space="preserve">TOC \o "1-1" \h \u </w:instrText>
      </w:r>
      <w:r>
        <w:rPr>
          <w:rFonts w:hint="eastAsia" w:ascii="仿宋" w:hAnsi="仿宋" w:eastAsia="仿宋" w:cs="仿宋"/>
          <w:color w:val="auto"/>
          <w:sz w:val="22"/>
          <w:szCs w:val="28"/>
          <w:highlight w:val="none"/>
        </w:rPr>
        <w:fldChar w:fldCharType="separate"/>
      </w:r>
      <w:r>
        <w:rPr>
          <w:rFonts w:hint="eastAsia" w:ascii="仿宋" w:hAnsi="仿宋" w:eastAsia="仿宋" w:cs="仿宋"/>
          <w:bCs/>
          <w:color w:val="auto"/>
          <w:kern w:val="0"/>
          <w:sz w:val="24"/>
          <w:szCs w:val="36"/>
          <w:highlight w:val="none"/>
          <w:lang w:val="en-US" w:eastAsia="zh-CN" w:bidi="ar"/>
        </w:rPr>
        <w:fldChar w:fldCharType="begin"/>
      </w:r>
      <w:r>
        <w:rPr>
          <w:rFonts w:hint="eastAsia" w:ascii="仿宋" w:hAnsi="仿宋" w:eastAsia="仿宋" w:cs="仿宋"/>
          <w:bCs/>
          <w:color w:val="auto"/>
          <w:kern w:val="0"/>
          <w:sz w:val="24"/>
          <w:szCs w:val="36"/>
          <w:highlight w:val="none"/>
          <w:lang w:val="en-US" w:eastAsia="zh-CN" w:bidi="ar"/>
        </w:rPr>
        <w:instrText xml:space="preserve"> HYPERLINK \l _Toc24158 </w:instrText>
      </w:r>
      <w:r>
        <w:rPr>
          <w:rFonts w:hint="eastAsia" w:ascii="仿宋" w:hAnsi="仿宋" w:eastAsia="仿宋" w:cs="仿宋"/>
          <w:bCs/>
          <w:color w:val="auto"/>
          <w:kern w:val="0"/>
          <w:sz w:val="24"/>
          <w:szCs w:val="36"/>
          <w:highlight w:val="none"/>
          <w:lang w:val="en-US" w:eastAsia="zh-CN" w:bidi="ar"/>
        </w:rPr>
        <w:fldChar w:fldCharType="separate"/>
      </w:r>
      <w:r>
        <w:rPr>
          <w:rFonts w:hint="eastAsia" w:ascii="仿宋" w:hAnsi="仿宋" w:eastAsia="仿宋" w:cs="仿宋"/>
          <w:bCs/>
          <w:color w:val="auto"/>
          <w:kern w:val="0"/>
          <w:sz w:val="24"/>
          <w:szCs w:val="36"/>
          <w:highlight w:val="none"/>
          <w:lang w:val="en-US" w:eastAsia="zh-CN" w:bidi="ar"/>
        </w:rPr>
        <w:t>采购合同书</w:t>
      </w:r>
      <w:r>
        <w:rPr>
          <w:rFonts w:hint="eastAsia" w:ascii="仿宋" w:hAnsi="仿宋" w:eastAsia="仿宋" w:cs="仿宋"/>
          <w:bCs/>
          <w:color w:val="auto"/>
          <w:kern w:val="0"/>
          <w:sz w:val="24"/>
          <w:szCs w:val="36"/>
          <w:highlight w:val="none"/>
          <w:lang w:val="en-US" w:eastAsia="zh-CN" w:bidi="ar"/>
        </w:rPr>
        <w:tab/>
      </w:r>
      <w:r>
        <w:rPr>
          <w:rFonts w:hint="eastAsia" w:ascii="仿宋" w:hAnsi="仿宋" w:eastAsia="仿宋" w:cs="仿宋"/>
          <w:bCs/>
          <w:color w:val="auto"/>
          <w:kern w:val="0"/>
          <w:sz w:val="24"/>
          <w:szCs w:val="36"/>
          <w:highlight w:val="none"/>
          <w:lang w:val="en-US" w:eastAsia="zh-CN" w:bidi="ar"/>
        </w:rPr>
        <w:fldChar w:fldCharType="end"/>
      </w:r>
    </w:p>
    <w:p w14:paraId="5507499E">
      <w:pPr>
        <w:pStyle w:val="31"/>
        <w:keepNext w:val="0"/>
        <w:keepLines w:val="0"/>
        <w:pageBreakBefore w:val="0"/>
        <w:widowControl w:val="0"/>
        <w:tabs>
          <w:tab w:val="right" w:leader="dot" w:pos="7980"/>
          <w:tab w:val="clear" w:pos="8398"/>
        </w:tabs>
        <w:kinsoku/>
        <w:wordWrap/>
        <w:overflowPunct/>
        <w:topLinePunct w:val="0"/>
        <w:autoSpaceDE/>
        <w:autoSpaceDN/>
        <w:bidi w:val="0"/>
        <w:adjustRightInd/>
        <w:snapToGrid/>
        <w:spacing w:line="500" w:lineRule="exact"/>
        <w:ind w:left="17" w:leftChars="8" w:firstLine="441" w:firstLineChars="183"/>
        <w:textAlignment w:val="auto"/>
        <w:rPr>
          <w:rFonts w:hint="eastAsia" w:ascii="仿宋" w:hAnsi="仿宋" w:eastAsia="仿宋" w:cs="仿宋"/>
          <w:bCs/>
          <w:color w:val="auto"/>
          <w:kern w:val="0"/>
          <w:sz w:val="24"/>
          <w:szCs w:val="36"/>
          <w:highlight w:val="none"/>
          <w:lang w:val="en-US" w:eastAsia="zh-CN" w:bidi="ar"/>
        </w:rPr>
      </w:pPr>
      <w:r>
        <w:rPr>
          <w:rFonts w:hint="eastAsia" w:ascii="仿宋" w:hAnsi="仿宋" w:eastAsia="仿宋" w:cs="仿宋"/>
          <w:bCs/>
          <w:color w:val="auto"/>
          <w:kern w:val="0"/>
          <w:sz w:val="24"/>
          <w:szCs w:val="36"/>
          <w:highlight w:val="none"/>
          <w:lang w:val="en-US" w:eastAsia="zh-CN" w:bidi="ar"/>
        </w:rPr>
        <w:fldChar w:fldCharType="begin"/>
      </w:r>
      <w:r>
        <w:rPr>
          <w:rFonts w:hint="eastAsia" w:ascii="仿宋" w:hAnsi="仿宋" w:eastAsia="仿宋" w:cs="仿宋"/>
          <w:bCs/>
          <w:color w:val="auto"/>
          <w:kern w:val="0"/>
          <w:sz w:val="24"/>
          <w:szCs w:val="36"/>
          <w:highlight w:val="none"/>
          <w:lang w:val="en-US" w:eastAsia="zh-CN" w:bidi="ar"/>
        </w:rPr>
        <w:instrText xml:space="preserve"> HYPERLINK \l _Toc17535 </w:instrText>
      </w:r>
      <w:r>
        <w:rPr>
          <w:rFonts w:hint="eastAsia" w:ascii="仿宋" w:hAnsi="仿宋" w:eastAsia="仿宋" w:cs="仿宋"/>
          <w:bCs/>
          <w:color w:val="auto"/>
          <w:kern w:val="0"/>
          <w:sz w:val="24"/>
          <w:szCs w:val="36"/>
          <w:highlight w:val="none"/>
          <w:lang w:val="en-US" w:eastAsia="zh-CN" w:bidi="ar"/>
        </w:rPr>
        <w:fldChar w:fldCharType="separate"/>
      </w:r>
      <w:r>
        <w:rPr>
          <w:rFonts w:hint="eastAsia" w:ascii="仿宋" w:hAnsi="仿宋" w:eastAsia="仿宋" w:cs="仿宋"/>
          <w:bCs/>
          <w:color w:val="auto"/>
          <w:kern w:val="0"/>
          <w:sz w:val="24"/>
          <w:szCs w:val="36"/>
          <w:highlight w:val="none"/>
          <w:lang w:val="en-US" w:eastAsia="zh-CN" w:bidi="ar"/>
        </w:rPr>
        <w:t>合同附件：</w:t>
      </w:r>
      <w:r>
        <w:rPr>
          <w:rFonts w:hint="eastAsia" w:ascii="仿宋" w:hAnsi="仿宋" w:eastAsia="仿宋" w:cs="仿宋"/>
          <w:bCs/>
          <w:color w:val="auto"/>
          <w:kern w:val="0"/>
          <w:sz w:val="24"/>
          <w:szCs w:val="36"/>
          <w:highlight w:val="none"/>
          <w:lang w:val="en-US" w:eastAsia="zh-CN" w:bidi="ar"/>
        </w:rPr>
        <w:tab/>
      </w:r>
      <w:r>
        <w:rPr>
          <w:rFonts w:hint="eastAsia" w:ascii="仿宋" w:hAnsi="仿宋" w:eastAsia="仿宋" w:cs="仿宋"/>
          <w:bCs/>
          <w:color w:val="auto"/>
          <w:kern w:val="0"/>
          <w:sz w:val="24"/>
          <w:szCs w:val="36"/>
          <w:highlight w:val="none"/>
          <w:lang w:val="en-US" w:eastAsia="zh-CN" w:bidi="ar"/>
        </w:rPr>
        <w:fldChar w:fldCharType="end"/>
      </w:r>
    </w:p>
    <w:p w14:paraId="7559BCEC">
      <w:pPr>
        <w:pStyle w:val="31"/>
        <w:keepNext w:val="0"/>
        <w:keepLines w:val="0"/>
        <w:pageBreakBefore w:val="0"/>
        <w:widowControl w:val="0"/>
        <w:tabs>
          <w:tab w:val="right" w:leader="dot" w:pos="7980"/>
          <w:tab w:val="clear" w:pos="8398"/>
        </w:tabs>
        <w:kinsoku/>
        <w:wordWrap/>
        <w:overflowPunct/>
        <w:topLinePunct w:val="0"/>
        <w:autoSpaceDE/>
        <w:autoSpaceDN/>
        <w:bidi w:val="0"/>
        <w:adjustRightInd/>
        <w:snapToGrid/>
        <w:spacing w:line="500" w:lineRule="exact"/>
        <w:ind w:left="17" w:leftChars="8" w:firstLine="441" w:firstLineChars="183"/>
        <w:textAlignment w:val="auto"/>
        <w:rPr>
          <w:rFonts w:hint="eastAsia" w:ascii="仿宋" w:hAnsi="仿宋" w:eastAsia="仿宋" w:cs="仿宋"/>
          <w:bCs/>
          <w:color w:val="auto"/>
          <w:kern w:val="0"/>
          <w:sz w:val="24"/>
          <w:szCs w:val="36"/>
          <w:highlight w:val="none"/>
          <w:lang w:val="en-US" w:eastAsia="zh-CN" w:bidi="ar"/>
        </w:rPr>
      </w:pPr>
      <w:r>
        <w:rPr>
          <w:rFonts w:hint="eastAsia" w:ascii="仿宋" w:hAnsi="仿宋" w:eastAsia="仿宋" w:cs="仿宋"/>
          <w:bCs/>
          <w:color w:val="auto"/>
          <w:kern w:val="0"/>
          <w:sz w:val="24"/>
          <w:szCs w:val="36"/>
          <w:highlight w:val="none"/>
          <w:lang w:val="en-US" w:eastAsia="zh-CN" w:bidi="ar"/>
        </w:rPr>
        <w:fldChar w:fldCharType="begin"/>
      </w:r>
      <w:r>
        <w:rPr>
          <w:rFonts w:hint="eastAsia" w:ascii="仿宋" w:hAnsi="仿宋" w:eastAsia="仿宋" w:cs="仿宋"/>
          <w:bCs/>
          <w:color w:val="auto"/>
          <w:kern w:val="0"/>
          <w:sz w:val="24"/>
          <w:szCs w:val="36"/>
          <w:highlight w:val="none"/>
          <w:lang w:val="en-US" w:eastAsia="zh-CN" w:bidi="ar"/>
        </w:rPr>
        <w:instrText xml:space="preserve"> HYPERLINK \l _Toc23927 </w:instrText>
      </w:r>
      <w:r>
        <w:rPr>
          <w:rFonts w:hint="eastAsia" w:ascii="仿宋" w:hAnsi="仿宋" w:eastAsia="仿宋" w:cs="仿宋"/>
          <w:bCs/>
          <w:color w:val="auto"/>
          <w:kern w:val="0"/>
          <w:sz w:val="24"/>
          <w:szCs w:val="36"/>
          <w:highlight w:val="none"/>
          <w:lang w:val="en-US" w:eastAsia="zh-CN" w:bidi="ar"/>
        </w:rPr>
        <w:fldChar w:fldCharType="separate"/>
      </w:r>
      <w:r>
        <w:rPr>
          <w:rFonts w:hint="eastAsia" w:ascii="仿宋" w:hAnsi="仿宋" w:eastAsia="仿宋" w:cs="仿宋"/>
          <w:bCs/>
          <w:color w:val="auto"/>
          <w:kern w:val="0"/>
          <w:sz w:val="24"/>
          <w:szCs w:val="36"/>
          <w:highlight w:val="none"/>
          <w:lang w:val="en-US" w:eastAsia="zh-CN" w:bidi="ar"/>
        </w:rPr>
        <w:t>采购需求：</w:t>
      </w:r>
      <w:r>
        <w:rPr>
          <w:rFonts w:hint="eastAsia" w:ascii="仿宋" w:hAnsi="仿宋" w:eastAsia="仿宋" w:cs="仿宋"/>
          <w:bCs/>
          <w:color w:val="auto"/>
          <w:kern w:val="0"/>
          <w:sz w:val="24"/>
          <w:szCs w:val="36"/>
          <w:highlight w:val="none"/>
          <w:lang w:val="en-US" w:eastAsia="zh-CN" w:bidi="ar"/>
        </w:rPr>
        <w:tab/>
      </w:r>
      <w:r>
        <w:rPr>
          <w:rFonts w:hint="eastAsia" w:ascii="仿宋" w:hAnsi="仿宋" w:eastAsia="仿宋" w:cs="仿宋"/>
          <w:bCs/>
          <w:color w:val="auto"/>
          <w:kern w:val="0"/>
          <w:sz w:val="24"/>
          <w:szCs w:val="36"/>
          <w:highlight w:val="none"/>
          <w:lang w:val="en-US" w:eastAsia="zh-CN" w:bidi="ar"/>
        </w:rPr>
        <w:fldChar w:fldCharType="end"/>
      </w:r>
    </w:p>
    <w:p w14:paraId="02457BF7">
      <w:pPr>
        <w:pStyle w:val="31"/>
        <w:keepNext w:val="0"/>
        <w:keepLines w:val="0"/>
        <w:pageBreakBefore w:val="0"/>
        <w:widowControl w:val="0"/>
        <w:tabs>
          <w:tab w:val="right" w:leader="dot" w:pos="7980"/>
          <w:tab w:val="clear" w:pos="8398"/>
        </w:tabs>
        <w:kinsoku/>
        <w:wordWrap/>
        <w:overflowPunct/>
        <w:topLinePunct w:val="0"/>
        <w:autoSpaceDE/>
        <w:autoSpaceDN/>
        <w:bidi w:val="0"/>
        <w:adjustRightInd/>
        <w:snapToGrid/>
        <w:spacing w:line="500" w:lineRule="exact"/>
        <w:ind w:left="17" w:leftChars="8" w:firstLine="441" w:firstLineChars="183"/>
        <w:textAlignment w:val="auto"/>
        <w:rPr>
          <w:rFonts w:hint="eastAsia" w:ascii="仿宋" w:hAnsi="仿宋" w:eastAsia="仿宋" w:cs="仿宋"/>
          <w:bCs/>
          <w:color w:val="auto"/>
          <w:kern w:val="0"/>
          <w:sz w:val="24"/>
          <w:szCs w:val="36"/>
          <w:highlight w:val="none"/>
          <w:lang w:val="en-US" w:eastAsia="zh-CN" w:bidi="ar"/>
        </w:rPr>
      </w:pPr>
      <w:r>
        <w:rPr>
          <w:rFonts w:hint="eastAsia" w:ascii="仿宋" w:hAnsi="仿宋" w:eastAsia="仿宋" w:cs="仿宋"/>
          <w:bCs/>
          <w:color w:val="auto"/>
          <w:kern w:val="0"/>
          <w:sz w:val="24"/>
          <w:szCs w:val="36"/>
          <w:highlight w:val="none"/>
          <w:lang w:val="en-US" w:eastAsia="zh-CN" w:bidi="ar"/>
        </w:rPr>
        <w:fldChar w:fldCharType="begin"/>
      </w:r>
      <w:r>
        <w:rPr>
          <w:rFonts w:hint="eastAsia" w:ascii="仿宋" w:hAnsi="仿宋" w:eastAsia="仿宋" w:cs="仿宋"/>
          <w:bCs/>
          <w:color w:val="auto"/>
          <w:kern w:val="0"/>
          <w:sz w:val="24"/>
          <w:szCs w:val="36"/>
          <w:highlight w:val="none"/>
          <w:lang w:val="en-US" w:eastAsia="zh-CN" w:bidi="ar"/>
        </w:rPr>
        <w:instrText xml:space="preserve"> HYPERLINK \l _Toc5055 </w:instrText>
      </w:r>
      <w:r>
        <w:rPr>
          <w:rFonts w:hint="eastAsia" w:ascii="仿宋" w:hAnsi="仿宋" w:eastAsia="仿宋" w:cs="仿宋"/>
          <w:bCs/>
          <w:color w:val="auto"/>
          <w:kern w:val="0"/>
          <w:sz w:val="24"/>
          <w:szCs w:val="36"/>
          <w:highlight w:val="none"/>
          <w:lang w:val="en-US" w:eastAsia="zh-CN" w:bidi="ar"/>
        </w:rPr>
        <w:fldChar w:fldCharType="separate"/>
      </w:r>
      <w:r>
        <w:rPr>
          <w:rFonts w:hint="eastAsia" w:ascii="仿宋" w:hAnsi="仿宋" w:eastAsia="仿宋" w:cs="仿宋"/>
          <w:bCs/>
          <w:color w:val="auto"/>
          <w:kern w:val="0"/>
          <w:sz w:val="24"/>
          <w:szCs w:val="36"/>
          <w:highlight w:val="none"/>
          <w:lang w:val="en-US" w:eastAsia="zh-CN" w:bidi="ar"/>
        </w:rPr>
        <w:t>投标声明</w:t>
      </w:r>
      <w:r>
        <w:rPr>
          <w:rFonts w:hint="eastAsia" w:ascii="仿宋" w:hAnsi="仿宋" w:eastAsia="仿宋" w:cs="仿宋"/>
          <w:bCs/>
          <w:color w:val="auto"/>
          <w:kern w:val="0"/>
          <w:sz w:val="24"/>
          <w:szCs w:val="36"/>
          <w:highlight w:val="none"/>
          <w:lang w:val="en-US" w:eastAsia="zh-CN" w:bidi="ar"/>
        </w:rPr>
        <w:tab/>
      </w:r>
      <w:r>
        <w:rPr>
          <w:rFonts w:hint="eastAsia" w:ascii="仿宋" w:hAnsi="仿宋" w:eastAsia="仿宋" w:cs="仿宋"/>
          <w:bCs/>
          <w:color w:val="auto"/>
          <w:kern w:val="0"/>
          <w:sz w:val="24"/>
          <w:szCs w:val="36"/>
          <w:highlight w:val="none"/>
          <w:lang w:val="en-US" w:eastAsia="zh-CN" w:bidi="ar"/>
        </w:rPr>
        <w:fldChar w:fldCharType="end"/>
      </w:r>
    </w:p>
    <w:p w14:paraId="3BE476FB">
      <w:pPr>
        <w:pStyle w:val="31"/>
        <w:keepNext w:val="0"/>
        <w:keepLines w:val="0"/>
        <w:pageBreakBefore w:val="0"/>
        <w:widowControl w:val="0"/>
        <w:tabs>
          <w:tab w:val="right" w:leader="dot" w:pos="7980"/>
          <w:tab w:val="clear" w:pos="8398"/>
        </w:tabs>
        <w:kinsoku/>
        <w:wordWrap/>
        <w:overflowPunct/>
        <w:topLinePunct w:val="0"/>
        <w:autoSpaceDE/>
        <w:autoSpaceDN/>
        <w:bidi w:val="0"/>
        <w:adjustRightInd/>
        <w:snapToGrid/>
        <w:spacing w:line="500" w:lineRule="exact"/>
        <w:ind w:left="17" w:leftChars="8" w:firstLine="441" w:firstLineChars="183"/>
        <w:textAlignment w:val="auto"/>
        <w:rPr>
          <w:rFonts w:hint="eastAsia" w:ascii="仿宋" w:hAnsi="仿宋" w:eastAsia="仿宋" w:cs="仿宋"/>
          <w:bCs/>
          <w:color w:val="auto"/>
          <w:kern w:val="0"/>
          <w:sz w:val="24"/>
          <w:szCs w:val="36"/>
          <w:highlight w:val="none"/>
          <w:lang w:val="en-US" w:eastAsia="zh-CN" w:bidi="ar"/>
        </w:rPr>
      </w:pPr>
      <w:r>
        <w:rPr>
          <w:rFonts w:hint="eastAsia" w:ascii="仿宋" w:hAnsi="仿宋" w:eastAsia="仿宋" w:cs="仿宋"/>
          <w:bCs/>
          <w:color w:val="auto"/>
          <w:kern w:val="0"/>
          <w:sz w:val="24"/>
          <w:szCs w:val="36"/>
          <w:highlight w:val="none"/>
          <w:lang w:val="en-US" w:eastAsia="zh-CN" w:bidi="ar"/>
        </w:rPr>
        <w:fldChar w:fldCharType="begin"/>
      </w:r>
      <w:r>
        <w:rPr>
          <w:rFonts w:hint="eastAsia" w:ascii="仿宋" w:hAnsi="仿宋" w:eastAsia="仿宋" w:cs="仿宋"/>
          <w:bCs/>
          <w:color w:val="auto"/>
          <w:kern w:val="0"/>
          <w:sz w:val="24"/>
          <w:szCs w:val="36"/>
          <w:highlight w:val="none"/>
          <w:lang w:val="en-US" w:eastAsia="zh-CN" w:bidi="ar"/>
        </w:rPr>
        <w:instrText xml:space="preserve"> HYPERLINK \l _Toc7719 </w:instrText>
      </w:r>
      <w:r>
        <w:rPr>
          <w:rFonts w:hint="eastAsia" w:ascii="仿宋" w:hAnsi="仿宋" w:eastAsia="仿宋" w:cs="仿宋"/>
          <w:bCs/>
          <w:color w:val="auto"/>
          <w:kern w:val="0"/>
          <w:sz w:val="24"/>
          <w:szCs w:val="36"/>
          <w:highlight w:val="none"/>
          <w:lang w:val="en-US" w:eastAsia="zh-CN" w:bidi="ar"/>
        </w:rPr>
        <w:fldChar w:fldCharType="separate"/>
      </w:r>
      <w:r>
        <w:rPr>
          <w:rFonts w:hint="eastAsia" w:ascii="仿宋" w:hAnsi="仿宋" w:eastAsia="仿宋" w:cs="仿宋"/>
          <w:bCs/>
          <w:color w:val="auto"/>
          <w:kern w:val="0"/>
          <w:sz w:val="24"/>
          <w:szCs w:val="36"/>
          <w:highlight w:val="none"/>
          <w:lang w:val="en-US" w:eastAsia="zh-CN" w:bidi="ar"/>
        </w:rPr>
        <w:t>技术需求偏离表</w:t>
      </w:r>
      <w:r>
        <w:rPr>
          <w:rFonts w:hint="eastAsia" w:ascii="仿宋" w:hAnsi="仿宋" w:eastAsia="仿宋" w:cs="仿宋"/>
          <w:bCs/>
          <w:color w:val="auto"/>
          <w:kern w:val="0"/>
          <w:sz w:val="24"/>
          <w:szCs w:val="36"/>
          <w:highlight w:val="none"/>
          <w:lang w:val="en-US" w:eastAsia="zh-CN" w:bidi="ar"/>
        </w:rPr>
        <w:tab/>
      </w:r>
      <w:r>
        <w:rPr>
          <w:rFonts w:hint="eastAsia" w:ascii="仿宋" w:hAnsi="仿宋" w:eastAsia="仿宋" w:cs="仿宋"/>
          <w:bCs/>
          <w:color w:val="auto"/>
          <w:kern w:val="0"/>
          <w:sz w:val="24"/>
          <w:szCs w:val="36"/>
          <w:highlight w:val="none"/>
          <w:lang w:val="en-US" w:eastAsia="zh-CN" w:bidi="ar"/>
        </w:rPr>
        <w:fldChar w:fldCharType="end"/>
      </w:r>
    </w:p>
    <w:p w14:paraId="621A205B">
      <w:pPr>
        <w:pStyle w:val="31"/>
        <w:keepNext w:val="0"/>
        <w:keepLines w:val="0"/>
        <w:pageBreakBefore w:val="0"/>
        <w:widowControl w:val="0"/>
        <w:tabs>
          <w:tab w:val="right" w:leader="dot" w:pos="7980"/>
          <w:tab w:val="clear" w:pos="8398"/>
        </w:tabs>
        <w:kinsoku/>
        <w:wordWrap/>
        <w:overflowPunct/>
        <w:topLinePunct w:val="0"/>
        <w:autoSpaceDE/>
        <w:autoSpaceDN/>
        <w:bidi w:val="0"/>
        <w:adjustRightInd/>
        <w:snapToGrid/>
        <w:spacing w:line="500" w:lineRule="exact"/>
        <w:ind w:left="17" w:leftChars="8" w:firstLine="441" w:firstLineChars="183"/>
        <w:textAlignment w:val="auto"/>
        <w:rPr>
          <w:rFonts w:hint="eastAsia" w:ascii="仿宋" w:hAnsi="仿宋" w:eastAsia="仿宋" w:cs="仿宋"/>
          <w:bCs/>
          <w:color w:val="auto"/>
          <w:kern w:val="0"/>
          <w:sz w:val="24"/>
          <w:szCs w:val="36"/>
          <w:highlight w:val="none"/>
          <w:lang w:val="en-US" w:eastAsia="zh-CN" w:bidi="ar"/>
        </w:rPr>
      </w:pPr>
      <w:r>
        <w:rPr>
          <w:rFonts w:hint="eastAsia" w:ascii="仿宋" w:hAnsi="仿宋" w:eastAsia="仿宋" w:cs="仿宋"/>
          <w:bCs/>
          <w:color w:val="auto"/>
          <w:kern w:val="0"/>
          <w:sz w:val="24"/>
          <w:szCs w:val="36"/>
          <w:highlight w:val="none"/>
          <w:lang w:val="en-US" w:eastAsia="zh-CN" w:bidi="ar"/>
        </w:rPr>
        <w:fldChar w:fldCharType="begin"/>
      </w:r>
      <w:r>
        <w:rPr>
          <w:rFonts w:hint="eastAsia" w:ascii="仿宋" w:hAnsi="仿宋" w:eastAsia="仿宋" w:cs="仿宋"/>
          <w:bCs/>
          <w:color w:val="auto"/>
          <w:kern w:val="0"/>
          <w:sz w:val="24"/>
          <w:szCs w:val="36"/>
          <w:highlight w:val="none"/>
          <w:lang w:val="en-US" w:eastAsia="zh-CN" w:bidi="ar"/>
        </w:rPr>
        <w:instrText xml:space="preserve"> HYPERLINK \l _Toc18425 </w:instrText>
      </w:r>
      <w:r>
        <w:rPr>
          <w:rFonts w:hint="eastAsia" w:ascii="仿宋" w:hAnsi="仿宋" w:eastAsia="仿宋" w:cs="仿宋"/>
          <w:bCs/>
          <w:color w:val="auto"/>
          <w:kern w:val="0"/>
          <w:sz w:val="24"/>
          <w:szCs w:val="36"/>
          <w:highlight w:val="none"/>
          <w:lang w:val="en-US" w:eastAsia="zh-CN" w:bidi="ar"/>
        </w:rPr>
        <w:fldChar w:fldCharType="separate"/>
      </w:r>
      <w:r>
        <w:rPr>
          <w:rFonts w:hint="eastAsia" w:ascii="仿宋" w:hAnsi="仿宋" w:eastAsia="仿宋" w:cs="仿宋"/>
          <w:bCs/>
          <w:color w:val="auto"/>
          <w:kern w:val="0"/>
          <w:sz w:val="24"/>
          <w:szCs w:val="36"/>
          <w:highlight w:val="none"/>
          <w:lang w:val="en-US" w:eastAsia="zh-CN" w:bidi="ar"/>
        </w:rPr>
        <w:t>商务条款偏离表</w:t>
      </w:r>
      <w:r>
        <w:rPr>
          <w:rFonts w:hint="eastAsia" w:ascii="仿宋" w:hAnsi="仿宋" w:eastAsia="仿宋" w:cs="仿宋"/>
          <w:bCs/>
          <w:color w:val="auto"/>
          <w:kern w:val="0"/>
          <w:sz w:val="24"/>
          <w:szCs w:val="36"/>
          <w:highlight w:val="none"/>
          <w:lang w:val="en-US" w:eastAsia="zh-CN" w:bidi="ar"/>
        </w:rPr>
        <w:tab/>
      </w:r>
      <w:r>
        <w:rPr>
          <w:rFonts w:hint="eastAsia" w:ascii="仿宋" w:hAnsi="仿宋" w:eastAsia="仿宋" w:cs="仿宋"/>
          <w:bCs/>
          <w:color w:val="auto"/>
          <w:kern w:val="0"/>
          <w:sz w:val="24"/>
          <w:szCs w:val="36"/>
          <w:highlight w:val="none"/>
          <w:lang w:val="en-US" w:eastAsia="zh-CN" w:bidi="ar"/>
        </w:rPr>
        <w:fldChar w:fldCharType="end"/>
      </w:r>
    </w:p>
    <w:p w14:paraId="5AC6787F">
      <w:pPr>
        <w:pStyle w:val="31"/>
        <w:keepNext w:val="0"/>
        <w:keepLines w:val="0"/>
        <w:pageBreakBefore w:val="0"/>
        <w:widowControl w:val="0"/>
        <w:tabs>
          <w:tab w:val="right" w:leader="dot" w:pos="7980"/>
          <w:tab w:val="clear" w:pos="8398"/>
        </w:tabs>
        <w:kinsoku/>
        <w:wordWrap/>
        <w:overflowPunct/>
        <w:topLinePunct w:val="0"/>
        <w:autoSpaceDE/>
        <w:autoSpaceDN/>
        <w:bidi w:val="0"/>
        <w:adjustRightInd/>
        <w:snapToGrid/>
        <w:spacing w:line="500" w:lineRule="exact"/>
        <w:ind w:left="17" w:leftChars="8" w:firstLine="441" w:firstLineChars="183"/>
        <w:textAlignment w:val="auto"/>
        <w:rPr>
          <w:rFonts w:hint="eastAsia" w:ascii="仿宋" w:hAnsi="仿宋" w:eastAsia="仿宋" w:cs="仿宋"/>
          <w:bCs/>
          <w:color w:val="auto"/>
          <w:kern w:val="0"/>
          <w:sz w:val="24"/>
          <w:szCs w:val="36"/>
          <w:highlight w:val="none"/>
          <w:lang w:val="en-US" w:eastAsia="zh-CN" w:bidi="ar"/>
        </w:rPr>
      </w:pPr>
      <w:r>
        <w:rPr>
          <w:rFonts w:hint="eastAsia" w:ascii="仿宋" w:hAnsi="仿宋" w:eastAsia="仿宋" w:cs="仿宋"/>
          <w:bCs/>
          <w:color w:val="auto"/>
          <w:kern w:val="0"/>
          <w:sz w:val="24"/>
          <w:szCs w:val="36"/>
          <w:highlight w:val="none"/>
          <w:lang w:val="en-US" w:eastAsia="zh-CN" w:bidi="ar"/>
        </w:rPr>
        <w:fldChar w:fldCharType="begin"/>
      </w:r>
      <w:r>
        <w:rPr>
          <w:rFonts w:hint="eastAsia" w:ascii="仿宋" w:hAnsi="仿宋" w:eastAsia="仿宋" w:cs="仿宋"/>
          <w:bCs/>
          <w:color w:val="auto"/>
          <w:kern w:val="0"/>
          <w:sz w:val="24"/>
          <w:szCs w:val="36"/>
          <w:highlight w:val="none"/>
          <w:lang w:val="en-US" w:eastAsia="zh-CN" w:bidi="ar"/>
        </w:rPr>
        <w:instrText xml:space="preserve"> HYPERLINK \l _Toc23379 </w:instrText>
      </w:r>
      <w:r>
        <w:rPr>
          <w:rFonts w:hint="eastAsia" w:ascii="仿宋" w:hAnsi="仿宋" w:eastAsia="仿宋" w:cs="仿宋"/>
          <w:bCs/>
          <w:color w:val="auto"/>
          <w:kern w:val="0"/>
          <w:sz w:val="24"/>
          <w:szCs w:val="36"/>
          <w:highlight w:val="none"/>
          <w:lang w:val="en-US" w:eastAsia="zh-CN" w:bidi="ar"/>
        </w:rPr>
        <w:fldChar w:fldCharType="separate"/>
      </w:r>
      <w:r>
        <w:rPr>
          <w:rFonts w:hint="eastAsia" w:ascii="仿宋" w:hAnsi="仿宋" w:eastAsia="仿宋" w:cs="仿宋"/>
          <w:bCs/>
          <w:color w:val="auto"/>
          <w:kern w:val="0"/>
          <w:sz w:val="24"/>
          <w:szCs w:val="36"/>
          <w:highlight w:val="none"/>
          <w:lang w:val="en-US" w:eastAsia="zh-CN" w:bidi="ar"/>
        </w:rPr>
        <w:t>产品技术参数表</w:t>
      </w:r>
      <w:r>
        <w:rPr>
          <w:rFonts w:hint="eastAsia" w:ascii="仿宋" w:hAnsi="仿宋" w:eastAsia="仿宋" w:cs="仿宋"/>
          <w:bCs/>
          <w:color w:val="auto"/>
          <w:kern w:val="0"/>
          <w:sz w:val="24"/>
          <w:szCs w:val="36"/>
          <w:highlight w:val="none"/>
          <w:lang w:val="en-US" w:eastAsia="zh-CN" w:bidi="ar"/>
        </w:rPr>
        <w:tab/>
      </w:r>
      <w:r>
        <w:rPr>
          <w:rFonts w:hint="eastAsia" w:ascii="仿宋" w:hAnsi="仿宋" w:eastAsia="仿宋" w:cs="仿宋"/>
          <w:bCs/>
          <w:color w:val="auto"/>
          <w:kern w:val="0"/>
          <w:sz w:val="24"/>
          <w:szCs w:val="36"/>
          <w:highlight w:val="none"/>
          <w:lang w:val="en-US" w:eastAsia="zh-CN" w:bidi="ar"/>
        </w:rPr>
        <w:fldChar w:fldCharType="end"/>
      </w:r>
    </w:p>
    <w:p w14:paraId="49FFB050">
      <w:pPr>
        <w:pStyle w:val="31"/>
        <w:keepNext w:val="0"/>
        <w:keepLines w:val="0"/>
        <w:pageBreakBefore w:val="0"/>
        <w:widowControl w:val="0"/>
        <w:tabs>
          <w:tab w:val="right" w:leader="dot" w:pos="7980"/>
          <w:tab w:val="clear" w:pos="8398"/>
        </w:tabs>
        <w:kinsoku/>
        <w:wordWrap/>
        <w:overflowPunct/>
        <w:topLinePunct w:val="0"/>
        <w:autoSpaceDE/>
        <w:autoSpaceDN/>
        <w:bidi w:val="0"/>
        <w:adjustRightInd/>
        <w:snapToGrid/>
        <w:spacing w:line="500" w:lineRule="exact"/>
        <w:ind w:left="17" w:leftChars="8" w:firstLine="441" w:firstLineChars="183"/>
        <w:textAlignment w:val="auto"/>
        <w:rPr>
          <w:rFonts w:hint="eastAsia" w:ascii="仿宋" w:hAnsi="仿宋" w:eastAsia="仿宋" w:cs="仿宋"/>
          <w:bCs/>
          <w:color w:val="auto"/>
          <w:kern w:val="0"/>
          <w:sz w:val="24"/>
          <w:szCs w:val="36"/>
          <w:highlight w:val="none"/>
          <w:lang w:val="en-US" w:eastAsia="zh-CN" w:bidi="ar"/>
        </w:rPr>
      </w:pPr>
      <w:r>
        <w:rPr>
          <w:rFonts w:hint="eastAsia" w:ascii="仿宋" w:hAnsi="仿宋" w:eastAsia="仿宋" w:cs="仿宋"/>
          <w:bCs/>
          <w:color w:val="auto"/>
          <w:kern w:val="0"/>
          <w:sz w:val="24"/>
          <w:szCs w:val="36"/>
          <w:highlight w:val="none"/>
          <w:lang w:val="en-US" w:eastAsia="zh-CN" w:bidi="ar"/>
        </w:rPr>
        <w:fldChar w:fldCharType="begin"/>
      </w:r>
      <w:r>
        <w:rPr>
          <w:rFonts w:hint="eastAsia" w:ascii="仿宋" w:hAnsi="仿宋" w:eastAsia="仿宋" w:cs="仿宋"/>
          <w:bCs/>
          <w:color w:val="auto"/>
          <w:kern w:val="0"/>
          <w:sz w:val="24"/>
          <w:szCs w:val="36"/>
          <w:highlight w:val="none"/>
          <w:lang w:val="en-US" w:eastAsia="zh-CN" w:bidi="ar"/>
        </w:rPr>
        <w:instrText xml:space="preserve"> HYPERLINK \l _Toc27394 </w:instrText>
      </w:r>
      <w:r>
        <w:rPr>
          <w:rFonts w:hint="eastAsia" w:ascii="仿宋" w:hAnsi="仿宋" w:eastAsia="仿宋" w:cs="仿宋"/>
          <w:bCs/>
          <w:color w:val="auto"/>
          <w:kern w:val="0"/>
          <w:sz w:val="24"/>
          <w:szCs w:val="36"/>
          <w:highlight w:val="none"/>
          <w:lang w:val="en-US" w:eastAsia="zh-CN" w:bidi="ar"/>
        </w:rPr>
        <w:fldChar w:fldCharType="separate"/>
      </w:r>
      <w:r>
        <w:rPr>
          <w:rFonts w:hint="eastAsia" w:ascii="仿宋" w:hAnsi="仿宋" w:eastAsia="仿宋" w:cs="仿宋"/>
          <w:bCs/>
          <w:color w:val="auto"/>
          <w:kern w:val="0"/>
          <w:sz w:val="24"/>
          <w:szCs w:val="36"/>
          <w:highlight w:val="none"/>
          <w:lang w:val="en-US" w:eastAsia="zh-CN" w:bidi="ar"/>
        </w:rPr>
        <w:t>设备配置清单</w:t>
      </w:r>
      <w:r>
        <w:rPr>
          <w:rFonts w:hint="eastAsia" w:ascii="仿宋" w:hAnsi="仿宋" w:eastAsia="仿宋" w:cs="仿宋"/>
          <w:bCs/>
          <w:color w:val="auto"/>
          <w:kern w:val="0"/>
          <w:sz w:val="24"/>
          <w:szCs w:val="36"/>
          <w:highlight w:val="none"/>
          <w:lang w:val="en-US" w:eastAsia="zh-CN" w:bidi="ar"/>
        </w:rPr>
        <w:tab/>
      </w:r>
      <w:r>
        <w:rPr>
          <w:rFonts w:hint="eastAsia" w:ascii="仿宋" w:hAnsi="仿宋" w:eastAsia="仿宋" w:cs="仿宋"/>
          <w:bCs/>
          <w:color w:val="auto"/>
          <w:kern w:val="0"/>
          <w:sz w:val="24"/>
          <w:szCs w:val="36"/>
          <w:highlight w:val="none"/>
          <w:lang w:val="en-US" w:eastAsia="zh-CN" w:bidi="ar"/>
        </w:rPr>
        <w:fldChar w:fldCharType="end"/>
      </w:r>
    </w:p>
    <w:p w14:paraId="1B882287">
      <w:pPr>
        <w:pStyle w:val="31"/>
        <w:keepNext w:val="0"/>
        <w:keepLines w:val="0"/>
        <w:pageBreakBefore w:val="0"/>
        <w:widowControl w:val="0"/>
        <w:tabs>
          <w:tab w:val="right" w:leader="dot" w:pos="7980"/>
          <w:tab w:val="clear" w:pos="8398"/>
        </w:tabs>
        <w:kinsoku/>
        <w:wordWrap/>
        <w:overflowPunct/>
        <w:topLinePunct w:val="0"/>
        <w:autoSpaceDE/>
        <w:autoSpaceDN/>
        <w:bidi w:val="0"/>
        <w:adjustRightInd/>
        <w:snapToGrid/>
        <w:spacing w:line="500" w:lineRule="exact"/>
        <w:ind w:left="17" w:leftChars="8" w:firstLine="441" w:firstLineChars="183"/>
        <w:textAlignment w:val="auto"/>
        <w:rPr>
          <w:rFonts w:hint="eastAsia" w:ascii="仿宋" w:hAnsi="仿宋" w:eastAsia="仿宋" w:cs="仿宋"/>
          <w:bCs/>
          <w:color w:val="auto"/>
          <w:kern w:val="0"/>
          <w:sz w:val="24"/>
          <w:szCs w:val="36"/>
          <w:highlight w:val="none"/>
          <w:lang w:val="en-US" w:eastAsia="zh-CN" w:bidi="ar"/>
        </w:rPr>
      </w:pPr>
      <w:r>
        <w:rPr>
          <w:rFonts w:hint="eastAsia" w:ascii="仿宋" w:hAnsi="仿宋" w:eastAsia="仿宋" w:cs="仿宋"/>
          <w:bCs/>
          <w:color w:val="auto"/>
          <w:kern w:val="0"/>
          <w:sz w:val="24"/>
          <w:szCs w:val="36"/>
          <w:highlight w:val="none"/>
          <w:lang w:val="en-US" w:eastAsia="zh-CN" w:bidi="ar"/>
        </w:rPr>
        <w:fldChar w:fldCharType="begin"/>
      </w:r>
      <w:r>
        <w:rPr>
          <w:rFonts w:hint="eastAsia" w:ascii="仿宋" w:hAnsi="仿宋" w:eastAsia="仿宋" w:cs="仿宋"/>
          <w:bCs/>
          <w:color w:val="auto"/>
          <w:kern w:val="0"/>
          <w:sz w:val="24"/>
          <w:szCs w:val="36"/>
          <w:highlight w:val="none"/>
          <w:lang w:val="en-US" w:eastAsia="zh-CN" w:bidi="ar"/>
        </w:rPr>
        <w:instrText xml:space="preserve"> HYPERLINK \l _Toc10800 </w:instrText>
      </w:r>
      <w:r>
        <w:rPr>
          <w:rFonts w:hint="eastAsia" w:ascii="仿宋" w:hAnsi="仿宋" w:eastAsia="仿宋" w:cs="仿宋"/>
          <w:bCs/>
          <w:color w:val="auto"/>
          <w:kern w:val="0"/>
          <w:sz w:val="24"/>
          <w:szCs w:val="36"/>
          <w:highlight w:val="none"/>
          <w:lang w:val="en-US" w:eastAsia="zh-CN" w:bidi="ar"/>
        </w:rPr>
        <w:fldChar w:fldCharType="separate"/>
      </w:r>
      <w:r>
        <w:rPr>
          <w:rFonts w:hint="eastAsia" w:ascii="仿宋" w:hAnsi="仿宋" w:eastAsia="仿宋" w:cs="仿宋"/>
          <w:bCs/>
          <w:color w:val="auto"/>
          <w:kern w:val="0"/>
          <w:sz w:val="24"/>
          <w:szCs w:val="36"/>
          <w:highlight w:val="none"/>
          <w:lang w:val="en-US" w:eastAsia="zh-CN" w:bidi="ar"/>
        </w:rPr>
        <w:t>厂家售后服务承诺</w:t>
      </w:r>
      <w:r>
        <w:rPr>
          <w:rFonts w:hint="eastAsia" w:ascii="仿宋" w:hAnsi="仿宋" w:eastAsia="仿宋" w:cs="仿宋"/>
          <w:bCs/>
          <w:color w:val="auto"/>
          <w:kern w:val="0"/>
          <w:sz w:val="24"/>
          <w:szCs w:val="36"/>
          <w:highlight w:val="none"/>
          <w:lang w:val="en-US" w:eastAsia="zh-CN" w:bidi="ar"/>
        </w:rPr>
        <w:tab/>
      </w:r>
      <w:r>
        <w:rPr>
          <w:rFonts w:hint="eastAsia" w:ascii="仿宋" w:hAnsi="仿宋" w:eastAsia="仿宋" w:cs="仿宋"/>
          <w:bCs/>
          <w:color w:val="auto"/>
          <w:kern w:val="0"/>
          <w:sz w:val="24"/>
          <w:szCs w:val="36"/>
          <w:highlight w:val="none"/>
          <w:lang w:val="en-US" w:eastAsia="zh-CN" w:bidi="ar"/>
        </w:rPr>
        <w:fldChar w:fldCharType="end"/>
      </w:r>
    </w:p>
    <w:p w14:paraId="081CBB96">
      <w:pPr>
        <w:pStyle w:val="31"/>
        <w:keepNext w:val="0"/>
        <w:keepLines w:val="0"/>
        <w:pageBreakBefore w:val="0"/>
        <w:widowControl w:val="0"/>
        <w:tabs>
          <w:tab w:val="right" w:leader="dot" w:pos="7980"/>
          <w:tab w:val="clear" w:pos="8398"/>
        </w:tabs>
        <w:kinsoku/>
        <w:wordWrap/>
        <w:overflowPunct/>
        <w:topLinePunct w:val="0"/>
        <w:autoSpaceDE/>
        <w:autoSpaceDN/>
        <w:bidi w:val="0"/>
        <w:adjustRightInd/>
        <w:snapToGrid/>
        <w:spacing w:line="500" w:lineRule="exact"/>
        <w:ind w:left="17" w:leftChars="8" w:firstLine="441" w:firstLineChars="183"/>
        <w:textAlignment w:val="auto"/>
        <w:rPr>
          <w:rFonts w:hint="eastAsia" w:ascii="仿宋" w:hAnsi="仿宋" w:eastAsia="仿宋" w:cs="仿宋"/>
          <w:bCs/>
          <w:color w:val="auto"/>
          <w:kern w:val="0"/>
          <w:sz w:val="24"/>
          <w:szCs w:val="36"/>
          <w:highlight w:val="none"/>
          <w:lang w:val="en-US" w:eastAsia="zh-CN" w:bidi="ar"/>
        </w:rPr>
      </w:pPr>
      <w:r>
        <w:rPr>
          <w:rFonts w:hint="eastAsia" w:ascii="仿宋" w:hAnsi="仿宋" w:eastAsia="仿宋" w:cs="仿宋"/>
          <w:bCs/>
          <w:color w:val="auto"/>
          <w:kern w:val="0"/>
          <w:sz w:val="24"/>
          <w:szCs w:val="36"/>
          <w:highlight w:val="none"/>
          <w:lang w:val="en-US" w:eastAsia="zh-CN" w:bidi="ar"/>
        </w:rPr>
        <w:fldChar w:fldCharType="begin"/>
      </w:r>
      <w:r>
        <w:rPr>
          <w:rFonts w:hint="eastAsia" w:ascii="仿宋" w:hAnsi="仿宋" w:eastAsia="仿宋" w:cs="仿宋"/>
          <w:bCs/>
          <w:color w:val="auto"/>
          <w:kern w:val="0"/>
          <w:sz w:val="24"/>
          <w:szCs w:val="36"/>
          <w:highlight w:val="none"/>
          <w:lang w:val="en-US" w:eastAsia="zh-CN" w:bidi="ar"/>
        </w:rPr>
        <w:instrText xml:space="preserve"> HYPERLINK \l _Toc32675 </w:instrText>
      </w:r>
      <w:r>
        <w:rPr>
          <w:rFonts w:hint="eastAsia" w:ascii="仿宋" w:hAnsi="仿宋" w:eastAsia="仿宋" w:cs="仿宋"/>
          <w:bCs/>
          <w:color w:val="auto"/>
          <w:kern w:val="0"/>
          <w:sz w:val="24"/>
          <w:szCs w:val="36"/>
          <w:highlight w:val="none"/>
          <w:lang w:val="en-US" w:eastAsia="zh-CN" w:bidi="ar"/>
        </w:rPr>
        <w:fldChar w:fldCharType="separate"/>
      </w:r>
      <w:r>
        <w:rPr>
          <w:rFonts w:hint="eastAsia" w:ascii="仿宋" w:hAnsi="仿宋" w:eastAsia="仿宋" w:cs="仿宋"/>
          <w:bCs/>
          <w:color w:val="auto"/>
          <w:kern w:val="0"/>
          <w:sz w:val="24"/>
          <w:szCs w:val="36"/>
          <w:highlight w:val="none"/>
          <w:lang w:val="en-US" w:eastAsia="zh-CN" w:bidi="ar"/>
        </w:rPr>
        <w:t>供应商售后服务承诺</w:t>
      </w:r>
      <w:r>
        <w:rPr>
          <w:rFonts w:hint="eastAsia" w:ascii="仿宋" w:hAnsi="仿宋" w:eastAsia="仿宋" w:cs="仿宋"/>
          <w:bCs/>
          <w:color w:val="auto"/>
          <w:kern w:val="0"/>
          <w:sz w:val="24"/>
          <w:szCs w:val="36"/>
          <w:highlight w:val="none"/>
          <w:lang w:val="en-US" w:eastAsia="zh-CN" w:bidi="ar"/>
        </w:rPr>
        <w:tab/>
      </w:r>
      <w:r>
        <w:rPr>
          <w:rFonts w:hint="eastAsia" w:ascii="仿宋" w:hAnsi="仿宋" w:eastAsia="仿宋" w:cs="仿宋"/>
          <w:bCs/>
          <w:color w:val="auto"/>
          <w:kern w:val="0"/>
          <w:sz w:val="24"/>
          <w:szCs w:val="36"/>
          <w:highlight w:val="none"/>
          <w:lang w:val="en-US" w:eastAsia="zh-CN" w:bidi="ar"/>
        </w:rPr>
        <w:fldChar w:fldCharType="end"/>
      </w:r>
    </w:p>
    <w:p w14:paraId="694A65C1">
      <w:pPr>
        <w:pStyle w:val="31"/>
        <w:keepNext w:val="0"/>
        <w:keepLines w:val="0"/>
        <w:pageBreakBefore w:val="0"/>
        <w:widowControl w:val="0"/>
        <w:tabs>
          <w:tab w:val="right" w:leader="dot" w:pos="7980"/>
          <w:tab w:val="clear" w:pos="8398"/>
        </w:tabs>
        <w:kinsoku/>
        <w:wordWrap/>
        <w:overflowPunct/>
        <w:topLinePunct w:val="0"/>
        <w:autoSpaceDE/>
        <w:autoSpaceDN/>
        <w:bidi w:val="0"/>
        <w:adjustRightInd/>
        <w:snapToGrid/>
        <w:spacing w:line="500" w:lineRule="exact"/>
        <w:ind w:left="17" w:leftChars="8" w:firstLine="441" w:firstLineChars="183"/>
        <w:textAlignment w:val="auto"/>
        <w:rPr>
          <w:rFonts w:hint="eastAsia" w:ascii="仿宋" w:hAnsi="仿宋" w:eastAsia="仿宋" w:cs="仿宋"/>
          <w:bCs/>
          <w:color w:val="auto"/>
          <w:kern w:val="0"/>
          <w:sz w:val="24"/>
          <w:szCs w:val="36"/>
          <w:highlight w:val="none"/>
          <w:lang w:val="en-US" w:eastAsia="zh-CN" w:bidi="ar"/>
        </w:rPr>
      </w:pPr>
      <w:r>
        <w:rPr>
          <w:rFonts w:hint="eastAsia" w:ascii="仿宋" w:hAnsi="仿宋" w:eastAsia="仿宋" w:cs="仿宋"/>
          <w:bCs/>
          <w:color w:val="auto"/>
          <w:kern w:val="0"/>
          <w:sz w:val="24"/>
          <w:szCs w:val="36"/>
          <w:highlight w:val="none"/>
          <w:lang w:val="en-US" w:eastAsia="zh-CN" w:bidi="ar"/>
        </w:rPr>
        <w:fldChar w:fldCharType="begin"/>
      </w:r>
      <w:r>
        <w:rPr>
          <w:rFonts w:hint="eastAsia" w:ascii="仿宋" w:hAnsi="仿宋" w:eastAsia="仿宋" w:cs="仿宋"/>
          <w:bCs/>
          <w:color w:val="auto"/>
          <w:kern w:val="0"/>
          <w:sz w:val="24"/>
          <w:szCs w:val="36"/>
          <w:highlight w:val="none"/>
          <w:lang w:val="en-US" w:eastAsia="zh-CN" w:bidi="ar"/>
        </w:rPr>
        <w:instrText xml:space="preserve"> HYPERLINK \l _Toc27973 </w:instrText>
      </w:r>
      <w:r>
        <w:rPr>
          <w:rFonts w:hint="eastAsia" w:ascii="仿宋" w:hAnsi="仿宋" w:eastAsia="仿宋" w:cs="仿宋"/>
          <w:bCs/>
          <w:color w:val="auto"/>
          <w:kern w:val="0"/>
          <w:sz w:val="24"/>
          <w:szCs w:val="36"/>
          <w:highlight w:val="none"/>
          <w:lang w:val="en-US" w:eastAsia="zh-CN" w:bidi="ar"/>
        </w:rPr>
        <w:fldChar w:fldCharType="separate"/>
      </w:r>
      <w:r>
        <w:rPr>
          <w:rFonts w:hint="eastAsia" w:ascii="仿宋" w:hAnsi="仿宋" w:eastAsia="仿宋" w:cs="仿宋"/>
          <w:bCs/>
          <w:color w:val="auto"/>
          <w:kern w:val="0"/>
          <w:sz w:val="24"/>
          <w:szCs w:val="36"/>
          <w:highlight w:val="none"/>
          <w:lang w:val="en-US" w:eastAsia="zh-CN" w:bidi="ar"/>
        </w:rPr>
        <w:t>产品注册证</w:t>
      </w:r>
      <w:r>
        <w:rPr>
          <w:rFonts w:hint="eastAsia" w:ascii="仿宋" w:hAnsi="仿宋" w:eastAsia="仿宋" w:cs="仿宋"/>
          <w:bCs/>
          <w:color w:val="auto"/>
          <w:kern w:val="0"/>
          <w:sz w:val="24"/>
          <w:szCs w:val="36"/>
          <w:highlight w:val="none"/>
          <w:lang w:val="en-US" w:eastAsia="zh-CN" w:bidi="ar"/>
        </w:rPr>
        <w:tab/>
      </w:r>
      <w:r>
        <w:rPr>
          <w:rFonts w:hint="eastAsia" w:ascii="仿宋" w:hAnsi="仿宋" w:eastAsia="仿宋" w:cs="仿宋"/>
          <w:bCs/>
          <w:color w:val="auto"/>
          <w:kern w:val="0"/>
          <w:sz w:val="24"/>
          <w:szCs w:val="36"/>
          <w:highlight w:val="none"/>
          <w:lang w:val="en-US" w:eastAsia="zh-CN" w:bidi="ar"/>
        </w:rPr>
        <w:fldChar w:fldCharType="end"/>
      </w:r>
    </w:p>
    <w:p w14:paraId="02766FC0">
      <w:pPr>
        <w:pStyle w:val="31"/>
        <w:keepNext w:val="0"/>
        <w:keepLines w:val="0"/>
        <w:pageBreakBefore w:val="0"/>
        <w:widowControl w:val="0"/>
        <w:tabs>
          <w:tab w:val="right" w:leader="dot" w:pos="7980"/>
          <w:tab w:val="clear" w:pos="8398"/>
        </w:tabs>
        <w:kinsoku/>
        <w:wordWrap/>
        <w:overflowPunct/>
        <w:topLinePunct w:val="0"/>
        <w:autoSpaceDE/>
        <w:autoSpaceDN/>
        <w:bidi w:val="0"/>
        <w:adjustRightInd/>
        <w:snapToGrid/>
        <w:spacing w:line="500" w:lineRule="exact"/>
        <w:ind w:left="17" w:leftChars="8" w:firstLine="441" w:firstLineChars="183"/>
        <w:textAlignment w:val="auto"/>
        <w:rPr>
          <w:rFonts w:hint="eastAsia" w:ascii="仿宋" w:hAnsi="仿宋" w:eastAsia="仿宋" w:cs="仿宋"/>
          <w:bCs/>
          <w:color w:val="auto"/>
          <w:kern w:val="0"/>
          <w:sz w:val="24"/>
          <w:szCs w:val="36"/>
          <w:highlight w:val="none"/>
          <w:lang w:val="en-US" w:eastAsia="zh-CN" w:bidi="ar"/>
        </w:rPr>
      </w:pPr>
      <w:r>
        <w:rPr>
          <w:rFonts w:hint="eastAsia" w:ascii="仿宋" w:hAnsi="仿宋" w:eastAsia="仿宋" w:cs="仿宋"/>
          <w:bCs/>
          <w:color w:val="auto"/>
          <w:kern w:val="0"/>
          <w:sz w:val="24"/>
          <w:szCs w:val="36"/>
          <w:highlight w:val="none"/>
          <w:lang w:val="en-US" w:eastAsia="zh-CN" w:bidi="ar"/>
        </w:rPr>
        <w:fldChar w:fldCharType="begin"/>
      </w:r>
      <w:r>
        <w:rPr>
          <w:rFonts w:hint="eastAsia" w:ascii="仿宋" w:hAnsi="仿宋" w:eastAsia="仿宋" w:cs="仿宋"/>
          <w:bCs/>
          <w:color w:val="auto"/>
          <w:kern w:val="0"/>
          <w:sz w:val="24"/>
          <w:szCs w:val="36"/>
          <w:highlight w:val="none"/>
          <w:lang w:val="en-US" w:eastAsia="zh-CN" w:bidi="ar"/>
        </w:rPr>
        <w:instrText xml:space="preserve"> HYPERLINK \l _Toc9634 </w:instrText>
      </w:r>
      <w:r>
        <w:rPr>
          <w:rFonts w:hint="eastAsia" w:ascii="仿宋" w:hAnsi="仿宋" w:eastAsia="仿宋" w:cs="仿宋"/>
          <w:bCs/>
          <w:color w:val="auto"/>
          <w:kern w:val="0"/>
          <w:sz w:val="24"/>
          <w:szCs w:val="36"/>
          <w:highlight w:val="none"/>
          <w:lang w:val="en-US" w:eastAsia="zh-CN" w:bidi="ar"/>
        </w:rPr>
        <w:fldChar w:fldCharType="separate"/>
      </w:r>
      <w:r>
        <w:rPr>
          <w:rFonts w:hint="eastAsia" w:ascii="仿宋" w:hAnsi="仿宋" w:eastAsia="仿宋" w:cs="仿宋"/>
          <w:bCs/>
          <w:color w:val="auto"/>
          <w:kern w:val="0"/>
          <w:sz w:val="24"/>
          <w:szCs w:val="36"/>
          <w:highlight w:val="none"/>
          <w:lang w:val="en-US" w:eastAsia="zh-CN" w:bidi="ar"/>
        </w:rPr>
        <w:t>中标通知书</w:t>
      </w:r>
      <w:r>
        <w:rPr>
          <w:rFonts w:hint="eastAsia" w:ascii="仿宋" w:hAnsi="仿宋" w:eastAsia="仿宋" w:cs="仿宋"/>
          <w:bCs/>
          <w:color w:val="auto"/>
          <w:kern w:val="0"/>
          <w:sz w:val="24"/>
          <w:szCs w:val="36"/>
          <w:highlight w:val="none"/>
          <w:lang w:val="en-US" w:eastAsia="zh-CN" w:bidi="ar"/>
        </w:rPr>
        <w:tab/>
      </w:r>
      <w:r>
        <w:rPr>
          <w:rFonts w:hint="eastAsia" w:ascii="仿宋" w:hAnsi="仿宋" w:eastAsia="仿宋" w:cs="仿宋"/>
          <w:bCs/>
          <w:color w:val="auto"/>
          <w:kern w:val="0"/>
          <w:sz w:val="24"/>
          <w:szCs w:val="36"/>
          <w:highlight w:val="none"/>
          <w:lang w:val="en-US" w:eastAsia="zh-CN" w:bidi="ar"/>
        </w:rPr>
        <w:fldChar w:fldCharType="end"/>
      </w:r>
    </w:p>
    <w:p w14:paraId="5F289D9E">
      <w:pPr>
        <w:pStyle w:val="31"/>
        <w:keepNext w:val="0"/>
        <w:keepLines w:val="0"/>
        <w:pageBreakBefore w:val="0"/>
        <w:widowControl w:val="0"/>
        <w:tabs>
          <w:tab w:val="right" w:leader="dot" w:pos="7980"/>
          <w:tab w:val="clear" w:pos="8398"/>
        </w:tabs>
        <w:kinsoku/>
        <w:wordWrap/>
        <w:overflowPunct/>
        <w:topLinePunct w:val="0"/>
        <w:autoSpaceDE/>
        <w:autoSpaceDN/>
        <w:bidi w:val="0"/>
        <w:adjustRightInd/>
        <w:snapToGrid/>
        <w:spacing w:line="500" w:lineRule="exact"/>
        <w:ind w:left="17" w:leftChars="8" w:firstLine="441" w:firstLineChars="183"/>
        <w:textAlignment w:val="auto"/>
        <w:rPr>
          <w:rFonts w:hint="eastAsia" w:ascii="仿宋" w:hAnsi="仿宋" w:eastAsia="仿宋" w:cs="仿宋"/>
          <w:bCs/>
          <w:color w:val="auto"/>
          <w:kern w:val="0"/>
          <w:sz w:val="24"/>
          <w:szCs w:val="36"/>
          <w:highlight w:val="none"/>
          <w:lang w:val="en-US" w:eastAsia="zh-CN" w:bidi="ar"/>
        </w:rPr>
      </w:pPr>
      <w:r>
        <w:rPr>
          <w:rFonts w:hint="eastAsia" w:ascii="仿宋" w:hAnsi="仿宋" w:eastAsia="仿宋" w:cs="仿宋"/>
          <w:bCs/>
          <w:color w:val="auto"/>
          <w:kern w:val="0"/>
          <w:sz w:val="24"/>
          <w:szCs w:val="36"/>
          <w:highlight w:val="none"/>
          <w:lang w:val="en-US" w:eastAsia="zh-CN" w:bidi="ar"/>
        </w:rPr>
        <w:fldChar w:fldCharType="begin"/>
      </w:r>
      <w:r>
        <w:rPr>
          <w:rFonts w:hint="eastAsia" w:ascii="仿宋" w:hAnsi="仿宋" w:eastAsia="仿宋" w:cs="仿宋"/>
          <w:bCs/>
          <w:color w:val="auto"/>
          <w:kern w:val="0"/>
          <w:sz w:val="24"/>
          <w:szCs w:val="36"/>
          <w:highlight w:val="none"/>
          <w:lang w:val="en-US" w:eastAsia="zh-CN" w:bidi="ar"/>
        </w:rPr>
        <w:instrText xml:space="preserve"> HYPERLINK \l _Toc22315 </w:instrText>
      </w:r>
      <w:r>
        <w:rPr>
          <w:rFonts w:hint="eastAsia" w:ascii="仿宋" w:hAnsi="仿宋" w:eastAsia="仿宋" w:cs="仿宋"/>
          <w:bCs/>
          <w:color w:val="auto"/>
          <w:kern w:val="0"/>
          <w:sz w:val="24"/>
          <w:szCs w:val="36"/>
          <w:highlight w:val="none"/>
          <w:lang w:val="en-US" w:eastAsia="zh-CN" w:bidi="ar"/>
        </w:rPr>
        <w:fldChar w:fldCharType="separate"/>
      </w:r>
      <w:r>
        <w:rPr>
          <w:rFonts w:hint="eastAsia" w:ascii="仿宋" w:hAnsi="仿宋" w:eastAsia="仿宋" w:cs="仿宋"/>
          <w:bCs/>
          <w:color w:val="auto"/>
          <w:kern w:val="0"/>
          <w:sz w:val="24"/>
          <w:szCs w:val="36"/>
          <w:highlight w:val="none"/>
          <w:lang w:val="en-US" w:eastAsia="zh-CN" w:bidi="ar"/>
        </w:rPr>
        <w:t>全国个体私营经济发展服务网（小微企业名录）网页查询截图</w:t>
      </w:r>
      <w:r>
        <w:rPr>
          <w:rFonts w:hint="eastAsia" w:ascii="仿宋" w:hAnsi="仿宋" w:eastAsia="仿宋" w:cs="仿宋"/>
          <w:bCs/>
          <w:color w:val="auto"/>
          <w:kern w:val="0"/>
          <w:sz w:val="24"/>
          <w:szCs w:val="36"/>
          <w:highlight w:val="none"/>
          <w:lang w:val="en-US" w:eastAsia="zh-CN" w:bidi="ar"/>
        </w:rPr>
        <w:tab/>
      </w:r>
    </w:p>
    <w:p w14:paraId="0015BE21">
      <w:pPr>
        <w:pStyle w:val="31"/>
        <w:keepNext w:val="0"/>
        <w:keepLines w:val="0"/>
        <w:pageBreakBefore w:val="0"/>
        <w:widowControl w:val="0"/>
        <w:tabs>
          <w:tab w:val="right" w:leader="dot" w:pos="7980"/>
          <w:tab w:val="clear" w:pos="8398"/>
        </w:tabs>
        <w:kinsoku/>
        <w:wordWrap/>
        <w:overflowPunct/>
        <w:topLinePunct w:val="0"/>
        <w:autoSpaceDE/>
        <w:autoSpaceDN/>
        <w:bidi w:val="0"/>
        <w:adjustRightInd/>
        <w:snapToGrid/>
        <w:spacing w:line="500" w:lineRule="exact"/>
        <w:ind w:left="17" w:leftChars="8" w:firstLine="441" w:firstLineChars="183"/>
        <w:textAlignment w:val="auto"/>
        <w:rPr>
          <w:rFonts w:hint="eastAsia" w:ascii="仿宋" w:hAnsi="仿宋" w:eastAsia="仿宋" w:cs="仿宋"/>
          <w:color w:val="auto"/>
          <w:szCs w:val="28"/>
          <w:highlight w:val="none"/>
        </w:rPr>
      </w:pPr>
      <w:r>
        <w:rPr>
          <w:rFonts w:hint="eastAsia" w:ascii="仿宋" w:hAnsi="仿宋" w:eastAsia="仿宋" w:cs="仿宋"/>
          <w:bCs/>
          <w:color w:val="auto"/>
          <w:kern w:val="0"/>
          <w:sz w:val="24"/>
          <w:szCs w:val="36"/>
          <w:highlight w:val="none"/>
          <w:lang w:val="en-US" w:eastAsia="zh-CN" w:bidi="ar"/>
        </w:rPr>
        <w:t>履约保证金银行转账或电汇回单</w:t>
      </w:r>
      <w:r>
        <w:rPr>
          <w:rFonts w:hint="eastAsia" w:ascii="仿宋" w:hAnsi="仿宋" w:eastAsia="仿宋" w:cs="仿宋"/>
          <w:bCs/>
          <w:color w:val="auto"/>
          <w:kern w:val="0"/>
          <w:sz w:val="24"/>
          <w:szCs w:val="36"/>
          <w:highlight w:val="none"/>
          <w:lang w:val="en-US" w:eastAsia="zh-CN" w:bidi="ar"/>
        </w:rPr>
        <w:tab/>
      </w:r>
      <w:r>
        <w:rPr>
          <w:rFonts w:hint="eastAsia" w:ascii="仿宋" w:hAnsi="仿宋" w:eastAsia="仿宋" w:cs="仿宋"/>
          <w:bCs/>
          <w:color w:val="auto"/>
          <w:kern w:val="0"/>
          <w:sz w:val="24"/>
          <w:szCs w:val="36"/>
          <w:highlight w:val="none"/>
          <w:lang w:val="en-US" w:eastAsia="zh-CN" w:bidi="ar"/>
        </w:rPr>
        <w:fldChar w:fldCharType="end"/>
      </w:r>
      <w:r>
        <w:rPr>
          <w:rFonts w:hint="eastAsia" w:ascii="仿宋" w:hAnsi="仿宋" w:eastAsia="仿宋" w:cs="仿宋"/>
          <w:color w:val="auto"/>
          <w:szCs w:val="28"/>
          <w:highlight w:val="none"/>
        </w:rPr>
        <w:fldChar w:fldCharType="end"/>
      </w:r>
    </w:p>
    <w:p w14:paraId="3A7AFF59">
      <w:pPr>
        <w:rPr>
          <w:rFonts w:hint="eastAsia" w:ascii="仿宋" w:hAnsi="仿宋" w:eastAsia="仿宋" w:cs="仿宋"/>
          <w:color w:val="auto"/>
          <w:highlight w:val="none"/>
          <w:lang w:val="en-US" w:eastAsia="zh-CN"/>
        </w:rPr>
      </w:pPr>
    </w:p>
    <w:p w14:paraId="5F2F207C">
      <w:pPr>
        <w:pStyle w:val="31"/>
        <w:keepNext w:val="0"/>
        <w:keepLines w:val="0"/>
        <w:pageBreakBefore w:val="0"/>
        <w:widowControl w:val="0"/>
        <w:tabs>
          <w:tab w:val="right" w:leader="dot" w:pos="7980"/>
          <w:tab w:val="clear" w:pos="8398"/>
        </w:tabs>
        <w:kinsoku/>
        <w:wordWrap/>
        <w:overflowPunct/>
        <w:topLinePunct w:val="0"/>
        <w:autoSpaceDE/>
        <w:autoSpaceDN/>
        <w:bidi w:val="0"/>
        <w:adjustRightInd/>
        <w:snapToGrid/>
        <w:spacing w:line="500" w:lineRule="exact"/>
        <w:ind w:left="17" w:leftChars="8" w:firstLine="441" w:firstLineChars="183"/>
        <w:textAlignment w:val="auto"/>
        <w:rPr>
          <w:rFonts w:hint="eastAsia" w:ascii="仿宋" w:hAnsi="仿宋" w:eastAsia="仿宋" w:cs="仿宋"/>
          <w:bCs/>
          <w:color w:val="auto"/>
          <w:kern w:val="0"/>
          <w:sz w:val="24"/>
          <w:szCs w:val="36"/>
          <w:highlight w:val="none"/>
          <w:lang w:val="en-US" w:eastAsia="zh-CN" w:bidi="ar"/>
        </w:rPr>
        <w:sectPr>
          <w:footerReference r:id="rId13" w:type="default"/>
          <w:pgSz w:w="11906" w:h="16838"/>
          <w:pgMar w:top="1440" w:right="1800" w:bottom="1440" w:left="1800" w:header="851" w:footer="992" w:gutter="0"/>
          <w:pgNumType w:fmt="decimal"/>
          <w:cols w:space="720" w:num="1"/>
          <w:docGrid w:type="lines" w:linePitch="312" w:charSpace="0"/>
        </w:sectPr>
      </w:pPr>
    </w:p>
    <w:p w14:paraId="0ADBC94B">
      <w:pPr>
        <w:snapToGrid w:val="0"/>
        <w:spacing w:line="400" w:lineRule="exact"/>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广西壮族自治区人民医院采购合同</w:t>
      </w:r>
    </w:p>
    <w:p w14:paraId="28531ECE">
      <w:pPr>
        <w:snapToGrid w:val="0"/>
        <w:spacing w:line="400" w:lineRule="exact"/>
        <w:jc w:val="center"/>
        <w:rPr>
          <w:rFonts w:hint="eastAsia" w:ascii="仿宋" w:hAnsi="仿宋" w:eastAsia="仿宋" w:cs="仿宋"/>
          <w:b/>
          <w:bCs/>
          <w:color w:val="auto"/>
          <w:sz w:val="32"/>
          <w:szCs w:val="32"/>
          <w:highlight w:val="none"/>
        </w:rPr>
      </w:pPr>
    </w:p>
    <w:p w14:paraId="2B65E2AA">
      <w:pPr>
        <w:snapToGrid w:val="0"/>
        <w:spacing w:line="400" w:lineRule="exact"/>
        <w:ind w:right="480"/>
        <w:jc w:val="right"/>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【202</w:t>
      </w:r>
      <w:r>
        <w:rPr>
          <w:rFonts w:hint="eastAsia" w:ascii="仿宋" w:hAnsi="仿宋" w:eastAsia="仿宋" w:cs="仿宋"/>
          <w:bCs/>
          <w:color w:val="auto"/>
          <w:sz w:val="24"/>
          <w:szCs w:val="24"/>
          <w:highlight w:val="none"/>
          <w:lang w:val="en-US" w:eastAsia="zh-CN"/>
        </w:rPr>
        <w:t>5</w:t>
      </w:r>
      <w:r>
        <w:rPr>
          <w:rFonts w:hint="eastAsia" w:ascii="仿宋" w:hAnsi="仿宋" w:eastAsia="仿宋" w:cs="仿宋"/>
          <w:bCs/>
          <w:color w:val="auto"/>
          <w:sz w:val="24"/>
          <w:szCs w:val="24"/>
          <w:highlight w:val="none"/>
        </w:rPr>
        <w:t>年</w:t>
      </w:r>
      <w:r>
        <w:rPr>
          <w:rFonts w:hint="eastAsia" w:ascii="仿宋" w:hAnsi="仿宋" w:eastAsia="仿宋" w:cs="仿宋"/>
          <w:bCs/>
          <w:color w:val="auto"/>
          <w:sz w:val="24"/>
          <w:szCs w:val="24"/>
          <w:highlight w:val="none"/>
          <w:lang w:val="en-US" w:eastAsia="zh-CN"/>
        </w:rPr>
        <w:t>4</w:t>
      </w:r>
      <w:r>
        <w:rPr>
          <w:rFonts w:hint="eastAsia" w:ascii="仿宋" w:hAnsi="仿宋" w:eastAsia="仿宋" w:cs="仿宋"/>
          <w:bCs/>
          <w:color w:val="auto"/>
          <w:sz w:val="24"/>
          <w:szCs w:val="24"/>
          <w:highlight w:val="none"/>
        </w:rPr>
        <w:t>月版】</w:t>
      </w:r>
    </w:p>
    <w:p w14:paraId="5D6929FB">
      <w:pPr>
        <w:snapToGrid w:val="0"/>
        <w:spacing w:line="360" w:lineRule="exact"/>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采购单位（甲方）</w:t>
      </w:r>
      <w:r>
        <w:rPr>
          <w:rFonts w:hint="eastAsia" w:ascii="仿宋" w:hAnsi="仿宋" w:eastAsia="仿宋" w:cs="仿宋"/>
          <w:color w:val="auto"/>
          <w:sz w:val="24"/>
          <w:szCs w:val="24"/>
          <w:highlight w:val="none"/>
          <w:u w:val="single"/>
        </w:rPr>
        <w:t xml:space="preserve">  广西壮族自治区人民医院 </w:t>
      </w:r>
      <w:r>
        <w:rPr>
          <w:rFonts w:hint="eastAsia" w:ascii="仿宋" w:hAnsi="仿宋" w:eastAsia="仿宋" w:cs="仿宋"/>
          <w:color w:val="auto"/>
          <w:sz w:val="24"/>
          <w:szCs w:val="24"/>
          <w:highlight w:val="none"/>
        </w:rPr>
        <w:t xml:space="preserve">  </w:t>
      </w:r>
    </w:p>
    <w:p w14:paraId="40382CE6">
      <w:pPr>
        <w:snapToGrid w:val="0"/>
        <w:spacing w:line="360" w:lineRule="exact"/>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供 应 商（乙方）</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合 同 编 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7D026B9E">
      <w:pPr>
        <w:snapToGrid w:val="0"/>
        <w:spacing w:line="360" w:lineRule="exact"/>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签  订  地  点 </w:t>
      </w:r>
      <w:r>
        <w:rPr>
          <w:rFonts w:hint="eastAsia" w:ascii="仿宋" w:hAnsi="仿宋" w:eastAsia="仿宋" w:cs="仿宋"/>
          <w:color w:val="auto"/>
          <w:sz w:val="24"/>
          <w:szCs w:val="24"/>
          <w:highlight w:val="none"/>
          <w:u w:val="single"/>
        </w:rPr>
        <w:t xml:space="preserve">    南宁市青秀区        </w:t>
      </w:r>
      <w:r>
        <w:rPr>
          <w:rFonts w:hint="eastAsia" w:ascii="仿宋" w:hAnsi="仿宋" w:eastAsia="仿宋" w:cs="仿宋"/>
          <w:color w:val="auto"/>
          <w:sz w:val="24"/>
          <w:szCs w:val="24"/>
          <w:highlight w:val="none"/>
        </w:rPr>
        <w:t xml:space="preserve">  签 订 时 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年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月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日 </w:t>
      </w:r>
    </w:p>
    <w:p w14:paraId="6BCBF4E0">
      <w:pPr>
        <w:snapToGrid w:val="0"/>
        <w:spacing w:line="3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根据《中华人民共和国政府采购法》《中华人民共和国民法典》等法律法规规定，按照采购文件规定条款和中标供应商承诺，甲乙双方签订本合同。</w:t>
      </w:r>
    </w:p>
    <w:p w14:paraId="1AA6649F">
      <w:pPr>
        <w:spacing w:after="124" w:afterLines="40" w:line="360" w:lineRule="exact"/>
        <w:ind w:firstLine="482" w:firstLineChars="200"/>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第一条 合同标的</w:t>
      </w:r>
    </w:p>
    <w:p w14:paraId="3B637A8C">
      <w:pPr>
        <w:spacing w:after="124" w:afterLines="40" w:line="3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kern w:val="1"/>
          <w:sz w:val="24"/>
          <w:szCs w:val="24"/>
          <w:highlight w:val="none"/>
        </w:rPr>
        <w:t xml:space="preserve">. </w:t>
      </w:r>
      <w:r>
        <w:rPr>
          <w:rFonts w:hint="eastAsia" w:ascii="仿宋" w:hAnsi="仿宋" w:eastAsia="仿宋" w:cs="仿宋"/>
          <w:color w:val="auto"/>
          <w:sz w:val="24"/>
          <w:szCs w:val="24"/>
          <w:highlight w:val="none"/>
        </w:rPr>
        <w:t>供货一览表</w:t>
      </w:r>
    </w:p>
    <w:tbl>
      <w:tblPr>
        <w:tblStyle w:val="4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1080"/>
        <w:gridCol w:w="1080"/>
        <w:gridCol w:w="1359"/>
        <w:gridCol w:w="1064"/>
        <w:gridCol w:w="1046"/>
        <w:gridCol w:w="1063"/>
        <w:gridCol w:w="1177"/>
      </w:tblGrid>
      <w:tr w14:paraId="2CAA0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387" w:type="pct"/>
            <w:noWrap w:val="0"/>
            <w:vAlign w:val="center"/>
          </w:tcPr>
          <w:p w14:paraId="44D90008">
            <w:pPr>
              <w:spacing w:line="360" w:lineRule="exact"/>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633" w:type="pct"/>
            <w:noWrap w:val="0"/>
            <w:vAlign w:val="center"/>
          </w:tcPr>
          <w:p w14:paraId="2C2A0337">
            <w:pPr>
              <w:spacing w:line="360" w:lineRule="exact"/>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产品名称</w:t>
            </w:r>
          </w:p>
        </w:tc>
        <w:tc>
          <w:tcPr>
            <w:tcW w:w="633" w:type="pct"/>
            <w:noWrap w:val="0"/>
            <w:vAlign w:val="center"/>
          </w:tcPr>
          <w:p w14:paraId="53F99169">
            <w:pPr>
              <w:spacing w:line="360" w:lineRule="exact"/>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商标品牌</w:t>
            </w:r>
          </w:p>
        </w:tc>
        <w:tc>
          <w:tcPr>
            <w:tcW w:w="797" w:type="pct"/>
            <w:noWrap w:val="0"/>
            <w:vAlign w:val="center"/>
          </w:tcPr>
          <w:p w14:paraId="64F04B5B">
            <w:pPr>
              <w:spacing w:line="360" w:lineRule="exact"/>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规格型号</w:t>
            </w:r>
          </w:p>
        </w:tc>
        <w:tc>
          <w:tcPr>
            <w:tcW w:w="624" w:type="pct"/>
            <w:noWrap w:val="0"/>
            <w:vAlign w:val="center"/>
          </w:tcPr>
          <w:p w14:paraId="1410FECC">
            <w:pPr>
              <w:spacing w:line="360" w:lineRule="exact"/>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生产厂家</w:t>
            </w:r>
          </w:p>
        </w:tc>
        <w:tc>
          <w:tcPr>
            <w:tcW w:w="613" w:type="pct"/>
            <w:noWrap w:val="0"/>
            <w:vAlign w:val="center"/>
          </w:tcPr>
          <w:p w14:paraId="4D1E4AB8">
            <w:pPr>
              <w:spacing w:line="360" w:lineRule="exact"/>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p w14:paraId="4F132A7A">
            <w:pPr>
              <w:spacing w:line="360" w:lineRule="exact"/>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623" w:type="pct"/>
            <w:noWrap w:val="0"/>
            <w:vAlign w:val="center"/>
          </w:tcPr>
          <w:p w14:paraId="650F12E3">
            <w:pPr>
              <w:spacing w:line="360" w:lineRule="exact"/>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单价(元)</w:t>
            </w:r>
          </w:p>
        </w:tc>
        <w:tc>
          <w:tcPr>
            <w:tcW w:w="689" w:type="pct"/>
            <w:noWrap w:val="0"/>
            <w:vAlign w:val="center"/>
          </w:tcPr>
          <w:p w14:paraId="566244EA">
            <w:pPr>
              <w:spacing w:line="360" w:lineRule="exact"/>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金额(元)</w:t>
            </w:r>
          </w:p>
        </w:tc>
      </w:tr>
      <w:tr w14:paraId="0C479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387" w:type="pct"/>
            <w:noWrap w:val="0"/>
            <w:vAlign w:val="center"/>
          </w:tcPr>
          <w:p w14:paraId="54F98670">
            <w:pPr>
              <w:spacing w:line="360" w:lineRule="exact"/>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633" w:type="pct"/>
            <w:noWrap w:val="0"/>
            <w:vAlign w:val="center"/>
          </w:tcPr>
          <w:p w14:paraId="49E35C16">
            <w:pPr>
              <w:spacing w:line="360" w:lineRule="exact"/>
              <w:jc w:val="both"/>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产品名称</w:t>
            </w:r>
            <w:r>
              <w:rPr>
                <w:rFonts w:hint="eastAsia" w:ascii="仿宋" w:hAnsi="仿宋" w:eastAsia="仿宋" w:cs="仿宋"/>
                <w:color w:val="auto"/>
                <w:sz w:val="24"/>
                <w:szCs w:val="24"/>
                <w:highlight w:val="none"/>
                <w:lang w:val="en-US" w:eastAsia="zh-CN"/>
              </w:rPr>
              <w:t>必须</w:t>
            </w:r>
            <w:r>
              <w:rPr>
                <w:rFonts w:hint="eastAsia" w:ascii="仿宋" w:hAnsi="仿宋" w:eastAsia="仿宋" w:cs="仿宋"/>
                <w:color w:val="auto"/>
                <w:sz w:val="24"/>
                <w:szCs w:val="24"/>
                <w:highlight w:val="none"/>
              </w:rPr>
              <w:t>与注册证一致</w:t>
            </w:r>
            <w:r>
              <w:rPr>
                <w:rFonts w:hint="eastAsia" w:ascii="仿宋" w:hAnsi="仿宋" w:eastAsia="仿宋" w:cs="仿宋"/>
                <w:color w:val="auto"/>
                <w:sz w:val="24"/>
                <w:szCs w:val="24"/>
                <w:highlight w:val="none"/>
                <w:lang w:eastAsia="zh-CN"/>
              </w:rPr>
              <w:t>）</w:t>
            </w:r>
          </w:p>
        </w:tc>
        <w:tc>
          <w:tcPr>
            <w:tcW w:w="633" w:type="pct"/>
            <w:noWrap w:val="0"/>
            <w:vAlign w:val="center"/>
          </w:tcPr>
          <w:p w14:paraId="4F99463F">
            <w:pPr>
              <w:spacing w:line="360" w:lineRule="exact"/>
              <w:outlineLvl w:val="9"/>
              <w:rPr>
                <w:rFonts w:hint="eastAsia" w:ascii="仿宋" w:hAnsi="仿宋" w:eastAsia="仿宋" w:cs="仿宋"/>
                <w:color w:val="auto"/>
                <w:sz w:val="24"/>
                <w:szCs w:val="24"/>
                <w:highlight w:val="none"/>
              </w:rPr>
            </w:pPr>
          </w:p>
        </w:tc>
        <w:tc>
          <w:tcPr>
            <w:tcW w:w="797" w:type="pct"/>
            <w:noWrap w:val="0"/>
            <w:vAlign w:val="center"/>
          </w:tcPr>
          <w:p w14:paraId="53A8D739">
            <w:pPr>
              <w:spacing w:line="360" w:lineRule="exact"/>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（规格型号必须与注册证一致</w:t>
            </w:r>
            <w:r>
              <w:rPr>
                <w:rFonts w:hint="eastAsia" w:ascii="仿宋" w:hAnsi="仿宋" w:eastAsia="仿宋" w:cs="仿宋"/>
                <w:color w:val="auto"/>
                <w:sz w:val="24"/>
                <w:szCs w:val="24"/>
                <w:highlight w:val="none"/>
                <w:lang w:eastAsia="zh-CN"/>
              </w:rPr>
              <w:t>）</w:t>
            </w:r>
          </w:p>
        </w:tc>
        <w:tc>
          <w:tcPr>
            <w:tcW w:w="624" w:type="pct"/>
            <w:noWrap w:val="0"/>
            <w:vAlign w:val="center"/>
          </w:tcPr>
          <w:p w14:paraId="1663F2A7">
            <w:pPr>
              <w:spacing w:line="360" w:lineRule="exact"/>
              <w:jc w:val="center"/>
              <w:outlineLvl w:val="9"/>
              <w:rPr>
                <w:rFonts w:hint="eastAsia" w:ascii="仿宋" w:hAnsi="仿宋" w:eastAsia="仿宋" w:cs="仿宋"/>
                <w:color w:val="auto"/>
                <w:sz w:val="24"/>
                <w:szCs w:val="24"/>
                <w:highlight w:val="none"/>
              </w:rPr>
            </w:pPr>
          </w:p>
        </w:tc>
        <w:tc>
          <w:tcPr>
            <w:tcW w:w="613" w:type="pct"/>
            <w:noWrap w:val="0"/>
            <w:vAlign w:val="center"/>
          </w:tcPr>
          <w:p w14:paraId="59125831">
            <w:pPr>
              <w:spacing w:line="360" w:lineRule="exact"/>
              <w:jc w:val="center"/>
              <w:outlineLvl w:val="9"/>
              <w:rPr>
                <w:rFonts w:hint="eastAsia" w:ascii="仿宋" w:hAnsi="仿宋" w:eastAsia="仿宋" w:cs="仿宋"/>
                <w:color w:val="auto"/>
                <w:sz w:val="24"/>
                <w:szCs w:val="24"/>
                <w:highlight w:val="none"/>
              </w:rPr>
            </w:pPr>
          </w:p>
        </w:tc>
        <w:tc>
          <w:tcPr>
            <w:tcW w:w="623" w:type="pct"/>
            <w:noWrap w:val="0"/>
            <w:vAlign w:val="center"/>
          </w:tcPr>
          <w:p w14:paraId="35DD8B4C">
            <w:pPr>
              <w:spacing w:line="360" w:lineRule="exact"/>
              <w:jc w:val="center"/>
              <w:outlineLvl w:val="9"/>
              <w:rPr>
                <w:rFonts w:hint="eastAsia" w:ascii="仿宋" w:hAnsi="仿宋" w:eastAsia="仿宋" w:cs="仿宋"/>
                <w:color w:val="auto"/>
                <w:sz w:val="24"/>
                <w:szCs w:val="24"/>
                <w:highlight w:val="none"/>
              </w:rPr>
            </w:pPr>
          </w:p>
        </w:tc>
        <w:tc>
          <w:tcPr>
            <w:tcW w:w="689" w:type="pct"/>
            <w:noWrap w:val="0"/>
            <w:vAlign w:val="center"/>
          </w:tcPr>
          <w:p w14:paraId="7D839334">
            <w:pPr>
              <w:spacing w:line="360" w:lineRule="exact"/>
              <w:jc w:val="center"/>
              <w:outlineLvl w:val="9"/>
              <w:rPr>
                <w:rFonts w:hint="eastAsia" w:ascii="仿宋" w:hAnsi="仿宋" w:eastAsia="仿宋" w:cs="仿宋"/>
                <w:color w:val="auto"/>
                <w:sz w:val="24"/>
                <w:szCs w:val="24"/>
                <w:highlight w:val="none"/>
              </w:rPr>
            </w:pPr>
          </w:p>
        </w:tc>
      </w:tr>
      <w:tr w14:paraId="4B444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5000" w:type="pct"/>
            <w:gridSpan w:val="8"/>
            <w:noWrap w:val="0"/>
            <w:vAlign w:val="center"/>
          </w:tcPr>
          <w:p w14:paraId="489F7594">
            <w:pPr>
              <w:spacing w:line="36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人民币合计金额（含税）(大写)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元整(小写)（¥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tc>
      </w:tr>
    </w:tbl>
    <w:p w14:paraId="55B0D552">
      <w:pPr>
        <w:snapToGrid w:val="0"/>
        <w:spacing w:line="3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kern w:val="1"/>
          <w:sz w:val="24"/>
          <w:szCs w:val="24"/>
          <w:highlight w:val="none"/>
        </w:rPr>
        <w:t xml:space="preserve">. </w:t>
      </w:r>
      <w:r>
        <w:rPr>
          <w:rFonts w:hint="eastAsia" w:ascii="仿宋" w:hAnsi="仿宋" w:eastAsia="仿宋" w:cs="仿宋"/>
          <w:color w:val="auto"/>
          <w:sz w:val="24"/>
          <w:szCs w:val="24"/>
          <w:highlight w:val="none"/>
        </w:rPr>
        <w:t>合同合计金额包括货物价款，备件、专用工具、安装、调试、检验、技术培训及技术资料和包装、运输、搬卸、税金、售后服务、软件升级等全部费用。如公告规定、采购文件及投标文件对其另有规定的，从其规定。</w:t>
      </w:r>
    </w:p>
    <w:p w14:paraId="103DC479">
      <w:pPr>
        <w:spacing w:after="124" w:afterLines="40" w:line="360" w:lineRule="exact"/>
        <w:ind w:firstLine="482" w:firstLineChars="200"/>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第二条 质量保证</w:t>
      </w:r>
    </w:p>
    <w:p w14:paraId="09ED0404">
      <w:pPr>
        <w:snapToGrid w:val="0"/>
        <w:spacing w:line="3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kern w:val="1"/>
          <w:sz w:val="24"/>
          <w:szCs w:val="24"/>
          <w:highlight w:val="none"/>
        </w:rPr>
        <w:t xml:space="preserve">. </w:t>
      </w:r>
      <w:r>
        <w:rPr>
          <w:rFonts w:hint="eastAsia" w:ascii="仿宋" w:hAnsi="仿宋" w:eastAsia="仿宋" w:cs="仿宋"/>
          <w:color w:val="auto"/>
          <w:sz w:val="24"/>
          <w:szCs w:val="24"/>
          <w:highlight w:val="none"/>
        </w:rPr>
        <w:t>乙方所提供的货物型号、技术规格、技术参数等应符合</w:t>
      </w:r>
      <w:r>
        <w:rPr>
          <w:rFonts w:hint="eastAsia" w:ascii="仿宋" w:hAnsi="仿宋" w:eastAsia="仿宋" w:cs="仿宋"/>
          <w:color w:val="auto"/>
          <w:sz w:val="24"/>
          <w:szCs w:val="24"/>
          <w:highlight w:val="none"/>
          <w:lang w:eastAsia="zh-Hans"/>
        </w:rPr>
        <w:t>国家标准、行业标准、地方标准等标准、规范（上述标准、规范有出入的，以较严格为准）</w:t>
      </w:r>
      <w:r>
        <w:rPr>
          <w:rFonts w:hint="eastAsia" w:ascii="仿宋" w:hAnsi="仿宋" w:eastAsia="仿宋" w:cs="仿宋"/>
          <w:color w:val="auto"/>
          <w:sz w:val="24"/>
          <w:szCs w:val="24"/>
          <w:highlight w:val="none"/>
        </w:rPr>
        <w:t>，并与公告规定、采购文件及投标文件承诺的质量相一致，以确保使用过程的安全有效</w:t>
      </w:r>
      <w:r>
        <w:rPr>
          <w:rFonts w:hint="eastAsia" w:ascii="仿宋" w:hAnsi="仿宋" w:eastAsia="仿宋" w:cs="仿宋"/>
          <w:color w:val="auto"/>
          <w:sz w:val="24"/>
          <w:szCs w:val="24"/>
          <w:highlight w:val="none"/>
          <w:lang w:eastAsia="zh-Hans"/>
        </w:rPr>
        <w:t>，如采购文件中明确对货物提出更高的技术要求的，乙方还应当确保符合采购文件提出的技术要求</w:t>
      </w:r>
      <w:r>
        <w:rPr>
          <w:rFonts w:hint="eastAsia" w:ascii="仿宋" w:hAnsi="仿宋" w:eastAsia="仿宋" w:cs="仿宋"/>
          <w:color w:val="auto"/>
          <w:sz w:val="24"/>
          <w:szCs w:val="24"/>
          <w:highlight w:val="none"/>
        </w:rPr>
        <w:t>。</w:t>
      </w:r>
    </w:p>
    <w:p w14:paraId="454E4606">
      <w:pPr>
        <w:snapToGrid w:val="0"/>
        <w:spacing w:line="3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kern w:val="1"/>
          <w:sz w:val="24"/>
          <w:szCs w:val="24"/>
          <w:highlight w:val="none"/>
        </w:rPr>
        <w:t xml:space="preserve">. </w:t>
      </w:r>
      <w:r>
        <w:rPr>
          <w:rFonts w:hint="eastAsia" w:ascii="仿宋" w:hAnsi="仿宋" w:eastAsia="仿宋" w:cs="仿宋"/>
          <w:color w:val="auto"/>
          <w:sz w:val="24"/>
          <w:szCs w:val="24"/>
          <w:highlight w:val="none"/>
        </w:rPr>
        <w:t>乙方所提供的货物必须是全新、未使用的原装产品，且在正常安装、使用和保养条件下，其使用寿命期内各项指标均达到公告规定、采购文件或投标文件承诺的质量要求。</w:t>
      </w:r>
    </w:p>
    <w:p w14:paraId="07B6F705">
      <w:pPr>
        <w:spacing w:after="124" w:afterLines="40" w:line="360" w:lineRule="exact"/>
        <w:ind w:firstLine="482" w:firstLineChars="200"/>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第三条 权利保证</w:t>
      </w:r>
    </w:p>
    <w:p w14:paraId="447FEBCF">
      <w:pPr>
        <w:snapToGrid w:val="0"/>
        <w:spacing w:line="3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kern w:val="1"/>
          <w:sz w:val="24"/>
          <w:szCs w:val="24"/>
          <w:highlight w:val="none"/>
        </w:rPr>
        <w:t xml:space="preserve">. </w:t>
      </w:r>
      <w:r>
        <w:rPr>
          <w:rFonts w:hint="eastAsia" w:ascii="仿宋" w:hAnsi="仿宋" w:eastAsia="仿宋" w:cs="仿宋"/>
          <w:color w:val="auto"/>
          <w:sz w:val="24"/>
          <w:szCs w:val="24"/>
          <w:highlight w:val="none"/>
        </w:rPr>
        <w:t>乙方应保证所提供货物在使用时不会侵犯任何第三方的专利权、商标权、工业设计权或其他权利。</w:t>
      </w:r>
    </w:p>
    <w:p w14:paraId="786A7E54">
      <w:pPr>
        <w:snapToGrid w:val="0"/>
        <w:spacing w:line="3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kern w:val="1"/>
          <w:sz w:val="24"/>
          <w:szCs w:val="24"/>
          <w:highlight w:val="none"/>
        </w:rPr>
        <w:t xml:space="preserve">. </w:t>
      </w:r>
      <w:r>
        <w:rPr>
          <w:rFonts w:hint="eastAsia" w:ascii="仿宋" w:hAnsi="仿宋" w:eastAsia="仿宋" w:cs="仿宋"/>
          <w:color w:val="auto"/>
          <w:sz w:val="24"/>
          <w:szCs w:val="24"/>
          <w:highlight w:val="none"/>
        </w:rPr>
        <w:t>乙方应按公告规定、采购文件或投标文件承诺的时间向甲方提供使用货物的有关技术资料。</w:t>
      </w:r>
    </w:p>
    <w:p w14:paraId="6331A026">
      <w:pPr>
        <w:snapToGrid w:val="0"/>
        <w:spacing w:line="3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kern w:val="1"/>
          <w:sz w:val="24"/>
          <w:szCs w:val="24"/>
          <w:highlight w:val="none"/>
        </w:rPr>
        <w:t xml:space="preserve">. </w:t>
      </w:r>
      <w:r>
        <w:rPr>
          <w:rFonts w:hint="eastAsia" w:ascii="仿宋" w:hAnsi="仿宋" w:eastAsia="仿宋" w:cs="仿宋"/>
          <w:color w:val="auto"/>
          <w:sz w:val="24"/>
          <w:szCs w:val="24"/>
          <w:highlight w:val="none"/>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该保密义务为永久性，不因本合同的解除、撤销、无效、终止而免除。</w:t>
      </w:r>
    </w:p>
    <w:p w14:paraId="0A004AFC">
      <w:pPr>
        <w:snapToGrid w:val="0"/>
        <w:spacing w:line="3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r>
        <w:rPr>
          <w:rFonts w:hint="eastAsia" w:ascii="仿宋" w:hAnsi="仿宋" w:eastAsia="仿宋" w:cs="仿宋"/>
          <w:color w:val="auto"/>
          <w:kern w:val="1"/>
          <w:sz w:val="24"/>
          <w:szCs w:val="24"/>
          <w:highlight w:val="none"/>
        </w:rPr>
        <w:t xml:space="preserve">. </w:t>
      </w:r>
      <w:r>
        <w:rPr>
          <w:rFonts w:hint="eastAsia" w:ascii="仿宋" w:hAnsi="仿宋" w:eastAsia="仿宋" w:cs="仿宋"/>
          <w:color w:val="auto"/>
          <w:sz w:val="24"/>
          <w:szCs w:val="24"/>
          <w:highlight w:val="none"/>
        </w:rPr>
        <w:t>乙方保证将要交付的货物的所有权完全属于乙方，且无任何抵押、质押、查封、留置等产权瑕疵。</w:t>
      </w:r>
    </w:p>
    <w:p w14:paraId="733DFEFE">
      <w:pPr>
        <w:spacing w:after="124" w:afterLines="40" w:line="360" w:lineRule="exact"/>
        <w:ind w:firstLine="482" w:firstLineChars="200"/>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第四条 包装和运输</w:t>
      </w:r>
    </w:p>
    <w:p w14:paraId="2D1ED8DB">
      <w:pPr>
        <w:snapToGrid w:val="0"/>
        <w:spacing w:line="3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kern w:val="1"/>
          <w:sz w:val="24"/>
          <w:szCs w:val="24"/>
          <w:highlight w:val="none"/>
        </w:rPr>
        <w:t xml:space="preserve">. </w:t>
      </w:r>
      <w:r>
        <w:rPr>
          <w:rFonts w:hint="eastAsia" w:ascii="仿宋" w:hAnsi="仿宋" w:eastAsia="仿宋" w:cs="仿宋"/>
          <w:color w:val="auto"/>
          <w:sz w:val="24"/>
          <w:szCs w:val="24"/>
          <w:highlight w:val="none"/>
        </w:rPr>
        <w:t>乙方提供的货物均应按照公告规定、采购文件或投标文件承诺的包装材料、包装标准、包装方式进行包装，每一包装单元内应附详细的装箱单和质量合格证。</w:t>
      </w:r>
    </w:p>
    <w:p w14:paraId="6200D4CB">
      <w:pPr>
        <w:spacing w:line="3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kern w:val="1"/>
          <w:sz w:val="24"/>
          <w:szCs w:val="24"/>
          <w:highlight w:val="none"/>
        </w:rPr>
        <w:t xml:space="preserve">. </w:t>
      </w:r>
      <w:r>
        <w:rPr>
          <w:rFonts w:hint="eastAsia" w:ascii="仿宋" w:hAnsi="仿宋" w:eastAsia="仿宋" w:cs="仿宋"/>
          <w:color w:val="auto"/>
          <w:sz w:val="24"/>
          <w:szCs w:val="24"/>
          <w:highlight w:val="none"/>
        </w:rPr>
        <w:t>货物的运输方式：</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1"/>
          <w:sz w:val="24"/>
          <w:szCs w:val="24"/>
          <w:highlight w:val="none"/>
          <w:u w:val="single"/>
        </w:rPr>
        <w:t>不限</w:t>
      </w:r>
      <w:r>
        <w:rPr>
          <w:rFonts w:hint="eastAsia" w:ascii="仿宋" w:hAnsi="仿宋" w:eastAsia="仿宋" w:cs="仿宋"/>
          <w:color w:val="auto"/>
          <w:sz w:val="24"/>
          <w:szCs w:val="24"/>
          <w:highlight w:val="none"/>
          <w:u w:val="single"/>
        </w:rPr>
        <w:t xml:space="preserve">        </w:t>
      </w:r>
    </w:p>
    <w:p w14:paraId="206BE31D">
      <w:pPr>
        <w:spacing w:line="3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kern w:val="1"/>
          <w:sz w:val="24"/>
          <w:szCs w:val="24"/>
          <w:highlight w:val="none"/>
        </w:rPr>
        <w:t xml:space="preserve">. </w:t>
      </w:r>
      <w:r>
        <w:rPr>
          <w:rFonts w:hint="eastAsia" w:ascii="仿宋" w:hAnsi="仿宋" w:eastAsia="仿宋" w:cs="仿宋"/>
          <w:color w:val="auto"/>
          <w:sz w:val="24"/>
          <w:szCs w:val="24"/>
          <w:highlight w:val="none"/>
        </w:rPr>
        <w:t>乙方负责货物运输及相关费用，货物运输合理损耗及计算方法：</w:t>
      </w:r>
      <w:r>
        <w:rPr>
          <w:rFonts w:hint="eastAsia" w:ascii="仿宋" w:hAnsi="仿宋" w:eastAsia="仿宋" w:cs="仿宋"/>
          <w:color w:val="auto"/>
          <w:sz w:val="24"/>
          <w:szCs w:val="24"/>
          <w:highlight w:val="none"/>
          <w:u w:val="single"/>
        </w:rPr>
        <w:t>货物运输保险费已包含在合同总价中，乙方须确保货物安全无损地运抵安装地点</w:t>
      </w:r>
      <w:r>
        <w:rPr>
          <w:rFonts w:hint="eastAsia" w:ascii="仿宋" w:hAnsi="仿宋" w:eastAsia="仿宋" w:cs="仿宋"/>
          <w:color w:val="auto"/>
          <w:sz w:val="24"/>
          <w:szCs w:val="24"/>
          <w:highlight w:val="none"/>
        </w:rPr>
        <w:t>。</w:t>
      </w:r>
    </w:p>
    <w:p w14:paraId="6527248A">
      <w:pPr>
        <w:spacing w:line="360" w:lineRule="exact"/>
        <w:ind w:firstLine="482" w:firstLineChars="200"/>
        <w:outlineLvl w:val="9"/>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第五条 交付和验收</w:t>
      </w:r>
    </w:p>
    <w:p w14:paraId="0AC17A5F">
      <w:pPr>
        <w:spacing w:line="3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kern w:val="1"/>
          <w:sz w:val="24"/>
          <w:szCs w:val="24"/>
          <w:highlight w:val="none"/>
        </w:rPr>
        <w:t xml:space="preserve">. </w:t>
      </w:r>
      <w:r>
        <w:rPr>
          <w:rFonts w:hint="eastAsia" w:ascii="仿宋" w:hAnsi="仿宋" w:eastAsia="仿宋" w:cs="仿宋"/>
          <w:color w:val="auto"/>
          <w:sz w:val="24"/>
          <w:szCs w:val="24"/>
          <w:highlight w:val="none"/>
        </w:rPr>
        <w:t>交货时间：</w:t>
      </w:r>
      <w:r>
        <w:rPr>
          <w:rFonts w:hint="eastAsia" w:ascii="仿宋" w:hAnsi="仿宋" w:eastAsia="仿宋" w:cs="仿宋"/>
          <w:color w:val="auto"/>
          <w:sz w:val="24"/>
          <w:szCs w:val="24"/>
          <w:highlight w:val="none"/>
          <w:u w:val="single"/>
        </w:rPr>
        <w:t xml:space="preserve">自合同签订之日起     天内全部货物交货并安装调试完毕  </w:t>
      </w:r>
      <w:r>
        <w:rPr>
          <w:rFonts w:hint="eastAsia" w:ascii="仿宋" w:hAnsi="仿宋" w:eastAsia="仿宋" w:cs="仿宋"/>
          <w:color w:val="auto"/>
          <w:sz w:val="24"/>
          <w:szCs w:val="24"/>
          <w:highlight w:val="none"/>
        </w:rPr>
        <w:t>。</w:t>
      </w:r>
    </w:p>
    <w:p w14:paraId="57D0E759">
      <w:pPr>
        <w:spacing w:line="360" w:lineRule="exact"/>
        <w:ind w:firstLine="720" w:firstLineChars="3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交货地点：</w:t>
      </w:r>
      <w:r>
        <w:rPr>
          <w:rFonts w:hint="eastAsia" w:ascii="仿宋" w:hAnsi="仿宋" w:eastAsia="仿宋" w:cs="仿宋"/>
          <w:color w:val="auto"/>
          <w:kern w:val="1"/>
          <w:sz w:val="24"/>
          <w:szCs w:val="24"/>
          <w:highlight w:val="none"/>
          <w:u w:val="single"/>
        </w:rPr>
        <w:t>甲方指定地点</w:t>
      </w:r>
      <w:r>
        <w:rPr>
          <w:rFonts w:hint="eastAsia" w:ascii="仿宋" w:hAnsi="仿宋" w:eastAsia="仿宋" w:cs="仿宋"/>
          <w:color w:val="auto"/>
          <w:sz w:val="24"/>
          <w:szCs w:val="24"/>
          <w:highlight w:val="none"/>
        </w:rPr>
        <w:t>。</w:t>
      </w:r>
    </w:p>
    <w:p w14:paraId="5C8C9237">
      <w:pPr>
        <w:numPr>
          <w:ilvl w:val="0"/>
          <w:numId w:val="6"/>
        </w:numPr>
        <w:snapToGrid w:val="0"/>
        <w:spacing w:before="120" w:after="120" w:line="360" w:lineRule="exact"/>
        <w:ind w:firstLine="480" w:firstLineChars="200"/>
        <w:jc w:val="left"/>
        <w:outlineLvl w:val="9"/>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甲方对乙方提交的货物依据采购文件上的技术规格要求和国家有关质量标准进行现</w:t>
      </w:r>
      <w:r>
        <w:rPr>
          <w:rFonts w:hint="eastAsia" w:ascii="仿宋" w:hAnsi="仿宋" w:eastAsia="仿宋" w:cs="仿宋"/>
          <w:bCs/>
          <w:color w:val="auto"/>
          <w:sz w:val="24"/>
          <w:szCs w:val="24"/>
          <w:highlight w:val="none"/>
        </w:rPr>
        <w:t>场签收，外观、说明书符合采购文件技术要求的，给予签收，不合格的不予签收。该签收仅指外观、说明书符合采购文件技术要求而非认可货物验收合格。</w:t>
      </w:r>
    </w:p>
    <w:p w14:paraId="43D70FD9">
      <w:pPr>
        <w:numPr>
          <w:ilvl w:val="0"/>
          <w:numId w:val="6"/>
        </w:numPr>
        <w:snapToGrid w:val="0"/>
        <w:spacing w:before="120" w:after="120" w:line="360" w:lineRule="exact"/>
        <w:ind w:firstLine="480" w:firstLineChars="200"/>
        <w:jc w:val="left"/>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甲方如发现乙方所交付的货物有短装、次品、损坏或其它不符合</w:t>
      </w:r>
      <w:r>
        <w:rPr>
          <w:rFonts w:hint="eastAsia" w:ascii="仿宋" w:hAnsi="仿宋" w:eastAsia="仿宋" w:cs="仿宋"/>
          <w:color w:val="auto"/>
          <w:sz w:val="24"/>
          <w:szCs w:val="24"/>
          <w:highlight w:val="none"/>
        </w:rPr>
        <w:t>公告规定、采购文件、投标文件承诺、</w:t>
      </w:r>
      <w:r>
        <w:rPr>
          <w:rFonts w:hint="eastAsia" w:ascii="仿宋" w:hAnsi="仿宋" w:eastAsia="仿宋" w:cs="仿宋"/>
          <w:bCs/>
          <w:color w:val="auto"/>
          <w:sz w:val="24"/>
          <w:szCs w:val="24"/>
          <w:highlight w:val="none"/>
        </w:rPr>
        <w:t>本合同规定之情形的，甲方有权拒绝接受并根据货物具体情形做出现场记录（或由甲乙双方签署备忘录），此现场记录（或备忘录）可用作证明货物应补充更换、存在损坏的有效证据。乙方应负责免费补充、更换货物，由此产生的时间延误与有关费用由乙方承担，验收期限相应顺延。</w:t>
      </w:r>
      <w:r>
        <w:rPr>
          <w:rFonts w:hint="eastAsia" w:ascii="仿宋" w:hAnsi="仿宋" w:eastAsia="仿宋" w:cs="仿宋"/>
          <w:bCs/>
          <w:color w:val="auto"/>
          <w:sz w:val="24"/>
          <w:szCs w:val="24"/>
          <w:highlight w:val="none"/>
          <w:lang w:val="en-US" w:eastAsia="zh-CN"/>
        </w:rPr>
        <w:t>如乙方</w:t>
      </w:r>
      <w:r>
        <w:rPr>
          <w:rFonts w:hint="eastAsia" w:ascii="仿宋" w:hAnsi="仿宋" w:eastAsia="仿宋" w:cs="仿宋"/>
          <w:bCs/>
          <w:color w:val="auto"/>
          <w:sz w:val="24"/>
          <w:szCs w:val="24"/>
          <w:highlight w:val="none"/>
        </w:rPr>
        <w:t>补充、更换的货物</w:t>
      </w:r>
      <w:r>
        <w:rPr>
          <w:rFonts w:hint="eastAsia" w:ascii="仿宋" w:hAnsi="仿宋" w:eastAsia="仿宋" w:cs="仿宋"/>
          <w:bCs/>
          <w:color w:val="auto"/>
          <w:sz w:val="24"/>
          <w:szCs w:val="24"/>
          <w:highlight w:val="none"/>
          <w:lang w:val="en-US" w:eastAsia="zh-CN"/>
        </w:rPr>
        <w:t>仍然</w:t>
      </w:r>
      <w:r>
        <w:rPr>
          <w:rFonts w:hint="eastAsia" w:ascii="仿宋" w:hAnsi="仿宋" w:eastAsia="仿宋" w:cs="仿宋"/>
          <w:bCs/>
          <w:color w:val="auto"/>
          <w:sz w:val="24"/>
          <w:szCs w:val="24"/>
          <w:highlight w:val="none"/>
        </w:rPr>
        <w:t>不符合公告规定、采购文件、投标文件承诺、本合同规定之情形的</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视为验收不合格。</w:t>
      </w:r>
    </w:p>
    <w:p w14:paraId="13E62E45">
      <w:pPr>
        <w:spacing w:line="3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4. </w:t>
      </w:r>
      <w:r>
        <w:rPr>
          <w:rFonts w:hint="eastAsia" w:ascii="仿宋" w:hAnsi="仿宋" w:eastAsia="仿宋" w:cs="仿宋"/>
          <w:bCs/>
          <w:color w:val="auto"/>
          <w:sz w:val="24"/>
          <w:szCs w:val="24"/>
          <w:highlight w:val="none"/>
        </w:rPr>
        <w:t>乙方交货前应对拟提交的货物作出全面检查和对验收文件进行整理，并列出清单，作为甲方收货验收和使用的技术条件依据，检验的结果同样应随货物交甲方。同时，</w:t>
      </w:r>
      <w:r>
        <w:rPr>
          <w:rFonts w:hint="eastAsia" w:ascii="仿宋" w:hAnsi="仿宋" w:eastAsia="仿宋" w:cs="仿宋"/>
          <w:color w:val="auto"/>
          <w:sz w:val="24"/>
          <w:szCs w:val="24"/>
          <w:highlight w:val="none"/>
        </w:rPr>
        <w:t>乙方应将所提供货物的装箱清单、用户手册、原厂保修卡、随机资料、工具和备品、备件等一并交付给甲方。</w:t>
      </w:r>
      <w:r>
        <w:rPr>
          <w:rFonts w:hint="eastAsia" w:ascii="仿宋" w:hAnsi="仿宋" w:eastAsia="仿宋" w:cs="仿宋"/>
          <w:bCs/>
          <w:color w:val="auto"/>
          <w:sz w:val="24"/>
          <w:szCs w:val="24"/>
          <w:highlight w:val="none"/>
        </w:rPr>
        <w:t>乙方不能完整交付货物及本款规定的单证和工具的，必须负责补齐，否则视为逾期交货。</w:t>
      </w:r>
    </w:p>
    <w:p w14:paraId="6D3D1131">
      <w:pPr>
        <w:numPr>
          <w:ilvl w:val="0"/>
          <w:numId w:val="7"/>
        </w:numPr>
        <w:spacing w:line="3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乙方需负责货物的安装、调试，并培训甲方的使用操作人员，直到设备运行符合技术要求，甲方方可验收。</w:t>
      </w:r>
    </w:p>
    <w:p w14:paraId="2BFB4868">
      <w:pPr>
        <w:numPr>
          <w:ilvl w:val="0"/>
          <w:numId w:val="7"/>
        </w:numPr>
        <w:spacing w:line="3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甲方应当在到货并安装、调试完后</w:t>
      </w:r>
      <w:bookmarkStart w:id="158" w:name="OLE_LINK11"/>
      <w:bookmarkStart w:id="159" w:name="OLE_LINK12"/>
      <w:r>
        <w:rPr>
          <w:rFonts w:hint="eastAsia" w:ascii="仿宋" w:hAnsi="仿宋" w:eastAsia="仿宋" w:cs="仿宋"/>
          <w:color w:val="auto"/>
          <w:sz w:val="24"/>
          <w:szCs w:val="24"/>
          <w:highlight w:val="none"/>
        </w:rPr>
        <w:t>一个月内进行验收</w:t>
      </w:r>
      <w:bookmarkEnd w:id="158"/>
      <w:bookmarkEnd w:id="159"/>
      <w:r>
        <w:rPr>
          <w:rFonts w:hint="eastAsia" w:ascii="仿宋" w:hAnsi="仿宋" w:eastAsia="仿宋" w:cs="仿宋"/>
          <w:color w:val="auto"/>
          <w:sz w:val="24"/>
          <w:szCs w:val="24"/>
          <w:highlight w:val="none"/>
        </w:rPr>
        <w:t>，逾期不验收的，亦不免除乙方质量保证责任。甲方组织验收，</w:t>
      </w:r>
      <w:r>
        <w:rPr>
          <w:rFonts w:hint="eastAsia" w:ascii="仿宋" w:hAnsi="仿宋" w:eastAsia="仿宋" w:cs="仿宋"/>
          <w:bCs/>
          <w:color w:val="auto"/>
          <w:sz w:val="24"/>
          <w:szCs w:val="24"/>
          <w:highlight w:val="none"/>
        </w:rPr>
        <w:t>乙方必须到场</w:t>
      </w:r>
      <w:r>
        <w:rPr>
          <w:rFonts w:hint="eastAsia" w:ascii="仿宋" w:hAnsi="仿宋" w:eastAsia="仿宋" w:cs="仿宋"/>
          <w:color w:val="auto"/>
          <w:sz w:val="24"/>
          <w:szCs w:val="24"/>
          <w:highlight w:val="none"/>
        </w:rPr>
        <w:t>配合，验收合格后由甲乙双方签署货物验收单并加盖双方公章，甲乙双方各执一份。对技术复杂的货物，甲方可请国家认可的专业检测机构参与验收，费用由乙方承担。</w:t>
      </w:r>
    </w:p>
    <w:p w14:paraId="0DB1D899">
      <w:pPr>
        <w:spacing w:line="3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 若甲方委托第三方组织的验收项目，其验收时间以该项目验收方案确定的验收时间为准，验收结果以该项目验收报告结论为准。在验收过程中发现乙方有违约问题，可暂缓资金结算，待违约问题解决后，方可办理资金结算事宜，在此期间，甲方不承担逾期付款责任。</w:t>
      </w:r>
    </w:p>
    <w:p w14:paraId="7427635F">
      <w:pPr>
        <w:spacing w:line="3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 甲方对验收有异议的，在验收后五个工作日内以书面形式向乙方提出，乙方应自收到甲方书面异议后三日内及时予以解决，乙方不予答复或未予以实质解决的，视为认可甲方异议及处置意见。</w:t>
      </w:r>
    </w:p>
    <w:p w14:paraId="3C431306">
      <w:pPr>
        <w:snapToGrid w:val="0"/>
        <w:spacing w:before="120" w:after="120" w:line="360" w:lineRule="exact"/>
        <w:ind w:firstLine="480" w:firstLineChars="20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 其他未尽事宜应严格参照《关于印发广西壮族自治区政府采购项目履约验收管理办法的通知》[桂财采〔2015〕22号]以及《财政部关于进一步加强政府采购需求和履约验收管理的指导意见》[财库〔2016〕205号]规定执行。</w:t>
      </w:r>
    </w:p>
    <w:p w14:paraId="01C957F6">
      <w:pPr>
        <w:spacing w:after="124" w:afterLines="40" w:line="360" w:lineRule="exact"/>
        <w:ind w:firstLine="482" w:firstLineChars="200"/>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第六条 安装和培训</w:t>
      </w:r>
    </w:p>
    <w:p w14:paraId="3CC23B55">
      <w:pPr>
        <w:snapToGrid w:val="0"/>
        <w:spacing w:line="3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kern w:val="1"/>
          <w:sz w:val="24"/>
          <w:szCs w:val="24"/>
          <w:highlight w:val="none"/>
        </w:rPr>
        <w:t xml:space="preserve">. </w:t>
      </w:r>
      <w:r>
        <w:rPr>
          <w:rFonts w:hint="eastAsia" w:ascii="仿宋" w:hAnsi="仿宋" w:eastAsia="仿宋" w:cs="仿宋"/>
          <w:color w:val="auto"/>
          <w:sz w:val="24"/>
          <w:szCs w:val="24"/>
          <w:highlight w:val="none"/>
        </w:rPr>
        <w:t>甲方应提供必要安装条件（如场地、电源、水源等）。乙方应在到货之日起</w:t>
      </w:r>
      <w:r>
        <w:rPr>
          <w:rFonts w:hint="eastAsia" w:ascii="仿宋" w:hAnsi="仿宋" w:eastAsia="仿宋" w:cs="仿宋"/>
          <w:color w:val="auto"/>
          <w:sz w:val="24"/>
          <w:szCs w:val="24"/>
          <w:highlight w:val="none"/>
          <w:u w:val="single"/>
        </w:rPr>
        <w:t xml:space="preserve"> 5</w:t>
      </w:r>
      <w:r>
        <w:rPr>
          <w:rFonts w:hint="eastAsia" w:ascii="仿宋" w:hAnsi="仿宋" w:eastAsia="仿宋" w:cs="仿宋"/>
          <w:i/>
          <w:iCs/>
          <w:color w:val="auto"/>
          <w:sz w:val="24"/>
          <w:szCs w:val="24"/>
          <w:highlight w:val="none"/>
          <w:u w:val="single"/>
        </w:rPr>
        <w:t xml:space="preserve"> </w:t>
      </w:r>
      <w:r>
        <w:rPr>
          <w:rFonts w:hint="eastAsia" w:ascii="仿宋" w:hAnsi="仿宋" w:eastAsia="仿宋" w:cs="仿宋"/>
          <w:color w:val="auto"/>
          <w:sz w:val="24"/>
          <w:szCs w:val="24"/>
          <w:highlight w:val="none"/>
        </w:rPr>
        <w:t>个工作日内对货物进行安装、调试。</w:t>
      </w:r>
    </w:p>
    <w:p w14:paraId="5D1AEB07">
      <w:pPr>
        <w:snapToGrid w:val="0"/>
        <w:spacing w:line="3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kern w:val="1"/>
          <w:sz w:val="24"/>
          <w:szCs w:val="24"/>
          <w:highlight w:val="none"/>
        </w:rPr>
        <w:t xml:space="preserve">. </w:t>
      </w:r>
      <w:r>
        <w:rPr>
          <w:rFonts w:hint="eastAsia" w:ascii="仿宋" w:hAnsi="仿宋" w:eastAsia="仿宋" w:cs="仿宋"/>
          <w:color w:val="auto"/>
          <w:sz w:val="24"/>
          <w:szCs w:val="24"/>
          <w:highlight w:val="none"/>
        </w:rPr>
        <w:t>乙方负责甲方有关人员的培训</w:t>
      </w:r>
      <w:r>
        <w:rPr>
          <w:rFonts w:hint="eastAsia" w:ascii="仿宋" w:hAnsi="仿宋" w:eastAsia="仿宋" w:cs="仿宋"/>
          <w:color w:val="auto"/>
          <w:sz w:val="24"/>
          <w:szCs w:val="24"/>
          <w:highlight w:val="none"/>
          <w:lang w:eastAsia="zh-Hans"/>
        </w:rPr>
        <w:t>，具体培训时间由甲方予以确定</w:t>
      </w:r>
      <w:r>
        <w:rPr>
          <w:rFonts w:hint="eastAsia" w:ascii="仿宋" w:hAnsi="仿宋" w:eastAsia="仿宋" w:cs="仿宋"/>
          <w:color w:val="auto"/>
          <w:sz w:val="24"/>
          <w:szCs w:val="24"/>
          <w:highlight w:val="none"/>
        </w:rPr>
        <w:t>。</w:t>
      </w:r>
    </w:p>
    <w:p w14:paraId="348F3941">
      <w:pPr>
        <w:spacing w:after="124" w:afterLines="40" w:line="360" w:lineRule="exact"/>
        <w:ind w:firstLine="482" w:firstLineChars="200"/>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第七条 售后服务、质保期</w:t>
      </w:r>
    </w:p>
    <w:p w14:paraId="226574FB">
      <w:pPr>
        <w:spacing w:after="124" w:afterLines="40" w:line="3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kern w:val="1"/>
          <w:sz w:val="24"/>
          <w:szCs w:val="24"/>
          <w:highlight w:val="none"/>
        </w:rPr>
        <w:t xml:space="preserve">. </w:t>
      </w:r>
      <w:r>
        <w:rPr>
          <w:rFonts w:hint="eastAsia" w:ascii="仿宋" w:hAnsi="仿宋" w:eastAsia="仿宋" w:cs="仿宋"/>
          <w:color w:val="auto"/>
          <w:sz w:val="24"/>
          <w:szCs w:val="24"/>
          <w:highlight w:val="none"/>
        </w:rPr>
        <w:t>乙方应按照国家有关法律法规和“三包”规定以及公告、采购文件</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投标文件和本合同所附的《服务承诺》，为甲方提供售后服务。</w:t>
      </w:r>
    </w:p>
    <w:p w14:paraId="5152400C">
      <w:pPr>
        <w:spacing w:after="124" w:afterLines="40" w:line="360" w:lineRule="exact"/>
        <w:ind w:firstLine="480" w:firstLineChars="200"/>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2</w:t>
      </w:r>
      <w:r>
        <w:rPr>
          <w:rFonts w:hint="eastAsia" w:ascii="仿宋" w:hAnsi="仿宋" w:eastAsia="仿宋" w:cs="仿宋"/>
          <w:color w:val="auto"/>
          <w:kern w:val="1"/>
          <w:sz w:val="24"/>
          <w:szCs w:val="24"/>
          <w:highlight w:val="none"/>
        </w:rPr>
        <w:t xml:space="preserve">. </w:t>
      </w:r>
      <w:r>
        <w:rPr>
          <w:rFonts w:hint="eastAsia" w:ascii="仿宋" w:hAnsi="仿宋" w:eastAsia="仿宋" w:cs="仿宋"/>
          <w:color w:val="auto"/>
          <w:sz w:val="24"/>
          <w:szCs w:val="24"/>
          <w:highlight w:val="none"/>
        </w:rPr>
        <w:t>货物保修期：</w:t>
      </w:r>
      <w:r>
        <w:rPr>
          <w:rFonts w:hint="eastAsia" w:ascii="仿宋" w:hAnsi="仿宋" w:eastAsia="仿宋" w:cs="仿宋"/>
          <w:color w:val="auto"/>
          <w:sz w:val="24"/>
          <w:szCs w:val="24"/>
          <w:highlight w:val="none"/>
          <w:u w:val="single"/>
        </w:rPr>
        <w:t xml:space="preserve">  自验收合格之日起   年。</w:t>
      </w:r>
      <w:r>
        <w:rPr>
          <w:rFonts w:hint="eastAsia" w:ascii="仿宋" w:hAnsi="仿宋" w:eastAsia="仿宋" w:cs="仿宋"/>
          <w:color w:val="auto"/>
          <w:sz w:val="24"/>
          <w:szCs w:val="24"/>
          <w:highlight w:val="none"/>
          <w:u w:val="single"/>
          <w:lang w:val="en-US" w:eastAsia="zh-CN"/>
        </w:rPr>
        <w:t xml:space="preserve">  </w:t>
      </w:r>
    </w:p>
    <w:p w14:paraId="66977168">
      <w:pPr>
        <w:spacing w:after="124" w:afterLines="40" w:line="3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kern w:val="1"/>
          <w:sz w:val="24"/>
          <w:szCs w:val="24"/>
          <w:highlight w:val="none"/>
        </w:rPr>
        <w:t xml:space="preserve">. </w:t>
      </w:r>
      <w:r>
        <w:rPr>
          <w:rFonts w:hint="eastAsia" w:ascii="仿宋" w:hAnsi="仿宋" w:eastAsia="仿宋" w:cs="仿宋"/>
          <w:color w:val="auto"/>
          <w:sz w:val="24"/>
          <w:szCs w:val="24"/>
          <w:highlight w:val="none"/>
        </w:rPr>
        <w:t>乙方提供的服务承诺和售后服务及质保期责任等其它具体约定事项（见合同附件)。</w:t>
      </w:r>
    </w:p>
    <w:p w14:paraId="2E5DF0B7">
      <w:pPr>
        <w:spacing w:after="124" w:afterLines="40" w:line="360" w:lineRule="exact"/>
        <w:ind w:firstLine="482" w:firstLineChars="200"/>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第八条 付款方式</w:t>
      </w:r>
    </w:p>
    <w:p w14:paraId="153577D6">
      <w:pPr>
        <w:spacing w:after="124" w:afterLines="40" w:line="3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当采购数量与实际使用数量不一致时，乙方应根据实际使用量供货，合同的最终结算金额按实际使用量乘以中标单价进行计算。如最终结算金额超过本合同约定合计金额的，双方应在不改变本合同其他条款的情况下签订补充合同，否则甲方有权拒绝支付超过部分的合同款且无须承担违约责任，但所有补充合同的采购金额不得超过本合同约定合计金额的10%。</w:t>
      </w:r>
    </w:p>
    <w:p w14:paraId="6D8EE199">
      <w:pPr>
        <w:suppressAutoHyphens/>
        <w:spacing w:after="124" w:afterLines="40" w:line="360" w:lineRule="exact"/>
        <w:ind w:firstLine="480" w:firstLineChars="200"/>
        <w:outlineLvl w:val="9"/>
        <w:rPr>
          <w:rFonts w:hint="eastAsia" w:ascii="仿宋" w:hAnsi="仿宋" w:eastAsia="仿宋" w:cs="仿宋"/>
          <w:color w:val="auto"/>
          <w:kern w:val="1"/>
          <w:sz w:val="24"/>
          <w:szCs w:val="24"/>
          <w:highlight w:val="none"/>
          <w:u w:val="single"/>
        </w:rPr>
      </w:pPr>
      <w:r>
        <w:rPr>
          <w:rFonts w:hint="eastAsia" w:ascii="仿宋" w:hAnsi="仿宋" w:eastAsia="仿宋" w:cs="仿宋"/>
          <w:color w:val="auto"/>
          <w:kern w:val="1"/>
          <w:sz w:val="24"/>
          <w:szCs w:val="24"/>
          <w:highlight w:val="none"/>
        </w:rPr>
        <w:t>2. 付款方式：</w:t>
      </w:r>
      <w:r>
        <w:rPr>
          <w:rFonts w:hint="eastAsia" w:ascii="仿宋" w:hAnsi="仿宋" w:eastAsia="仿宋" w:cs="仿宋"/>
          <w:color w:val="auto"/>
          <w:sz w:val="24"/>
          <w:highlight w:val="none"/>
        </w:rPr>
        <w:t>合同签订后，</w:t>
      </w:r>
      <w:r>
        <w:rPr>
          <w:rFonts w:hint="eastAsia" w:ascii="仿宋" w:hAnsi="仿宋" w:eastAsia="仿宋" w:cs="仿宋"/>
          <w:color w:val="auto"/>
          <w:sz w:val="24"/>
          <w:highlight w:val="none"/>
          <w:lang w:val="en-US" w:eastAsia="zh-CN"/>
        </w:rPr>
        <w:t>甲方</w:t>
      </w:r>
      <w:r>
        <w:rPr>
          <w:rFonts w:hint="eastAsia" w:ascii="仿宋" w:hAnsi="仿宋" w:eastAsia="仿宋" w:cs="仿宋"/>
          <w:color w:val="auto"/>
          <w:sz w:val="24"/>
          <w:highlight w:val="none"/>
        </w:rPr>
        <w:t>支付合同金额的30%作为预付款，</w:t>
      </w:r>
      <w:r>
        <w:rPr>
          <w:rFonts w:hint="eastAsia" w:ascii="仿宋" w:hAnsi="仿宋" w:eastAsia="仿宋" w:cs="仿宋"/>
          <w:color w:val="auto"/>
          <w:sz w:val="24"/>
          <w:highlight w:val="none"/>
          <w:lang w:val="en-US" w:eastAsia="zh-CN"/>
        </w:rPr>
        <w:t>乙方</w:t>
      </w:r>
      <w:r>
        <w:rPr>
          <w:rFonts w:hint="eastAsia" w:ascii="仿宋" w:hAnsi="仿宋" w:eastAsia="仿宋" w:cs="仿宋"/>
          <w:color w:val="auto"/>
          <w:sz w:val="24"/>
          <w:highlight w:val="none"/>
        </w:rPr>
        <w:t>所有货物交货安装调试完毕并验收合格后支付剩余合同款。每次支付前，</w:t>
      </w:r>
      <w:r>
        <w:rPr>
          <w:rFonts w:hint="eastAsia" w:ascii="仿宋" w:hAnsi="仿宋" w:eastAsia="仿宋" w:cs="仿宋"/>
          <w:color w:val="auto"/>
          <w:sz w:val="24"/>
          <w:highlight w:val="none"/>
          <w:lang w:val="en-US" w:eastAsia="zh-CN"/>
        </w:rPr>
        <w:t>乙方</w:t>
      </w:r>
      <w:r>
        <w:rPr>
          <w:rFonts w:hint="eastAsia" w:ascii="仿宋" w:hAnsi="仿宋" w:eastAsia="仿宋" w:cs="仿宋"/>
          <w:color w:val="auto"/>
          <w:sz w:val="24"/>
          <w:highlight w:val="none"/>
        </w:rPr>
        <w:t>需开具合法有效的全额发票，</w:t>
      </w:r>
      <w:r>
        <w:rPr>
          <w:rFonts w:hint="eastAsia" w:ascii="仿宋" w:hAnsi="仿宋" w:eastAsia="仿宋" w:cs="仿宋"/>
          <w:color w:val="auto"/>
          <w:sz w:val="24"/>
          <w:highlight w:val="none"/>
          <w:lang w:val="en-US" w:eastAsia="zh-CN"/>
        </w:rPr>
        <w:t>乙方</w:t>
      </w:r>
      <w:r>
        <w:rPr>
          <w:rFonts w:hint="eastAsia" w:ascii="仿宋" w:hAnsi="仿宋" w:eastAsia="仿宋" w:cs="仿宋"/>
          <w:color w:val="auto"/>
          <w:sz w:val="24"/>
          <w:highlight w:val="none"/>
        </w:rPr>
        <w:t>未开具合法有效的全额发票的，</w:t>
      </w:r>
      <w:r>
        <w:rPr>
          <w:rFonts w:hint="eastAsia" w:ascii="仿宋" w:hAnsi="仿宋" w:eastAsia="仿宋" w:cs="仿宋"/>
          <w:color w:val="auto"/>
          <w:sz w:val="24"/>
          <w:highlight w:val="none"/>
          <w:lang w:eastAsia="zh-CN"/>
        </w:rPr>
        <w:t>甲方</w:t>
      </w:r>
      <w:r>
        <w:rPr>
          <w:rFonts w:hint="eastAsia" w:ascii="仿宋" w:hAnsi="仿宋" w:eastAsia="仿宋" w:cs="仿宋"/>
          <w:color w:val="auto"/>
          <w:sz w:val="24"/>
          <w:highlight w:val="none"/>
        </w:rPr>
        <w:t>有权不支付合同款。</w:t>
      </w:r>
    </w:p>
    <w:p w14:paraId="10DDC43E">
      <w:pPr>
        <w:spacing w:after="124" w:afterLines="40" w:line="360" w:lineRule="exact"/>
        <w:ind w:firstLine="482" w:firstLineChars="200"/>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第九条 履约保证金</w:t>
      </w:r>
    </w:p>
    <w:p w14:paraId="1E1BAF3E">
      <w:pPr>
        <w:suppressAutoHyphens/>
        <w:snapToGrid w:val="0"/>
        <w:spacing w:line="360" w:lineRule="exact"/>
        <w:ind w:firstLine="480" w:firstLineChars="200"/>
        <w:outlineLvl w:val="9"/>
        <w:rPr>
          <w:rFonts w:hint="eastAsia" w:ascii="仿宋" w:hAnsi="仿宋" w:eastAsia="仿宋" w:cs="仿宋"/>
          <w:color w:val="auto"/>
          <w:kern w:val="1"/>
          <w:sz w:val="24"/>
          <w:szCs w:val="24"/>
          <w:highlight w:val="none"/>
          <w:u w:val="single"/>
        </w:rPr>
      </w:pPr>
      <w:r>
        <w:rPr>
          <w:rFonts w:hint="eastAsia" w:ascii="仿宋" w:hAnsi="仿宋" w:eastAsia="仿宋" w:cs="仿宋"/>
          <w:color w:val="auto"/>
          <w:kern w:val="1"/>
          <w:sz w:val="24"/>
          <w:szCs w:val="24"/>
          <w:highlight w:val="none"/>
          <w:u w:val="none"/>
        </w:rPr>
        <w:t>履约保证金：</w:t>
      </w:r>
      <w:r>
        <w:rPr>
          <w:rFonts w:hint="eastAsia" w:ascii="仿宋" w:hAnsi="仿宋" w:eastAsia="仿宋" w:cs="仿宋"/>
          <w:color w:val="auto"/>
          <w:kern w:val="1"/>
          <w:sz w:val="24"/>
          <w:szCs w:val="24"/>
          <w:highlight w:val="none"/>
          <w:u w:val="single"/>
        </w:rPr>
        <w:t>按中标金额的</w:t>
      </w:r>
      <w:r>
        <w:rPr>
          <w:rFonts w:hint="eastAsia" w:ascii="仿宋" w:hAnsi="仿宋" w:eastAsia="仿宋" w:cs="仿宋"/>
          <w:color w:val="auto"/>
          <w:kern w:val="1"/>
          <w:sz w:val="24"/>
          <w:szCs w:val="24"/>
          <w:highlight w:val="none"/>
          <w:u w:val="single"/>
          <w:lang w:val="en-US" w:eastAsia="zh-CN"/>
        </w:rPr>
        <w:t>5</w:t>
      </w:r>
      <w:r>
        <w:rPr>
          <w:rFonts w:hint="eastAsia" w:ascii="仿宋" w:hAnsi="仿宋" w:eastAsia="仿宋" w:cs="仿宋"/>
          <w:color w:val="auto"/>
          <w:kern w:val="1"/>
          <w:sz w:val="24"/>
          <w:szCs w:val="24"/>
          <w:highlight w:val="none"/>
          <w:u w:val="single"/>
        </w:rPr>
        <w:t>%</w:t>
      </w:r>
      <w:r>
        <w:rPr>
          <w:rFonts w:hint="eastAsia" w:ascii="仿宋" w:hAnsi="仿宋" w:eastAsia="仿宋" w:cs="仿宋"/>
          <w:color w:val="auto"/>
          <w:kern w:val="1"/>
          <w:sz w:val="24"/>
          <w:szCs w:val="24"/>
          <w:highlight w:val="none"/>
          <w:u w:val="single"/>
          <w:lang w:val="en-US" w:eastAsia="zh-CN"/>
        </w:rPr>
        <w:t>(如为中小微企业按2%计算)</w:t>
      </w:r>
      <w:r>
        <w:rPr>
          <w:rFonts w:hint="eastAsia" w:ascii="仿宋" w:hAnsi="仿宋" w:eastAsia="仿宋" w:cs="仿宋"/>
          <w:color w:val="auto"/>
          <w:kern w:val="1"/>
          <w:sz w:val="24"/>
          <w:szCs w:val="24"/>
          <w:highlight w:val="none"/>
          <w:u w:val="single"/>
        </w:rPr>
        <w:t>：</w:t>
      </w:r>
      <w:r>
        <w:rPr>
          <w:rFonts w:hint="eastAsia" w:ascii="仿宋" w:hAnsi="仿宋" w:eastAsia="仿宋" w:cs="仿宋"/>
          <w:color w:val="auto"/>
          <w:kern w:val="1"/>
          <w:sz w:val="24"/>
          <w:szCs w:val="24"/>
          <w:highlight w:val="none"/>
          <w:u w:val="single"/>
          <w:lang w:val="en-US" w:eastAsia="zh-CN"/>
        </w:rPr>
        <w:t>人民币</w:t>
      </w:r>
      <w:r>
        <w:rPr>
          <w:rFonts w:hint="eastAsia" w:ascii="仿宋" w:hAnsi="仿宋" w:eastAsia="仿宋" w:cs="仿宋"/>
          <w:color w:val="auto"/>
          <w:kern w:val="1"/>
          <w:sz w:val="24"/>
          <w:szCs w:val="24"/>
          <w:highlight w:val="none"/>
          <w:u w:val="single"/>
        </w:rPr>
        <w:t xml:space="preserve">  </w:t>
      </w:r>
      <w:r>
        <w:rPr>
          <w:rFonts w:hint="eastAsia" w:ascii="仿宋" w:hAnsi="仿宋" w:eastAsia="仿宋" w:cs="仿宋"/>
          <w:color w:val="auto"/>
          <w:kern w:val="1"/>
          <w:sz w:val="24"/>
          <w:szCs w:val="24"/>
          <w:highlight w:val="none"/>
          <w:u w:val="single"/>
          <w:lang w:val="en-US" w:eastAsia="zh-CN"/>
        </w:rPr>
        <w:t xml:space="preserve">   元</w:t>
      </w:r>
      <w:r>
        <w:rPr>
          <w:rFonts w:hint="eastAsia" w:ascii="仿宋" w:hAnsi="仿宋" w:eastAsia="仿宋" w:cs="仿宋"/>
          <w:color w:val="auto"/>
          <w:kern w:val="1"/>
          <w:sz w:val="24"/>
          <w:szCs w:val="24"/>
          <w:highlight w:val="none"/>
          <w:u w:val="single"/>
        </w:rPr>
        <w:t>（¥      ）。</w:t>
      </w:r>
    </w:p>
    <w:p w14:paraId="626F1FF3">
      <w:pPr>
        <w:suppressAutoHyphens/>
        <w:snapToGrid w:val="0"/>
        <w:spacing w:line="360" w:lineRule="exact"/>
        <w:ind w:firstLine="480" w:firstLineChars="200"/>
        <w:outlineLvl w:val="9"/>
        <w:rPr>
          <w:rFonts w:hint="eastAsia" w:ascii="仿宋" w:hAnsi="仿宋" w:eastAsia="仿宋" w:cs="仿宋"/>
          <w:color w:val="auto"/>
          <w:kern w:val="1"/>
          <w:sz w:val="24"/>
          <w:szCs w:val="24"/>
          <w:highlight w:val="none"/>
          <w:lang w:val="en-US" w:eastAsia="zh-CN"/>
        </w:rPr>
      </w:pPr>
      <w:r>
        <w:rPr>
          <w:rFonts w:hint="eastAsia" w:ascii="仿宋" w:hAnsi="仿宋" w:eastAsia="仿宋" w:cs="仿宋"/>
          <w:color w:val="auto"/>
          <w:kern w:val="1"/>
          <w:sz w:val="24"/>
          <w:szCs w:val="24"/>
          <w:highlight w:val="none"/>
        </w:rPr>
        <w:t>履约保证金递交方式：银行转账或电汇</w:t>
      </w:r>
      <w:r>
        <w:rPr>
          <w:rFonts w:hint="eastAsia" w:ascii="仿宋" w:hAnsi="仿宋" w:eastAsia="仿宋" w:cs="仿宋"/>
          <w:color w:val="auto"/>
          <w:kern w:val="1"/>
          <w:sz w:val="24"/>
          <w:szCs w:val="24"/>
          <w:highlight w:val="none"/>
          <w:lang w:eastAsia="zh-CN"/>
        </w:rPr>
        <w:t>。</w:t>
      </w:r>
    </w:p>
    <w:p w14:paraId="064E34E5">
      <w:pPr>
        <w:suppressAutoHyphens/>
        <w:snapToGrid w:val="0"/>
        <w:spacing w:line="360" w:lineRule="exact"/>
        <w:ind w:firstLine="480" w:firstLineChars="200"/>
        <w:outlineLvl w:val="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备注：在签订合同之前，乙方需把履约保证金足额交到甲方指定账户。未提交履约保证金的，不予签订本合同。履约保证金自项目验收合格后，待乙方履行完质保义务且无违约的情况下，由乙方提出书面退还申请，甲方在收到乙方书面申请后无息退还。本合同履行期间，乙方存在违约的，甲方有权从履约保证金中先行扣除违约金、赔偿金等按本合同约定乙方应付款项，不足部分由乙方另行支付，甲方直接从履约保证金中扣除违约金、赔偿金等按本合同约定乙方应付的其他款项的，乙方应于接到甲方补足履约保证金通知之日起3个工作日内补足。</w:t>
      </w:r>
    </w:p>
    <w:p w14:paraId="45AED3E2">
      <w:pPr>
        <w:suppressAutoHyphens/>
        <w:snapToGrid w:val="0"/>
        <w:spacing w:line="360" w:lineRule="exact"/>
        <w:ind w:firstLine="480" w:firstLineChars="200"/>
        <w:outlineLvl w:val="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履约保证金指定账户：</w:t>
      </w:r>
    </w:p>
    <w:p w14:paraId="2EA65FD5">
      <w:pPr>
        <w:suppressAutoHyphens/>
        <w:snapToGrid w:val="0"/>
        <w:spacing w:line="360" w:lineRule="exact"/>
        <w:ind w:firstLine="480" w:firstLineChars="200"/>
        <w:outlineLvl w:val="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开户名称：广西壮族自治区人民医院</w:t>
      </w:r>
    </w:p>
    <w:p w14:paraId="2FB3B7BF">
      <w:pPr>
        <w:suppressAutoHyphens/>
        <w:snapToGrid w:val="0"/>
        <w:spacing w:line="360" w:lineRule="exact"/>
        <w:ind w:firstLine="480" w:firstLineChars="200"/>
        <w:outlineLvl w:val="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开户银行：中国民生银行股份有限公司南宁金湖支行</w:t>
      </w:r>
    </w:p>
    <w:p w14:paraId="019E63AB">
      <w:pPr>
        <w:suppressAutoHyphens/>
        <w:snapToGrid w:val="0"/>
        <w:spacing w:line="360" w:lineRule="exact"/>
        <w:ind w:firstLine="480" w:firstLineChars="200"/>
        <w:outlineLvl w:val="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履约保证金的银行账户为：6313 33260</w:t>
      </w:r>
    </w:p>
    <w:p w14:paraId="16C55A5C">
      <w:pPr>
        <w:spacing w:after="124" w:afterLines="40" w:line="360" w:lineRule="exact"/>
        <w:ind w:firstLine="482" w:firstLineChars="200"/>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第十条 税费</w:t>
      </w:r>
    </w:p>
    <w:p w14:paraId="19F07B59">
      <w:pPr>
        <w:spacing w:after="124" w:afterLines="40" w:line="3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本合同执行中相关的一切税费均由乙方负担。</w:t>
      </w:r>
    </w:p>
    <w:p w14:paraId="159B0800">
      <w:pPr>
        <w:spacing w:after="124" w:afterLines="40" w:line="360" w:lineRule="exact"/>
        <w:ind w:firstLine="482" w:firstLineChars="200"/>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第十一条 质量保证及售后服务</w:t>
      </w:r>
    </w:p>
    <w:p w14:paraId="6A053C69">
      <w:pPr>
        <w:suppressAutoHyphens/>
        <w:snapToGrid w:val="0"/>
        <w:spacing w:line="360" w:lineRule="exact"/>
        <w:ind w:firstLine="480" w:firstLineChars="200"/>
        <w:outlineLvl w:val="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1. 乙方应按采购文件规定的货物性能、技术要求、质量标准向甲方提供未经使用的全新产品。乙方提供货物的质量保证期按交货验收合格之日起计（期限见《采购需求》中的要求）。在保证期内因货物本身的质量问题发生故障，乙方应负责免费修理和更换零部件。对达不到技术要求者，根据实际情况，经双方协商，可按以下办法处理：</w:t>
      </w:r>
    </w:p>
    <w:p w14:paraId="060E6840">
      <w:pPr>
        <w:suppressAutoHyphens/>
        <w:snapToGrid w:val="0"/>
        <w:spacing w:line="360" w:lineRule="exact"/>
        <w:ind w:firstLine="480" w:firstLineChars="200"/>
        <w:outlineLvl w:val="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（1）更换：产品出现质量问题、经乙方</w:t>
      </w:r>
      <w:r>
        <w:rPr>
          <w:rFonts w:hint="eastAsia" w:ascii="仿宋" w:hAnsi="仿宋" w:eastAsia="仿宋" w:cs="仿宋"/>
          <w:color w:val="auto"/>
          <w:kern w:val="1"/>
          <w:sz w:val="24"/>
          <w:szCs w:val="24"/>
          <w:highlight w:val="none"/>
          <w:u w:val="none"/>
        </w:rPr>
        <w:t>1</w:t>
      </w:r>
      <w:r>
        <w:rPr>
          <w:rFonts w:hint="eastAsia" w:ascii="仿宋" w:hAnsi="仿宋" w:eastAsia="仿宋" w:cs="仿宋"/>
          <w:color w:val="auto"/>
          <w:kern w:val="1"/>
          <w:sz w:val="24"/>
          <w:szCs w:val="24"/>
          <w:highlight w:val="none"/>
        </w:rPr>
        <w:t>次维修仍不能达到合同约定的质量标准的，甲方有权更换，并由乙方承担所发生的全部费用。</w:t>
      </w:r>
    </w:p>
    <w:p w14:paraId="73C4E50A">
      <w:pPr>
        <w:suppressAutoHyphens/>
        <w:snapToGrid w:val="0"/>
        <w:spacing w:line="360" w:lineRule="exact"/>
        <w:ind w:firstLine="480" w:firstLineChars="200"/>
        <w:outlineLvl w:val="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（2）贬值处理：</w:t>
      </w:r>
      <w:r>
        <w:rPr>
          <w:rFonts w:hint="eastAsia" w:ascii="仿宋" w:hAnsi="仿宋" w:eastAsia="仿宋" w:cs="仿宋"/>
          <w:color w:val="auto"/>
          <w:kern w:val="1"/>
          <w:sz w:val="24"/>
          <w:szCs w:val="24"/>
          <w:highlight w:val="none"/>
          <w:lang w:eastAsia="zh-Hans"/>
        </w:rPr>
        <w:t>因乙方</w:t>
      </w:r>
      <w:r>
        <w:rPr>
          <w:rFonts w:hint="eastAsia" w:ascii="仿宋" w:hAnsi="仿宋" w:eastAsia="仿宋" w:cs="仿宋"/>
          <w:color w:val="auto"/>
          <w:kern w:val="1"/>
          <w:sz w:val="24"/>
          <w:szCs w:val="24"/>
          <w:highlight w:val="none"/>
        </w:rPr>
        <w:t>产品出现质量问题</w:t>
      </w:r>
      <w:r>
        <w:rPr>
          <w:rFonts w:hint="eastAsia" w:ascii="仿宋" w:hAnsi="仿宋" w:eastAsia="仿宋" w:cs="仿宋"/>
          <w:color w:val="auto"/>
          <w:kern w:val="1"/>
          <w:sz w:val="24"/>
          <w:szCs w:val="24"/>
          <w:highlight w:val="none"/>
          <w:lang w:eastAsia="zh-Hans"/>
        </w:rPr>
        <w:t>造成退换货产生的贬值由乙方自行承担</w:t>
      </w:r>
      <w:r>
        <w:rPr>
          <w:rFonts w:hint="eastAsia" w:ascii="仿宋" w:hAnsi="仿宋" w:eastAsia="仿宋" w:cs="仿宋"/>
          <w:color w:val="auto"/>
          <w:kern w:val="1"/>
          <w:sz w:val="24"/>
          <w:szCs w:val="24"/>
          <w:highlight w:val="none"/>
        </w:rPr>
        <w:t>。</w:t>
      </w:r>
    </w:p>
    <w:p w14:paraId="2D97ED76">
      <w:pPr>
        <w:suppressAutoHyphens/>
        <w:snapToGrid w:val="0"/>
        <w:spacing w:line="360" w:lineRule="exact"/>
        <w:ind w:firstLine="480" w:firstLineChars="200"/>
        <w:outlineLvl w:val="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3）退货处理：产品出现严重质量问题（如主部件损坏、反应迟钝、无法满足需求、更换一次后仍出现质量问题）的，甲方有权退货，乙方应退还甲方支付的合同款，同时承担退货所发生的所有费用（运输、保险、检验、货款利息及银行手续费等），并视作乙方不能交付货物而须支付违约赔偿金给甲方，甲方还可依法追究乙方的违约责任，且甲方有权终止合同，由此造成的损失由乙方负责。</w:t>
      </w:r>
    </w:p>
    <w:p w14:paraId="21E3B797">
      <w:pPr>
        <w:snapToGrid w:val="0"/>
        <w:spacing w:before="120" w:after="120" w:line="3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如在使用过程中出现故障，乙方应在接到甲方通知后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小时内响应，</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小时内解决故障，否则须在</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工作日内提供与原设备技术参数要求相同或高于原设备技术参数要求的备用产品，以保证甲方的正常工作。乙方在接到甲方通知后拒不响应或解决故障的，甲方有权聘请第三方进行维修，由此产生的费用由乙方承担。</w:t>
      </w:r>
    </w:p>
    <w:p w14:paraId="62FFDB51">
      <w:pPr>
        <w:snapToGrid w:val="0"/>
        <w:spacing w:line="3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 在质保期内，乙方应对货物出现的质量及安全问题负责处理解决并承担一切费用。如有产品质量争议，则按照国家相关法律法规及行业标准</w:t>
      </w:r>
      <w:r>
        <w:rPr>
          <w:rFonts w:hint="eastAsia" w:ascii="仿宋" w:hAnsi="仿宋" w:eastAsia="仿宋" w:cs="仿宋"/>
          <w:color w:val="auto"/>
          <w:sz w:val="24"/>
          <w:szCs w:val="24"/>
          <w:highlight w:val="none"/>
          <w:lang w:eastAsia="zh-Hans"/>
        </w:rPr>
        <w:t>、地方标准等标准、规范解决（上述标准、规范有出入的，以较严格为准）</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Hans"/>
        </w:rPr>
        <w:t>如采购文件中明确对货物提出更高的技术要求的，乙方还应当确保符合采购文件提出的技术要求</w:t>
      </w:r>
      <w:r>
        <w:rPr>
          <w:rFonts w:hint="eastAsia" w:ascii="仿宋" w:hAnsi="仿宋" w:eastAsia="仿宋" w:cs="仿宋"/>
          <w:color w:val="auto"/>
          <w:sz w:val="24"/>
          <w:szCs w:val="24"/>
          <w:highlight w:val="none"/>
        </w:rPr>
        <w:t>。</w:t>
      </w:r>
    </w:p>
    <w:p w14:paraId="4FC3B4DF">
      <w:pPr>
        <w:snapToGrid w:val="0"/>
        <w:spacing w:before="120" w:after="120" w:line="3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上述的货物因人为因素出现的故障不在免费保修范围内。超过质保期的机器设备，终生维修，维修时只收取部件成本费。</w:t>
      </w:r>
    </w:p>
    <w:p w14:paraId="694A8B22">
      <w:pPr>
        <w:snapToGrid w:val="0"/>
        <w:spacing w:before="120" w:after="120" w:line="360" w:lineRule="exact"/>
        <w:ind w:firstLine="482" w:firstLineChars="200"/>
        <w:outlineLvl w:val="9"/>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第十二条 货物包装、发运及运输</w:t>
      </w:r>
    </w:p>
    <w:p w14:paraId="79D978B5">
      <w:pPr>
        <w:snapToGrid w:val="0"/>
        <w:spacing w:before="120" w:after="120" w:line="360" w:lineRule="exact"/>
        <w:ind w:firstLine="480" w:firstLineChars="20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乙方应在货物发运前对其进行满足运输距离、防潮、防震、防锈和防破损装卸等要求包装，以保证货物安全运达甲方指定地点。</w:t>
      </w:r>
    </w:p>
    <w:p w14:paraId="40752E97">
      <w:pPr>
        <w:snapToGrid w:val="0"/>
        <w:spacing w:before="120" w:after="120" w:line="360" w:lineRule="exact"/>
        <w:ind w:firstLine="480" w:firstLineChars="20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使用说明书、质量检验证明书、随配附件和工具以及清单一并附于货物内。</w:t>
      </w:r>
    </w:p>
    <w:p w14:paraId="1C20C33C">
      <w:pPr>
        <w:snapToGrid w:val="0"/>
        <w:spacing w:before="120" w:after="120" w:line="360" w:lineRule="exact"/>
        <w:ind w:firstLine="480" w:firstLineChars="20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 乙方在货物发运手续办理完毕后二十四小时内或货到甲方四十八小时前通知甲方，以准备接货。</w:t>
      </w:r>
    </w:p>
    <w:p w14:paraId="3E7BF45C">
      <w:pPr>
        <w:snapToGrid w:val="0"/>
        <w:spacing w:before="120" w:after="120" w:line="360" w:lineRule="exact"/>
        <w:ind w:firstLine="480" w:firstLineChars="20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 货物在交付甲方签收前发生的风险均由乙方负责。</w:t>
      </w:r>
    </w:p>
    <w:p w14:paraId="0BEAC53D">
      <w:pPr>
        <w:snapToGrid w:val="0"/>
        <w:spacing w:before="120" w:after="120" w:line="360" w:lineRule="exact"/>
        <w:ind w:firstLine="480" w:firstLineChars="20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 货物在规定的交付期限内由乙方送达甲方指定的地点。</w:t>
      </w:r>
    </w:p>
    <w:p w14:paraId="257BCD00">
      <w:pPr>
        <w:snapToGrid w:val="0"/>
        <w:spacing w:before="120" w:after="120" w:line="360" w:lineRule="exact"/>
        <w:ind w:firstLine="482" w:firstLineChars="200"/>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第十三条 违约责任</w:t>
      </w:r>
    </w:p>
    <w:p w14:paraId="154909CF">
      <w:pPr>
        <w:suppressAutoHyphens/>
        <w:snapToGrid w:val="0"/>
        <w:spacing w:line="360" w:lineRule="exact"/>
        <w:ind w:firstLine="480" w:firstLineChars="200"/>
        <w:outlineLvl w:val="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1.</w:t>
      </w:r>
      <w:r>
        <w:rPr>
          <w:rFonts w:hint="eastAsia" w:ascii="仿宋" w:hAnsi="仿宋" w:eastAsia="仿宋" w:cs="仿宋"/>
          <w:color w:val="auto"/>
          <w:kern w:val="1"/>
          <w:sz w:val="24"/>
          <w:szCs w:val="24"/>
          <w:highlight w:val="none"/>
          <w:lang w:val="en-US" w:eastAsia="zh-CN"/>
        </w:rPr>
        <w:t xml:space="preserve"> </w:t>
      </w:r>
      <w:r>
        <w:rPr>
          <w:rFonts w:hint="eastAsia" w:ascii="仿宋" w:hAnsi="仿宋" w:eastAsia="仿宋" w:cs="仿宋"/>
          <w:color w:val="auto"/>
          <w:kern w:val="1"/>
          <w:sz w:val="24"/>
          <w:szCs w:val="24"/>
          <w:highlight w:val="none"/>
        </w:rPr>
        <w:t>乙方所提供的货物规格、技术标准、材料、品牌等不符合采购文件、投标文件、国家质量标准、行业质量标准的，应在</w:t>
      </w:r>
      <w:r>
        <w:rPr>
          <w:rFonts w:hint="eastAsia" w:ascii="仿宋" w:hAnsi="仿宋" w:eastAsia="仿宋" w:cs="仿宋"/>
          <w:color w:val="auto"/>
          <w:kern w:val="1"/>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15 </w:t>
      </w:r>
      <w:r>
        <w:rPr>
          <w:rFonts w:hint="eastAsia" w:ascii="仿宋" w:hAnsi="仿宋" w:eastAsia="仿宋" w:cs="仿宋"/>
          <w:color w:val="auto"/>
          <w:kern w:val="1"/>
          <w:sz w:val="24"/>
          <w:szCs w:val="24"/>
          <w:highlight w:val="none"/>
        </w:rPr>
        <w:t>个工作日内更换，换货期间计入乙方交货时间，如因换货导致逾期交货的，乙方应承担相应违约责任。乙方拒绝更换或更换货物后仍不符合本合同约定</w:t>
      </w:r>
      <w:r>
        <w:rPr>
          <w:rFonts w:hint="eastAsia" w:ascii="仿宋" w:hAnsi="仿宋" w:eastAsia="仿宋" w:cs="仿宋"/>
          <w:color w:val="auto"/>
          <w:kern w:val="1"/>
          <w:sz w:val="24"/>
          <w:szCs w:val="24"/>
          <w:highlight w:val="none"/>
          <w:lang w:val="en-US" w:eastAsia="zh-CN"/>
        </w:rPr>
        <w:t>或验收不合格</w:t>
      </w:r>
      <w:r>
        <w:rPr>
          <w:rFonts w:hint="eastAsia" w:ascii="仿宋" w:hAnsi="仿宋" w:eastAsia="仿宋" w:cs="仿宋"/>
          <w:color w:val="auto"/>
          <w:kern w:val="1"/>
          <w:sz w:val="24"/>
          <w:szCs w:val="24"/>
          <w:highlight w:val="none"/>
        </w:rPr>
        <w:t>的，该货物的价款不计入结算金额（或从合同合计金额中扣除），且乙方应按合同合计金额的</w:t>
      </w:r>
      <w:r>
        <w:rPr>
          <w:rFonts w:hint="eastAsia" w:ascii="仿宋" w:hAnsi="仿宋" w:eastAsia="仿宋" w:cs="仿宋"/>
          <w:color w:val="auto"/>
          <w:kern w:val="1"/>
          <w:sz w:val="24"/>
          <w:szCs w:val="24"/>
          <w:highlight w:val="none"/>
          <w:u w:val="none"/>
        </w:rPr>
        <w:t>30%</w:t>
      </w:r>
      <w:r>
        <w:rPr>
          <w:rFonts w:hint="eastAsia" w:ascii="仿宋" w:hAnsi="仿宋" w:eastAsia="仿宋" w:cs="仿宋"/>
          <w:color w:val="auto"/>
          <w:kern w:val="1"/>
          <w:sz w:val="24"/>
          <w:szCs w:val="24"/>
          <w:highlight w:val="none"/>
        </w:rPr>
        <w:t>向甲方支付违约金；乙方所提供的货物仅存在不影响使用的质量瑕疵且特殊情况下甲方同意接收的，乙方应向甲方支付违约货款额</w:t>
      </w:r>
      <w:r>
        <w:rPr>
          <w:rFonts w:hint="eastAsia" w:ascii="仿宋" w:hAnsi="仿宋" w:eastAsia="仿宋" w:cs="仿宋"/>
          <w:color w:val="auto"/>
          <w:kern w:val="1"/>
          <w:sz w:val="24"/>
          <w:szCs w:val="24"/>
          <w:highlight w:val="none"/>
          <w:u w:val="none"/>
        </w:rPr>
        <w:t>5%</w:t>
      </w:r>
      <w:r>
        <w:rPr>
          <w:rFonts w:hint="eastAsia" w:ascii="仿宋" w:hAnsi="仿宋" w:eastAsia="仿宋" w:cs="仿宋"/>
          <w:color w:val="auto"/>
          <w:kern w:val="1"/>
          <w:sz w:val="24"/>
          <w:szCs w:val="24"/>
          <w:highlight w:val="none"/>
        </w:rPr>
        <w:t>的违约金。</w:t>
      </w:r>
    </w:p>
    <w:p w14:paraId="058C45A3">
      <w:pPr>
        <w:suppressAutoHyphens/>
        <w:snapToGrid w:val="0"/>
        <w:spacing w:line="360" w:lineRule="exact"/>
        <w:ind w:firstLine="480" w:firstLineChars="200"/>
        <w:outlineLvl w:val="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2.</w:t>
      </w:r>
      <w:r>
        <w:rPr>
          <w:rFonts w:hint="eastAsia" w:ascii="仿宋" w:hAnsi="仿宋" w:eastAsia="仿宋" w:cs="仿宋"/>
          <w:color w:val="auto"/>
          <w:kern w:val="1"/>
          <w:sz w:val="24"/>
          <w:szCs w:val="24"/>
          <w:highlight w:val="none"/>
          <w:lang w:val="en-US" w:eastAsia="zh-CN"/>
        </w:rPr>
        <w:t xml:space="preserve"> </w:t>
      </w:r>
      <w:r>
        <w:rPr>
          <w:rFonts w:hint="eastAsia" w:ascii="仿宋" w:hAnsi="仿宋" w:eastAsia="仿宋" w:cs="仿宋"/>
          <w:color w:val="auto"/>
          <w:kern w:val="1"/>
          <w:sz w:val="24"/>
          <w:szCs w:val="24"/>
          <w:highlight w:val="none"/>
        </w:rPr>
        <w:t>乙方提供的货物如侵犯了第三方合法权益（包括但不限于知识产权、所有权、用益物权、担保物权等）而引发的任何纠纷或诉讼，均由乙方负责交涉并承担全部责任。在处理纠纷或诉讼的过程中，乙方应为甲方取得继续使用该货物的权利，或者将该货物替换或修改，以便使用该货物不再侵权。如果乙方不能合理地完成这些补救措施，并且甲方必须停止使用侵权的货物，甲方有权解除合同，要求乙方需退还甲方已付价款，没收履约保证金，并有权要求乙方按合同合计金额的</w:t>
      </w:r>
      <w:r>
        <w:rPr>
          <w:rFonts w:hint="eastAsia" w:ascii="仿宋" w:hAnsi="仿宋" w:eastAsia="仿宋" w:cs="仿宋"/>
          <w:color w:val="auto"/>
          <w:kern w:val="1"/>
          <w:sz w:val="24"/>
          <w:szCs w:val="24"/>
          <w:highlight w:val="none"/>
          <w:u w:val="none"/>
        </w:rPr>
        <w:t>30%</w:t>
      </w:r>
      <w:r>
        <w:rPr>
          <w:rFonts w:hint="eastAsia" w:ascii="仿宋" w:hAnsi="仿宋" w:eastAsia="仿宋" w:cs="仿宋"/>
          <w:color w:val="auto"/>
          <w:kern w:val="1"/>
          <w:sz w:val="24"/>
          <w:szCs w:val="24"/>
          <w:highlight w:val="none"/>
        </w:rPr>
        <w:t>支付违约金。</w:t>
      </w:r>
    </w:p>
    <w:p w14:paraId="29C19CCA">
      <w:pPr>
        <w:suppressAutoHyphens/>
        <w:snapToGrid w:val="0"/>
        <w:spacing w:line="360" w:lineRule="exact"/>
        <w:ind w:firstLine="480" w:firstLineChars="200"/>
        <w:outlineLvl w:val="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3.</w:t>
      </w:r>
      <w:r>
        <w:rPr>
          <w:rFonts w:hint="eastAsia" w:ascii="仿宋" w:hAnsi="仿宋" w:eastAsia="仿宋" w:cs="仿宋"/>
          <w:color w:val="auto"/>
          <w:kern w:val="1"/>
          <w:sz w:val="24"/>
          <w:szCs w:val="24"/>
          <w:highlight w:val="none"/>
          <w:lang w:val="en-US" w:eastAsia="zh-CN"/>
        </w:rPr>
        <w:t xml:space="preserve"> </w:t>
      </w:r>
      <w:r>
        <w:rPr>
          <w:rFonts w:hint="eastAsia" w:ascii="仿宋" w:hAnsi="仿宋" w:eastAsia="仿宋" w:cs="仿宋"/>
          <w:color w:val="auto"/>
          <w:kern w:val="1"/>
          <w:sz w:val="24"/>
          <w:szCs w:val="24"/>
          <w:highlight w:val="none"/>
        </w:rPr>
        <w:t>因包装、运输引起的货物损坏，</w:t>
      </w:r>
      <w:r>
        <w:rPr>
          <w:rFonts w:hint="eastAsia" w:ascii="仿宋" w:hAnsi="仿宋" w:eastAsia="仿宋" w:cs="仿宋"/>
          <w:color w:val="auto"/>
          <w:kern w:val="1"/>
          <w:sz w:val="24"/>
          <w:szCs w:val="24"/>
          <w:highlight w:val="none"/>
          <w:lang w:eastAsia="zh-Hans"/>
        </w:rPr>
        <w:t>甲方有权选择不予接收或</w:t>
      </w:r>
      <w:r>
        <w:rPr>
          <w:rFonts w:hint="eastAsia" w:ascii="仿宋" w:hAnsi="仿宋" w:eastAsia="仿宋" w:cs="仿宋"/>
          <w:color w:val="auto"/>
          <w:kern w:val="1"/>
          <w:sz w:val="24"/>
          <w:szCs w:val="24"/>
          <w:highlight w:val="none"/>
        </w:rPr>
        <w:t>按质量不合格要求乙方承担相应违约责任。</w:t>
      </w:r>
    </w:p>
    <w:p w14:paraId="1BADC5A0">
      <w:pPr>
        <w:suppressAutoHyphens/>
        <w:snapToGrid w:val="0"/>
        <w:spacing w:line="360" w:lineRule="exact"/>
        <w:ind w:firstLine="480" w:firstLineChars="200"/>
        <w:outlineLvl w:val="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4.</w:t>
      </w:r>
      <w:r>
        <w:rPr>
          <w:rFonts w:hint="eastAsia" w:ascii="仿宋" w:hAnsi="仿宋" w:eastAsia="仿宋" w:cs="仿宋"/>
          <w:color w:val="auto"/>
          <w:kern w:val="1"/>
          <w:sz w:val="24"/>
          <w:szCs w:val="24"/>
          <w:highlight w:val="none"/>
          <w:lang w:val="en-US" w:eastAsia="zh-CN"/>
        </w:rPr>
        <w:t xml:space="preserve"> </w:t>
      </w:r>
      <w:r>
        <w:rPr>
          <w:rFonts w:hint="eastAsia" w:ascii="仿宋" w:hAnsi="仿宋" w:eastAsia="仿宋" w:cs="仿宋"/>
          <w:color w:val="auto"/>
          <w:kern w:val="1"/>
          <w:sz w:val="24"/>
          <w:szCs w:val="24"/>
          <w:highlight w:val="none"/>
        </w:rPr>
        <w:t>甲方无故延期接收货物的</w:t>
      </w:r>
      <w:r>
        <w:rPr>
          <w:rFonts w:hint="eastAsia" w:ascii="仿宋" w:hAnsi="仿宋" w:eastAsia="仿宋" w:cs="仿宋"/>
          <w:color w:val="auto"/>
          <w:sz w:val="24"/>
          <w:szCs w:val="24"/>
          <w:highlight w:val="none"/>
        </w:rPr>
        <w:t>，需补偿乙方因此增加的直接成本。</w:t>
      </w:r>
      <w:r>
        <w:rPr>
          <w:rFonts w:hint="eastAsia" w:ascii="仿宋" w:hAnsi="仿宋" w:eastAsia="仿宋" w:cs="仿宋"/>
          <w:color w:val="auto"/>
          <w:kern w:val="1"/>
          <w:sz w:val="24"/>
          <w:szCs w:val="24"/>
          <w:highlight w:val="none"/>
        </w:rPr>
        <w:t>乙方逾期交货的，每天向甲方偿付违约货款额</w:t>
      </w:r>
      <w:r>
        <w:rPr>
          <w:rFonts w:hint="eastAsia" w:ascii="仿宋" w:hAnsi="仿宋" w:eastAsia="仿宋" w:cs="仿宋"/>
          <w:color w:val="auto"/>
          <w:kern w:val="1"/>
          <w:sz w:val="24"/>
          <w:szCs w:val="24"/>
          <w:highlight w:val="none"/>
          <w:u w:val="none"/>
        </w:rPr>
        <w:t>0.4‰</w:t>
      </w:r>
      <w:r>
        <w:rPr>
          <w:rFonts w:hint="eastAsia" w:ascii="仿宋" w:hAnsi="仿宋" w:eastAsia="仿宋" w:cs="仿宋"/>
          <w:color w:val="auto"/>
          <w:kern w:val="1"/>
          <w:sz w:val="24"/>
          <w:szCs w:val="24"/>
          <w:highlight w:val="none"/>
        </w:rPr>
        <w:t>的违约金，超过</w:t>
      </w:r>
      <w:r>
        <w:rPr>
          <w:rFonts w:hint="eastAsia" w:ascii="仿宋" w:hAnsi="仿宋" w:eastAsia="仿宋" w:cs="仿宋"/>
          <w:color w:val="auto"/>
          <w:kern w:val="1"/>
          <w:sz w:val="24"/>
          <w:szCs w:val="24"/>
          <w:highlight w:val="none"/>
          <w:u w:val="none"/>
        </w:rPr>
        <w:t>30</w:t>
      </w:r>
      <w:r>
        <w:rPr>
          <w:rFonts w:hint="eastAsia" w:ascii="仿宋" w:hAnsi="仿宋" w:eastAsia="仿宋" w:cs="仿宋"/>
          <w:color w:val="auto"/>
          <w:kern w:val="1"/>
          <w:sz w:val="24"/>
          <w:szCs w:val="24"/>
          <w:highlight w:val="none"/>
        </w:rPr>
        <w:t>天甲方有权解除合同；甲方延期付货款的，每天向乙方偿付延期货款额</w:t>
      </w:r>
      <w:r>
        <w:rPr>
          <w:rFonts w:hint="eastAsia" w:ascii="仿宋" w:hAnsi="仿宋" w:eastAsia="仿宋" w:cs="仿宋"/>
          <w:color w:val="auto"/>
          <w:kern w:val="1"/>
          <w:sz w:val="24"/>
          <w:szCs w:val="24"/>
          <w:highlight w:val="none"/>
          <w:u w:val="none"/>
        </w:rPr>
        <w:t>0.1‰</w:t>
      </w:r>
      <w:r>
        <w:rPr>
          <w:rFonts w:hint="eastAsia" w:ascii="仿宋" w:hAnsi="仿宋" w:eastAsia="仿宋" w:cs="仿宋"/>
          <w:color w:val="auto"/>
          <w:kern w:val="1"/>
          <w:sz w:val="24"/>
          <w:szCs w:val="24"/>
          <w:highlight w:val="none"/>
          <w:lang w:val="en-US" w:eastAsia="zh-CN"/>
        </w:rPr>
        <w:t>违约金</w:t>
      </w:r>
      <w:r>
        <w:rPr>
          <w:rFonts w:hint="eastAsia" w:ascii="仿宋" w:hAnsi="仿宋" w:eastAsia="仿宋" w:cs="仿宋"/>
          <w:color w:val="auto"/>
          <w:kern w:val="1"/>
          <w:sz w:val="24"/>
          <w:szCs w:val="24"/>
          <w:highlight w:val="none"/>
        </w:rPr>
        <w:t>，但</w:t>
      </w:r>
      <w:r>
        <w:rPr>
          <w:rFonts w:hint="eastAsia" w:ascii="仿宋" w:hAnsi="仿宋" w:eastAsia="仿宋" w:cs="仿宋"/>
          <w:color w:val="auto"/>
          <w:kern w:val="1"/>
          <w:sz w:val="24"/>
          <w:szCs w:val="24"/>
          <w:highlight w:val="none"/>
          <w:lang w:val="en-US" w:eastAsia="zh-CN"/>
        </w:rPr>
        <w:t>违约金</w:t>
      </w:r>
      <w:r>
        <w:rPr>
          <w:rFonts w:hint="eastAsia" w:ascii="仿宋" w:hAnsi="仿宋" w:eastAsia="仿宋" w:cs="仿宋"/>
          <w:color w:val="auto"/>
          <w:kern w:val="1"/>
          <w:sz w:val="24"/>
          <w:szCs w:val="24"/>
          <w:highlight w:val="none"/>
        </w:rPr>
        <w:t>累计不得超过延期货款额</w:t>
      </w:r>
      <w:r>
        <w:rPr>
          <w:rFonts w:hint="eastAsia" w:ascii="仿宋" w:hAnsi="仿宋" w:eastAsia="仿宋" w:cs="仿宋"/>
          <w:color w:val="auto"/>
          <w:kern w:val="1"/>
          <w:sz w:val="24"/>
          <w:szCs w:val="24"/>
          <w:highlight w:val="none"/>
          <w:u w:val="none"/>
        </w:rPr>
        <w:t>5%</w:t>
      </w:r>
      <w:r>
        <w:rPr>
          <w:rFonts w:hint="eastAsia" w:ascii="仿宋" w:hAnsi="仿宋" w:eastAsia="仿宋" w:cs="仿宋"/>
          <w:color w:val="auto"/>
          <w:kern w:val="1"/>
          <w:sz w:val="24"/>
          <w:szCs w:val="24"/>
          <w:highlight w:val="none"/>
        </w:rPr>
        <w:t>。乙方逾期交付货物核心部件导致货物无法使用的，乙方须赔偿甲方所受到的全部损失（包括但不限于：替代物购置及安装费用等）并按本合同合计金额的</w:t>
      </w:r>
      <w:r>
        <w:rPr>
          <w:rFonts w:hint="eastAsia" w:ascii="仿宋" w:hAnsi="仿宋" w:eastAsia="仿宋" w:cs="仿宋"/>
          <w:color w:val="auto"/>
          <w:kern w:val="1"/>
          <w:sz w:val="24"/>
          <w:szCs w:val="24"/>
          <w:highlight w:val="none"/>
          <w:u w:val="none"/>
        </w:rPr>
        <w:t>30%</w:t>
      </w:r>
      <w:r>
        <w:rPr>
          <w:rFonts w:hint="eastAsia" w:ascii="仿宋" w:hAnsi="仿宋" w:eastAsia="仿宋" w:cs="仿宋"/>
          <w:color w:val="auto"/>
          <w:kern w:val="1"/>
          <w:sz w:val="24"/>
          <w:szCs w:val="24"/>
          <w:highlight w:val="none"/>
        </w:rPr>
        <w:t>支付违约金。</w:t>
      </w:r>
    </w:p>
    <w:p w14:paraId="59EE8EB5">
      <w:pPr>
        <w:suppressAutoHyphens/>
        <w:snapToGrid w:val="0"/>
        <w:spacing w:line="360" w:lineRule="exact"/>
        <w:ind w:firstLine="480" w:firstLineChars="200"/>
        <w:outlineLvl w:val="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5.</w:t>
      </w:r>
      <w:r>
        <w:rPr>
          <w:rFonts w:hint="eastAsia" w:ascii="仿宋" w:hAnsi="仿宋" w:eastAsia="仿宋" w:cs="仿宋"/>
          <w:color w:val="auto"/>
          <w:kern w:val="1"/>
          <w:sz w:val="24"/>
          <w:szCs w:val="24"/>
          <w:highlight w:val="none"/>
          <w:lang w:val="en-US" w:eastAsia="zh-CN"/>
        </w:rPr>
        <w:t xml:space="preserve"> </w:t>
      </w:r>
      <w:r>
        <w:rPr>
          <w:rFonts w:hint="eastAsia" w:ascii="仿宋" w:hAnsi="仿宋" w:eastAsia="仿宋" w:cs="仿宋"/>
          <w:color w:val="auto"/>
          <w:kern w:val="1"/>
          <w:sz w:val="24"/>
          <w:szCs w:val="24"/>
          <w:highlight w:val="none"/>
        </w:rPr>
        <w:t>乙方未按本合同和投标文件中规定的服务承诺提供售后服务的，每出现一次，乙方应按本合同合计金额的</w:t>
      </w:r>
      <w:r>
        <w:rPr>
          <w:rFonts w:hint="eastAsia" w:ascii="仿宋" w:hAnsi="仿宋" w:eastAsia="仿宋" w:cs="仿宋"/>
          <w:color w:val="auto"/>
          <w:kern w:val="1"/>
          <w:sz w:val="24"/>
          <w:szCs w:val="24"/>
          <w:highlight w:val="none"/>
          <w:u w:val="none"/>
        </w:rPr>
        <w:t>5%</w:t>
      </w:r>
      <w:r>
        <w:rPr>
          <w:rFonts w:hint="eastAsia" w:ascii="仿宋" w:hAnsi="仿宋" w:eastAsia="仿宋" w:cs="仿宋"/>
          <w:color w:val="auto"/>
          <w:kern w:val="1"/>
          <w:sz w:val="24"/>
          <w:szCs w:val="24"/>
          <w:highlight w:val="none"/>
        </w:rPr>
        <w:t>向甲方支付违约金，同时甲方有权根据本合同第十一条第2项的约定自行交由第三方提供售后服务，乙方每次除向甲方支付违约金外，还需承担甲方为此支出的配件费、工时费等一切售后服务相关费用。</w:t>
      </w:r>
    </w:p>
    <w:p w14:paraId="2C61F6A0">
      <w:pPr>
        <w:suppressAutoHyphens/>
        <w:snapToGrid w:val="0"/>
        <w:spacing w:line="360" w:lineRule="exact"/>
        <w:ind w:firstLine="480" w:firstLineChars="200"/>
        <w:outlineLvl w:val="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6.</w:t>
      </w:r>
      <w:r>
        <w:rPr>
          <w:rFonts w:hint="eastAsia" w:ascii="仿宋" w:hAnsi="仿宋" w:eastAsia="仿宋" w:cs="仿宋"/>
          <w:color w:val="auto"/>
          <w:kern w:val="1"/>
          <w:sz w:val="24"/>
          <w:szCs w:val="24"/>
          <w:highlight w:val="none"/>
          <w:lang w:val="en-US" w:eastAsia="zh-CN"/>
        </w:rPr>
        <w:t xml:space="preserve"> </w:t>
      </w:r>
      <w:r>
        <w:rPr>
          <w:rFonts w:hint="eastAsia" w:ascii="仿宋" w:hAnsi="仿宋" w:eastAsia="仿宋" w:cs="仿宋"/>
          <w:color w:val="auto"/>
          <w:kern w:val="1"/>
          <w:sz w:val="24"/>
          <w:szCs w:val="24"/>
          <w:highlight w:val="none"/>
        </w:rPr>
        <w:t>乙方提供的货物在质量保证期内，因设计、工艺或材料的缺陷和其它质量原因造成甲方人员（含经允许进入甲方场地的第三人）、该货物之外的其他物品受到伤害（损坏）的，由乙方负责承担由此产生的一切赔偿责任。赔偿款从履约保证金中扣除，履约保证金不足以支付的，由乙方另行支付。</w:t>
      </w:r>
    </w:p>
    <w:p w14:paraId="1A4C4820">
      <w:pPr>
        <w:suppressAutoHyphens/>
        <w:snapToGrid w:val="0"/>
        <w:spacing w:line="360" w:lineRule="exact"/>
        <w:ind w:firstLine="480" w:firstLineChars="200"/>
        <w:outlineLvl w:val="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7.</w:t>
      </w:r>
      <w:r>
        <w:rPr>
          <w:rFonts w:hint="eastAsia" w:ascii="仿宋" w:hAnsi="仿宋" w:eastAsia="仿宋" w:cs="仿宋"/>
          <w:color w:val="auto"/>
          <w:kern w:val="1"/>
          <w:sz w:val="24"/>
          <w:szCs w:val="24"/>
          <w:highlight w:val="none"/>
          <w:lang w:val="en-US" w:eastAsia="zh-CN"/>
        </w:rPr>
        <w:t xml:space="preserve"> </w:t>
      </w:r>
      <w:r>
        <w:rPr>
          <w:rFonts w:hint="eastAsia" w:ascii="仿宋" w:hAnsi="仿宋" w:eastAsia="仿宋" w:cs="仿宋"/>
          <w:color w:val="auto"/>
          <w:kern w:val="1"/>
          <w:sz w:val="24"/>
          <w:szCs w:val="24"/>
          <w:highlight w:val="none"/>
        </w:rPr>
        <w:t>未经甲方书面许可，乙方擅自将本合同项下义务交由第三方完成的，视为乙方根本违约，甲方有权解除本合同。</w:t>
      </w:r>
    </w:p>
    <w:p w14:paraId="65C3730E">
      <w:pPr>
        <w:suppressAutoHyphens/>
        <w:snapToGrid w:val="0"/>
        <w:spacing w:line="360" w:lineRule="exact"/>
        <w:ind w:firstLine="480" w:firstLineChars="200"/>
        <w:outlineLvl w:val="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8.</w:t>
      </w:r>
      <w:r>
        <w:rPr>
          <w:rFonts w:hint="eastAsia" w:ascii="仿宋" w:hAnsi="仿宋" w:eastAsia="仿宋" w:cs="仿宋"/>
          <w:color w:val="auto"/>
          <w:kern w:val="1"/>
          <w:sz w:val="24"/>
          <w:szCs w:val="24"/>
          <w:highlight w:val="none"/>
          <w:lang w:val="en-US" w:eastAsia="zh-CN"/>
        </w:rPr>
        <w:t xml:space="preserve"> </w:t>
      </w:r>
      <w:r>
        <w:rPr>
          <w:rFonts w:hint="eastAsia" w:ascii="仿宋" w:hAnsi="仿宋" w:eastAsia="仿宋" w:cs="仿宋"/>
          <w:color w:val="auto"/>
          <w:kern w:val="1"/>
          <w:sz w:val="24"/>
          <w:szCs w:val="24"/>
          <w:highlight w:val="none"/>
        </w:rPr>
        <w:t>乙方未按约提供合法有效的足额发票的，除须向甲方补开发票外，还须向甲方支付相当于不符合合同约定的发票票面金额30%的违约金</w:t>
      </w:r>
      <w:r>
        <w:rPr>
          <w:rFonts w:hint="eastAsia" w:ascii="仿宋" w:hAnsi="仿宋" w:eastAsia="仿宋" w:cs="仿宋"/>
          <w:color w:val="auto"/>
          <w:kern w:val="1"/>
          <w:sz w:val="24"/>
          <w:szCs w:val="24"/>
          <w:highlight w:val="none"/>
          <w:lang w:eastAsia="zh-CN"/>
        </w:rPr>
        <w:t>，</w:t>
      </w:r>
      <w:r>
        <w:rPr>
          <w:rFonts w:hint="eastAsia" w:ascii="仿宋" w:hAnsi="仿宋" w:eastAsia="仿宋" w:cs="仿宋"/>
          <w:color w:val="auto"/>
          <w:kern w:val="1"/>
          <w:sz w:val="24"/>
          <w:szCs w:val="24"/>
          <w:highlight w:val="none"/>
        </w:rPr>
        <w:t>且甲方有权解除合同，要求乙方退还已付款项。</w:t>
      </w:r>
    </w:p>
    <w:p w14:paraId="2B3A58BE">
      <w:pPr>
        <w:snapToGrid w:val="0"/>
        <w:spacing w:line="3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kern w:val="1"/>
          <w:sz w:val="24"/>
          <w:szCs w:val="24"/>
          <w:highlight w:val="none"/>
        </w:rPr>
        <w:t>9.</w:t>
      </w:r>
      <w:r>
        <w:rPr>
          <w:rFonts w:hint="eastAsia" w:ascii="仿宋" w:hAnsi="仿宋" w:eastAsia="仿宋" w:cs="仿宋"/>
          <w:color w:val="auto"/>
          <w:kern w:val="1"/>
          <w:sz w:val="24"/>
          <w:szCs w:val="24"/>
          <w:highlight w:val="none"/>
          <w:lang w:val="en-US" w:eastAsia="zh-CN"/>
        </w:rPr>
        <w:t xml:space="preserve"> </w:t>
      </w:r>
      <w:r>
        <w:rPr>
          <w:rFonts w:hint="eastAsia" w:ascii="仿宋" w:hAnsi="仿宋" w:eastAsia="仿宋" w:cs="仿宋"/>
          <w:color w:val="auto"/>
          <w:sz w:val="24"/>
          <w:szCs w:val="24"/>
          <w:highlight w:val="none"/>
        </w:rPr>
        <w:t>乙方违反</w:t>
      </w:r>
      <w:r>
        <w:rPr>
          <w:rFonts w:hint="eastAsia" w:ascii="仿宋" w:hAnsi="仿宋" w:eastAsia="仿宋" w:cs="仿宋"/>
          <w:color w:val="auto"/>
          <w:kern w:val="1"/>
          <w:sz w:val="24"/>
          <w:szCs w:val="24"/>
          <w:highlight w:val="none"/>
        </w:rPr>
        <w:t>第三条第3款</w:t>
      </w:r>
      <w:r>
        <w:rPr>
          <w:rFonts w:hint="eastAsia" w:ascii="仿宋" w:hAnsi="仿宋" w:eastAsia="仿宋" w:cs="仿宋"/>
          <w:color w:val="auto"/>
          <w:sz w:val="24"/>
          <w:szCs w:val="24"/>
          <w:highlight w:val="none"/>
        </w:rPr>
        <w:t>约定的，应向甲方一次性支付合同合计金额30%的违约金。</w:t>
      </w:r>
    </w:p>
    <w:p w14:paraId="24BEA9B0">
      <w:pPr>
        <w:suppressAutoHyphens/>
        <w:snapToGrid w:val="0"/>
        <w:spacing w:line="360" w:lineRule="exact"/>
        <w:ind w:firstLine="480" w:firstLineChars="200"/>
        <w:outlineLvl w:val="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10.乙方的其它违约行为，按违约货款额5%收取违约金。</w:t>
      </w:r>
    </w:p>
    <w:p w14:paraId="72ADEC73">
      <w:pPr>
        <w:suppressAutoHyphens/>
        <w:snapToGrid w:val="0"/>
        <w:spacing w:line="360" w:lineRule="exact"/>
        <w:ind w:firstLine="480" w:firstLineChars="200"/>
        <w:outlineLvl w:val="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11.甲方解除合同的，除有权要求乙方按相应违约条款承担违约责任外，还有权要求乙方按本合同合计金额的30%支付违约金。</w:t>
      </w:r>
    </w:p>
    <w:p w14:paraId="784C897C">
      <w:pPr>
        <w:suppressAutoHyphens/>
        <w:snapToGrid w:val="0"/>
        <w:spacing w:line="360" w:lineRule="exact"/>
        <w:ind w:firstLine="480" w:firstLineChars="200"/>
        <w:outlineLvl w:val="9"/>
        <w:rPr>
          <w:rFonts w:hint="eastAsia" w:ascii="仿宋" w:hAnsi="仿宋" w:eastAsia="仿宋" w:cs="仿宋"/>
          <w:color w:val="auto"/>
          <w:kern w:val="1"/>
          <w:sz w:val="24"/>
          <w:szCs w:val="24"/>
          <w:highlight w:val="none"/>
          <w:lang w:eastAsia="zh-Hans"/>
        </w:rPr>
      </w:pPr>
      <w:r>
        <w:rPr>
          <w:rFonts w:hint="eastAsia" w:ascii="仿宋" w:hAnsi="仿宋" w:eastAsia="仿宋" w:cs="仿宋"/>
          <w:color w:val="auto"/>
          <w:kern w:val="1"/>
          <w:sz w:val="24"/>
          <w:szCs w:val="24"/>
          <w:highlight w:val="none"/>
        </w:rPr>
        <w:t>12.</w:t>
      </w:r>
      <w:r>
        <w:rPr>
          <w:rFonts w:hint="eastAsia" w:ascii="仿宋" w:hAnsi="仿宋" w:eastAsia="仿宋" w:cs="仿宋"/>
          <w:color w:val="auto"/>
          <w:kern w:val="1"/>
          <w:sz w:val="24"/>
          <w:szCs w:val="24"/>
          <w:highlight w:val="none"/>
          <w:lang w:eastAsia="zh-Hans"/>
        </w:rPr>
        <w:t>任何一方存在任何违约行为的，除按合同约定承担</w:t>
      </w:r>
      <w:r>
        <w:rPr>
          <w:rFonts w:hint="eastAsia" w:ascii="仿宋" w:hAnsi="仿宋" w:eastAsia="仿宋" w:cs="仿宋"/>
          <w:color w:val="auto"/>
          <w:kern w:val="1"/>
          <w:sz w:val="24"/>
          <w:szCs w:val="24"/>
          <w:highlight w:val="none"/>
        </w:rPr>
        <w:t>违约</w:t>
      </w:r>
      <w:r>
        <w:rPr>
          <w:rFonts w:hint="eastAsia" w:ascii="仿宋" w:hAnsi="仿宋" w:eastAsia="仿宋" w:cs="仿宋"/>
          <w:color w:val="auto"/>
          <w:kern w:val="1"/>
          <w:sz w:val="24"/>
          <w:szCs w:val="24"/>
          <w:highlight w:val="none"/>
          <w:lang w:eastAsia="zh-Hans"/>
        </w:rPr>
        <w:t>责任外，还应赔偿守约方的一切</w:t>
      </w:r>
      <w:r>
        <w:rPr>
          <w:rFonts w:hint="eastAsia" w:ascii="仿宋" w:hAnsi="仿宋" w:eastAsia="仿宋" w:cs="仿宋"/>
          <w:color w:val="auto"/>
          <w:kern w:val="1"/>
          <w:sz w:val="24"/>
          <w:szCs w:val="24"/>
          <w:highlight w:val="none"/>
        </w:rPr>
        <w:t>经济</w:t>
      </w:r>
      <w:r>
        <w:rPr>
          <w:rFonts w:hint="eastAsia" w:ascii="仿宋" w:hAnsi="仿宋" w:eastAsia="仿宋" w:cs="仿宋"/>
          <w:color w:val="auto"/>
          <w:kern w:val="1"/>
          <w:sz w:val="24"/>
          <w:szCs w:val="24"/>
          <w:highlight w:val="none"/>
          <w:lang w:eastAsia="zh-Hans"/>
        </w:rPr>
        <w:t>损失（包括但不限于向第三方支付</w:t>
      </w:r>
      <w:r>
        <w:rPr>
          <w:rFonts w:hint="eastAsia" w:ascii="仿宋" w:hAnsi="仿宋" w:eastAsia="仿宋" w:cs="仿宋"/>
          <w:color w:val="auto"/>
          <w:kern w:val="1"/>
          <w:sz w:val="24"/>
          <w:szCs w:val="24"/>
          <w:highlight w:val="none"/>
        </w:rPr>
        <w:t>的</w:t>
      </w:r>
      <w:r>
        <w:rPr>
          <w:rFonts w:hint="eastAsia" w:ascii="仿宋" w:hAnsi="仿宋" w:eastAsia="仿宋" w:cs="仿宋"/>
          <w:color w:val="auto"/>
          <w:kern w:val="1"/>
          <w:sz w:val="24"/>
          <w:szCs w:val="24"/>
          <w:highlight w:val="none"/>
          <w:lang w:eastAsia="zh-Hans"/>
        </w:rPr>
        <w:t>赔偿金、补偿金、违约金等，为实现债权而支付的律师费、公证费、诉讼费、保全费、公告费、鉴定费、诉讼财产保全责任险保</w:t>
      </w:r>
      <w:r>
        <w:rPr>
          <w:rFonts w:hint="eastAsia" w:ascii="仿宋" w:hAnsi="仿宋" w:eastAsia="仿宋" w:cs="仿宋"/>
          <w:color w:val="auto"/>
          <w:kern w:val="1"/>
          <w:sz w:val="24"/>
          <w:szCs w:val="24"/>
          <w:highlight w:val="none"/>
        </w:rPr>
        <w:t>险</w:t>
      </w:r>
      <w:r>
        <w:rPr>
          <w:rFonts w:hint="eastAsia" w:ascii="仿宋" w:hAnsi="仿宋" w:eastAsia="仿宋" w:cs="仿宋"/>
          <w:color w:val="auto"/>
          <w:kern w:val="1"/>
          <w:sz w:val="24"/>
          <w:szCs w:val="24"/>
          <w:highlight w:val="none"/>
          <w:lang w:eastAsia="zh-Hans"/>
        </w:rPr>
        <w:t>费等一切费用）。</w:t>
      </w:r>
    </w:p>
    <w:p w14:paraId="0FA45BA3">
      <w:pPr>
        <w:snapToGrid w:val="0"/>
        <w:spacing w:before="120" w:after="120" w:line="360" w:lineRule="exact"/>
        <w:ind w:firstLine="482" w:firstLineChars="200"/>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第十四条 不可抗力事件处理</w:t>
      </w:r>
    </w:p>
    <w:p w14:paraId="00F85C10">
      <w:pPr>
        <w:suppressAutoHyphens/>
        <w:snapToGrid w:val="0"/>
        <w:spacing w:line="360" w:lineRule="exact"/>
        <w:ind w:firstLine="480" w:firstLineChars="200"/>
        <w:outlineLvl w:val="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1. 在合同有效期内，任何一方因不可抗力事件导致不能履行合同，则合同履行期可延长，其延长期与不可抗力影响期相同。</w:t>
      </w:r>
    </w:p>
    <w:p w14:paraId="0E3E91C0">
      <w:pPr>
        <w:suppressAutoHyphens/>
        <w:snapToGrid w:val="0"/>
        <w:spacing w:line="360" w:lineRule="exact"/>
        <w:ind w:firstLine="480" w:firstLineChars="200"/>
        <w:outlineLvl w:val="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2. 不可抗力事件发生后，应立即通知对方，并寄送有关权威机构出具的证明。</w:t>
      </w:r>
    </w:p>
    <w:p w14:paraId="64DE18E4">
      <w:pPr>
        <w:suppressAutoHyphens/>
        <w:snapToGrid w:val="0"/>
        <w:spacing w:line="360" w:lineRule="exact"/>
        <w:ind w:firstLine="480" w:firstLineChars="200"/>
        <w:outlineLvl w:val="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3. 不可抗力事件延续一百二十天以上，双方应通过友好协商，确定是否继续履行合同。</w:t>
      </w:r>
    </w:p>
    <w:p w14:paraId="7113D987">
      <w:pPr>
        <w:snapToGrid w:val="0"/>
        <w:spacing w:before="120" w:after="120" w:line="360" w:lineRule="exact"/>
        <w:ind w:firstLine="482" w:firstLineChars="200"/>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第十五条 合同争议解决</w:t>
      </w:r>
    </w:p>
    <w:p w14:paraId="3F0B3E23">
      <w:pPr>
        <w:suppressAutoHyphens/>
        <w:snapToGrid w:val="0"/>
        <w:spacing w:line="360" w:lineRule="exact"/>
        <w:ind w:firstLine="480" w:firstLineChars="200"/>
        <w:outlineLvl w:val="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1. 因货物质量问题发生争议的，应邀请国家认可的质量检测机构按照国家标准对货物质量进行</w:t>
      </w:r>
      <w:r>
        <w:rPr>
          <w:rFonts w:hint="eastAsia" w:ascii="仿宋" w:hAnsi="仿宋" w:eastAsia="仿宋" w:cs="仿宋"/>
          <w:color w:val="auto"/>
          <w:kern w:val="1"/>
          <w:sz w:val="24"/>
          <w:szCs w:val="24"/>
          <w:highlight w:val="none"/>
          <w:lang w:eastAsia="zh-Hans"/>
        </w:rPr>
        <w:t>鉴定</w:t>
      </w:r>
      <w:r>
        <w:rPr>
          <w:rFonts w:hint="eastAsia" w:ascii="仿宋" w:hAnsi="仿宋" w:eastAsia="仿宋" w:cs="仿宋"/>
          <w:color w:val="auto"/>
          <w:kern w:val="1"/>
          <w:sz w:val="24"/>
          <w:szCs w:val="24"/>
          <w:highlight w:val="none"/>
        </w:rPr>
        <w:t>。货物符合国家标准的，鉴定费由甲方承担；货物不符合国家标准的，鉴定费由乙方承担。</w:t>
      </w:r>
    </w:p>
    <w:p w14:paraId="542527E8">
      <w:pPr>
        <w:suppressAutoHyphens/>
        <w:snapToGrid w:val="0"/>
        <w:spacing w:line="360" w:lineRule="exact"/>
        <w:ind w:firstLine="480" w:firstLineChars="200"/>
        <w:outlineLvl w:val="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2. 因履行本合同引起的或与本合同有关的争议，甲乙双方应首先通过友好协商解决，如果协商不能解决，可向甲方所在地人民法院提起诉讼。</w:t>
      </w:r>
    </w:p>
    <w:p w14:paraId="77C53E76">
      <w:pPr>
        <w:suppressAutoHyphens/>
        <w:snapToGrid w:val="0"/>
        <w:spacing w:line="360" w:lineRule="exact"/>
        <w:ind w:firstLine="480" w:firstLineChars="200"/>
        <w:outlineLvl w:val="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3. 诉讼期间，本合同继续履行。</w:t>
      </w:r>
    </w:p>
    <w:p w14:paraId="708C9610">
      <w:pPr>
        <w:snapToGrid w:val="0"/>
        <w:spacing w:before="120" w:after="120" w:line="360" w:lineRule="exact"/>
        <w:ind w:firstLine="482" w:firstLineChars="200"/>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第十六条 合同生效及其它</w:t>
      </w:r>
    </w:p>
    <w:p w14:paraId="65F1DA0B">
      <w:pPr>
        <w:suppressAutoHyphens/>
        <w:snapToGrid w:val="0"/>
        <w:spacing w:line="360" w:lineRule="exact"/>
        <w:ind w:firstLine="480" w:firstLineChars="200"/>
        <w:outlineLvl w:val="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1.</w:t>
      </w:r>
      <w:r>
        <w:rPr>
          <w:rFonts w:hint="eastAsia" w:ascii="仿宋" w:hAnsi="仿宋" w:eastAsia="仿宋" w:cs="仿宋"/>
          <w:color w:val="auto"/>
          <w:kern w:val="1"/>
          <w:sz w:val="24"/>
          <w:szCs w:val="24"/>
          <w:highlight w:val="none"/>
          <w:lang w:val="en-US" w:eastAsia="zh-CN"/>
        </w:rPr>
        <w:t xml:space="preserve"> </w:t>
      </w:r>
      <w:r>
        <w:rPr>
          <w:rFonts w:hint="eastAsia" w:ascii="仿宋" w:hAnsi="仿宋" w:eastAsia="仿宋" w:cs="仿宋"/>
          <w:color w:val="auto"/>
          <w:kern w:val="1"/>
          <w:sz w:val="24"/>
          <w:szCs w:val="24"/>
          <w:highlight w:val="none"/>
        </w:rPr>
        <w:t>合同履行地点为：</w:t>
      </w:r>
      <w:r>
        <w:rPr>
          <w:rFonts w:hint="eastAsia" w:ascii="仿宋" w:hAnsi="仿宋" w:eastAsia="仿宋" w:cs="仿宋"/>
          <w:color w:val="auto"/>
          <w:kern w:val="1"/>
          <w:sz w:val="24"/>
          <w:szCs w:val="24"/>
          <w:highlight w:val="none"/>
          <w:u w:val="single"/>
        </w:rPr>
        <w:t>广西壮族自治区人民医院</w:t>
      </w:r>
      <w:r>
        <w:rPr>
          <w:rFonts w:hint="eastAsia" w:ascii="仿宋" w:hAnsi="仿宋" w:eastAsia="仿宋" w:cs="仿宋"/>
          <w:color w:val="auto"/>
          <w:kern w:val="1"/>
          <w:sz w:val="24"/>
          <w:szCs w:val="24"/>
          <w:highlight w:val="none"/>
        </w:rPr>
        <w:t>；合同履行的方式：</w:t>
      </w:r>
      <w:r>
        <w:rPr>
          <w:rFonts w:hint="eastAsia" w:ascii="仿宋" w:hAnsi="仿宋" w:eastAsia="仿宋" w:cs="仿宋"/>
          <w:color w:val="auto"/>
          <w:kern w:val="1"/>
          <w:sz w:val="24"/>
          <w:szCs w:val="24"/>
          <w:highlight w:val="none"/>
          <w:u w:val="single"/>
        </w:rPr>
        <w:t>按照本合同约定</w:t>
      </w:r>
      <w:r>
        <w:rPr>
          <w:rFonts w:hint="eastAsia" w:ascii="仿宋" w:hAnsi="仿宋" w:eastAsia="仿宋" w:cs="仿宋"/>
          <w:color w:val="auto"/>
          <w:kern w:val="1"/>
          <w:sz w:val="24"/>
          <w:szCs w:val="24"/>
          <w:highlight w:val="none"/>
        </w:rPr>
        <w:t>。</w:t>
      </w:r>
    </w:p>
    <w:p w14:paraId="34025F42">
      <w:pPr>
        <w:suppressAutoHyphens/>
        <w:snapToGrid w:val="0"/>
        <w:spacing w:line="360" w:lineRule="exact"/>
        <w:ind w:firstLine="480" w:firstLineChars="200"/>
        <w:outlineLvl w:val="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 xml:space="preserve">2. </w:t>
      </w:r>
      <w:r>
        <w:rPr>
          <w:rFonts w:hint="eastAsia" w:ascii="仿宋" w:hAnsi="仿宋" w:eastAsia="仿宋" w:cs="仿宋"/>
          <w:color w:val="auto"/>
          <w:kern w:val="1"/>
          <w:sz w:val="24"/>
          <w:szCs w:val="24"/>
          <w:highlight w:val="none"/>
          <w:lang w:val="en-US" w:eastAsia="zh-CN"/>
        </w:rPr>
        <w:t>本</w:t>
      </w:r>
      <w:r>
        <w:rPr>
          <w:rFonts w:hint="eastAsia" w:ascii="仿宋" w:hAnsi="仿宋" w:eastAsia="仿宋" w:cs="仿宋"/>
          <w:color w:val="auto"/>
          <w:kern w:val="1"/>
          <w:sz w:val="24"/>
          <w:szCs w:val="24"/>
          <w:highlight w:val="none"/>
        </w:rPr>
        <w:t>合同经双方法定代表人或委托代理人签字并加盖</w:t>
      </w:r>
      <w:r>
        <w:rPr>
          <w:rFonts w:hint="eastAsia" w:ascii="仿宋" w:hAnsi="仿宋" w:eastAsia="仿宋" w:cs="仿宋"/>
          <w:color w:val="auto"/>
          <w:kern w:val="1"/>
          <w:sz w:val="24"/>
          <w:szCs w:val="24"/>
          <w:highlight w:val="none"/>
          <w:lang w:val="en-US" w:eastAsia="zh-CN"/>
        </w:rPr>
        <w:t>双方</w:t>
      </w:r>
      <w:r>
        <w:rPr>
          <w:rFonts w:hint="eastAsia" w:ascii="仿宋" w:hAnsi="仿宋" w:eastAsia="仿宋" w:cs="仿宋"/>
          <w:color w:val="auto"/>
          <w:kern w:val="1"/>
          <w:sz w:val="24"/>
          <w:szCs w:val="24"/>
          <w:highlight w:val="none"/>
        </w:rPr>
        <w:t>单位公章后生效。</w:t>
      </w:r>
    </w:p>
    <w:p w14:paraId="589ACD7D">
      <w:pPr>
        <w:suppressAutoHyphens/>
        <w:snapToGrid w:val="0"/>
        <w:spacing w:line="360" w:lineRule="exact"/>
        <w:ind w:firstLine="480" w:firstLineChars="200"/>
        <w:outlineLvl w:val="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 xml:space="preserve">3. </w:t>
      </w:r>
      <w:r>
        <w:rPr>
          <w:rFonts w:hint="eastAsia" w:ascii="仿宋" w:hAnsi="仿宋" w:eastAsia="仿宋" w:cs="仿宋"/>
          <w:color w:val="auto"/>
          <w:sz w:val="24"/>
          <w:szCs w:val="24"/>
          <w:highlight w:val="none"/>
        </w:rPr>
        <w:t>合同执行中涉及采购内容修改或补充的，按政府采购相关规定要求签订书面补充协议，并作为主合同不可分割的一部分</w:t>
      </w:r>
      <w:r>
        <w:rPr>
          <w:rFonts w:hint="eastAsia" w:ascii="仿宋" w:hAnsi="仿宋" w:eastAsia="仿宋" w:cs="仿宋"/>
          <w:color w:val="auto"/>
          <w:kern w:val="1"/>
          <w:sz w:val="24"/>
          <w:szCs w:val="24"/>
          <w:highlight w:val="none"/>
        </w:rPr>
        <w:t>。</w:t>
      </w:r>
    </w:p>
    <w:p w14:paraId="3423657A">
      <w:pPr>
        <w:suppressAutoHyphens/>
        <w:snapToGrid w:val="0"/>
        <w:spacing w:line="360" w:lineRule="exact"/>
        <w:ind w:firstLine="480" w:firstLineChars="200"/>
        <w:outlineLvl w:val="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4. 本合同未尽事宜，遵照《中华人民共和国民法典》有关条文执行。</w:t>
      </w:r>
    </w:p>
    <w:p w14:paraId="1EAA659D">
      <w:pPr>
        <w:snapToGrid w:val="0"/>
        <w:spacing w:before="120" w:after="120" w:line="360" w:lineRule="exact"/>
        <w:ind w:firstLine="482" w:firstLineChars="200"/>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第十七条 合同的变更、终止与转让</w:t>
      </w:r>
    </w:p>
    <w:p w14:paraId="54901955">
      <w:pPr>
        <w:suppressAutoHyphens/>
        <w:snapToGrid w:val="0"/>
        <w:spacing w:line="360" w:lineRule="exact"/>
        <w:ind w:firstLine="480" w:firstLineChars="200"/>
        <w:outlineLvl w:val="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1.</w:t>
      </w:r>
      <w:r>
        <w:rPr>
          <w:rFonts w:hint="eastAsia" w:ascii="仿宋" w:hAnsi="仿宋" w:eastAsia="仿宋" w:cs="仿宋"/>
          <w:color w:val="auto"/>
          <w:kern w:val="1"/>
          <w:sz w:val="24"/>
          <w:szCs w:val="24"/>
          <w:highlight w:val="none"/>
          <w:lang w:val="en-US" w:eastAsia="zh-CN"/>
        </w:rPr>
        <w:t xml:space="preserve"> </w:t>
      </w:r>
      <w:r>
        <w:rPr>
          <w:rFonts w:hint="eastAsia" w:ascii="仿宋" w:hAnsi="仿宋" w:eastAsia="仿宋" w:cs="仿宋"/>
          <w:color w:val="auto"/>
          <w:kern w:val="1"/>
          <w:sz w:val="24"/>
          <w:szCs w:val="24"/>
          <w:highlight w:val="none"/>
        </w:rPr>
        <w:t>本合同一经签订，甲乙双方不得擅自变更、中止或终止。</w:t>
      </w:r>
    </w:p>
    <w:p w14:paraId="683E4A8C">
      <w:pPr>
        <w:suppressAutoHyphens/>
        <w:snapToGrid w:val="0"/>
        <w:spacing w:line="360" w:lineRule="exact"/>
        <w:ind w:firstLine="480" w:firstLineChars="200"/>
        <w:outlineLvl w:val="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2.</w:t>
      </w:r>
      <w:r>
        <w:rPr>
          <w:rFonts w:hint="eastAsia" w:ascii="仿宋" w:hAnsi="仿宋" w:eastAsia="仿宋" w:cs="仿宋"/>
          <w:color w:val="auto"/>
          <w:kern w:val="1"/>
          <w:sz w:val="24"/>
          <w:szCs w:val="24"/>
          <w:highlight w:val="none"/>
          <w:lang w:val="en-US" w:eastAsia="zh-CN"/>
        </w:rPr>
        <w:t xml:space="preserve"> </w:t>
      </w:r>
      <w:r>
        <w:rPr>
          <w:rFonts w:hint="eastAsia" w:ascii="仿宋" w:hAnsi="仿宋" w:eastAsia="仿宋" w:cs="仿宋"/>
          <w:color w:val="auto"/>
          <w:kern w:val="1"/>
          <w:sz w:val="24"/>
          <w:szCs w:val="24"/>
          <w:highlight w:val="none"/>
        </w:rPr>
        <w:t>未经甲方书面同意，乙方不得擅自转让</w:t>
      </w:r>
      <w:r>
        <w:rPr>
          <w:rFonts w:hint="eastAsia" w:ascii="仿宋" w:hAnsi="仿宋" w:eastAsia="仿宋" w:cs="仿宋"/>
          <w:color w:val="auto"/>
          <w:kern w:val="1"/>
          <w:sz w:val="24"/>
          <w:szCs w:val="24"/>
          <w:highlight w:val="none"/>
          <w:lang w:eastAsia="zh-Hans"/>
        </w:rPr>
        <w:t>、分包</w:t>
      </w:r>
      <w:r>
        <w:rPr>
          <w:rFonts w:hint="eastAsia" w:ascii="仿宋" w:hAnsi="仿宋" w:eastAsia="仿宋" w:cs="仿宋"/>
          <w:color w:val="auto"/>
          <w:kern w:val="1"/>
          <w:sz w:val="24"/>
          <w:szCs w:val="24"/>
          <w:highlight w:val="none"/>
        </w:rPr>
        <w:t>（无进口资格的乙方委托进口货物除外）其应履行的合同义务。</w:t>
      </w:r>
    </w:p>
    <w:p w14:paraId="485E31D3">
      <w:pPr>
        <w:spacing w:after="124" w:afterLines="40" w:line="360" w:lineRule="exact"/>
        <w:ind w:firstLine="482" w:firstLineChars="200"/>
        <w:outlineLvl w:val="9"/>
        <w:rPr>
          <w:rFonts w:hint="eastAsia" w:ascii="仿宋" w:hAnsi="仿宋" w:eastAsia="仿宋" w:cs="仿宋"/>
          <w:b/>
          <w:color w:val="auto"/>
          <w:kern w:val="1"/>
          <w:sz w:val="24"/>
          <w:szCs w:val="24"/>
          <w:highlight w:val="none"/>
        </w:rPr>
      </w:pPr>
      <w:r>
        <w:rPr>
          <w:rFonts w:hint="eastAsia" w:ascii="仿宋" w:hAnsi="仿宋" w:eastAsia="仿宋" w:cs="仿宋"/>
          <w:b/>
          <w:color w:val="auto"/>
          <w:kern w:val="1"/>
          <w:sz w:val="24"/>
          <w:szCs w:val="24"/>
          <w:highlight w:val="none"/>
        </w:rPr>
        <w:t>第十八条 签订本合同依据</w:t>
      </w:r>
    </w:p>
    <w:p w14:paraId="382E3F72">
      <w:pPr>
        <w:spacing w:after="124" w:afterLines="40" w:line="360" w:lineRule="exact"/>
        <w:ind w:firstLine="480" w:firstLineChars="200"/>
        <w:outlineLvl w:val="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 xml:space="preserve">1. 本合同； </w:t>
      </w:r>
    </w:p>
    <w:p w14:paraId="6678A60D">
      <w:pPr>
        <w:spacing w:after="124" w:afterLines="40" w:line="3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kern w:val="1"/>
          <w:sz w:val="24"/>
          <w:szCs w:val="24"/>
          <w:highlight w:val="none"/>
        </w:rPr>
        <w:t>2. 中标（成交）通知书；</w:t>
      </w:r>
    </w:p>
    <w:p w14:paraId="4A68FF87">
      <w:pPr>
        <w:suppressAutoHyphens/>
        <w:spacing w:after="124" w:afterLines="40" w:line="360" w:lineRule="exact"/>
        <w:ind w:firstLine="480" w:firstLineChars="200"/>
        <w:outlineLvl w:val="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3. 乙方提供的投标（响应）文件；</w:t>
      </w:r>
    </w:p>
    <w:p w14:paraId="30D3A0CF">
      <w:pPr>
        <w:suppressAutoHyphens/>
        <w:spacing w:after="124" w:afterLines="40" w:line="360" w:lineRule="exact"/>
        <w:ind w:firstLine="480" w:firstLineChars="200"/>
        <w:outlineLvl w:val="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4. 采购文件。</w:t>
      </w:r>
    </w:p>
    <w:p w14:paraId="4C8B91DE">
      <w:pPr>
        <w:autoSpaceDE w:val="0"/>
        <w:autoSpaceDN w:val="0"/>
        <w:adjustRightInd w:val="0"/>
        <w:spacing w:line="420" w:lineRule="exact"/>
        <w:ind w:firstLine="482" w:firstLineChars="200"/>
        <w:outlineLvl w:val="9"/>
        <w:rPr>
          <w:rFonts w:hint="eastAsia" w:ascii="仿宋" w:hAnsi="仿宋" w:eastAsia="仿宋" w:cs="仿宋"/>
          <w:b/>
          <w:bCs/>
          <w:color w:val="auto"/>
          <w:kern w:val="1"/>
          <w:sz w:val="24"/>
          <w:szCs w:val="24"/>
          <w:highlight w:val="none"/>
        </w:rPr>
      </w:pPr>
      <w:r>
        <w:rPr>
          <w:rFonts w:hint="eastAsia" w:ascii="仿宋" w:hAnsi="仿宋" w:eastAsia="仿宋" w:cs="仿宋"/>
          <w:b/>
          <w:bCs/>
          <w:color w:val="auto"/>
          <w:kern w:val="1"/>
          <w:sz w:val="24"/>
          <w:szCs w:val="24"/>
          <w:highlight w:val="none"/>
        </w:rPr>
        <w:t>上述合同文件互相补充和解释。如果合同文件之间存在矛盾或者不一致之处，以上述文件的排列顺序在先者为准。</w:t>
      </w:r>
    </w:p>
    <w:p w14:paraId="7700830C">
      <w:pPr>
        <w:snapToGrid w:val="0"/>
        <w:spacing w:line="420" w:lineRule="exact"/>
        <w:ind w:firstLine="482" w:firstLineChars="200"/>
        <w:jc w:val="left"/>
        <w:outlineLvl w:val="9"/>
        <w:rPr>
          <w:rFonts w:hint="eastAsia" w:ascii="仿宋" w:hAnsi="仿宋" w:eastAsia="仿宋" w:cs="仿宋"/>
          <w:color w:val="auto"/>
          <w:kern w:val="1"/>
          <w:sz w:val="24"/>
          <w:szCs w:val="24"/>
          <w:highlight w:val="none"/>
        </w:rPr>
      </w:pPr>
      <w:r>
        <w:rPr>
          <w:rFonts w:hint="eastAsia" w:ascii="仿宋" w:hAnsi="仿宋" w:eastAsia="仿宋" w:cs="仿宋"/>
          <w:b/>
          <w:color w:val="auto"/>
          <w:sz w:val="24"/>
          <w:szCs w:val="24"/>
          <w:highlight w:val="none"/>
        </w:rPr>
        <w:t xml:space="preserve">第十九条 </w:t>
      </w:r>
      <w:r>
        <w:rPr>
          <w:rFonts w:hint="eastAsia" w:ascii="仿宋" w:hAnsi="仿宋" w:eastAsia="仿宋" w:cs="仿宋"/>
          <w:b/>
          <w:color w:val="auto"/>
          <w:sz w:val="24"/>
          <w:szCs w:val="24"/>
          <w:highlight w:val="none"/>
          <w:lang w:eastAsia="zh-Hans"/>
        </w:rPr>
        <w:t>通知</w:t>
      </w:r>
    </w:p>
    <w:p w14:paraId="5CF16785">
      <w:pPr>
        <w:snapToGrid w:val="0"/>
        <w:spacing w:line="420" w:lineRule="exact"/>
        <w:ind w:firstLine="480" w:firstLineChars="200"/>
        <w:jc w:val="left"/>
        <w:outlineLvl w:val="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双方确认本合同落款通讯地址作为文书送达地址，该通讯地址适用于包括双方合同履行过程中的各类通知、协议等文件以及就合同发生争议进入诉讼、仲裁程序阶段法律文书的送达。通讯地址需要变更时应当提前15个工作日书面通知对方。因提供或者确认的通讯地址不准确、通讯地址变更后未及时依程序告知对方或受送达方拒绝签收等原因，导致文书未能被实际接收的，邮寄送达的，以文书退回之日视为送达之日，电子邮件、传真送达的，一经发送，即视为送达。</w:t>
      </w:r>
    </w:p>
    <w:p w14:paraId="01120D1A">
      <w:pPr>
        <w:snapToGrid w:val="0"/>
        <w:spacing w:line="360" w:lineRule="exact"/>
        <w:ind w:firstLine="482" w:firstLineChars="200"/>
        <w:outlineLvl w:val="9"/>
        <w:rPr>
          <w:rFonts w:hint="eastAsia" w:ascii="仿宋" w:hAnsi="仿宋" w:eastAsia="仿宋" w:cs="仿宋"/>
          <w:color w:val="auto"/>
          <w:kern w:val="1"/>
          <w:sz w:val="24"/>
          <w:szCs w:val="24"/>
          <w:highlight w:val="none"/>
        </w:rPr>
      </w:pPr>
      <w:r>
        <w:rPr>
          <w:rFonts w:hint="eastAsia" w:ascii="仿宋" w:hAnsi="仿宋" w:eastAsia="仿宋" w:cs="仿宋"/>
          <w:b/>
          <w:color w:val="auto"/>
          <w:sz w:val="24"/>
          <w:szCs w:val="24"/>
          <w:highlight w:val="none"/>
        </w:rPr>
        <w:t xml:space="preserve">第二十条 </w:t>
      </w:r>
      <w:r>
        <w:rPr>
          <w:rFonts w:hint="eastAsia" w:ascii="仿宋" w:hAnsi="仿宋" w:eastAsia="仿宋" w:cs="仿宋"/>
          <w:color w:val="auto"/>
          <w:kern w:val="1"/>
          <w:sz w:val="24"/>
          <w:szCs w:val="24"/>
          <w:highlight w:val="none"/>
        </w:rPr>
        <w:t>本合同一式</w:t>
      </w:r>
      <w:r>
        <w:rPr>
          <w:rFonts w:hint="eastAsia" w:ascii="仿宋" w:hAnsi="仿宋" w:eastAsia="仿宋" w:cs="仿宋"/>
          <w:color w:val="auto"/>
          <w:kern w:val="1"/>
          <w:sz w:val="24"/>
          <w:szCs w:val="24"/>
          <w:highlight w:val="none"/>
          <w:lang w:val="en-US" w:eastAsia="zh-CN"/>
        </w:rPr>
        <w:t>四</w:t>
      </w:r>
      <w:r>
        <w:rPr>
          <w:rFonts w:hint="eastAsia" w:ascii="仿宋" w:hAnsi="仿宋" w:eastAsia="仿宋" w:cs="仿宋"/>
          <w:color w:val="auto"/>
          <w:kern w:val="1"/>
          <w:sz w:val="24"/>
          <w:szCs w:val="24"/>
          <w:highlight w:val="none"/>
        </w:rPr>
        <w:t>份，具有同等法律效力。甲方二份，乙方</w:t>
      </w:r>
      <w:r>
        <w:rPr>
          <w:rFonts w:hint="eastAsia" w:ascii="仿宋" w:hAnsi="仿宋" w:eastAsia="仿宋" w:cs="仿宋"/>
          <w:color w:val="auto"/>
          <w:kern w:val="1"/>
          <w:sz w:val="24"/>
          <w:szCs w:val="24"/>
          <w:highlight w:val="none"/>
          <w:lang w:val="en-US" w:eastAsia="zh-CN"/>
        </w:rPr>
        <w:t>二</w:t>
      </w:r>
      <w:r>
        <w:rPr>
          <w:rFonts w:hint="eastAsia" w:ascii="仿宋" w:hAnsi="仿宋" w:eastAsia="仿宋" w:cs="仿宋"/>
          <w:color w:val="auto"/>
          <w:kern w:val="1"/>
          <w:sz w:val="24"/>
          <w:szCs w:val="24"/>
          <w:highlight w:val="none"/>
        </w:rPr>
        <w:t>份。</w:t>
      </w:r>
    </w:p>
    <w:p w14:paraId="3A14D17F">
      <w:pPr>
        <w:snapToGrid w:val="0"/>
        <w:spacing w:line="3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（以下为签章页，无正文）</w:t>
      </w:r>
    </w:p>
    <w:p w14:paraId="7E994F90">
      <w:pPr>
        <w:snapToGrid w:val="0"/>
        <w:spacing w:line="360" w:lineRule="exact"/>
        <w:ind w:firstLine="480" w:firstLineChars="200"/>
        <w:outlineLvl w:val="9"/>
        <w:rPr>
          <w:rFonts w:hint="eastAsia" w:ascii="仿宋" w:hAnsi="仿宋" w:eastAsia="仿宋" w:cs="仿宋"/>
          <w:color w:val="auto"/>
          <w:sz w:val="24"/>
          <w:szCs w:val="24"/>
          <w:highlight w:val="none"/>
        </w:rPr>
      </w:pPr>
    </w:p>
    <w:tbl>
      <w:tblPr>
        <w:tblStyle w:val="45"/>
        <w:tblW w:w="515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2"/>
        <w:gridCol w:w="4524"/>
      </w:tblGrid>
      <w:tr w14:paraId="3E9C4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3" w:hRule="atLeast"/>
        </w:trPr>
        <w:tc>
          <w:tcPr>
            <w:tcW w:w="2425" w:type="pct"/>
            <w:noWrap w:val="0"/>
            <w:vAlign w:val="center"/>
          </w:tcPr>
          <w:p w14:paraId="0FE9381B">
            <w:pPr>
              <w:snapToGrid w:val="0"/>
              <w:spacing w:line="36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甲方（章）广西壮族自治区人民医院 </w:t>
            </w:r>
          </w:p>
          <w:p w14:paraId="0268EB73">
            <w:pPr>
              <w:snapToGrid w:val="0"/>
              <w:spacing w:line="360" w:lineRule="exact"/>
              <w:outlineLvl w:val="9"/>
              <w:rPr>
                <w:rFonts w:hint="eastAsia" w:ascii="仿宋" w:hAnsi="仿宋" w:eastAsia="仿宋" w:cs="仿宋"/>
                <w:color w:val="auto"/>
                <w:sz w:val="24"/>
                <w:szCs w:val="24"/>
                <w:highlight w:val="none"/>
              </w:rPr>
            </w:pPr>
          </w:p>
          <w:p w14:paraId="27B505F3">
            <w:pPr>
              <w:pStyle w:val="16"/>
              <w:outlineLvl w:val="9"/>
              <w:rPr>
                <w:rFonts w:hint="eastAsia" w:ascii="仿宋" w:hAnsi="仿宋" w:eastAsia="仿宋" w:cs="仿宋"/>
                <w:color w:val="auto"/>
                <w:sz w:val="24"/>
                <w:szCs w:val="24"/>
                <w:highlight w:val="none"/>
              </w:rPr>
            </w:pPr>
          </w:p>
          <w:p w14:paraId="07A3DB68">
            <w:pPr>
              <w:pStyle w:val="16"/>
              <w:outlineLvl w:val="9"/>
              <w:rPr>
                <w:rFonts w:hint="eastAsia" w:ascii="仿宋" w:hAnsi="仿宋" w:eastAsia="仿宋" w:cs="仿宋"/>
                <w:color w:val="auto"/>
                <w:sz w:val="24"/>
                <w:szCs w:val="24"/>
                <w:highlight w:val="none"/>
              </w:rPr>
            </w:pPr>
          </w:p>
          <w:p w14:paraId="713B7BC1">
            <w:pPr>
              <w:pStyle w:val="16"/>
              <w:outlineLvl w:val="9"/>
              <w:rPr>
                <w:rFonts w:hint="eastAsia" w:ascii="仿宋" w:hAnsi="仿宋" w:eastAsia="仿宋" w:cs="仿宋"/>
                <w:color w:val="auto"/>
                <w:sz w:val="24"/>
                <w:szCs w:val="24"/>
                <w:highlight w:val="none"/>
              </w:rPr>
            </w:pPr>
          </w:p>
          <w:p w14:paraId="5B491CD6">
            <w:pPr>
              <w:snapToGrid w:val="0"/>
              <w:spacing w:line="360" w:lineRule="exact"/>
              <w:ind w:firstLine="1080" w:firstLineChars="450"/>
              <w:jc w:val="right"/>
              <w:outlineLvl w:val="9"/>
              <w:rPr>
                <w:rFonts w:hint="eastAsia" w:ascii="仿宋" w:hAnsi="仿宋" w:eastAsia="仿宋" w:cs="仿宋"/>
                <w:color w:val="auto"/>
                <w:sz w:val="24"/>
                <w:szCs w:val="24"/>
                <w:highlight w:val="none"/>
              </w:rPr>
            </w:pPr>
          </w:p>
        </w:tc>
        <w:tc>
          <w:tcPr>
            <w:tcW w:w="2574" w:type="pct"/>
            <w:noWrap w:val="0"/>
            <w:vAlign w:val="center"/>
          </w:tcPr>
          <w:p w14:paraId="65716ED4">
            <w:pPr>
              <w:spacing w:line="36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乙方（章）               </w:t>
            </w:r>
          </w:p>
          <w:p w14:paraId="28D15CE1">
            <w:pPr>
              <w:spacing w:line="360" w:lineRule="exact"/>
              <w:outlineLvl w:val="9"/>
              <w:rPr>
                <w:rFonts w:hint="eastAsia" w:ascii="仿宋" w:hAnsi="仿宋" w:eastAsia="仿宋" w:cs="仿宋"/>
                <w:color w:val="auto"/>
                <w:sz w:val="24"/>
                <w:szCs w:val="24"/>
                <w:highlight w:val="none"/>
              </w:rPr>
            </w:pPr>
          </w:p>
          <w:p w14:paraId="7582B5C2">
            <w:pPr>
              <w:spacing w:line="360" w:lineRule="exact"/>
              <w:outlineLvl w:val="9"/>
              <w:rPr>
                <w:rFonts w:hint="eastAsia" w:ascii="仿宋" w:hAnsi="仿宋" w:eastAsia="仿宋" w:cs="仿宋"/>
                <w:color w:val="auto"/>
                <w:sz w:val="24"/>
                <w:szCs w:val="24"/>
                <w:highlight w:val="none"/>
              </w:rPr>
            </w:pPr>
          </w:p>
          <w:p w14:paraId="6325BC74">
            <w:pPr>
              <w:spacing w:line="360" w:lineRule="exact"/>
              <w:outlineLvl w:val="9"/>
              <w:rPr>
                <w:rFonts w:hint="eastAsia" w:ascii="仿宋" w:hAnsi="仿宋" w:eastAsia="仿宋" w:cs="仿宋"/>
                <w:color w:val="auto"/>
                <w:sz w:val="24"/>
                <w:szCs w:val="24"/>
                <w:highlight w:val="none"/>
              </w:rPr>
            </w:pPr>
          </w:p>
          <w:p w14:paraId="28FD3BCC">
            <w:pPr>
              <w:spacing w:line="360" w:lineRule="exact"/>
              <w:outlineLvl w:val="9"/>
              <w:rPr>
                <w:rFonts w:hint="eastAsia" w:ascii="仿宋" w:hAnsi="仿宋" w:eastAsia="仿宋" w:cs="仿宋"/>
                <w:color w:val="auto"/>
                <w:sz w:val="24"/>
                <w:szCs w:val="24"/>
                <w:highlight w:val="none"/>
              </w:rPr>
            </w:pPr>
          </w:p>
          <w:p w14:paraId="117BE747">
            <w:pPr>
              <w:spacing w:line="360" w:lineRule="exact"/>
              <w:outlineLvl w:val="9"/>
              <w:rPr>
                <w:rFonts w:hint="eastAsia" w:ascii="仿宋" w:hAnsi="仿宋" w:eastAsia="仿宋" w:cs="仿宋"/>
                <w:color w:val="auto"/>
                <w:sz w:val="24"/>
                <w:szCs w:val="24"/>
                <w:highlight w:val="none"/>
              </w:rPr>
            </w:pPr>
          </w:p>
        </w:tc>
      </w:tr>
      <w:tr w14:paraId="5A1CD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3" w:hRule="atLeast"/>
        </w:trPr>
        <w:tc>
          <w:tcPr>
            <w:tcW w:w="2425" w:type="pct"/>
            <w:noWrap w:val="0"/>
            <w:vAlign w:val="top"/>
          </w:tcPr>
          <w:p w14:paraId="741F6BC7">
            <w:pPr>
              <w:snapToGrid w:val="0"/>
              <w:spacing w:line="36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单位地址：南宁市青秀区桃源路6号</w:t>
            </w:r>
          </w:p>
        </w:tc>
        <w:tc>
          <w:tcPr>
            <w:tcW w:w="2574" w:type="pct"/>
            <w:noWrap w:val="0"/>
            <w:vAlign w:val="top"/>
          </w:tcPr>
          <w:p w14:paraId="69CABC33">
            <w:pPr>
              <w:spacing w:line="36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单位地址： </w:t>
            </w:r>
          </w:p>
        </w:tc>
      </w:tr>
      <w:tr w14:paraId="5BDA7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3" w:hRule="atLeast"/>
        </w:trPr>
        <w:tc>
          <w:tcPr>
            <w:tcW w:w="2425" w:type="pct"/>
            <w:noWrap w:val="0"/>
            <w:vAlign w:val="top"/>
          </w:tcPr>
          <w:p w14:paraId="14379748">
            <w:pPr>
              <w:snapToGrid w:val="0"/>
              <w:spacing w:line="36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p>
        </w:tc>
        <w:tc>
          <w:tcPr>
            <w:tcW w:w="2574" w:type="pct"/>
            <w:noWrap w:val="0"/>
            <w:vAlign w:val="top"/>
          </w:tcPr>
          <w:p w14:paraId="27FB05C1">
            <w:pPr>
              <w:spacing w:line="36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法定代表人（负责人或自然人）：</w:t>
            </w:r>
          </w:p>
        </w:tc>
      </w:tr>
      <w:tr w14:paraId="2A729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trPr>
        <w:tc>
          <w:tcPr>
            <w:tcW w:w="2425" w:type="pct"/>
            <w:noWrap w:val="0"/>
            <w:vAlign w:val="center"/>
          </w:tcPr>
          <w:p w14:paraId="4B46D58F">
            <w:pPr>
              <w:snapToGrid w:val="0"/>
              <w:spacing w:line="36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w:t>
            </w:r>
          </w:p>
        </w:tc>
        <w:tc>
          <w:tcPr>
            <w:tcW w:w="2574" w:type="pct"/>
            <w:noWrap w:val="0"/>
            <w:vAlign w:val="center"/>
          </w:tcPr>
          <w:p w14:paraId="52181E9A">
            <w:pPr>
              <w:spacing w:line="36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w:t>
            </w:r>
          </w:p>
        </w:tc>
      </w:tr>
      <w:tr w14:paraId="0AC19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trPr>
        <w:tc>
          <w:tcPr>
            <w:tcW w:w="2425" w:type="pct"/>
            <w:noWrap w:val="0"/>
            <w:vAlign w:val="center"/>
          </w:tcPr>
          <w:p w14:paraId="321F3F0D">
            <w:pPr>
              <w:snapToGrid w:val="0"/>
              <w:spacing w:line="36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电话：0771-5722430</w:t>
            </w:r>
          </w:p>
        </w:tc>
        <w:tc>
          <w:tcPr>
            <w:tcW w:w="2574" w:type="pct"/>
            <w:noWrap w:val="0"/>
            <w:vAlign w:val="center"/>
          </w:tcPr>
          <w:p w14:paraId="18642D37">
            <w:pPr>
              <w:spacing w:line="36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手机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p>
        </w:tc>
      </w:tr>
      <w:tr w14:paraId="5D764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425" w:type="pct"/>
            <w:noWrap w:val="0"/>
            <w:vAlign w:val="center"/>
          </w:tcPr>
          <w:p w14:paraId="75FCBE9A">
            <w:pPr>
              <w:snapToGrid w:val="0"/>
              <w:spacing w:line="36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开户银行：中国民生银行股份有限公司南宁金湖支行</w:t>
            </w:r>
          </w:p>
        </w:tc>
        <w:tc>
          <w:tcPr>
            <w:tcW w:w="2574" w:type="pct"/>
            <w:noWrap w:val="0"/>
            <w:vAlign w:val="top"/>
          </w:tcPr>
          <w:p w14:paraId="680E88E2">
            <w:pPr>
              <w:spacing w:line="36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开户银行： </w:t>
            </w:r>
          </w:p>
        </w:tc>
      </w:tr>
      <w:tr w14:paraId="6C186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2425" w:type="pct"/>
            <w:noWrap w:val="0"/>
            <w:vAlign w:val="center"/>
          </w:tcPr>
          <w:p w14:paraId="060D39B7">
            <w:pPr>
              <w:spacing w:line="36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账号： 6313 33260</w:t>
            </w:r>
          </w:p>
        </w:tc>
        <w:tc>
          <w:tcPr>
            <w:tcW w:w="2574" w:type="pct"/>
            <w:noWrap w:val="0"/>
            <w:vAlign w:val="center"/>
          </w:tcPr>
          <w:p w14:paraId="3A995CAE">
            <w:pPr>
              <w:spacing w:line="36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账号：</w:t>
            </w:r>
          </w:p>
        </w:tc>
      </w:tr>
      <w:tr w14:paraId="4388D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425" w:type="pct"/>
            <w:noWrap w:val="0"/>
            <w:vAlign w:val="center"/>
          </w:tcPr>
          <w:p w14:paraId="1A517D9E">
            <w:pPr>
              <w:spacing w:line="36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统一社会信用代码：12450000498500618J</w:t>
            </w:r>
          </w:p>
        </w:tc>
        <w:tc>
          <w:tcPr>
            <w:tcW w:w="2574" w:type="pct"/>
            <w:noWrap w:val="0"/>
            <w:vAlign w:val="center"/>
          </w:tcPr>
          <w:p w14:paraId="415E6F80">
            <w:pPr>
              <w:spacing w:line="36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统一社会信用代码：</w:t>
            </w:r>
          </w:p>
        </w:tc>
      </w:tr>
      <w:tr w14:paraId="057CE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425" w:type="pct"/>
            <w:noWrap w:val="0"/>
            <w:vAlign w:val="center"/>
          </w:tcPr>
          <w:p w14:paraId="76EE0FA5">
            <w:pPr>
              <w:snapToGrid w:val="0"/>
              <w:spacing w:line="36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邮政编码：530021</w:t>
            </w:r>
          </w:p>
        </w:tc>
        <w:tc>
          <w:tcPr>
            <w:tcW w:w="2574" w:type="pct"/>
            <w:noWrap w:val="0"/>
            <w:vAlign w:val="center"/>
          </w:tcPr>
          <w:p w14:paraId="1EAE017E">
            <w:pPr>
              <w:spacing w:line="36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邮政编码：</w:t>
            </w:r>
          </w:p>
        </w:tc>
      </w:tr>
    </w:tbl>
    <w:p w14:paraId="76D249E0">
      <w:pPr>
        <w:outlineLvl w:val="9"/>
        <w:rPr>
          <w:rFonts w:hint="eastAsia" w:ascii="仿宋" w:hAnsi="仿宋" w:eastAsia="仿宋" w:cs="仿宋"/>
          <w:color w:val="auto"/>
          <w:sz w:val="24"/>
          <w:szCs w:val="24"/>
          <w:highlight w:val="none"/>
        </w:rPr>
      </w:pPr>
    </w:p>
    <w:p w14:paraId="09241052">
      <w:pPr>
        <w:jc w:val="center"/>
        <w:outlineLvl w:val="9"/>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color w:val="auto"/>
          <w:sz w:val="24"/>
          <w:szCs w:val="24"/>
          <w:highlight w:val="none"/>
        </w:rPr>
        <w:br w:type="page"/>
      </w:r>
      <w:r>
        <w:rPr>
          <w:rFonts w:hint="eastAsia" w:ascii="仿宋" w:hAnsi="仿宋" w:eastAsia="仿宋" w:cs="仿宋"/>
          <w:b/>
          <w:bCs/>
          <w:color w:val="auto"/>
          <w:kern w:val="0"/>
          <w:sz w:val="24"/>
          <w:szCs w:val="24"/>
          <w:highlight w:val="none"/>
          <w:lang w:val="en-US" w:eastAsia="zh-CN" w:bidi="ar"/>
        </w:rPr>
        <w:t>产品</w:t>
      </w:r>
      <w:r>
        <w:rPr>
          <w:rFonts w:hint="eastAsia" w:ascii="仿宋" w:hAnsi="仿宋" w:eastAsia="仿宋" w:cs="仿宋"/>
          <w:b/>
          <w:bCs/>
          <w:color w:val="auto"/>
          <w:kern w:val="0"/>
          <w:sz w:val="24"/>
          <w:szCs w:val="24"/>
          <w:highlight w:val="none"/>
          <w:lang w:bidi="ar"/>
        </w:rPr>
        <w:t>技术参数</w:t>
      </w:r>
      <w:r>
        <w:rPr>
          <w:rFonts w:hint="eastAsia" w:ascii="仿宋" w:hAnsi="仿宋" w:eastAsia="仿宋" w:cs="仿宋"/>
          <w:b/>
          <w:bCs/>
          <w:color w:val="auto"/>
          <w:kern w:val="0"/>
          <w:sz w:val="24"/>
          <w:szCs w:val="24"/>
          <w:highlight w:val="none"/>
          <w:lang w:val="en-US" w:eastAsia="zh-CN" w:bidi="ar"/>
        </w:rPr>
        <w:t>表</w:t>
      </w:r>
    </w:p>
    <w:p w14:paraId="106E2EEF">
      <w:pPr>
        <w:spacing w:before="214" w:line="387" w:lineRule="exact"/>
        <w:ind w:left="624" w:hanging="537" w:hangingChars="223"/>
        <w:outlineLvl w:val="9"/>
        <w:rPr>
          <w:rFonts w:hint="eastAsia" w:ascii="仿宋" w:hAnsi="仿宋" w:eastAsia="仿宋" w:cs="仿宋"/>
          <w:b/>
          <w:bCs/>
          <w:color w:val="auto"/>
          <w:kern w:val="0"/>
          <w:sz w:val="24"/>
          <w:szCs w:val="24"/>
          <w:highlight w:val="none"/>
          <w:lang w:bidi="ar"/>
        </w:rPr>
      </w:pPr>
    </w:p>
    <w:p w14:paraId="59FE243C">
      <w:pPr>
        <w:pStyle w:val="16"/>
        <w:outlineLvl w:val="9"/>
        <w:rPr>
          <w:rFonts w:hint="eastAsia" w:ascii="仿宋" w:hAnsi="仿宋" w:eastAsia="仿宋" w:cs="仿宋"/>
          <w:b/>
          <w:bCs/>
          <w:color w:val="auto"/>
          <w:kern w:val="0"/>
          <w:sz w:val="24"/>
          <w:szCs w:val="24"/>
          <w:highlight w:val="none"/>
          <w:lang w:bidi="ar"/>
        </w:rPr>
      </w:pPr>
    </w:p>
    <w:p w14:paraId="06492D96">
      <w:pPr>
        <w:pStyle w:val="16"/>
        <w:outlineLvl w:val="9"/>
        <w:rPr>
          <w:rFonts w:hint="eastAsia" w:ascii="仿宋" w:hAnsi="仿宋" w:eastAsia="仿宋" w:cs="仿宋"/>
          <w:b/>
          <w:bCs/>
          <w:color w:val="auto"/>
          <w:kern w:val="0"/>
          <w:sz w:val="24"/>
          <w:szCs w:val="24"/>
          <w:highlight w:val="none"/>
          <w:lang w:bidi="ar"/>
        </w:rPr>
      </w:pPr>
    </w:p>
    <w:p w14:paraId="3D2A9021">
      <w:pPr>
        <w:pStyle w:val="16"/>
        <w:outlineLvl w:val="9"/>
        <w:rPr>
          <w:rFonts w:hint="eastAsia" w:ascii="仿宋" w:hAnsi="仿宋" w:eastAsia="仿宋" w:cs="仿宋"/>
          <w:b/>
          <w:bCs/>
          <w:color w:val="auto"/>
          <w:kern w:val="0"/>
          <w:sz w:val="24"/>
          <w:szCs w:val="24"/>
          <w:highlight w:val="none"/>
          <w:lang w:bidi="ar"/>
        </w:rPr>
      </w:pPr>
    </w:p>
    <w:p w14:paraId="45D95C7B">
      <w:pPr>
        <w:pStyle w:val="16"/>
        <w:outlineLvl w:val="9"/>
        <w:rPr>
          <w:rFonts w:hint="eastAsia" w:ascii="仿宋" w:hAnsi="仿宋" w:eastAsia="仿宋" w:cs="仿宋"/>
          <w:b/>
          <w:bCs/>
          <w:color w:val="auto"/>
          <w:kern w:val="0"/>
          <w:sz w:val="24"/>
          <w:szCs w:val="24"/>
          <w:highlight w:val="none"/>
          <w:lang w:bidi="ar"/>
        </w:rPr>
      </w:pPr>
    </w:p>
    <w:p w14:paraId="2305AB4C">
      <w:pPr>
        <w:spacing w:before="214" w:line="387" w:lineRule="exact"/>
        <w:ind w:left="3266" w:firstLine="241" w:firstLineChars="100"/>
        <w:jc w:val="left"/>
        <w:outlineLvl w:val="9"/>
        <w:rPr>
          <w:rFonts w:hint="eastAsia" w:ascii="仿宋" w:hAnsi="仿宋" w:eastAsia="仿宋" w:cs="仿宋"/>
          <w:b/>
          <w:bCs/>
          <w:color w:val="auto"/>
          <w:kern w:val="0"/>
          <w:sz w:val="24"/>
          <w:szCs w:val="24"/>
          <w:highlight w:val="none"/>
          <w:lang w:bidi="ar"/>
        </w:rPr>
      </w:pPr>
    </w:p>
    <w:p w14:paraId="38A36980">
      <w:pPr>
        <w:pStyle w:val="16"/>
        <w:outlineLvl w:val="9"/>
        <w:rPr>
          <w:rFonts w:hint="eastAsia" w:ascii="仿宋" w:hAnsi="仿宋" w:eastAsia="仿宋" w:cs="仿宋"/>
          <w:b/>
          <w:bCs/>
          <w:color w:val="auto"/>
          <w:kern w:val="0"/>
          <w:sz w:val="24"/>
          <w:szCs w:val="24"/>
          <w:highlight w:val="none"/>
          <w:lang w:bidi="ar"/>
        </w:rPr>
      </w:pPr>
    </w:p>
    <w:p w14:paraId="3A772272">
      <w:pPr>
        <w:pStyle w:val="16"/>
        <w:outlineLvl w:val="9"/>
        <w:rPr>
          <w:rFonts w:hint="eastAsia" w:ascii="仿宋" w:hAnsi="仿宋" w:eastAsia="仿宋" w:cs="仿宋"/>
          <w:b/>
          <w:bCs/>
          <w:color w:val="auto"/>
          <w:kern w:val="0"/>
          <w:sz w:val="24"/>
          <w:szCs w:val="24"/>
          <w:highlight w:val="none"/>
          <w:lang w:bidi="ar"/>
        </w:rPr>
      </w:pPr>
    </w:p>
    <w:p w14:paraId="195AF4D5">
      <w:pPr>
        <w:pStyle w:val="16"/>
        <w:outlineLvl w:val="9"/>
        <w:rPr>
          <w:rFonts w:hint="eastAsia" w:ascii="仿宋" w:hAnsi="仿宋" w:eastAsia="仿宋" w:cs="仿宋"/>
          <w:b/>
          <w:bCs/>
          <w:color w:val="auto"/>
          <w:kern w:val="0"/>
          <w:sz w:val="24"/>
          <w:szCs w:val="24"/>
          <w:highlight w:val="none"/>
          <w:lang w:bidi="ar"/>
        </w:rPr>
      </w:pPr>
    </w:p>
    <w:p w14:paraId="5BF55889">
      <w:pPr>
        <w:pStyle w:val="16"/>
        <w:outlineLvl w:val="9"/>
        <w:rPr>
          <w:rFonts w:hint="eastAsia" w:ascii="仿宋" w:hAnsi="仿宋" w:eastAsia="仿宋" w:cs="仿宋"/>
          <w:b/>
          <w:bCs/>
          <w:color w:val="auto"/>
          <w:kern w:val="0"/>
          <w:sz w:val="24"/>
          <w:szCs w:val="24"/>
          <w:highlight w:val="none"/>
          <w:lang w:bidi="ar"/>
        </w:rPr>
      </w:pPr>
    </w:p>
    <w:p w14:paraId="1D4F4F79">
      <w:pPr>
        <w:jc w:val="center"/>
        <w:outlineLvl w:val="9"/>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设备配置（或装箱）清单</w:t>
      </w:r>
    </w:p>
    <w:p w14:paraId="1C98A286">
      <w:pPr>
        <w:pStyle w:val="127"/>
        <w:jc w:val="both"/>
        <w:outlineLvl w:val="9"/>
        <w:rPr>
          <w:rFonts w:hint="eastAsia" w:ascii="仿宋" w:hAnsi="仿宋" w:eastAsia="仿宋" w:cs="仿宋"/>
          <w:color w:val="auto"/>
          <w:sz w:val="24"/>
          <w:szCs w:val="24"/>
          <w:highlight w:val="none"/>
          <w:lang w:bidi="ar"/>
        </w:rPr>
      </w:pPr>
    </w:p>
    <w:p w14:paraId="23FBE49C">
      <w:pPr>
        <w:pStyle w:val="127"/>
        <w:jc w:val="both"/>
        <w:outlineLvl w:val="9"/>
        <w:rPr>
          <w:rFonts w:hint="eastAsia" w:ascii="仿宋" w:hAnsi="仿宋" w:eastAsia="仿宋" w:cs="仿宋"/>
          <w:color w:val="auto"/>
          <w:sz w:val="24"/>
          <w:szCs w:val="24"/>
          <w:highlight w:val="none"/>
          <w:lang w:bidi="ar"/>
        </w:rPr>
      </w:pPr>
    </w:p>
    <w:p w14:paraId="2C68BF1F">
      <w:pPr>
        <w:pStyle w:val="127"/>
        <w:tabs>
          <w:tab w:val="left" w:pos="3348"/>
        </w:tabs>
        <w:jc w:val="both"/>
        <w:outlineLvl w:val="9"/>
        <w:rPr>
          <w:rFonts w:hint="eastAsia" w:ascii="仿宋" w:hAnsi="仿宋" w:eastAsia="仿宋" w:cs="仿宋"/>
          <w:color w:val="auto"/>
          <w:sz w:val="24"/>
          <w:szCs w:val="24"/>
          <w:highlight w:val="none"/>
          <w:lang w:eastAsia="zh-CN" w:bidi="ar"/>
        </w:rPr>
      </w:pPr>
      <w:r>
        <w:rPr>
          <w:rFonts w:hint="eastAsia" w:ascii="仿宋" w:hAnsi="仿宋" w:eastAsia="仿宋" w:cs="仿宋"/>
          <w:color w:val="auto"/>
          <w:sz w:val="24"/>
          <w:szCs w:val="24"/>
          <w:highlight w:val="none"/>
          <w:lang w:eastAsia="zh-CN" w:bidi="ar"/>
        </w:rPr>
        <w:tab/>
      </w:r>
    </w:p>
    <w:p w14:paraId="6F735D0B">
      <w:pPr>
        <w:widowControl/>
        <w:textAlignment w:val="center"/>
        <w:outlineLvl w:val="9"/>
        <w:rPr>
          <w:rFonts w:hint="eastAsia" w:ascii="仿宋" w:hAnsi="仿宋" w:eastAsia="仿宋" w:cs="仿宋"/>
          <w:color w:val="auto"/>
          <w:kern w:val="0"/>
          <w:sz w:val="24"/>
          <w:szCs w:val="24"/>
          <w:highlight w:val="none"/>
        </w:rPr>
      </w:pPr>
    </w:p>
    <w:p w14:paraId="239C627F">
      <w:pPr>
        <w:pStyle w:val="16"/>
        <w:outlineLvl w:val="9"/>
        <w:rPr>
          <w:rFonts w:hint="eastAsia" w:ascii="仿宋" w:hAnsi="仿宋" w:eastAsia="仿宋" w:cs="仿宋"/>
          <w:color w:val="auto"/>
          <w:kern w:val="0"/>
          <w:sz w:val="24"/>
          <w:szCs w:val="24"/>
          <w:highlight w:val="none"/>
        </w:rPr>
      </w:pPr>
    </w:p>
    <w:p w14:paraId="3D7827EE">
      <w:pPr>
        <w:pStyle w:val="16"/>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br w:type="page"/>
      </w:r>
    </w:p>
    <w:p w14:paraId="164C14FF">
      <w:pPr>
        <w:jc w:val="center"/>
        <w:outlineLvl w:val="9"/>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厂家售后服务承诺</w:t>
      </w:r>
    </w:p>
    <w:p w14:paraId="272EE1A6">
      <w:pPr>
        <w:jc w:val="center"/>
        <w:outlineLvl w:val="9"/>
        <w:rPr>
          <w:rFonts w:hint="eastAsia" w:ascii="仿宋" w:hAnsi="仿宋" w:eastAsia="仿宋" w:cs="仿宋"/>
          <w:b/>
          <w:bCs/>
          <w:color w:val="auto"/>
          <w:kern w:val="0"/>
          <w:sz w:val="24"/>
          <w:szCs w:val="24"/>
          <w:highlight w:val="none"/>
          <w:lang w:val="en-US" w:eastAsia="zh-CN" w:bidi="ar"/>
        </w:rPr>
      </w:pPr>
    </w:p>
    <w:p w14:paraId="588958AE">
      <w:pPr>
        <w:jc w:val="center"/>
        <w:outlineLvl w:val="9"/>
        <w:rPr>
          <w:rFonts w:hint="eastAsia" w:ascii="仿宋" w:hAnsi="仿宋" w:eastAsia="仿宋" w:cs="仿宋"/>
          <w:b/>
          <w:bCs/>
          <w:color w:val="auto"/>
          <w:kern w:val="0"/>
          <w:sz w:val="24"/>
          <w:szCs w:val="24"/>
          <w:highlight w:val="none"/>
          <w:lang w:val="en-US" w:eastAsia="zh-CN" w:bidi="ar"/>
        </w:rPr>
      </w:pPr>
    </w:p>
    <w:p w14:paraId="70B52385">
      <w:pPr>
        <w:jc w:val="center"/>
        <w:outlineLvl w:val="9"/>
        <w:rPr>
          <w:rFonts w:hint="eastAsia" w:ascii="仿宋" w:hAnsi="仿宋" w:eastAsia="仿宋" w:cs="仿宋"/>
          <w:b/>
          <w:bCs/>
          <w:color w:val="auto"/>
          <w:kern w:val="0"/>
          <w:sz w:val="24"/>
          <w:szCs w:val="24"/>
          <w:highlight w:val="none"/>
          <w:lang w:val="en-US" w:eastAsia="zh-CN" w:bidi="ar"/>
        </w:rPr>
      </w:pPr>
    </w:p>
    <w:p w14:paraId="7527E232">
      <w:pPr>
        <w:pStyle w:val="16"/>
        <w:outlineLvl w:val="9"/>
        <w:rPr>
          <w:rFonts w:hint="eastAsia" w:ascii="仿宋" w:hAnsi="仿宋" w:eastAsia="仿宋" w:cs="仿宋"/>
          <w:b/>
          <w:bCs/>
          <w:color w:val="auto"/>
          <w:kern w:val="0"/>
          <w:sz w:val="24"/>
          <w:szCs w:val="24"/>
          <w:highlight w:val="none"/>
          <w:lang w:val="en-US" w:eastAsia="zh-CN" w:bidi="ar"/>
        </w:rPr>
      </w:pPr>
    </w:p>
    <w:p w14:paraId="591FE6A8">
      <w:pPr>
        <w:pStyle w:val="16"/>
        <w:outlineLvl w:val="9"/>
        <w:rPr>
          <w:rFonts w:hint="eastAsia" w:ascii="仿宋" w:hAnsi="仿宋" w:eastAsia="仿宋" w:cs="仿宋"/>
          <w:b/>
          <w:bCs/>
          <w:color w:val="auto"/>
          <w:kern w:val="0"/>
          <w:sz w:val="24"/>
          <w:szCs w:val="24"/>
          <w:highlight w:val="none"/>
          <w:lang w:val="en-US" w:eastAsia="zh-CN" w:bidi="ar"/>
        </w:rPr>
      </w:pPr>
    </w:p>
    <w:p w14:paraId="772EB6CC">
      <w:pPr>
        <w:pStyle w:val="16"/>
        <w:outlineLvl w:val="9"/>
        <w:rPr>
          <w:rFonts w:hint="eastAsia" w:ascii="仿宋" w:hAnsi="仿宋" w:eastAsia="仿宋" w:cs="仿宋"/>
          <w:b/>
          <w:bCs/>
          <w:color w:val="auto"/>
          <w:kern w:val="0"/>
          <w:sz w:val="24"/>
          <w:szCs w:val="24"/>
          <w:highlight w:val="none"/>
          <w:lang w:val="en-US" w:eastAsia="zh-CN" w:bidi="ar"/>
        </w:rPr>
      </w:pPr>
    </w:p>
    <w:p w14:paraId="63903EC8">
      <w:pPr>
        <w:pStyle w:val="16"/>
        <w:outlineLvl w:val="9"/>
        <w:rPr>
          <w:rFonts w:hint="eastAsia" w:ascii="仿宋" w:hAnsi="仿宋" w:eastAsia="仿宋" w:cs="仿宋"/>
          <w:b/>
          <w:bCs/>
          <w:color w:val="auto"/>
          <w:kern w:val="0"/>
          <w:sz w:val="24"/>
          <w:szCs w:val="24"/>
          <w:highlight w:val="none"/>
          <w:lang w:val="en-US" w:eastAsia="zh-CN" w:bidi="ar"/>
        </w:rPr>
      </w:pPr>
    </w:p>
    <w:p w14:paraId="33FC97A6">
      <w:pPr>
        <w:pStyle w:val="16"/>
        <w:outlineLvl w:val="9"/>
        <w:rPr>
          <w:rFonts w:hint="eastAsia" w:ascii="仿宋" w:hAnsi="仿宋" w:eastAsia="仿宋" w:cs="仿宋"/>
          <w:b/>
          <w:bCs/>
          <w:color w:val="auto"/>
          <w:kern w:val="0"/>
          <w:sz w:val="24"/>
          <w:szCs w:val="24"/>
          <w:highlight w:val="none"/>
          <w:lang w:val="en-US" w:eastAsia="zh-CN" w:bidi="ar"/>
        </w:rPr>
      </w:pPr>
    </w:p>
    <w:p w14:paraId="3F83B402">
      <w:pPr>
        <w:pStyle w:val="16"/>
        <w:outlineLvl w:val="9"/>
        <w:rPr>
          <w:rFonts w:hint="eastAsia" w:ascii="仿宋" w:hAnsi="仿宋" w:eastAsia="仿宋" w:cs="仿宋"/>
          <w:b/>
          <w:bCs/>
          <w:color w:val="auto"/>
          <w:kern w:val="0"/>
          <w:sz w:val="24"/>
          <w:szCs w:val="24"/>
          <w:highlight w:val="none"/>
          <w:lang w:val="en-US" w:eastAsia="zh-CN" w:bidi="ar"/>
        </w:rPr>
      </w:pPr>
    </w:p>
    <w:p w14:paraId="22516AEB">
      <w:pPr>
        <w:pStyle w:val="16"/>
        <w:outlineLvl w:val="9"/>
        <w:rPr>
          <w:rFonts w:hint="eastAsia" w:ascii="仿宋" w:hAnsi="仿宋" w:eastAsia="仿宋" w:cs="仿宋"/>
          <w:b/>
          <w:bCs/>
          <w:color w:val="auto"/>
          <w:kern w:val="0"/>
          <w:sz w:val="24"/>
          <w:szCs w:val="24"/>
          <w:highlight w:val="none"/>
          <w:lang w:val="en-US" w:eastAsia="zh-CN" w:bidi="ar"/>
        </w:rPr>
      </w:pPr>
    </w:p>
    <w:p w14:paraId="39011F21">
      <w:pPr>
        <w:pStyle w:val="16"/>
        <w:outlineLvl w:val="9"/>
        <w:rPr>
          <w:rFonts w:hint="eastAsia" w:ascii="仿宋" w:hAnsi="仿宋" w:eastAsia="仿宋" w:cs="仿宋"/>
          <w:b/>
          <w:bCs/>
          <w:color w:val="auto"/>
          <w:kern w:val="0"/>
          <w:sz w:val="24"/>
          <w:szCs w:val="24"/>
          <w:highlight w:val="none"/>
          <w:lang w:val="en-US" w:eastAsia="zh-CN" w:bidi="ar"/>
        </w:rPr>
      </w:pPr>
    </w:p>
    <w:p w14:paraId="2F02CBE9">
      <w:pPr>
        <w:jc w:val="center"/>
        <w:outlineLvl w:val="9"/>
        <w:rPr>
          <w:rFonts w:hint="eastAsia" w:ascii="仿宋" w:hAnsi="仿宋" w:eastAsia="仿宋" w:cs="仿宋"/>
          <w:b/>
          <w:bCs/>
          <w:color w:val="auto"/>
          <w:kern w:val="0"/>
          <w:sz w:val="24"/>
          <w:szCs w:val="24"/>
          <w:highlight w:val="none"/>
          <w:lang w:val="en-US" w:eastAsia="zh-CN" w:bidi="ar"/>
        </w:rPr>
      </w:pPr>
    </w:p>
    <w:p w14:paraId="44B79768">
      <w:pPr>
        <w:jc w:val="center"/>
        <w:outlineLvl w:val="9"/>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供应商售后服务承诺(必填)</w:t>
      </w:r>
    </w:p>
    <w:p w14:paraId="34B46B6C">
      <w:pPr>
        <w:jc w:val="center"/>
        <w:outlineLvl w:val="9"/>
        <w:rPr>
          <w:rFonts w:hint="eastAsia" w:ascii="仿宋" w:hAnsi="仿宋" w:eastAsia="仿宋" w:cs="仿宋"/>
          <w:b/>
          <w:bCs/>
          <w:color w:val="auto"/>
          <w:kern w:val="0"/>
          <w:sz w:val="24"/>
          <w:szCs w:val="24"/>
          <w:highlight w:val="none"/>
          <w:lang w:val="en-US" w:eastAsia="zh-CN" w:bidi="ar"/>
        </w:rPr>
      </w:pPr>
    </w:p>
    <w:p w14:paraId="604FCAC4">
      <w:pPr>
        <w:jc w:val="center"/>
        <w:outlineLvl w:val="9"/>
        <w:rPr>
          <w:rFonts w:hint="eastAsia" w:ascii="仿宋" w:hAnsi="仿宋" w:eastAsia="仿宋" w:cs="仿宋"/>
          <w:b/>
          <w:bCs/>
          <w:color w:val="auto"/>
          <w:kern w:val="0"/>
          <w:sz w:val="24"/>
          <w:szCs w:val="24"/>
          <w:highlight w:val="none"/>
          <w:lang w:val="en-US" w:eastAsia="zh-CN" w:bidi="ar"/>
        </w:rPr>
      </w:pPr>
    </w:p>
    <w:p w14:paraId="059204CD">
      <w:pPr>
        <w:jc w:val="center"/>
        <w:outlineLvl w:val="9"/>
        <w:rPr>
          <w:rFonts w:hint="eastAsia" w:ascii="仿宋" w:hAnsi="仿宋" w:eastAsia="仿宋" w:cs="仿宋"/>
          <w:b/>
          <w:bCs/>
          <w:color w:val="auto"/>
          <w:kern w:val="0"/>
          <w:sz w:val="24"/>
          <w:szCs w:val="24"/>
          <w:highlight w:val="none"/>
          <w:lang w:val="en-US" w:eastAsia="zh-CN" w:bidi="ar"/>
        </w:rPr>
      </w:pPr>
    </w:p>
    <w:p w14:paraId="72867C2F">
      <w:pPr>
        <w:jc w:val="center"/>
        <w:outlineLvl w:val="9"/>
        <w:rPr>
          <w:rFonts w:hint="eastAsia" w:ascii="仿宋" w:hAnsi="仿宋" w:eastAsia="仿宋" w:cs="仿宋"/>
          <w:b/>
          <w:bCs/>
          <w:color w:val="auto"/>
          <w:kern w:val="0"/>
          <w:sz w:val="24"/>
          <w:szCs w:val="24"/>
          <w:highlight w:val="none"/>
          <w:lang w:val="en-US" w:eastAsia="zh-CN" w:bidi="ar"/>
        </w:rPr>
      </w:pPr>
    </w:p>
    <w:p w14:paraId="56593269">
      <w:pPr>
        <w:spacing w:before="214" w:line="387" w:lineRule="exact"/>
        <w:outlineLvl w:val="9"/>
        <w:rPr>
          <w:rFonts w:hint="eastAsia" w:ascii="仿宋" w:hAnsi="仿宋" w:eastAsia="仿宋" w:cs="仿宋"/>
          <w:color w:val="auto"/>
          <w:spacing w:val="17"/>
          <w:position w:val="1"/>
          <w:sz w:val="24"/>
          <w:szCs w:val="24"/>
          <w:highlight w:val="none"/>
        </w:rPr>
      </w:pPr>
    </w:p>
    <w:p w14:paraId="71111BC0">
      <w:pPr>
        <w:pStyle w:val="127"/>
        <w:outlineLvl w:val="9"/>
        <w:rPr>
          <w:rFonts w:hint="eastAsia" w:ascii="仿宋" w:hAnsi="仿宋" w:eastAsia="仿宋" w:cs="仿宋"/>
          <w:b w:val="0"/>
          <w:bCs w:val="0"/>
          <w:color w:val="auto"/>
          <w:kern w:val="0"/>
          <w:sz w:val="24"/>
          <w:szCs w:val="24"/>
          <w:highlight w:val="none"/>
          <w:lang w:bidi="ar"/>
        </w:rPr>
      </w:pPr>
      <w:r>
        <w:rPr>
          <w:rFonts w:hint="eastAsia" w:ascii="仿宋" w:hAnsi="仿宋" w:eastAsia="仿宋" w:cs="仿宋"/>
          <w:color w:val="auto"/>
          <w:spacing w:val="17"/>
          <w:position w:val="1"/>
          <w:sz w:val="24"/>
          <w:szCs w:val="24"/>
          <w:highlight w:val="none"/>
        </w:rPr>
        <w:br w:type="page"/>
      </w:r>
      <w:r>
        <w:rPr>
          <w:rFonts w:hint="eastAsia" w:ascii="仿宋" w:hAnsi="仿宋" w:eastAsia="仿宋" w:cs="仿宋"/>
          <w:b/>
          <w:bCs/>
          <w:color w:val="auto"/>
          <w:kern w:val="0"/>
          <w:sz w:val="24"/>
          <w:szCs w:val="24"/>
          <w:highlight w:val="none"/>
          <w:lang w:val="en-US" w:eastAsia="zh-CN" w:bidi="ar"/>
        </w:rPr>
        <w:t>产品注册证/备案证/如非医疗产品的标签（需体现厂家，型号等）</w:t>
      </w:r>
    </w:p>
    <w:p w14:paraId="063BB875">
      <w:pPr>
        <w:outlineLvl w:val="9"/>
        <w:rPr>
          <w:rFonts w:hint="eastAsia" w:ascii="仿宋" w:hAnsi="仿宋" w:eastAsia="仿宋" w:cs="仿宋"/>
          <w:color w:val="auto"/>
          <w:sz w:val="24"/>
          <w:szCs w:val="24"/>
          <w:highlight w:val="none"/>
        </w:rPr>
      </w:pPr>
    </w:p>
    <w:p w14:paraId="5E2C467A">
      <w:pPr>
        <w:pStyle w:val="127"/>
        <w:outlineLvl w:val="9"/>
        <w:rPr>
          <w:rFonts w:hint="eastAsia" w:ascii="仿宋" w:hAnsi="仿宋" w:eastAsia="仿宋" w:cs="仿宋"/>
          <w:color w:val="auto"/>
          <w:kern w:val="0"/>
          <w:sz w:val="24"/>
          <w:szCs w:val="24"/>
          <w:highlight w:val="none"/>
          <w:lang w:bidi="ar"/>
        </w:rPr>
      </w:pPr>
    </w:p>
    <w:p w14:paraId="56655187">
      <w:pPr>
        <w:outlineLvl w:val="9"/>
        <w:rPr>
          <w:rFonts w:hint="eastAsia" w:ascii="仿宋" w:hAnsi="仿宋" w:eastAsia="仿宋" w:cs="仿宋"/>
          <w:b/>
          <w:bCs/>
          <w:color w:val="auto"/>
          <w:sz w:val="24"/>
          <w:szCs w:val="24"/>
          <w:highlight w:val="none"/>
        </w:rPr>
      </w:pPr>
    </w:p>
    <w:p w14:paraId="39B6E03F">
      <w:pPr>
        <w:outlineLvl w:val="9"/>
        <w:rPr>
          <w:rFonts w:hint="eastAsia" w:ascii="仿宋" w:hAnsi="仿宋" w:eastAsia="仿宋" w:cs="仿宋"/>
          <w:color w:val="auto"/>
          <w:sz w:val="24"/>
          <w:szCs w:val="24"/>
          <w:highlight w:val="none"/>
        </w:rPr>
      </w:pPr>
    </w:p>
    <w:p w14:paraId="78196E24">
      <w:pPr>
        <w:outlineLvl w:val="9"/>
        <w:rPr>
          <w:rFonts w:hint="eastAsia" w:ascii="仿宋" w:hAnsi="仿宋" w:eastAsia="仿宋" w:cs="仿宋"/>
          <w:color w:val="auto"/>
          <w:sz w:val="24"/>
          <w:szCs w:val="24"/>
          <w:highlight w:val="none"/>
        </w:rPr>
      </w:pPr>
    </w:p>
    <w:p w14:paraId="42CF0854">
      <w:pPr>
        <w:outlineLvl w:val="9"/>
        <w:rPr>
          <w:rFonts w:hint="eastAsia" w:ascii="仿宋" w:hAnsi="仿宋" w:eastAsia="仿宋" w:cs="仿宋"/>
          <w:color w:val="auto"/>
          <w:sz w:val="24"/>
          <w:szCs w:val="24"/>
          <w:highlight w:val="none"/>
        </w:rPr>
      </w:pPr>
    </w:p>
    <w:p w14:paraId="4F221AFC">
      <w:pPr>
        <w:outlineLvl w:val="9"/>
        <w:rPr>
          <w:rFonts w:hint="eastAsia" w:ascii="仿宋" w:hAnsi="仿宋" w:eastAsia="仿宋" w:cs="仿宋"/>
          <w:color w:val="auto"/>
          <w:sz w:val="24"/>
          <w:szCs w:val="24"/>
          <w:highlight w:val="none"/>
        </w:rPr>
      </w:pPr>
    </w:p>
    <w:p w14:paraId="78AC2D18">
      <w:pPr>
        <w:outlineLvl w:val="9"/>
        <w:rPr>
          <w:rFonts w:hint="eastAsia" w:ascii="仿宋" w:hAnsi="仿宋" w:eastAsia="仿宋" w:cs="仿宋"/>
          <w:color w:val="auto"/>
          <w:sz w:val="24"/>
          <w:szCs w:val="24"/>
          <w:highlight w:val="none"/>
        </w:rPr>
      </w:pPr>
    </w:p>
    <w:p w14:paraId="3F33003D">
      <w:pPr>
        <w:outlineLvl w:val="9"/>
        <w:rPr>
          <w:rFonts w:hint="eastAsia" w:ascii="仿宋" w:hAnsi="仿宋" w:eastAsia="仿宋" w:cs="仿宋"/>
          <w:color w:val="auto"/>
          <w:sz w:val="24"/>
          <w:szCs w:val="24"/>
          <w:highlight w:val="none"/>
        </w:rPr>
      </w:pPr>
    </w:p>
    <w:p w14:paraId="60B27655">
      <w:pPr>
        <w:outlineLvl w:val="9"/>
        <w:rPr>
          <w:rFonts w:hint="eastAsia" w:ascii="仿宋" w:hAnsi="仿宋" w:eastAsia="仿宋" w:cs="仿宋"/>
          <w:color w:val="auto"/>
          <w:sz w:val="24"/>
          <w:szCs w:val="24"/>
          <w:highlight w:val="none"/>
        </w:rPr>
      </w:pPr>
    </w:p>
    <w:p w14:paraId="67E712E2">
      <w:pPr>
        <w:outlineLvl w:val="9"/>
        <w:rPr>
          <w:rFonts w:hint="eastAsia" w:ascii="仿宋" w:hAnsi="仿宋" w:eastAsia="仿宋" w:cs="仿宋"/>
          <w:color w:val="auto"/>
          <w:sz w:val="24"/>
          <w:szCs w:val="24"/>
          <w:highlight w:val="none"/>
        </w:rPr>
      </w:pPr>
    </w:p>
    <w:p w14:paraId="7CF5B19C">
      <w:pPr>
        <w:outlineLvl w:val="9"/>
        <w:rPr>
          <w:rFonts w:hint="eastAsia" w:ascii="仿宋" w:hAnsi="仿宋" w:eastAsia="仿宋" w:cs="仿宋"/>
          <w:color w:val="auto"/>
          <w:sz w:val="24"/>
          <w:szCs w:val="24"/>
          <w:highlight w:val="none"/>
        </w:rPr>
      </w:pPr>
    </w:p>
    <w:p w14:paraId="4C3E6158">
      <w:pPr>
        <w:outlineLvl w:val="9"/>
        <w:rPr>
          <w:rFonts w:hint="eastAsia" w:ascii="仿宋" w:hAnsi="仿宋" w:eastAsia="仿宋" w:cs="仿宋"/>
          <w:color w:val="auto"/>
          <w:sz w:val="24"/>
          <w:szCs w:val="24"/>
          <w:highlight w:val="none"/>
        </w:rPr>
      </w:pPr>
    </w:p>
    <w:p w14:paraId="12F7C38D">
      <w:pPr>
        <w:pStyle w:val="16"/>
        <w:outlineLvl w:val="9"/>
        <w:rPr>
          <w:rFonts w:hint="eastAsia" w:ascii="仿宋" w:hAnsi="仿宋" w:eastAsia="仿宋" w:cs="仿宋"/>
          <w:color w:val="auto"/>
          <w:sz w:val="24"/>
          <w:szCs w:val="24"/>
          <w:highlight w:val="none"/>
        </w:rPr>
      </w:pPr>
    </w:p>
    <w:p w14:paraId="2346E0DC">
      <w:pPr>
        <w:pStyle w:val="127"/>
        <w:outlineLvl w:val="9"/>
        <w:rPr>
          <w:rFonts w:hint="eastAsia" w:ascii="仿宋" w:hAnsi="仿宋" w:eastAsia="仿宋" w:cs="仿宋"/>
          <w:color w:val="auto"/>
          <w:kern w:val="0"/>
          <w:sz w:val="24"/>
          <w:szCs w:val="24"/>
          <w:highlight w:val="none"/>
          <w:lang w:bidi="ar"/>
        </w:rPr>
      </w:pPr>
      <w:r>
        <w:rPr>
          <w:rFonts w:hint="eastAsia" w:ascii="仿宋" w:hAnsi="仿宋" w:eastAsia="仿宋" w:cs="仿宋"/>
          <w:color w:val="auto"/>
          <w:sz w:val="24"/>
          <w:szCs w:val="24"/>
          <w:highlight w:val="none"/>
        </w:rPr>
        <w:br w:type="page"/>
      </w:r>
      <w:bookmarkStart w:id="160" w:name="_Toc29998"/>
      <w:bookmarkStart w:id="161" w:name="_Toc67303667"/>
      <w:bookmarkStart w:id="162" w:name="_Toc10309"/>
      <w:bookmarkStart w:id="163" w:name="_Toc55223015"/>
      <w:bookmarkStart w:id="164" w:name="_Toc59807980"/>
      <w:bookmarkStart w:id="165" w:name="_Toc106369833"/>
      <w:bookmarkStart w:id="166" w:name="_Toc104379508"/>
      <w:r>
        <w:rPr>
          <w:rFonts w:hint="eastAsia" w:ascii="仿宋" w:hAnsi="仿宋" w:eastAsia="仿宋" w:cs="仿宋"/>
          <w:b/>
          <w:bCs/>
          <w:color w:val="auto"/>
          <w:kern w:val="0"/>
          <w:sz w:val="24"/>
          <w:szCs w:val="24"/>
          <w:highlight w:val="none"/>
          <w:lang w:val="en-US" w:eastAsia="zh-CN" w:bidi="ar"/>
        </w:rPr>
        <w:t>附：</w:t>
      </w:r>
      <w:bookmarkEnd w:id="160"/>
      <w:bookmarkEnd w:id="161"/>
      <w:bookmarkEnd w:id="162"/>
      <w:bookmarkEnd w:id="163"/>
      <w:bookmarkEnd w:id="164"/>
      <w:bookmarkEnd w:id="165"/>
      <w:bookmarkEnd w:id="166"/>
      <w:r>
        <w:rPr>
          <w:rFonts w:hint="eastAsia" w:ascii="仿宋" w:hAnsi="仿宋" w:eastAsia="仿宋" w:cs="仿宋"/>
          <w:b/>
          <w:bCs/>
          <w:color w:val="auto"/>
          <w:kern w:val="0"/>
          <w:sz w:val="24"/>
          <w:szCs w:val="24"/>
          <w:highlight w:val="none"/>
          <w:lang w:val="en-US" w:eastAsia="zh-CN" w:bidi="ar"/>
        </w:rPr>
        <w:t>全国个体私营经济发展服务网（小微企业名录）网页查询截图</w:t>
      </w:r>
    </w:p>
    <w:p w14:paraId="291A207B">
      <w:pPr>
        <w:pStyle w:val="127"/>
        <w:outlineLvl w:val="9"/>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w:t>
      </w:r>
      <w:r>
        <w:rPr>
          <w:rFonts w:hint="eastAsia" w:ascii="仿宋" w:hAnsi="仿宋" w:eastAsia="仿宋" w:cs="仿宋"/>
          <w:color w:val="auto"/>
          <w:kern w:val="0"/>
          <w:sz w:val="24"/>
          <w:szCs w:val="24"/>
          <w:highlight w:val="none"/>
          <w:lang w:val="en-US" w:eastAsia="zh-CN" w:bidi="ar"/>
        </w:rPr>
        <w:t>查询</w:t>
      </w:r>
      <w:r>
        <w:rPr>
          <w:rFonts w:hint="eastAsia" w:ascii="仿宋" w:hAnsi="仿宋" w:eastAsia="仿宋" w:cs="仿宋"/>
          <w:color w:val="auto"/>
          <w:kern w:val="0"/>
          <w:sz w:val="24"/>
          <w:szCs w:val="24"/>
          <w:highlight w:val="none"/>
          <w:lang w:bidi="ar"/>
        </w:rPr>
        <w:t>网址：</w:t>
      </w:r>
      <w:r>
        <w:rPr>
          <w:rFonts w:hint="eastAsia" w:ascii="仿宋" w:hAnsi="仿宋" w:eastAsia="仿宋" w:cs="仿宋"/>
          <w:color w:val="auto"/>
          <w:kern w:val="0"/>
          <w:sz w:val="24"/>
          <w:szCs w:val="24"/>
          <w:highlight w:val="none"/>
          <w:lang w:bidi="ar"/>
        </w:rPr>
        <w:fldChar w:fldCharType="begin"/>
      </w:r>
      <w:r>
        <w:rPr>
          <w:rFonts w:hint="eastAsia" w:ascii="仿宋" w:hAnsi="仿宋" w:eastAsia="仿宋" w:cs="仿宋"/>
          <w:color w:val="auto"/>
          <w:sz w:val="24"/>
          <w:szCs w:val="24"/>
          <w:highlight w:val="none"/>
        </w:rPr>
        <w:instrText xml:space="preserve"> HYPERLINK "https://xwqy.gsxt.gov.cn/" </w:instrText>
      </w:r>
      <w:r>
        <w:rPr>
          <w:rFonts w:hint="eastAsia" w:ascii="仿宋" w:hAnsi="仿宋" w:eastAsia="仿宋" w:cs="仿宋"/>
          <w:color w:val="auto"/>
          <w:kern w:val="0"/>
          <w:sz w:val="24"/>
          <w:szCs w:val="24"/>
          <w:highlight w:val="none"/>
          <w:lang w:bidi="ar"/>
        </w:rPr>
        <w:fldChar w:fldCharType="separate"/>
      </w:r>
      <w:r>
        <w:rPr>
          <w:rStyle w:val="50"/>
          <w:rFonts w:hint="eastAsia" w:ascii="仿宋" w:hAnsi="仿宋" w:eastAsia="仿宋" w:cs="仿宋"/>
          <w:color w:val="auto"/>
          <w:kern w:val="0"/>
          <w:sz w:val="24"/>
          <w:szCs w:val="24"/>
          <w:highlight w:val="none"/>
          <w:lang w:bidi="ar"/>
        </w:rPr>
        <w:t>https://xwqy.gsxt.gov.cn/</w:t>
      </w:r>
      <w:r>
        <w:rPr>
          <w:rFonts w:hint="eastAsia" w:ascii="仿宋" w:hAnsi="仿宋" w:eastAsia="仿宋" w:cs="仿宋"/>
          <w:color w:val="auto"/>
          <w:kern w:val="0"/>
          <w:sz w:val="24"/>
          <w:szCs w:val="24"/>
          <w:highlight w:val="none"/>
          <w:lang w:bidi="ar"/>
        </w:rPr>
        <w:fldChar w:fldCharType="end"/>
      </w:r>
      <w:r>
        <w:rPr>
          <w:rFonts w:hint="eastAsia" w:ascii="仿宋" w:hAnsi="仿宋" w:eastAsia="仿宋" w:cs="仿宋"/>
          <w:color w:val="auto"/>
          <w:kern w:val="0"/>
          <w:sz w:val="24"/>
          <w:szCs w:val="24"/>
          <w:highlight w:val="none"/>
          <w:lang w:val="en-US" w:eastAsia="zh-CN" w:bidi="ar"/>
        </w:rPr>
        <w:t>）</w:t>
      </w:r>
    </w:p>
    <w:p w14:paraId="3FB7AB76">
      <w:pPr>
        <w:jc w:val="center"/>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kern w:val="0"/>
          <w:sz w:val="24"/>
          <w:szCs w:val="24"/>
          <w:highlight w:val="none"/>
          <w:lang w:val="en-US" w:eastAsia="zh-CN" w:bidi="ar"/>
        </w:rPr>
        <w:t>（能提供证明材料就按2%计算履约保证金、不提供按5%计算履约保证金）</w:t>
      </w:r>
    </w:p>
    <w:p w14:paraId="54C79B96">
      <w:pPr>
        <w:pStyle w:val="127"/>
        <w:jc w:val="left"/>
        <w:outlineLvl w:val="9"/>
        <w:rPr>
          <w:rStyle w:val="51"/>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粘贴处：</w:t>
      </w:r>
    </w:p>
    <w:p w14:paraId="27BCF6C4">
      <w:pPr>
        <w:pStyle w:val="16"/>
        <w:outlineLvl w:val="9"/>
        <w:rPr>
          <w:rFonts w:hint="eastAsia" w:ascii="仿宋" w:hAnsi="仿宋" w:eastAsia="仿宋" w:cs="仿宋"/>
          <w:color w:val="auto"/>
          <w:sz w:val="24"/>
          <w:szCs w:val="24"/>
          <w:highlight w:val="none"/>
        </w:rPr>
      </w:pPr>
    </w:p>
    <w:p w14:paraId="1E5E76F0">
      <w:pPr>
        <w:pStyle w:val="16"/>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r>
        <w:rPr>
          <w:rFonts w:hint="eastAsia" w:ascii="仿宋" w:hAnsi="仿宋" w:eastAsia="仿宋" w:cs="仿宋"/>
          <w:b/>
          <w:bCs/>
          <w:color w:val="auto"/>
          <w:sz w:val="24"/>
          <w:szCs w:val="24"/>
          <w:highlight w:val="none"/>
        </w:rPr>
        <w:t>样张：</w:t>
      </w:r>
    </w:p>
    <w:p w14:paraId="6A925548">
      <w:pPr>
        <w:pStyle w:val="127"/>
        <w:outlineLvl w:val="9"/>
        <w:rPr>
          <w:rFonts w:hint="eastAsia"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rPr>
        <w:t>附：《全国个体私营经济发展服务网（小微企业名录）》网页查询截图</w:t>
      </w:r>
    </w:p>
    <w:p w14:paraId="6AA17305">
      <w:pPr>
        <w:pStyle w:val="127"/>
        <w:outlineLvl w:val="9"/>
        <w:rPr>
          <w:rFonts w:hint="eastAsia" w:ascii="仿宋" w:hAnsi="仿宋" w:eastAsia="仿宋" w:cs="仿宋"/>
          <w:color w:val="auto"/>
          <w:sz w:val="24"/>
          <w:szCs w:val="24"/>
          <w:highlight w:val="none"/>
        </w:rPr>
      </w:pPr>
    </w:p>
    <w:p w14:paraId="4EAA5B5D">
      <w:pPr>
        <w:pStyle w:val="16"/>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drawing>
          <wp:inline distT="0" distB="0" distL="114300" distR="114300">
            <wp:extent cx="6163310" cy="3679190"/>
            <wp:effectExtent l="0" t="0" r="8890" b="889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9"/>
                    <a:srcRect t="10944"/>
                    <a:stretch>
                      <a:fillRect/>
                    </a:stretch>
                  </pic:blipFill>
                  <pic:spPr>
                    <a:xfrm>
                      <a:off x="0" y="0"/>
                      <a:ext cx="6163310" cy="3679190"/>
                    </a:xfrm>
                    <a:prstGeom prst="rect">
                      <a:avLst/>
                    </a:prstGeom>
                    <a:noFill/>
                    <a:ln>
                      <a:noFill/>
                    </a:ln>
                  </pic:spPr>
                </pic:pic>
              </a:graphicData>
            </a:graphic>
          </wp:inline>
        </w:drawing>
      </w:r>
      <w:r>
        <w:rPr>
          <w:rFonts w:hint="eastAsia" w:ascii="仿宋" w:hAnsi="仿宋" w:eastAsia="仿宋" w:cs="仿宋"/>
          <w:color w:val="auto"/>
          <w:sz w:val="24"/>
          <w:szCs w:val="24"/>
          <w:highlight w:val="none"/>
        </w:rPr>
        <w:drawing>
          <wp:inline distT="0" distB="0" distL="114300" distR="114300">
            <wp:extent cx="6155690" cy="3949700"/>
            <wp:effectExtent l="0" t="0" r="1270" b="12700"/>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20"/>
                    <a:stretch>
                      <a:fillRect/>
                    </a:stretch>
                  </pic:blipFill>
                  <pic:spPr>
                    <a:xfrm>
                      <a:off x="0" y="0"/>
                      <a:ext cx="6155690" cy="3949700"/>
                    </a:xfrm>
                    <a:prstGeom prst="rect">
                      <a:avLst/>
                    </a:prstGeom>
                    <a:noFill/>
                    <a:ln>
                      <a:noFill/>
                    </a:ln>
                  </pic:spPr>
                </pic:pic>
              </a:graphicData>
            </a:graphic>
          </wp:inline>
        </w:drawing>
      </w:r>
    </w:p>
    <w:p w14:paraId="51D7E19B">
      <w:pPr>
        <w:bidi w:val="0"/>
        <w:outlineLvl w:val="9"/>
        <w:rPr>
          <w:rFonts w:hint="eastAsia" w:ascii="仿宋" w:hAnsi="仿宋" w:eastAsia="仿宋" w:cs="仿宋"/>
          <w:color w:val="auto"/>
          <w:sz w:val="24"/>
          <w:szCs w:val="24"/>
          <w:highlight w:val="none"/>
        </w:rPr>
      </w:pPr>
    </w:p>
    <w:p w14:paraId="54A1DCA2">
      <w:pPr>
        <w:jc w:val="center"/>
        <w:outlineLvl w:val="9"/>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履约保证金银行转账或电汇回单</w:t>
      </w:r>
    </w:p>
    <w:p w14:paraId="6C02DEC2">
      <w:pPr>
        <w:outlineLvl w:val="9"/>
        <w:rPr>
          <w:rFonts w:hint="eastAsia" w:ascii="仿宋" w:hAnsi="仿宋" w:eastAsia="仿宋" w:cs="仿宋"/>
          <w:color w:val="auto"/>
          <w:sz w:val="24"/>
          <w:szCs w:val="24"/>
          <w:highlight w:val="none"/>
        </w:rPr>
      </w:pPr>
    </w:p>
    <w:p w14:paraId="2E7BEC4A">
      <w:pPr>
        <w:outlineLvl w:val="9"/>
        <w:rPr>
          <w:rFonts w:hint="eastAsia" w:ascii="仿宋" w:hAnsi="仿宋" w:eastAsia="仿宋" w:cs="仿宋"/>
          <w:color w:val="auto"/>
          <w:sz w:val="24"/>
          <w:szCs w:val="24"/>
          <w:highlight w:val="none"/>
        </w:rPr>
      </w:pPr>
    </w:p>
    <w:p w14:paraId="1C77B39E">
      <w:pPr>
        <w:outlineLvl w:val="9"/>
        <w:rPr>
          <w:rFonts w:hint="eastAsia" w:ascii="仿宋" w:hAnsi="仿宋" w:eastAsia="仿宋" w:cs="仿宋"/>
          <w:color w:val="auto"/>
          <w:sz w:val="24"/>
          <w:szCs w:val="24"/>
          <w:highlight w:val="none"/>
        </w:rPr>
      </w:pPr>
    </w:p>
    <w:p w14:paraId="30B8527E">
      <w:pPr>
        <w:jc w:val="center"/>
        <w:outlineLvl w:val="9"/>
        <w:rPr>
          <w:rFonts w:hint="eastAsia" w:ascii="仿宋" w:hAnsi="仿宋" w:eastAsia="仿宋" w:cs="仿宋"/>
          <w:color w:val="auto"/>
          <w:sz w:val="24"/>
          <w:szCs w:val="24"/>
          <w:highlight w:val="none"/>
        </w:rPr>
      </w:pPr>
    </w:p>
    <w:p w14:paraId="7EFC6C30">
      <w:pPr>
        <w:outlineLvl w:val="9"/>
        <w:rPr>
          <w:rFonts w:hint="eastAsia" w:ascii="仿宋" w:hAnsi="仿宋" w:eastAsia="仿宋" w:cs="仿宋"/>
          <w:color w:val="auto"/>
          <w:sz w:val="24"/>
          <w:szCs w:val="24"/>
          <w:highlight w:val="none"/>
        </w:rPr>
      </w:pPr>
    </w:p>
    <w:p w14:paraId="3CE8A90F">
      <w:pPr>
        <w:snapToGrid w:val="0"/>
        <w:spacing w:line="400" w:lineRule="exact"/>
        <w:outlineLvl w:val="9"/>
        <w:rPr>
          <w:rFonts w:hint="eastAsia" w:ascii="仿宋" w:hAnsi="仿宋" w:eastAsia="仿宋" w:cs="仿宋"/>
          <w:b/>
          <w:bCs/>
          <w:color w:val="auto"/>
          <w:sz w:val="24"/>
          <w:szCs w:val="24"/>
          <w:highlight w:val="none"/>
        </w:rPr>
      </w:pPr>
    </w:p>
    <w:p w14:paraId="2E1EA68F">
      <w:pPr>
        <w:snapToGrid w:val="0"/>
        <w:spacing w:line="400" w:lineRule="exact"/>
        <w:jc w:val="center"/>
        <w:outlineLvl w:val="9"/>
        <w:rPr>
          <w:rFonts w:hint="eastAsia" w:ascii="仿宋" w:hAnsi="仿宋" w:eastAsia="仿宋" w:cs="仿宋"/>
          <w:b/>
          <w:color w:val="auto"/>
          <w:sz w:val="32"/>
          <w:szCs w:val="32"/>
          <w:highlight w:val="none"/>
        </w:rPr>
      </w:pPr>
      <w:r>
        <w:rPr>
          <w:rFonts w:hint="eastAsia" w:ascii="仿宋" w:hAnsi="仿宋" w:eastAsia="仿宋" w:cs="仿宋"/>
          <w:b/>
          <w:color w:val="auto"/>
          <w:sz w:val="24"/>
          <w:szCs w:val="24"/>
          <w:highlight w:val="none"/>
        </w:rPr>
        <w:br w:type="column"/>
      </w:r>
    </w:p>
    <w:p w14:paraId="7F7B3B3A">
      <w:pPr>
        <w:pStyle w:val="3"/>
        <w:keepNext w:val="0"/>
        <w:keepLines w:val="0"/>
        <w:jc w:val="center"/>
        <w:rPr>
          <w:rFonts w:hint="eastAsia" w:ascii="仿宋" w:hAnsi="仿宋" w:eastAsia="仿宋" w:cs="仿宋"/>
          <w:color w:val="auto"/>
          <w:highlight w:val="none"/>
        </w:rPr>
      </w:pPr>
      <w:bookmarkStart w:id="167" w:name="_Toc32650"/>
      <w:bookmarkStart w:id="168" w:name="_Toc19686834"/>
      <w:bookmarkStart w:id="169" w:name="_Toc28977"/>
      <w:r>
        <w:rPr>
          <w:rFonts w:hint="eastAsia" w:ascii="仿宋" w:hAnsi="仿宋" w:eastAsia="仿宋" w:cs="仿宋"/>
          <w:color w:val="auto"/>
          <w:highlight w:val="none"/>
        </w:rPr>
        <w:t>第六章　投标文件格式</w:t>
      </w:r>
      <w:bookmarkEnd w:id="167"/>
      <w:bookmarkEnd w:id="168"/>
      <w:bookmarkEnd w:id="169"/>
    </w:p>
    <w:p w14:paraId="4F14CDE1">
      <w:pPr>
        <w:snapToGrid w:val="0"/>
        <w:spacing w:before="120" w:beforeLines="50" w:after="50"/>
        <w:jc w:val="center"/>
        <w:rPr>
          <w:rFonts w:hint="eastAsia" w:ascii="仿宋" w:hAnsi="仿宋" w:eastAsia="仿宋" w:cs="仿宋"/>
          <w:bCs/>
          <w:color w:val="auto"/>
          <w:highlight w:val="none"/>
        </w:rPr>
      </w:pPr>
    </w:p>
    <w:p w14:paraId="7B98D6BA">
      <w:pPr>
        <w:snapToGrid w:val="0"/>
        <w:spacing w:before="120" w:beforeLines="50" w:after="50"/>
        <w:jc w:val="center"/>
        <w:rPr>
          <w:rFonts w:hint="eastAsia" w:ascii="仿宋" w:hAnsi="仿宋" w:eastAsia="仿宋" w:cs="仿宋"/>
          <w:bCs/>
          <w:color w:val="auto"/>
          <w:sz w:val="24"/>
          <w:szCs w:val="20"/>
          <w:highlight w:val="none"/>
        </w:rPr>
      </w:pPr>
    </w:p>
    <w:p w14:paraId="3E1DC612">
      <w:pPr>
        <w:snapToGrid w:val="0"/>
        <w:spacing w:before="120" w:beforeLines="50" w:after="50"/>
        <w:jc w:val="center"/>
        <w:rPr>
          <w:rFonts w:hint="eastAsia" w:ascii="仿宋" w:hAnsi="仿宋" w:eastAsia="仿宋" w:cs="仿宋"/>
          <w:bCs/>
          <w:color w:val="auto"/>
          <w:sz w:val="24"/>
          <w:szCs w:val="20"/>
          <w:highlight w:val="none"/>
        </w:rPr>
      </w:pPr>
    </w:p>
    <w:p w14:paraId="3DD79C30">
      <w:pPr>
        <w:snapToGrid w:val="0"/>
        <w:spacing w:before="120" w:beforeLines="50" w:after="50"/>
        <w:jc w:val="center"/>
        <w:rPr>
          <w:rFonts w:hint="eastAsia" w:ascii="仿宋" w:hAnsi="仿宋" w:eastAsia="仿宋" w:cs="仿宋"/>
          <w:bCs/>
          <w:color w:val="auto"/>
          <w:sz w:val="24"/>
          <w:szCs w:val="20"/>
          <w:highlight w:val="none"/>
        </w:rPr>
      </w:pPr>
    </w:p>
    <w:p w14:paraId="1E2EDC59">
      <w:pPr>
        <w:snapToGrid w:val="0"/>
        <w:spacing w:before="120" w:beforeLines="50" w:after="50"/>
        <w:jc w:val="center"/>
        <w:rPr>
          <w:rFonts w:hint="eastAsia" w:ascii="仿宋" w:hAnsi="仿宋" w:eastAsia="仿宋" w:cs="仿宋"/>
          <w:b/>
          <w:color w:val="auto"/>
          <w:sz w:val="84"/>
          <w:szCs w:val="84"/>
          <w:highlight w:val="none"/>
        </w:rPr>
      </w:pPr>
      <w:r>
        <w:rPr>
          <w:rFonts w:hint="eastAsia" w:ascii="仿宋" w:hAnsi="仿宋" w:eastAsia="仿宋" w:cs="仿宋"/>
          <w:b/>
          <w:color w:val="auto"/>
          <w:sz w:val="84"/>
          <w:szCs w:val="84"/>
          <w:highlight w:val="none"/>
        </w:rPr>
        <w:t>投 标 文 件</w:t>
      </w:r>
    </w:p>
    <w:p w14:paraId="21B4C40D">
      <w:pPr>
        <w:snapToGrid w:val="0"/>
        <w:spacing w:before="120" w:beforeLines="50" w:after="50"/>
        <w:jc w:val="center"/>
        <w:rPr>
          <w:rFonts w:hint="eastAsia" w:ascii="仿宋" w:hAnsi="仿宋" w:eastAsia="仿宋" w:cs="仿宋"/>
          <w:bCs/>
          <w:color w:val="auto"/>
          <w:sz w:val="24"/>
          <w:szCs w:val="20"/>
          <w:highlight w:val="none"/>
        </w:rPr>
      </w:pPr>
    </w:p>
    <w:p w14:paraId="1C7472A4">
      <w:pPr>
        <w:snapToGrid w:val="0"/>
        <w:spacing w:before="120" w:beforeLines="50" w:after="50"/>
        <w:jc w:val="center"/>
        <w:rPr>
          <w:rFonts w:hint="eastAsia" w:ascii="仿宋" w:hAnsi="仿宋" w:eastAsia="仿宋" w:cs="仿宋"/>
          <w:bCs/>
          <w:color w:val="auto"/>
          <w:sz w:val="24"/>
          <w:szCs w:val="20"/>
          <w:highlight w:val="none"/>
        </w:rPr>
      </w:pPr>
    </w:p>
    <w:p w14:paraId="58B2BE68">
      <w:pPr>
        <w:snapToGrid w:val="0"/>
        <w:spacing w:before="120" w:beforeLines="50" w:after="50"/>
        <w:jc w:val="center"/>
        <w:rPr>
          <w:rFonts w:hint="eastAsia" w:ascii="仿宋" w:hAnsi="仿宋" w:eastAsia="仿宋" w:cs="仿宋"/>
          <w:bCs/>
          <w:color w:val="auto"/>
          <w:sz w:val="24"/>
          <w:szCs w:val="20"/>
          <w:highlight w:val="none"/>
        </w:rPr>
      </w:pPr>
    </w:p>
    <w:p w14:paraId="3583CC55">
      <w:pPr>
        <w:snapToGrid w:val="0"/>
        <w:spacing w:before="120" w:beforeLines="50" w:after="50"/>
        <w:jc w:val="center"/>
        <w:rPr>
          <w:rFonts w:hint="eastAsia" w:ascii="仿宋" w:hAnsi="仿宋" w:eastAsia="仿宋" w:cs="仿宋"/>
          <w:bCs/>
          <w:color w:val="auto"/>
          <w:sz w:val="24"/>
          <w:szCs w:val="20"/>
          <w:highlight w:val="none"/>
        </w:rPr>
      </w:pPr>
    </w:p>
    <w:p w14:paraId="35B35C02">
      <w:pPr>
        <w:snapToGrid w:val="0"/>
        <w:spacing w:before="120" w:beforeLines="50" w:after="50"/>
        <w:jc w:val="center"/>
        <w:rPr>
          <w:rFonts w:hint="eastAsia" w:ascii="仿宋" w:hAnsi="仿宋" w:eastAsia="仿宋" w:cs="仿宋"/>
          <w:bCs/>
          <w:color w:val="auto"/>
          <w:sz w:val="24"/>
          <w:szCs w:val="20"/>
          <w:highlight w:val="none"/>
        </w:rPr>
      </w:pPr>
    </w:p>
    <w:p w14:paraId="365910E7">
      <w:pPr>
        <w:snapToGrid w:val="0"/>
        <w:spacing w:before="120" w:beforeLines="50" w:after="50"/>
        <w:jc w:val="center"/>
        <w:rPr>
          <w:rFonts w:hint="eastAsia" w:ascii="仿宋" w:hAnsi="仿宋" w:eastAsia="仿宋" w:cs="仿宋"/>
          <w:bCs/>
          <w:color w:val="auto"/>
          <w:sz w:val="24"/>
          <w:szCs w:val="20"/>
          <w:highlight w:val="none"/>
        </w:rPr>
      </w:pPr>
    </w:p>
    <w:p w14:paraId="4F649249">
      <w:pPr>
        <w:snapToGrid w:val="0"/>
        <w:spacing w:before="120" w:beforeLines="50" w:after="50"/>
        <w:jc w:val="center"/>
        <w:rPr>
          <w:rFonts w:hint="eastAsia" w:ascii="仿宋" w:hAnsi="仿宋" w:eastAsia="仿宋" w:cs="仿宋"/>
          <w:bCs/>
          <w:color w:val="auto"/>
          <w:sz w:val="24"/>
          <w:szCs w:val="20"/>
          <w:highlight w:val="none"/>
        </w:rPr>
      </w:pPr>
    </w:p>
    <w:p w14:paraId="04E8ACFA">
      <w:pPr>
        <w:snapToGrid w:val="0"/>
        <w:spacing w:before="120" w:beforeLines="50" w:after="50"/>
        <w:jc w:val="center"/>
        <w:rPr>
          <w:rFonts w:hint="eastAsia" w:ascii="仿宋" w:hAnsi="仿宋" w:eastAsia="仿宋" w:cs="仿宋"/>
          <w:bCs/>
          <w:color w:val="auto"/>
          <w:sz w:val="24"/>
          <w:szCs w:val="20"/>
          <w:highlight w:val="none"/>
        </w:rPr>
      </w:pPr>
    </w:p>
    <w:p w14:paraId="445CADC9">
      <w:pPr>
        <w:snapToGrid w:val="0"/>
        <w:spacing w:before="120" w:beforeLines="50" w:after="50"/>
        <w:jc w:val="center"/>
        <w:rPr>
          <w:rFonts w:hint="eastAsia" w:ascii="仿宋" w:hAnsi="仿宋" w:eastAsia="仿宋" w:cs="仿宋"/>
          <w:bCs/>
          <w:color w:val="auto"/>
          <w:sz w:val="24"/>
          <w:szCs w:val="20"/>
          <w:highlight w:val="none"/>
        </w:rPr>
      </w:pPr>
    </w:p>
    <w:p w14:paraId="43431E0E">
      <w:pPr>
        <w:snapToGrid w:val="0"/>
        <w:spacing w:before="120" w:beforeLines="50" w:after="50"/>
        <w:ind w:firstLine="422" w:firstLineChars="15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项目名称：</w:t>
      </w:r>
      <w:r>
        <w:rPr>
          <w:rFonts w:hint="eastAsia" w:ascii="仿宋" w:hAnsi="仿宋" w:eastAsia="仿宋" w:cs="仿宋"/>
          <w:b/>
          <w:bCs/>
          <w:color w:val="auto"/>
          <w:sz w:val="28"/>
          <w:szCs w:val="28"/>
          <w:highlight w:val="none"/>
          <w:u w:val="single"/>
        </w:rPr>
        <w:t xml:space="preserve">                                  </w:t>
      </w:r>
    </w:p>
    <w:p w14:paraId="16FCF51B">
      <w:pPr>
        <w:snapToGrid w:val="0"/>
        <w:spacing w:before="120" w:beforeLines="50" w:after="50"/>
        <w:ind w:firstLine="422" w:firstLineChars="15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项目编号：</w:t>
      </w:r>
      <w:r>
        <w:rPr>
          <w:rFonts w:hint="eastAsia" w:ascii="仿宋" w:hAnsi="仿宋" w:eastAsia="仿宋" w:cs="仿宋"/>
          <w:b/>
          <w:bCs/>
          <w:color w:val="auto"/>
          <w:sz w:val="28"/>
          <w:szCs w:val="28"/>
          <w:highlight w:val="none"/>
          <w:u w:val="single"/>
        </w:rPr>
        <w:t xml:space="preserve">                                  </w:t>
      </w:r>
    </w:p>
    <w:p w14:paraId="4ECFFFDD">
      <w:pPr>
        <w:snapToGrid w:val="0"/>
        <w:spacing w:before="120" w:beforeLines="50" w:after="50"/>
        <w:ind w:firstLine="422" w:firstLineChars="15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投标人名称：</w:t>
      </w:r>
      <w:r>
        <w:rPr>
          <w:rFonts w:hint="eastAsia" w:ascii="仿宋" w:hAnsi="仿宋" w:eastAsia="仿宋" w:cs="仿宋"/>
          <w:b/>
          <w:bCs/>
          <w:color w:val="auto"/>
          <w:sz w:val="28"/>
          <w:szCs w:val="28"/>
          <w:highlight w:val="none"/>
          <w:u w:val="single"/>
        </w:rPr>
        <w:t xml:space="preserve">                                </w:t>
      </w:r>
    </w:p>
    <w:p w14:paraId="476FE5EA">
      <w:pPr>
        <w:snapToGrid w:val="0"/>
        <w:spacing w:before="120" w:beforeLines="50" w:after="50"/>
        <w:ind w:firstLine="422" w:firstLineChars="150"/>
        <w:rPr>
          <w:rFonts w:hint="eastAsia" w:ascii="仿宋" w:hAnsi="仿宋" w:eastAsia="仿宋" w:cs="仿宋"/>
          <w:b/>
          <w:bCs/>
          <w:color w:val="auto"/>
          <w:sz w:val="28"/>
          <w:szCs w:val="28"/>
          <w:highlight w:val="none"/>
          <w:u w:val="single"/>
        </w:rPr>
      </w:pPr>
      <w:r>
        <w:rPr>
          <w:rFonts w:hint="eastAsia" w:ascii="仿宋" w:hAnsi="仿宋" w:eastAsia="仿宋" w:cs="仿宋"/>
          <w:b/>
          <w:bCs/>
          <w:color w:val="auto"/>
          <w:sz w:val="28"/>
          <w:szCs w:val="28"/>
          <w:highlight w:val="none"/>
        </w:rPr>
        <w:t>投标人地址：</w:t>
      </w:r>
      <w:r>
        <w:rPr>
          <w:rFonts w:hint="eastAsia" w:ascii="仿宋" w:hAnsi="仿宋" w:eastAsia="仿宋" w:cs="仿宋"/>
          <w:b/>
          <w:bCs/>
          <w:color w:val="auto"/>
          <w:sz w:val="28"/>
          <w:szCs w:val="28"/>
          <w:highlight w:val="none"/>
          <w:u w:val="single"/>
        </w:rPr>
        <w:t xml:space="preserve">                                </w:t>
      </w:r>
    </w:p>
    <w:p w14:paraId="469704E2">
      <w:pPr>
        <w:snapToGrid w:val="0"/>
        <w:spacing w:before="120" w:beforeLines="50" w:after="50"/>
        <w:ind w:firstLine="422" w:firstLineChars="150"/>
        <w:rPr>
          <w:rFonts w:hint="eastAsia" w:ascii="仿宋" w:hAnsi="仿宋" w:eastAsia="仿宋" w:cs="仿宋"/>
          <w:b/>
          <w:bCs/>
          <w:color w:val="auto"/>
          <w:sz w:val="28"/>
          <w:szCs w:val="28"/>
          <w:highlight w:val="none"/>
          <w:u w:val="single"/>
        </w:rPr>
      </w:pPr>
    </w:p>
    <w:p w14:paraId="34FA4E64">
      <w:pPr>
        <w:snapToGrid w:val="0"/>
        <w:spacing w:before="120" w:beforeLines="50" w:after="50"/>
        <w:ind w:firstLine="422" w:firstLineChars="150"/>
        <w:rPr>
          <w:rFonts w:hint="eastAsia" w:ascii="仿宋" w:hAnsi="仿宋" w:eastAsia="仿宋" w:cs="仿宋"/>
          <w:b/>
          <w:bCs/>
          <w:color w:val="auto"/>
          <w:sz w:val="28"/>
          <w:szCs w:val="28"/>
          <w:highlight w:val="none"/>
          <w:u w:val="single"/>
        </w:rPr>
      </w:pPr>
    </w:p>
    <w:p w14:paraId="02D2FC04">
      <w:pPr>
        <w:snapToGrid w:val="0"/>
        <w:spacing w:before="120" w:beforeLines="50" w:after="50"/>
        <w:jc w:val="center"/>
        <w:rPr>
          <w:rFonts w:hint="eastAsia" w:ascii="仿宋" w:hAnsi="仿宋" w:eastAsia="仿宋" w:cs="仿宋"/>
          <w:bCs/>
          <w:color w:val="auto"/>
          <w:sz w:val="24"/>
          <w:highlight w:val="none"/>
        </w:rPr>
      </w:pPr>
      <w:r>
        <w:rPr>
          <w:rFonts w:hint="eastAsia" w:ascii="仿宋" w:hAnsi="仿宋" w:eastAsia="仿宋" w:cs="仿宋"/>
          <w:bCs/>
          <w:color w:val="auto"/>
          <w:sz w:val="24"/>
          <w:szCs w:val="20"/>
          <w:highlight w:val="none"/>
        </w:rPr>
        <w:t>投标截止时间前不得启封</w:t>
      </w:r>
    </w:p>
    <w:p w14:paraId="6A26C76A">
      <w:pPr>
        <w:snapToGrid w:val="0"/>
        <w:spacing w:before="120" w:beforeLines="50" w:after="50"/>
        <w:jc w:val="center"/>
        <w:rPr>
          <w:rFonts w:hint="eastAsia" w:ascii="仿宋" w:hAnsi="仿宋" w:eastAsia="仿宋" w:cs="仿宋"/>
          <w:color w:val="auto"/>
          <w:highlight w:val="none"/>
        </w:rPr>
      </w:pPr>
      <w:r>
        <w:rPr>
          <w:rFonts w:hint="eastAsia" w:ascii="仿宋" w:hAnsi="仿宋" w:eastAsia="仿宋" w:cs="仿宋"/>
          <w:bCs/>
          <w:color w:val="auto"/>
          <w:sz w:val="24"/>
          <w:highlight w:val="none"/>
        </w:rPr>
        <w:t>年    月    日</w:t>
      </w:r>
      <w:r>
        <w:rPr>
          <w:rFonts w:hint="eastAsia" w:ascii="仿宋" w:hAnsi="仿宋" w:eastAsia="仿宋" w:cs="仿宋"/>
          <w:color w:val="auto"/>
          <w:highlight w:val="none"/>
        </w:rPr>
        <w:br w:type="page"/>
      </w:r>
    </w:p>
    <w:p w14:paraId="7C6970D3">
      <w:pPr>
        <w:pStyle w:val="4"/>
        <w:keepNext w:val="0"/>
        <w:keepLines w:val="0"/>
        <w:spacing w:line="415" w:lineRule="auto"/>
        <w:jc w:val="center"/>
        <w:rPr>
          <w:rFonts w:hint="eastAsia" w:ascii="仿宋" w:hAnsi="仿宋" w:eastAsia="仿宋" w:cs="仿宋"/>
          <w:color w:val="auto"/>
          <w:highlight w:val="none"/>
        </w:rPr>
      </w:pPr>
      <w:bookmarkStart w:id="170" w:name="_Toc19686836"/>
      <w:bookmarkStart w:id="171" w:name="_Toc254970557"/>
      <w:bookmarkStart w:id="172" w:name="_Toc254970698"/>
      <w:r>
        <w:rPr>
          <w:rFonts w:hint="eastAsia" w:ascii="仿宋" w:hAnsi="仿宋" w:eastAsia="仿宋" w:cs="仿宋"/>
          <w:color w:val="auto"/>
          <w:highlight w:val="none"/>
        </w:rPr>
        <w:t>投标文件格式</w:t>
      </w:r>
      <w:bookmarkEnd w:id="170"/>
    </w:p>
    <w:p w14:paraId="0CC87B30">
      <w:pPr>
        <w:snapToGrid w:val="0"/>
        <w:spacing w:before="120" w:beforeLines="50" w:after="50" w:line="360" w:lineRule="auto"/>
        <w:jc w:val="left"/>
        <w:rPr>
          <w:rFonts w:hint="eastAsia" w:ascii="仿宋" w:hAnsi="仿宋" w:eastAsia="仿宋" w:cs="仿宋"/>
          <w:color w:val="auto"/>
          <w:sz w:val="24"/>
          <w:szCs w:val="20"/>
          <w:highlight w:val="none"/>
        </w:rPr>
      </w:pPr>
      <w:r>
        <w:rPr>
          <w:rFonts w:hint="eastAsia" w:ascii="仿宋" w:hAnsi="仿宋" w:eastAsia="仿宋" w:cs="仿宋"/>
          <w:b/>
          <w:color w:val="auto"/>
          <w:sz w:val="24"/>
          <w:highlight w:val="none"/>
        </w:rPr>
        <w:t>投标文件封面格式：</w:t>
      </w:r>
    </w:p>
    <w:p w14:paraId="056519DC">
      <w:pPr>
        <w:snapToGrid w:val="0"/>
        <w:spacing w:before="120" w:beforeLines="50" w:after="50" w:line="400" w:lineRule="exact"/>
        <w:jc w:val="right"/>
        <w:rPr>
          <w:rFonts w:hint="eastAsia" w:ascii="仿宋" w:hAnsi="仿宋" w:eastAsia="仿宋" w:cs="仿宋"/>
          <w:b/>
          <w:bCs/>
          <w:color w:val="auto"/>
          <w:sz w:val="32"/>
          <w:szCs w:val="20"/>
          <w:highlight w:val="none"/>
        </w:rPr>
      </w:pPr>
      <w:r>
        <w:rPr>
          <w:rFonts w:hint="eastAsia" w:ascii="仿宋" w:hAnsi="仿宋" w:eastAsia="仿宋" w:cs="仿宋"/>
          <w:color w:val="auto"/>
          <w:sz w:val="24"/>
          <w:highlight w:val="none"/>
        </w:rPr>
        <w:t xml:space="preserve">                                                   </w:t>
      </w:r>
      <w:bookmarkStart w:id="173" w:name="_Hlk114737731"/>
      <w:r>
        <w:rPr>
          <w:rFonts w:hint="eastAsia" w:ascii="仿宋" w:hAnsi="仿宋" w:eastAsia="仿宋" w:cs="仿宋"/>
          <w:color w:val="auto"/>
          <w:sz w:val="24"/>
          <w:highlight w:val="none"/>
        </w:rPr>
        <w:t xml:space="preserve"> </w:t>
      </w:r>
      <w:r>
        <w:rPr>
          <w:rFonts w:hint="eastAsia" w:ascii="仿宋" w:hAnsi="仿宋" w:eastAsia="仿宋" w:cs="仿宋"/>
          <w:b/>
          <w:bCs/>
          <w:color w:val="auto"/>
          <w:highlight w:val="none"/>
        </w:rPr>
        <w:t>全流程电子标文件</w:t>
      </w:r>
      <w:bookmarkEnd w:id="173"/>
    </w:p>
    <w:p w14:paraId="6AA85F4A">
      <w:pPr>
        <w:snapToGrid w:val="0"/>
        <w:spacing w:before="120" w:beforeLines="50" w:after="50" w:line="400" w:lineRule="exact"/>
        <w:jc w:val="center"/>
        <w:rPr>
          <w:rFonts w:hint="eastAsia" w:ascii="仿宋" w:hAnsi="仿宋" w:eastAsia="仿宋" w:cs="仿宋"/>
          <w:bCs/>
          <w:color w:val="auto"/>
          <w:sz w:val="24"/>
          <w:szCs w:val="20"/>
          <w:highlight w:val="none"/>
        </w:rPr>
      </w:pPr>
    </w:p>
    <w:p w14:paraId="52318B9B">
      <w:pPr>
        <w:snapToGrid w:val="0"/>
        <w:spacing w:before="120" w:beforeLines="50" w:after="50" w:line="400" w:lineRule="exact"/>
        <w:jc w:val="center"/>
        <w:rPr>
          <w:rFonts w:hint="eastAsia" w:ascii="仿宋" w:hAnsi="仿宋" w:eastAsia="仿宋" w:cs="仿宋"/>
          <w:bCs/>
          <w:color w:val="auto"/>
          <w:sz w:val="24"/>
          <w:szCs w:val="20"/>
          <w:highlight w:val="none"/>
        </w:rPr>
      </w:pPr>
    </w:p>
    <w:p w14:paraId="0C25E118">
      <w:pPr>
        <w:snapToGrid w:val="0"/>
        <w:spacing w:before="120" w:beforeLines="50" w:after="50" w:line="400" w:lineRule="exact"/>
        <w:jc w:val="center"/>
        <w:rPr>
          <w:rFonts w:hint="eastAsia" w:ascii="仿宋" w:hAnsi="仿宋" w:eastAsia="仿宋" w:cs="仿宋"/>
          <w:bCs/>
          <w:color w:val="auto"/>
          <w:sz w:val="24"/>
          <w:szCs w:val="20"/>
          <w:highlight w:val="none"/>
        </w:rPr>
      </w:pPr>
    </w:p>
    <w:p w14:paraId="7BB92BD4">
      <w:pPr>
        <w:snapToGrid w:val="0"/>
        <w:spacing w:before="120" w:beforeLines="50" w:after="50" w:line="400" w:lineRule="exact"/>
        <w:jc w:val="center"/>
        <w:rPr>
          <w:rFonts w:hint="eastAsia" w:ascii="仿宋" w:hAnsi="仿宋" w:eastAsia="仿宋" w:cs="仿宋"/>
          <w:bCs/>
          <w:color w:val="auto"/>
          <w:sz w:val="24"/>
          <w:szCs w:val="20"/>
          <w:highlight w:val="none"/>
        </w:rPr>
      </w:pPr>
    </w:p>
    <w:p w14:paraId="4206369A">
      <w:pPr>
        <w:snapToGrid w:val="0"/>
        <w:spacing w:before="120" w:beforeLines="50" w:after="50" w:line="400" w:lineRule="exact"/>
        <w:jc w:val="center"/>
        <w:rPr>
          <w:rFonts w:hint="eastAsia" w:ascii="仿宋" w:hAnsi="仿宋" w:eastAsia="仿宋" w:cs="仿宋"/>
          <w:bCs/>
          <w:color w:val="auto"/>
          <w:sz w:val="24"/>
          <w:szCs w:val="20"/>
          <w:highlight w:val="none"/>
        </w:rPr>
      </w:pPr>
    </w:p>
    <w:p w14:paraId="4B856C3C">
      <w:pPr>
        <w:snapToGrid w:val="0"/>
        <w:spacing w:before="120" w:beforeLines="50" w:after="50" w:line="400" w:lineRule="exact"/>
        <w:jc w:val="center"/>
        <w:rPr>
          <w:rFonts w:hint="eastAsia" w:ascii="仿宋" w:hAnsi="仿宋" w:eastAsia="仿宋" w:cs="仿宋"/>
          <w:bCs/>
          <w:color w:val="auto"/>
          <w:sz w:val="24"/>
          <w:szCs w:val="20"/>
          <w:highlight w:val="none"/>
        </w:rPr>
      </w:pPr>
    </w:p>
    <w:p w14:paraId="2D7BF573">
      <w:pPr>
        <w:snapToGrid w:val="0"/>
        <w:spacing w:before="120" w:beforeLines="50" w:after="50"/>
        <w:jc w:val="center"/>
        <w:rPr>
          <w:rFonts w:hint="eastAsia" w:ascii="仿宋" w:hAnsi="仿宋" w:eastAsia="仿宋" w:cs="仿宋"/>
          <w:b/>
          <w:color w:val="auto"/>
          <w:sz w:val="84"/>
          <w:szCs w:val="84"/>
          <w:highlight w:val="none"/>
        </w:rPr>
      </w:pPr>
      <w:r>
        <w:rPr>
          <w:rFonts w:hint="eastAsia" w:ascii="仿宋" w:hAnsi="仿宋" w:eastAsia="仿宋" w:cs="仿宋"/>
          <w:b/>
          <w:color w:val="auto"/>
          <w:sz w:val="84"/>
          <w:szCs w:val="84"/>
          <w:highlight w:val="none"/>
        </w:rPr>
        <w:t>投 标 文 件</w:t>
      </w:r>
    </w:p>
    <w:p w14:paraId="0D64895D">
      <w:pPr>
        <w:snapToGrid w:val="0"/>
        <w:spacing w:before="120" w:beforeLines="50" w:after="50" w:line="400" w:lineRule="exact"/>
        <w:jc w:val="center"/>
        <w:rPr>
          <w:rFonts w:hint="eastAsia" w:ascii="仿宋" w:hAnsi="仿宋" w:eastAsia="仿宋" w:cs="仿宋"/>
          <w:bCs/>
          <w:color w:val="auto"/>
          <w:sz w:val="24"/>
          <w:szCs w:val="20"/>
          <w:highlight w:val="none"/>
        </w:rPr>
      </w:pPr>
    </w:p>
    <w:p w14:paraId="2A92AEF8">
      <w:pPr>
        <w:snapToGrid w:val="0"/>
        <w:spacing w:before="120" w:beforeLines="50" w:after="50" w:line="400" w:lineRule="exact"/>
        <w:jc w:val="center"/>
        <w:rPr>
          <w:rFonts w:hint="eastAsia" w:ascii="仿宋" w:hAnsi="仿宋" w:eastAsia="仿宋" w:cs="仿宋"/>
          <w:bCs/>
          <w:color w:val="auto"/>
          <w:sz w:val="24"/>
          <w:szCs w:val="20"/>
          <w:highlight w:val="none"/>
        </w:rPr>
      </w:pPr>
    </w:p>
    <w:p w14:paraId="75D0F936">
      <w:pPr>
        <w:snapToGrid w:val="0"/>
        <w:spacing w:before="120" w:beforeLines="50" w:after="50" w:line="400" w:lineRule="exact"/>
        <w:jc w:val="center"/>
        <w:rPr>
          <w:rFonts w:hint="eastAsia" w:ascii="仿宋" w:hAnsi="仿宋" w:eastAsia="仿宋" w:cs="仿宋"/>
          <w:bCs/>
          <w:color w:val="auto"/>
          <w:sz w:val="24"/>
          <w:szCs w:val="20"/>
          <w:highlight w:val="none"/>
        </w:rPr>
      </w:pPr>
    </w:p>
    <w:p w14:paraId="475B6117">
      <w:pPr>
        <w:snapToGrid w:val="0"/>
        <w:spacing w:before="120" w:beforeLines="50" w:after="50" w:line="400" w:lineRule="exact"/>
        <w:jc w:val="center"/>
        <w:rPr>
          <w:rFonts w:hint="eastAsia" w:ascii="仿宋" w:hAnsi="仿宋" w:eastAsia="仿宋" w:cs="仿宋"/>
          <w:bCs/>
          <w:color w:val="auto"/>
          <w:sz w:val="24"/>
          <w:szCs w:val="20"/>
          <w:highlight w:val="none"/>
        </w:rPr>
      </w:pPr>
    </w:p>
    <w:p w14:paraId="3BF4D829">
      <w:pPr>
        <w:snapToGrid w:val="0"/>
        <w:spacing w:before="120" w:beforeLines="50" w:after="50" w:line="400" w:lineRule="exact"/>
        <w:jc w:val="center"/>
        <w:rPr>
          <w:rFonts w:hint="eastAsia" w:ascii="仿宋" w:hAnsi="仿宋" w:eastAsia="仿宋" w:cs="仿宋"/>
          <w:bCs/>
          <w:color w:val="auto"/>
          <w:sz w:val="24"/>
          <w:szCs w:val="20"/>
          <w:highlight w:val="none"/>
        </w:rPr>
      </w:pPr>
    </w:p>
    <w:p w14:paraId="202EFB6B">
      <w:pPr>
        <w:snapToGrid w:val="0"/>
        <w:spacing w:before="120" w:beforeLines="50" w:after="50" w:line="400" w:lineRule="exact"/>
        <w:jc w:val="center"/>
        <w:rPr>
          <w:rFonts w:hint="eastAsia" w:ascii="仿宋" w:hAnsi="仿宋" w:eastAsia="仿宋" w:cs="仿宋"/>
          <w:bCs/>
          <w:color w:val="auto"/>
          <w:sz w:val="24"/>
          <w:szCs w:val="20"/>
          <w:highlight w:val="none"/>
        </w:rPr>
      </w:pPr>
    </w:p>
    <w:p w14:paraId="6BA1F6F3">
      <w:pPr>
        <w:snapToGrid w:val="0"/>
        <w:spacing w:before="120" w:beforeLines="50" w:after="50"/>
        <w:ind w:firstLine="422" w:firstLineChars="15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项目名称：</w:t>
      </w:r>
      <w:r>
        <w:rPr>
          <w:rFonts w:hint="eastAsia" w:ascii="仿宋" w:hAnsi="仿宋" w:eastAsia="仿宋" w:cs="仿宋"/>
          <w:b/>
          <w:bCs/>
          <w:color w:val="auto"/>
          <w:sz w:val="28"/>
          <w:szCs w:val="28"/>
          <w:highlight w:val="none"/>
          <w:u w:val="single"/>
        </w:rPr>
        <w:t xml:space="preserve">                                  </w:t>
      </w:r>
    </w:p>
    <w:p w14:paraId="7B42F081">
      <w:pPr>
        <w:snapToGrid w:val="0"/>
        <w:spacing w:before="120" w:beforeLines="50" w:after="50"/>
        <w:ind w:firstLine="422" w:firstLineChars="150"/>
        <w:rPr>
          <w:rFonts w:hint="eastAsia" w:ascii="仿宋" w:hAnsi="仿宋" w:eastAsia="仿宋" w:cs="仿宋"/>
          <w:b/>
          <w:bCs/>
          <w:color w:val="auto"/>
          <w:sz w:val="28"/>
          <w:szCs w:val="28"/>
          <w:highlight w:val="none"/>
          <w:u w:val="single"/>
        </w:rPr>
      </w:pPr>
      <w:r>
        <w:rPr>
          <w:rFonts w:hint="eastAsia" w:ascii="仿宋" w:hAnsi="仿宋" w:eastAsia="仿宋" w:cs="仿宋"/>
          <w:b/>
          <w:bCs/>
          <w:color w:val="auto"/>
          <w:sz w:val="28"/>
          <w:szCs w:val="28"/>
          <w:highlight w:val="none"/>
        </w:rPr>
        <w:t>项目编号：</w:t>
      </w:r>
      <w:r>
        <w:rPr>
          <w:rFonts w:hint="eastAsia" w:ascii="仿宋" w:hAnsi="仿宋" w:eastAsia="仿宋" w:cs="仿宋"/>
          <w:b/>
          <w:bCs/>
          <w:color w:val="auto"/>
          <w:sz w:val="28"/>
          <w:szCs w:val="28"/>
          <w:highlight w:val="none"/>
          <w:u w:val="single"/>
        </w:rPr>
        <w:t xml:space="preserve">                                  </w:t>
      </w:r>
    </w:p>
    <w:p w14:paraId="77FCB97E">
      <w:pPr>
        <w:snapToGrid w:val="0"/>
        <w:spacing w:before="120" w:beforeLines="50" w:after="50"/>
        <w:ind w:firstLine="422" w:firstLineChars="15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分    标：</w:t>
      </w:r>
      <w:r>
        <w:rPr>
          <w:rFonts w:hint="eastAsia" w:ascii="仿宋" w:hAnsi="仿宋" w:eastAsia="仿宋" w:cs="仿宋"/>
          <w:b/>
          <w:bCs/>
          <w:color w:val="auto"/>
          <w:sz w:val="28"/>
          <w:szCs w:val="28"/>
          <w:highlight w:val="none"/>
          <w:u w:val="single"/>
        </w:rPr>
        <w:t xml:space="preserve">                                  </w:t>
      </w:r>
    </w:p>
    <w:p w14:paraId="43B737E1">
      <w:pPr>
        <w:snapToGrid w:val="0"/>
        <w:spacing w:before="120" w:beforeLines="50" w:after="50"/>
        <w:ind w:firstLine="422" w:firstLineChars="15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投标人名称：</w:t>
      </w:r>
      <w:r>
        <w:rPr>
          <w:rFonts w:hint="eastAsia" w:ascii="仿宋" w:hAnsi="仿宋" w:eastAsia="仿宋" w:cs="仿宋"/>
          <w:b/>
          <w:bCs/>
          <w:color w:val="auto"/>
          <w:sz w:val="28"/>
          <w:szCs w:val="28"/>
          <w:highlight w:val="none"/>
          <w:u w:val="single"/>
        </w:rPr>
        <w:t xml:space="preserve">                                </w:t>
      </w:r>
    </w:p>
    <w:p w14:paraId="48744650">
      <w:pPr>
        <w:snapToGrid w:val="0"/>
        <w:spacing w:before="120" w:beforeLines="50" w:after="50"/>
        <w:ind w:firstLine="422" w:firstLineChars="150"/>
        <w:rPr>
          <w:rFonts w:hint="eastAsia" w:ascii="仿宋" w:hAnsi="仿宋" w:eastAsia="仿宋" w:cs="仿宋"/>
          <w:b/>
          <w:bCs/>
          <w:color w:val="auto"/>
          <w:sz w:val="28"/>
          <w:szCs w:val="28"/>
          <w:highlight w:val="none"/>
          <w:u w:val="single"/>
        </w:rPr>
      </w:pPr>
      <w:r>
        <w:rPr>
          <w:rFonts w:hint="eastAsia" w:ascii="仿宋" w:hAnsi="仿宋" w:eastAsia="仿宋" w:cs="仿宋"/>
          <w:b/>
          <w:bCs/>
          <w:color w:val="auto"/>
          <w:sz w:val="28"/>
          <w:szCs w:val="28"/>
          <w:highlight w:val="none"/>
        </w:rPr>
        <w:t>投标人地址：</w:t>
      </w:r>
      <w:r>
        <w:rPr>
          <w:rFonts w:hint="eastAsia" w:ascii="仿宋" w:hAnsi="仿宋" w:eastAsia="仿宋" w:cs="仿宋"/>
          <w:b/>
          <w:bCs/>
          <w:color w:val="auto"/>
          <w:sz w:val="28"/>
          <w:szCs w:val="28"/>
          <w:highlight w:val="none"/>
          <w:u w:val="single"/>
        </w:rPr>
        <w:t xml:space="preserve">                                </w:t>
      </w:r>
    </w:p>
    <w:p w14:paraId="5412E7BB">
      <w:pPr>
        <w:pStyle w:val="6"/>
        <w:snapToGrid w:val="0"/>
        <w:spacing w:before="50" w:after="50" w:line="400" w:lineRule="exact"/>
        <w:ind w:firstLine="960" w:firstLineChars="400"/>
        <w:rPr>
          <w:rFonts w:hint="eastAsia" w:ascii="仿宋" w:hAnsi="仿宋" w:eastAsia="仿宋" w:cs="仿宋"/>
          <w:bCs/>
          <w:color w:val="auto"/>
          <w:sz w:val="24"/>
          <w:szCs w:val="24"/>
          <w:highlight w:val="none"/>
        </w:rPr>
      </w:pPr>
    </w:p>
    <w:p w14:paraId="2AB2DF4F">
      <w:pPr>
        <w:snapToGrid w:val="0"/>
        <w:spacing w:before="120" w:beforeLines="50" w:after="50" w:line="400" w:lineRule="exact"/>
        <w:rPr>
          <w:rFonts w:hint="eastAsia" w:ascii="仿宋" w:hAnsi="仿宋" w:eastAsia="仿宋" w:cs="仿宋"/>
          <w:b/>
          <w:color w:val="auto"/>
          <w:sz w:val="30"/>
          <w:szCs w:val="20"/>
          <w:highlight w:val="none"/>
        </w:rPr>
      </w:pPr>
      <w:r>
        <w:rPr>
          <w:rFonts w:hint="eastAsia" w:ascii="仿宋" w:hAnsi="仿宋" w:eastAsia="仿宋" w:cs="仿宋"/>
          <w:color w:val="auto"/>
          <w:sz w:val="24"/>
          <w:highlight w:val="none"/>
        </w:rPr>
        <w:t xml:space="preserve">                   </w:t>
      </w:r>
      <w:r>
        <w:rPr>
          <w:rFonts w:hint="eastAsia" w:ascii="仿宋" w:hAnsi="仿宋" w:eastAsia="仿宋" w:cs="仿宋"/>
          <w:b/>
          <w:color w:val="auto"/>
          <w:sz w:val="24"/>
          <w:highlight w:val="none"/>
        </w:rPr>
        <w:t xml:space="preserve">                年   月   日</w:t>
      </w:r>
    </w:p>
    <w:p w14:paraId="4EF5564E">
      <w:pPr>
        <w:snapToGrid w:val="0"/>
        <w:spacing w:before="120" w:beforeLines="50" w:after="50" w:line="360" w:lineRule="auto"/>
        <w:jc w:val="center"/>
        <w:rPr>
          <w:rFonts w:hint="eastAsia" w:ascii="仿宋" w:hAnsi="仿宋" w:eastAsia="仿宋" w:cs="仿宋"/>
          <w:color w:val="auto"/>
          <w:sz w:val="24"/>
          <w:szCs w:val="20"/>
          <w:highlight w:val="none"/>
        </w:rPr>
      </w:pPr>
      <w:r>
        <w:rPr>
          <w:rFonts w:hint="eastAsia" w:ascii="仿宋" w:hAnsi="仿宋" w:eastAsia="仿宋" w:cs="仿宋"/>
          <w:b/>
          <w:color w:val="auto"/>
          <w:sz w:val="24"/>
          <w:highlight w:val="none"/>
        </w:rPr>
        <w:br w:type="page"/>
      </w:r>
      <w:r>
        <w:rPr>
          <w:rFonts w:hint="eastAsia" w:ascii="仿宋" w:hAnsi="仿宋" w:eastAsia="仿宋" w:cs="仿宋"/>
          <w:b/>
          <w:bCs/>
          <w:color w:val="auto"/>
          <w:sz w:val="24"/>
          <w:highlight w:val="none"/>
        </w:rPr>
        <w:t>投标文件目录</w:t>
      </w:r>
    </w:p>
    <w:p w14:paraId="35963CD7">
      <w:pPr>
        <w:snapToGrid w:val="0"/>
        <w:spacing w:before="50" w:after="120" w:afterLines="50"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Cs w:val="21"/>
          <w:highlight w:val="none"/>
        </w:rPr>
        <w:t>注：投标文件目录根据招标文件规定及投标人提供的材料自行编写目录（部分格式后附）。</w:t>
      </w:r>
    </w:p>
    <w:p w14:paraId="356DDE26">
      <w:pPr>
        <w:snapToGrid w:val="0"/>
        <w:spacing w:before="120" w:beforeLines="50" w:after="5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br w:type="page"/>
      </w:r>
      <w:r>
        <w:rPr>
          <w:rFonts w:hint="eastAsia" w:ascii="仿宋" w:hAnsi="仿宋" w:eastAsia="仿宋" w:cs="仿宋"/>
          <w:b/>
          <w:color w:val="auto"/>
          <w:sz w:val="24"/>
          <w:highlight w:val="none"/>
        </w:rPr>
        <w:t>投标函格式：</w:t>
      </w:r>
    </w:p>
    <w:p w14:paraId="0B6AAB76">
      <w:pPr>
        <w:snapToGrid w:val="0"/>
        <w:spacing w:before="120" w:beforeLines="50" w:after="50" w:line="32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 标 函</w:t>
      </w:r>
    </w:p>
    <w:p w14:paraId="42760C8A">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rPr>
        <w:t>招标人名称</w:t>
      </w:r>
    </w:p>
    <w:p w14:paraId="351B59F2">
      <w:pPr>
        <w:snapToGrid w:val="0"/>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根据贵方</w:t>
      </w:r>
      <w:r>
        <w:rPr>
          <w:rFonts w:hint="eastAsia" w:ascii="仿宋" w:hAnsi="仿宋" w:eastAsia="仿宋" w:cs="仿宋"/>
          <w:color w:val="auto"/>
          <w:sz w:val="24"/>
          <w:highlight w:val="none"/>
          <w:u w:val="single"/>
        </w:rPr>
        <w:t xml:space="preserve"> 项目名称</w:t>
      </w: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u w:val="single"/>
        </w:rPr>
        <w:t>_____     _</w:t>
      </w:r>
      <w:r>
        <w:rPr>
          <w:rFonts w:hint="eastAsia" w:ascii="仿宋" w:hAnsi="仿宋" w:eastAsia="仿宋" w:cs="仿宋"/>
          <w:color w:val="auto"/>
          <w:sz w:val="24"/>
          <w:highlight w:val="none"/>
        </w:rPr>
        <w:t>_）的招标公告，签字代表______</w:t>
      </w:r>
      <w:r>
        <w:rPr>
          <w:rFonts w:hint="eastAsia" w:ascii="仿宋" w:hAnsi="仿宋" w:eastAsia="仿宋" w:cs="仿宋"/>
          <w:color w:val="auto"/>
          <w:sz w:val="24"/>
          <w:highlight w:val="none"/>
          <w:u w:val="single"/>
        </w:rPr>
        <w:t xml:space="preserve">_     </w:t>
      </w:r>
      <w:r>
        <w:rPr>
          <w:rFonts w:hint="eastAsia" w:ascii="仿宋" w:hAnsi="仿宋" w:eastAsia="仿宋" w:cs="仿宋"/>
          <w:color w:val="auto"/>
          <w:sz w:val="24"/>
          <w:highlight w:val="none"/>
        </w:rPr>
        <w:t>（姓名）经正式授权并代表投标人</w:t>
      </w:r>
      <w:r>
        <w:rPr>
          <w:rFonts w:hint="eastAsia" w:ascii="仿宋" w:hAnsi="仿宋" w:eastAsia="仿宋" w:cs="仿宋"/>
          <w:color w:val="auto"/>
          <w:sz w:val="24"/>
          <w:highlight w:val="none"/>
          <w:u w:val="single"/>
        </w:rPr>
        <w:t>_______                  __</w:t>
      </w:r>
      <w:r>
        <w:rPr>
          <w:rFonts w:hint="eastAsia" w:ascii="仿宋" w:hAnsi="仿宋" w:eastAsia="仿宋" w:cs="仿宋"/>
          <w:color w:val="auto"/>
          <w:sz w:val="24"/>
          <w:highlight w:val="none"/>
        </w:rPr>
        <w:t>（投标人名称）提交投标文件。</w:t>
      </w:r>
    </w:p>
    <w:p w14:paraId="7CF22330">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据此函，我方宣布同意如下：</w:t>
      </w:r>
    </w:p>
    <w:p w14:paraId="16AB136D">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2D60ACCE">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2.我方在投标之前已经完全理解并接受招标文件的各项规定和要求，对招标文件的合理性、合法性不再有异议。</w:t>
      </w:r>
    </w:p>
    <w:p w14:paraId="71A8CBFF">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3.我方承诺投标文件的投标有效期与招标文件第三章投标人须知前附表中要求的投标有效期一致。</w:t>
      </w:r>
    </w:p>
    <w:p w14:paraId="50F5E8EF">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4.如中标，本投标文件至本项目合同履行完毕止均保持有效，我方将按“招标文件”及政府采购法律、法规的规定履行合同责任和义务。</w:t>
      </w:r>
    </w:p>
    <w:p w14:paraId="6373E436">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5.我方同意按照贵方要求提供与投标有关的一切数据或者资料。</w:t>
      </w:r>
    </w:p>
    <w:p w14:paraId="0150C2D1">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6.我方向贵方提交的所有投标文件、资料都是准确的和真实的。</w:t>
      </w:r>
    </w:p>
    <w:p w14:paraId="6F16DE10">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7.如中标，本投标文件至本项目合同履行完毕止均保持有效，我方将按“招标文件”及政府采购法律、法规的规定履行合同责任和义务，并承诺不分包及转包他人。</w:t>
      </w:r>
    </w:p>
    <w:p w14:paraId="74A15A6D">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8.以上事项如有虚假或者隐瞒，我方愿意承担一切后果，并不再寻求任何旨在减轻或者免除法律责任的辩解。</w:t>
      </w:r>
    </w:p>
    <w:p w14:paraId="50C05B0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9.根据《中华人民共和国政府采购法实施条例》第五十条要求对政府采购合同进行公告，但政府采购合同中涉及国家秘密、商业秘密的内容除外。我方就对本次投标文件进行注明如下：（两项内容中必须选择一项）</w:t>
      </w:r>
    </w:p>
    <w:p w14:paraId="0F14E60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□我方本次投标文件</w:t>
      </w:r>
      <w:r>
        <w:rPr>
          <w:rFonts w:hint="eastAsia" w:ascii="仿宋" w:hAnsi="仿宋" w:eastAsia="仿宋" w:cs="仿宋"/>
          <w:color w:val="auto"/>
          <w:kern w:val="0"/>
          <w:sz w:val="24"/>
          <w:highlight w:val="none"/>
        </w:rPr>
        <w:t>内容中</w:t>
      </w:r>
      <w:r>
        <w:rPr>
          <w:rFonts w:hint="eastAsia" w:ascii="仿宋" w:hAnsi="仿宋" w:eastAsia="仿宋" w:cs="仿宋"/>
          <w:color w:val="auto"/>
          <w:sz w:val="24"/>
          <w:highlight w:val="none"/>
        </w:rPr>
        <w:t>未</w:t>
      </w:r>
      <w:r>
        <w:rPr>
          <w:rFonts w:hint="eastAsia" w:ascii="仿宋" w:hAnsi="仿宋" w:eastAsia="仿宋" w:cs="仿宋"/>
          <w:color w:val="auto"/>
          <w:kern w:val="0"/>
          <w:sz w:val="24"/>
          <w:highlight w:val="none"/>
        </w:rPr>
        <w:t>涉及商业秘密；</w:t>
      </w:r>
    </w:p>
    <w:p w14:paraId="6C6614A7">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□我方本次投标文件</w:t>
      </w:r>
      <w:r>
        <w:rPr>
          <w:rFonts w:hint="eastAsia" w:ascii="仿宋" w:hAnsi="仿宋" w:eastAsia="仿宋" w:cs="仿宋"/>
          <w:color w:val="auto"/>
          <w:kern w:val="0"/>
          <w:sz w:val="24"/>
          <w:highlight w:val="none"/>
        </w:rPr>
        <w:t>涉及商业秘密的内容有：</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w:t>
      </w:r>
    </w:p>
    <w:p w14:paraId="55D12092">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9.与本投标有关的一切正式往来信函请寄：</w:t>
      </w:r>
    </w:p>
    <w:p w14:paraId="6DA380B2">
      <w:pPr>
        <w:snapToGrid w:val="0"/>
        <w:spacing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single"/>
        </w:rPr>
        <w:t xml:space="preserve">            </w:t>
      </w:r>
    </w:p>
    <w:p w14:paraId="6871C503">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电话：</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传真：</w:t>
      </w:r>
      <w:r>
        <w:rPr>
          <w:rFonts w:hint="eastAsia" w:ascii="仿宋" w:hAnsi="仿宋" w:eastAsia="仿宋" w:cs="仿宋"/>
          <w:color w:val="auto"/>
          <w:sz w:val="24"/>
          <w:highlight w:val="none"/>
          <w:u w:val="single"/>
        </w:rPr>
        <w:t xml:space="preserve">          </w:t>
      </w:r>
    </w:p>
    <w:p w14:paraId="284E7258">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投标人名称:</w:t>
      </w:r>
      <w:r>
        <w:rPr>
          <w:rFonts w:hint="eastAsia" w:ascii="仿宋" w:hAnsi="仿宋" w:eastAsia="仿宋" w:cs="仿宋"/>
          <w:color w:val="auto"/>
          <w:sz w:val="24"/>
          <w:highlight w:val="none"/>
          <w:u w:val="single"/>
        </w:rPr>
        <w:t xml:space="preserve">                </w:t>
      </w:r>
    </w:p>
    <w:p w14:paraId="685AB176">
      <w:pPr>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开户银行：</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银行帐号：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14:paraId="285B36AD">
      <w:pPr>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法定代表人或者委托代理人签字:___________ </w:t>
      </w:r>
    </w:p>
    <w:p w14:paraId="4DC14023">
      <w:pPr>
        <w:pStyle w:val="23"/>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投标人（盖公章或电子签章）：</w:t>
      </w:r>
    </w:p>
    <w:p w14:paraId="4ECF589F">
      <w:pPr>
        <w:pStyle w:val="23"/>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7DF503EC">
      <w:pPr>
        <w:snapToGrid w:val="0"/>
        <w:spacing w:before="120" w:beforeLines="50" w:after="50"/>
        <w:jc w:val="left"/>
        <w:rPr>
          <w:rFonts w:hint="eastAsia" w:ascii="仿宋" w:hAnsi="仿宋" w:eastAsia="仿宋" w:cs="仿宋"/>
          <w:b/>
          <w:color w:val="auto"/>
          <w:sz w:val="24"/>
          <w:szCs w:val="20"/>
          <w:highlight w:val="none"/>
        </w:rPr>
      </w:pPr>
      <w:r>
        <w:rPr>
          <w:rFonts w:hint="eastAsia" w:ascii="仿宋" w:hAnsi="仿宋" w:eastAsia="仿宋" w:cs="仿宋"/>
          <w:color w:val="auto"/>
          <w:highlight w:val="none"/>
          <w:u w:val="single"/>
        </w:rPr>
        <w:br w:type="page"/>
      </w:r>
      <w:r>
        <w:rPr>
          <w:rFonts w:hint="eastAsia" w:ascii="仿宋" w:hAnsi="仿宋" w:eastAsia="仿宋" w:cs="仿宋"/>
          <w:b/>
          <w:color w:val="auto"/>
          <w:sz w:val="24"/>
          <w:highlight w:val="none"/>
        </w:rPr>
        <w:t>开标一览表（货物类格式）</w:t>
      </w:r>
    </w:p>
    <w:p w14:paraId="139E726D">
      <w:pPr>
        <w:snapToGrid w:val="0"/>
        <w:spacing w:before="50" w:after="5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开标一览表</w:t>
      </w:r>
    </w:p>
    <w:p w14:paraId="50E1268E">
      <w:pPr>
        <w:snapToGrid w:val="0"/>
        <w:spacing w:before="50" w:after="50"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项目编号：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14:paraId="30D7C7D2">
      <w:pPr>
        <w:snapToGrid w:val="0"/>
        <w:spacing w:before="50" w:after="50"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单位：元</w:t>
      </w:r>
    </w:p>
    <w:tbl>
      <w:tblPr>
        <w:tblStyle w:val="45"/>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16"/>
        <w:gridCol w:w="1317"/>
        <w:gridCol w:w="873"/>
        <w:gridCol w:w="2187"/>
        <w:gridCol w:w="1018"/>
        <w:gridCol w:w="2417"/>
      </w:tblGrid>
      <w:tr w14:paraId="3B8C9A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420" w:type="pct"/>
            <w:tcBorders>
              <w:top w:val="single" w:color="auto" w:sz="4" w:space="0"/>
              <w:left w:val="single" w:color="auto" w:sz="4" w:space="0"/>
              <w:bottom w:val="single" w:color="auto" w:sz="4" w:space="0"/>
              <w:right w:val="single" w:color="auto" w:sz="4" w:space="0"/>
            </w:tcBorders>
            <w:vAlign w:val="center"/>
          </w:tcPr>
          <w:p w14:paraId="79C62B3E">
            <w:pPr>
              <w:snapToGrid w:val="0"/>
              <w:spacing w:line="36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772" w:type="pct"/>
            <w:tcBorders>
              <w:top w:val="single" w:color="auto" w:sz="4" w:space="0"/>
              <w:left w:val="single" w:color="auto" w:sz="4" w:space="0"/>
              <w:bottom w:val="single" w:color="auto" w:sz="4" w:space="0"/>
              <w:right w:val="single" w:color="auto" w:sz="4" w:space="0"/>
            </w:tcBorders>
            <w:vAlign w:val="center"/>
          </w:tcPr>
          <w:p w14:paraId="4D91718C">
            <w:pPr>
              <w:snapToGrid w:val="0"/>
              <w:spacing w:line="36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产品名称</w:t>
            </w:r>
          </w:p>
        </w:tc>
        <w:tc>
          <w:tcPr>
            <w:tcW w:w="512" w:type="pct"/>
            <w:tcBorders>
              <w:top w:val="single" w:color="auto" w:sz="4" w:space="0"/>
              <w:left w:val="single" w:color="auto" w:sz="4" w:space="0"/>
              <w:bottom w:val="single" w:color="auto" w:sz="4" w:space="0"/>
              <w:right w:val="single" w:color="auto" w:sz="4" w:space="0"/>
            </w:tcBorders>
            <w:vAlign w:val="center"/>
          </w:tcPr>
          <w:p w14:paraId="099C3172">
            <w:pPr>
              <w:snapToGrid w:val="0"/>
              <w:spacing w:line="36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品牌</w:t>
            </w:r>
          </w:p>
        </w:tc>
        <w:tc>
          <w:tcPr>
            <w:tcW w:w="1282" w:type="pct"/>
            <w:tcBorders>
              <w:top w:val="single" w:color="auto" w:sz="4" w:space="0"/>
              <w:left w:val="single" w:color="auto" w:sz="4" w:space="0"/>
              <w:bottom w:val="single" w:color="auto" w:sz="4" w:space="0"/>
              <w:right w:val="single" w:color="auto" w:sz="4" w:space="0"/>
            </w:tcBorders>
            <w:vAlign w:val="center"/>
          </w:tcPr>
          <w:p w14:paraId="659A6E60">
            <w:pPr>
              <w:snapToGrid w:val="0"/>
              <w:spacing w:line="36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数量及单位①</w:t>
            </w:r>
          </w:p>
        </w:tc>
        <w:tc>
          <w:tcPr>
            <w:tcW w:w="597" w:type="pct"/>
            <w:tcBorders>
              <w:top w:val="single" w:color="auto" w:sz="4" w:space="0"/>
              <w:left w:val="single" w:color="auto" w:sz="4" w:space="0"/>
              <w:bottom w:val="single" w:color="auto" w:sz="4" w:space="0"/>
              <w:right w:val="single" w:color="auto" w:sz="4" w:space="0"/>
            </w:tcBorders>
            <w:vAlign w:val="center"/>
          </w:tcPr>
          <w:p w14:paraId="14CBEC3D">
            <w:pPr>
              <w:snapToGrid w:val="0"/>
              <w:spacing w:line="36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单价②</w:t>
            </w:r>
          </w:p>
        </w:tc>
        <w:tc>
          <w:tcPr>
            <w:tcW w:w="1417" w:type="pct"/>
            <w:tcBorders>
              <w:top w:val="single" w:color="auto" w:sz="4" w:space="0"/>
              <w:left w:val="single" w:color="auto" w:sz="4" w:space="0"/>
              <w:bottom w:val="single" w:color="auto" w:sz="4" w:space="0"/>
              <w:right w:val="single" w:color="auto" w:sz="4" w:space="0"/>
            </w:tcBorders>
            <w:vAlign w:val="center"/>
          </w:tcPr>
          <w:p w14:paraId="61B0DB67">
            <w:pPr>
              <w:snapToGrid w:val="0"/>
              <w:spacing w:line="36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投标报价③=①×②</w:t>
            </w:r>
          </w:p>
        </w:tc>
      </w:tr>
      <w:tr w14:paraId="189586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420" w:type="pct"/>
            <w:tcBorders>
              <w:top w:val="single" w:color="auto" w:sz="4" w:space="0"/>
              <w:left w:val="single" w:color="auto" w:sz="4" w:space="0"/>
              <w:bottom w:val="single" w:color="auto" w:sz="4" w:space="0"/>
              <w:right w:val="single" w:color="auto" w:sz="4" w:space="0"/>
            </w:tcBorders>
            <w:vAlign w:val="center"/>
          </w:tcPr>
          <w:p w14:paraId="57D74004">
            <w:pPr>
              <w:snapToGrid w:val="0"/>
              <w:spacing w:line="36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w:t>
            </w:r>
          </w:p>
        </w:tc>
        <w:tc>
          <w:tcPr>
            <w:tcW w:w="772" w:type="pct"/>
            <w:tcBorders>
              <w:top w:val="single" w:color="auto" w:sz="4" w:space="0"/>
              <w:left w:val="single" w:color="auto" w:sz="4" w:space="0"/>
              <w:bottom w:val="single" w:color="auto" w:sz="4" w:space="0"/>
              <w:right w:val="single" w:color="auto" w:sz="4" w:space="0"/>
            </w:tcBorders>
            <w:vAlign w:val="center"/>
          </w:tcPr>
          <w:p w14:paraId="25332FB7">
            <w:pPr>
              <w:snapToGrid w:val="0"/>
              <w:spacing w:line="360" w:lineRule="exact"/>
              <w:jc w:val="center"/>
              <w:rPr>
                <w:rFonts w:hint="eastAsia" w:ascii="仿宋" w:hAnsi="仿宋" w:eastAsia="仿宋" w:cs="仿宋"/>
                <w:b/>
                <w:color w:val="auto"/>
                <w:sz w:val="24"/>
                <w:highlight w:val="none"/>
              </w:rPr>
            </w:pPr>
          </w:p>
        </w:tc>
        <w:tc>
          <w:tcPr>
            <w:tcW w:w="512" w:type="pct"/>
            <w:tcBorders>
              <w:top w:val="single" w:color="auto" w:sz="4" w:space="0"/>
              <w:left w:val="single" w:color="auto" w:sz="4" w:space="0"/>
              <w:bottom w:val="single" w:color="auto" w:sz="4" w:space="0"/>
              <w:right w:val="single" w:color="auto" w:sz="4" w:space="0"/>
            </w:tcBorders>
            <w:vAlign w:val="center"/>
          </w:tcPr>
          <w:p w14:paraId="5BF88D23">
            <w:pPr>
              <w:snapToGrid w:val="0"/>
              <w:spacing w:line="360" w:lineRule="exact"/>
              <w:rPr>
                <w:rFonts w:hint="eastAsia" w:ascii="仿宋" w:hAnsi="仿宋" w:eastAsia="仿宋" w:cs="仿宋"/>
                <w:color w:val="auto"/>
                <w:sz w:val="24"/>
                <w:highlight w:val="none"/>
              </w:rPr>
            </w:pPr>
          </w:p>
        </w:tc>
        <w:tc>
          <w:tcPr>
            <w:tcW w:w="1282" w:type="pct"/>
            <w:tcBorders>
              <w:top w:val="single" w:color="auto" w:sz="4" w:space="0"/>
              <w:left w:val="single" w:color="auto" w:sz="4" w:space="0"/>
              <w:bottom w:val="single" w:color="auto" w:sz="4" w:space="0"/>
              <w:right w:val="single" w:color="auto" w:sz="4" w:space="0"/>
            </w:tcBorders>
            <w:vAlign w:val="center"/>
          </w:tcPr>
          <w:p w14:paraId="6E35193F">
            <w:pPr>
              <w:snapToGrid w:val="0"/>
              <w:spacing w:line="360" w:lineRule="exact"/>
              <w:rPr>
                <w:rFonts w:hint="eastAsia" w:ascii="仿宋" w:hAnsi="仿宋" w:eastAsia="仿宋" w:cs="仿宋"/>
                <w:color w:val="auto"/>
                <w:sz w:val="24"/>
                <w:highlight w:val="none"/>
              </w:rPr>
            </w:pPr>
          </w:p>
        </w:tc>
        <w:tc>
          <w:tcPr>
            <w:tcW w:w="597" w:type="pct"/>
            <w:tcBorders>
              <w:top w:val="single" w:color="auto" w:sz="4" w:space="0"/>
              <w:left w:val="single" w:color="auto" w:sz="4" w:space="0"/>
              <w:bottom w:val="single" w:color="auto" w:sz="4" w:space="0"/>
              <w:right w:val="single" w:color="auto" w:sz="4" w:space="0"/>
            </w:tcBorders>
            <w:vAlign w:val="center"/>
          </w:tcPr>
          <w:p w14:paraId="5B9BBBC4">
            <w:pPr>
              <w:snapToGrid w:val="0"/>
              <w:spacing w:line="360" w:lineRule="exact"/>
              <w:rPr>
                <w:rFonts w:hint="eastAsia" w:ascii="仿宋" w:hAnsi="仿宋" w:eastAsia="仿宋" w:cs="仿宋"/>
                <w:color w:val="auto"/>
                <w:sz w:val="24"/>
                <w:highlight w:val="none"/>
              </w:rPr>
            </w:pPr>
          </w:p>
        </w:tc>
        <w:tc>
          <w:tcPr>
            <w:tcW w:w="1417" w:type="pct"/>
            <w:tcBorders>
              <w:top w:val="single" w:color="auto" w:sz="4" w:space="0"/>
              <w:left w:val="single" w:color="auto" w:sz="4" w:space="0"/>
              <w:bottom w:val="single" w:color="auto" w:sz="4" w:space="0"/>
              <w:right w:val="single" w:color="auto" w:sz="4" w:space="0"/>
            </w:tcBorders>
            <w:vAlign w:val="center"/>
          </w:tcPr>
          <w:p w14:paraId="67721D0B">
            <w:pPr>
              <w:snapToGrid w:val="0"/>
              <w:spacing w:line="360" w:lineRule="exact"/>
              <w:rPr>
                <w:rFonts w:hint="eastAsia" w:ascii="仿宋" w:hAnsi="仿宋" w:eastAsia="仿宋" w:cs="仿宋"/>
                <w:color w:val="auto"/>
                <w:sz w:val="24"/>
                <w:highlight w:val="none"/>
              </w:rPr>
            </w:pPr>
          </w:p>
        </w:tc>
      </w:tr>
      <w:tr w14:paraId="308FF8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420" w:type="pct"/>
            <w:tcBorders>
              <w:top w:val="single" w:color="auto" w:sz="4" w:space="0"/>
              <w:left w:val="single" w:color="auto" w:sz="4" w:space="0"/>
              <w:bottom w:val="single" w:color="auto" w:sz="4" w:space="0"/>
              <w:right w:val="single" w:color="auto" w:sz="4" w:space="0"/>
            </w:tcBorders>
            <w:vAlign w:val="center"/>
          </w:tcPr>
          <w:p w14:paraId="7F9D7FDD">
            <w:pPr>
              <w:snapToGrid w:val="0"/>
              <w:spacing w:line="36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w:t>
            </w:r>
          </w:p>
        </w:tc>
        <w:tc>
          <w:tcPr>
            <w:tcW w:w="772" w:type="pct"/>
            <w:tcBorders>
              <w:top w:val="single" w:color="auto" w:sz="4" w:space="0"/>
              <w:left w:val="single" w:color="auto" w:sz="4" w:space="0"/>
              <w:bottom w:val="single" w:color="auto" w:sz="4" w:space="0"/>
              <w:right w:val="single" w:color="auto" w:sz="4" w:space="0"/>
            </w:tcBorders>
            <w:vAlign w:val="center"/>
          </w:tcPr>
          <w:p w14:paraId="52028868">
            <w:pPr>
              <w:snapToGrid w:val="0"/>
              <w:spacing w:line="360" w:lineRule="exact"/>
              <w:jc w:val="center"/>
              <w:rPr>
                <w:rFonts w:hint="eastAsia" w:ascii="仿宋" w:hAnsi="仿宋" w:eastAsia="仿宋" w:cs="仿宋"/>
                <w:b/>
                <w:color w:val="auto"/>
                <w:sz w:val="24"/>
                <w:highlight w:val="none"/>
              </w:rPr>
            </w:pPr>
          </w:p>
        </w:tc>
        <w:tc>
          <w:tcPr>
            <w:tcW w:w="512" w:type="pct"/>
            <w:tcBorders>
              <w:top w:val="single" w:color="auto" w:sz="4" w:space="0"/>
              <w:left w:val="single" w:color="auto" w:sz="4" w:space="0"/>
              <w:bottom w:val="single" w:color="auto" w:sz="4" w:space="0"/>
              <w:right w:val="single" w:color="auto" w:sz="4" w:space="0"/>
            </w:tcBorders>
            <w:vAlign w:val="center"/>
          </w:tcPr>
          <w:p w14:paraId="70E403AE">
            <w:pPr>
              <w:snapToGrid w:val="0"/>
              <w:spacing w:line="360" w:lineRule="exact"/>
              <w:rPr>
                <w:rFonts w:hint="eastAsia" w:ascii="仿宋" w:hAnsi="仿宋" w:eastAsia="仿宋" w:cs="仿宋"/>
                <w:color w:val="auto"/>
                <w:sz w:val="24"/>
                <w:highlight w:val="none"/>
              </w:rPr>
            </w:pPr>
          </w:p>
        </w:tc>
        <w:tc>
          <w:tcPr>
            <w:tcW w:w="1282" w:type="pct"/>
            <w:tcBorders>
              <w:top w:val="single" w:color="auto" w:sz="4" w:space="0"/>
              <w:left w:val="single" w:color="auto" w:sz="4" w:space="0"/>
              <w:bottom w:val="single" w:color="auto" w:sz="4" w:space="0"/>
              <w:right w:val="single" w:color="auto" w:sz="4" w:space="0"/>
            </w:tcBorders>
            <w:vAlign w:val="center"/>
          </w:tcPr>
          <w:p w14:paraId="424B006B">
            <w:pPr>
              <w:snapToGrid w:val="0"/>
              <w:spacing w:line="360" w:lineRule="exact"/>
              <w:rPr>
                <w:rFonts w:hint="eastAsia" w:ascii="仿宋" w:hAnsi="仿宋" w:eastAsia="仿宋" w:cs="仿宋"/>
                <w:color w:val="auto"/>
                <w:sz w:val="24"/>
                <w:highlight w:val="none"/>
              </w:rPr>
            </w:pPr>
          </w:p>
        </w:tc>
        <w:tc>
          <w:tcPr>
            <w:tcW w:w="597" w:type="pct"/>
            <w:tcBorders>
              <w:top w:val="single" w:color="auto" w:sz="4" w:space="0"/>
              <w:left w:val="single" w:color="auto" w:sz="4" w:space="0"/>
              <w:bottom w:val="single" w:color="auto" w:sz="4" w:space="0"/>
              <w:right w:val="single" w:color="auto" w:sz="4" w:space="0"/>
            </w:tcBorders>
            <w:vAlign w:val="center"/>
          </w:tcPr>
          <w:p w14:paraId="600C44D4">
            <w:pPr>
              <w:snapToGrid w:val="0"/>
              <w:spacing w:line="360" w:lineRule="exact"/>
              <w:rPr>
                <w:rFonts w:hint="eastAsia" w:ascii="仿宋" w:hAnsi="仿宋" w:eastAsia="仿宋" w:cs="仿宋"/>
                <w:color w:val="auto"/>
                <w:sz w:val="24"/>
                <w:highlight w:val="none"/>
              </w:rPr>
            </w:pPr>
          </w:p>
        </w:tc>
        <w:tc>
          <w:tcPr>
            <w:tcW w:w="1417" w:type="pct"/>
            <w:tcBorders>
              <w:top w:val="single" w:color="auto" w:sz="4" w:space="0"/>
              <w:left w:val="single" w:color="auto" w:sz="4" w:space="0"/>
              <w:bottom w:val="single" w:color="auto" w:sz="4" w:space="0"/>
              <w:right w:val="single" w:color="auto" w:sz="4" w:space="0"/>
            </w:tcBorders>
            <w:vAlign w:val="center"/>
          </w:tcPr>
          <w:p w14:paraId="1AE389FF">
            <w:pPr>
              <w:snapToGrid w:val="0"/>
              <w:spacing w:line="360" w:lineRule="exact"/>
              <w:rPr>
                <w:rFonts w:hint="eastAsia" w:ascii="仿宋" w:hAnsi="仿宋" w:eastAsia="仿宋" w:cs="仿宋"/>
                <w:color w:val="auto"/>
                <w:sz w:val="24"/>
                <w:highlight w:val="none"/>
              </w:rPr>
            </w:pPr>
          </w:p>
        </w:tc>
      </w:tr>
      <w:tr w14:paraId="3F1768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420" w:type="pct"/>
            <w:tcBorders>
              <w:top w:val="single" w:color="auto" w:sz="4" w:space="0"/>
              <w:left w:val="single" w:color="auto" w:sz="4" w:space="0"/>
              <w:bottom w:val="single" w:color="auto" w:sz="4" w:space="0"/>
              <w:right w:val="single" w:color="auto" w:sz="4" w:space="0"/>
            </w:tcBorders>
            <w:vAlign w:val="center"/>
          </w:tcPr>
          <w:p w14:paraId="66F5316D">
            <w:pPr>
              <w:snapToGrid w:val="0"/>
              <w:spacing w:line="36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w:t>
            </w:r>
          </w:p>
        </w:tc>
        <w:tc>
          <w:tcPr>
            <w:tcW w:w="772" w:type="pct"/>
            <w:tcBorders>
              <w:top w:val="single" w:color="auto" w:sz="4" w:space="0"/>
              <w:left w:val="single" w:color="auto" w:sz="4" w:space="0"/>
              <w:bottom w:val="single" w:color="auto" w:sz="4" w:space="0"/>
              <w:right w:val="single" w:color="auto" w:sz="4" w:space="0"/>
            </w:tcBorders>
            <w:vAlign w:val="center"/>
          </w:tcPr>
          <w:p w14:paraId="4A1FFDD2">
            <w:pPr>
              <w:snapToGrid w:val="0"/>
              <w:spacing w:line="36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w:t>
            </w:r>
          </w:p>
        </w:tc>
        <w:tc>
          <w:tcPr>
            <w:tcW w:w="512" w:type="pct"/>
            <w:tcBorders>
              <w:top w:val="single" w:color="auto" w:sz="4" w:space="0"/>
              <w:left w:val="single" w:color="auto" w:sz="4" w:space="0"/>
              <w:bottom w:val="single" w:color="auto" w:sz="4" w:space="0"/>
              <w:right w:val="single" w:color="auto" w:sz="4" w:space="0"/>
            </w:tcBorders>
            <w:vAlign w:val="center"/>
          </w:tcPr>
          <w:p w14:paraId="17E4B254">
            <w:pPr>
              <w:snapToGrid w:val="0"/>
              <w:spacing w:line="360" w:lineRule="exact"/>
              <w:rPr>
                <w:rFonts w:hint="eastAsia" w:ascii="仿宋" w:hAnsi="仿宋" w:eastAsia="仿宋" w:cs="仿宋"/>
                <w:color w:val="auto"/>
                <w:sz w:val="24"/>
                <w:highlight w:val="none"/>
              </w:rPr>
            </w:pPr>
          </w:p>
        </w:tc>
        <w:tc>
          <w:tcPr>
            <w:tcW w:w="1282" w:type="pct"/>
            <w:tcBorders>
              <w:top w:val="single" w:color="auto" w:sz="4" w:space="0"/>
              <w:left w:val="single" w:color="auto" w:sz="4" w:space="0"/>
              <w:bottom w:val="single" w:color="auto" w:sz="4" w:space="0"/>
              <w:right w:val="single" w:color="auto" w:sz="4" w:space="0"/>
            </w:tcBorders>
            <w:vAlign w:val="center"/>
          </w:tcPr>
          <w:p w14:paraId="5C2F3886">
            <w:pPr>
              <w:snapToGrid w:val="0"/>
              <w:spacing w:line="360" w:lineRule="exact"/>
              <w:rPr>
                <w:rFonts w:hint="eastAsia" w:ascii="仿宋" w:hAnsi="仿宋" w:eastAsia="仿宋" w:cs="仿宋"/>
                <w:color w:val="auto"/>
                <w:sz w:val="24"/>
                <w:highlight w:val="none"/>
              </w:rPr>
            </w:pPr>
          </w:p>
        </w:tc>
        <w:tc>
          <w:tcPr>
            <w:tcW w:w="597" w:type="pct"/>
            <w:tcBorders>
              <w:top w:val="single" w:color="auto" w:sz="4" w:space="0"/>
              <w:left w:val="single" w:color="auto" w:sz="4" w:space="0"/>
              <w:bottom w:val="single" w:color="auto" w:sz="4" w:space="0"/>
              <w:right w:val="single" w:color="auto" w:sz="4" w:space="0"/>
            </w:tcBorders>
            <w:vAlign w:val="center"/>
          </w:tcPr>
          <w:p w14:paraId="77172E23">
            <w:pPr>
              <w:snapToGrid w:val="0"/>
              <w:spacing w:line="360" w:lineRule="exact"/>
              <w:rPr>
                <w:rFonts w:hint="eastAsia" w:ascii="仿宋" w:hAnsi="仿宋" w:eastAsia="仿宋" w:cs="仿宋"/>
                <w:color w:val="auto"/>
                <w:sz w:val="24"/>
                <w:highlight w:val="none"/>
              </w:rPr>
            </w:pPr>
          </w:p>
        </w:tc>
        <w:tc>
          <w:tcPr>
            <w:tcW w:w="1417" w:type="pct"/>
            <w:tcBorders>
              <w:top w:val="single" w:color="auto" w:sz="4" w:space="0"/>
              <w:left w:val="single" w:color="auto" w:sz="4" w:space="0"/>
              <w:bottom w:val="single" w:color="auto" w:sz="4" w:space="0"/>
              <w:right w:val="single" w:color="auto" w:sz="4" w:space="0"/>
            </w:tcBorders>
            <w:vAlign w:val="center"/>
          </w:tcPr>
          <w:p w14:paraId="6F4D18C1">
            <w:pPr>
              <w:snapToGrid w:val="0"/>
              <w:spacing w:line="360" w:lineRule="exact"/>
              <w:rPr>
                <w:rFonts w:hint="eastAsia" w:ascii="仿宋" w:hAnsi="仿宋" w:eastAsia="仿宋" w:cs="仿宋"/>
                <w:color w:val="auto"/>
                <w:sz w:val="24"/>
                <w:highlight w:val="none"/>
              </w:rPr>
            </w:pPr>
          </w:p>
        </w:tc>
      </w:tr>
      <w:tr w14:paraId="57DA0F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14:paraId="4855EC31">
            <w:pPr>
              <w:spacing w:line="36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报价合计：（大写）人民币</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tc>
      </w:tr>
      <w:tr w14:paraId="63AB4F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27"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14:paraId="13A71E88">
            <w:pPr>
              <w:snapToGrid w:val="0"/>
              <w:spacing w:line="3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投标货物中，属于小微企业生产的产品总值为￥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，占本投标报价的比例为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；属于优先采购节能产品总值为￥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，占本投标报价的比例为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；属于优先采购环境标志产品总值为￥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，占本投标报价的比例为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tc>
      </w:tr>
    </w:tbl>
    <w:p w14:paraId="61DADC5C">
      <w:pPr>
        <w:snapToGrid w:val="0"/>
        <w:spacing w:before="50" w:after="50" w:line="24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注: </w:t>
      </w:r>
    </w:p>
    <w:p w14:paraId="1F6DA926">
      <w:pPr>
        <w:snapToGrid w:val="0"/>
        <w:spacing w:before="50" w:after="50" w:line="24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1.投标人的开标一览表必须加盖投标人（盖公章或电子签章）并由法定代表人或者委托代理人（签字或者电子签名），</w:t>
      </w:r>
      <w:r>
        <w:rPr>
          <w:rFonts w:hint="eastAsia" w:ascii="仿宋" w:hAnsi="仿宋" w:eastAsia="仿宋" w:cs="仿宋"/>
          <w:b/>
          <w:color w:val="auto"/>
          <w:sz w:val="24"/>
          <w:highlight w:val="none"/>
        </w:rPr>
        <w:t>否则其投标作无效标处理</w:t>
      </w:r>
      <w:r>
        <w:rPr>
          <w:rFonts w:hint="eastAsia" w:ascii="仿宋" w:hAnsi="仿宋" w:eastAsia="仿宋" w:cs="仿宋"/>
          <w:color w:val="auto"/>
          <w:sz w:val="24"/>
          <w:highlight w:val="none"/>
        </w:rPr>
        <w:t>。</w:t>
      </w:r>
    </w:p>
    <w:p w14:paraId="7E09BB6B">
      <w:pPr>
        <w:snapToGrid w:val="0"/>
        <w:spacing w:before="50" w:after="50" w:line="240" w:lineRule="auto"/>
        <w:ind w:firstLine="480" w:firstLineChars="200"/>
        <w:jc w:val="left"/>
        <w:rPr>
          <w:rFonts w:hint="eastAsia" w:ascii="仿宋" w:hAnsi="仿宋" w:eastAsia="仿宋" w:cs="仿宋"/>
          <w:b/>
          <w:color w:val="auto"/>
          <w:sz w:val="24"/>
          <w:highlight w:val="none"/>
        </w:rPr>
      </w:pPr>
      <w:r>
        <w:rPr>
          <w:rFonts w:hint="eastAsia" w:ascii="仿宋" w:hAnsi="仿宋" w:eastAsia="仿宋" w:cs="仿宋"/>
          <w:bCs/>
          <w:color w:val="auto"/>
          <w:sz w:val="24"/>
          <w:highlight w:val="none"/>
        </w:rPr>
        <w:t>2.</w:t>
      </w:r>
      <w:r>
        <w:rPr>
          <w:rFonts w:hint="eastAsia" w:ascii="仿宋" w:hAnsi="仿宋" w:eastAsia="仿宋" w:cs="仿宋"/>
          <w:color w:val="auto"/>
          <w:sz w:val="24"/>
          <w:highlight w:val="none"/>
        </w:rPr>
        <w:t>报价一经涂改，应在涂改处加盖投标人（盖公章或电子签章）或者由法定代表人或者授权委托人（签字或者电子签名）</w:t>
      </w:r>
      <w:r>
        <w:rPr>
          <w:rFonts w:hint="eastAsia" w:ascii="仿宋" w:hAnsi="仿宋" w:eastAsia="仿宋" w:cs="仿宋"/>
          <w:b/>
          <w:color w:val="auto"/>
          <w:sz w:val="24"/>
          <w:highlight w:val="none"/>
        </w:rPr>
        <w:t>，否则其投标作无效标处理。</w:t>
      </w:r>
    </w:p>
    <w:p w14:paraId="1F828839">
      <w:pPr>
        <w:snapToGrid w:val="0"/>
        <w:spacing w:before="50" w:after="50" w:line="24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3.招标文件中列明采购专用耗材的，应按招标文件规定的耗材量或者按耗材的常规试用量提供报价。</w:t>
      </w:r>
    </w:p>
    <w:p w14:paraId="2E343AFA">
      <w:pPr>
        <w:snapToGrid w:val="0"/>
        <w:spacing w:before="50" w:after="50" w:line="24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4.如为联合体投标，“投标人名称”处必须列明联合体各方名称，并标注联合体牵头人名称，</w:t>
      </w:r>
      <w:r>
        <w:rPr>
          <w:rFonts w:hint="eastAsia" w:ascii="仿宋" w:hAnsi="仿宋" w:eastAsia="仿宋" w:cs="仿宋"/>
          <w:b/>
          <w:color w:val="auto"/>
          <w:sz w:val="24"/>
          <w:highlight w:val="none"/>
        </w:rPr>
        <w:t>否则其投标作无效标处理。</w:t>
      </w:r>
    </w:p>
    <w:p w14:paraId="78E700C8">
      <w:pPr>
        <w:snapToGrid w:val="0"/>
        <w:spacing w:before="50" w:after="50" w:line="24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5.如为联合体投标，盖章处须加盖联合体各方公章或电子签章，</w:t>
      </w:r>
      <w:r>
        <w:rPr>
          <w:rFonts w:hint="eastAsia" w:ascii="仿宋" w:hAnsi="仿宋" w:eastAsia="仿宋" w:cs="仿宋"/>
          <w:b/>
          <w:color w:val="auto"/>
          <w:sz w:val="24"/>
          <w:highlight w:val="none"/>
        </w:rPr>
        <w:t>否则其投标作无效标处理。</w:t>
      </w:r>
    </w:p>
    <w:p w14:paraId="49A4A2E1">
      <w:pPr>
        <w:tabs>
          <w:tab w:val="left" w:pos="8931"/>
        </w:tabs>
        <w:snapToGrid w:val="0"/>
        <w:spacing w:before="120" w:beforeLines="50" w:line="360" w:lineRule="auto"/>
        <w:ind w:left="1" w:right="480" w:firstLine="1699" w:firstLineChars="708"/>
        <w:rPr>
          <w:rFonts w:hint="eastAsia" w:ascii="仿宋" w:hAnsi="仿宋" w:eastAsia="仿宋" w:cs="仿宋"/>
          <w:color w:val="auto"/>
          <w:sz w:val="24"/>
          <w:highlight w:val="none"/>
        </w:rPr>
      </w:pPr>
    </w:p>
    <w:p w14:paraId="086F0B71">
      <w:pPr>
        <w:tabs>
          <w:tab w:val="left" w:pos="8931"/>
        </w:tabs>
        <w:snapToGrid w:val="0"/>
        <w:spacing w:before="120" w:beforeLines="50" w:line="360" w:lineRule="auto"/>
        <w:ind w:left="1" w:right="480" w:firstLine="1699" w:firstLineChars="708"/>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法定代表人或者委托代理人（签字或者电子签名）：</w:t>
      </w:r>
      <w:r>
        <w:rPr>
          <w:rFonts w:hint="eastAsia" w:ascii="仿宋" w:hAnsi="仿宋" w:eastAsia="仿宋" w:cs="仿宋"/>
          <w:color w:val="auto"/>
          <w:sz w:val="24"/>
          <w:highlight w:val="none"/>
          <w:u w:val="single"/>
        </w:rPr>
        <w:t xml:space="preserve">                  </w:t>
      </w:r>
    </w:p>
    <w:p w14:paraId="16F8207F">
      <w:pPr>
        <w:tabs>
          <w:tab w:val="left" w:pos="8931"/>
        </w:tabs>
        <w:snapToGrid w:val="0"/>
        <w:spacing w:before="120" w:beforeLines="50" w:after="50" w:line="360" w:lineRule="auto"/>
        <w:ind w:left="1" w:right="480" w:firstLine="1699" w:firstLineChars="708"/>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投标人（盖公章或电子签章）：</w:t>
      </w:r>
      <w:r>
        <w:rPr>
          <w:rFonts w:hint="eastAsia" w:ascii="仿宋" w:hAnsi="仿宋" w:eastAsia="仿宋" w:cs="仿宋"/>
          <w:color w:val="auto"/>
          <w:sz w:val="24"/>
          <w:highlight w:val="none"/>
          <w:u w:val="single"/>
        </w:rPr>
        <w:t xml:space="preserve">                 </w:t>
      </w:r>
    </w:p>
    <w:p w14:paraId="240096C0">
      <w:pPr>
        <w:tabs>
          <w:tab w:val="left" w:pos="8931"/>
        </w:tabs>
        <w:snapToGrid w:val="0"/>
        <w:spacing w:before="120" w:beforeLines="50" w:after="50" w:line="360" w:lineRule="auto"/>
        <w:ind w:left="1" w:right="480" w:firstLine="1699" w:firstLineChars="708"/>
        <w:rPr>
          <w:rFonts w:hint="eastAsia" w:ascii="仿宋" w:hAnsi="仿宋" w:eastAsia="仿宋" w:cs="仿宋"/>
          <w:color w:val="auto"/>
          <w:sz w:val="24"/>
          <w:highlight w:val="none"/>
        </w:rPr>
      </w:pPr>
      <w:r>
        <w:rPr>
          <w:rFonts w:hint="eastAsia" w:ascii="仿宋" w:hAnsi="仿宋" w:eastAsia="仿宋" w:cs="仿宋"/>
          <w:color w:val="auto"/>
          <w:sz w:val="24"/>
          <w:highlight w:val="none"/>
        </w:rPr>
        <w:t>年    月    日</w:t>
      </w:r>
    </w:p>
    <w:p w14:paraId="168178F6">
      <w:pPr>
        <w:snapToGrid w:val="0"/>
        <w:spacing w:before="50" w:after="50"/>
        <w:jc w:val="center"/>
        <w:rPr>
          <w:rFonts w:hint="eastAsia" w:ascii="仿宋" w:hAnsi="仿宋" w:eastAsia="仿宋" w:cs="仿宋"/>
          <w:b/>
          <w:color w:val="auto"/>
          <w:sz w:val="24"/>
          <w:highlight w:val="none"/>
        </w:rPr>
      </w:pPr>
      <w:r>
        <w:rPr>
          <w:rFonts w:hint="eastAsia" w:ascii="仿宋" w:hAnsi="仿宋" w:eastAsia="仿宋" w:cs="仿宋"/>
          <w:color w:val="auto"/>
          <w:sz w:val="24"/>
          <w:highlight w:val="none"/>
        </w:rPr>
        <w:br w:type="column"/>
      </w:r>
      <w:r>
        <w:rPr>
          <w:rFonts w:hint="eastAsia" w:ascii="仿宋" w:hAnsi="仿宋" w:eastAsia="仿宋" w:cs="仿宋"/>
          <w:b/>
          <w:color w:val="auto"/>
          <w:sz w:val="24"/>
          <w:highlight w:val="none"/>
        </w:rPr>
        <w:t>报价明细表</w:t>
      </w:r>
    </w:p>
    <w:p w14:paraId="000A3583">
      <w:pPr>
        <w:snapToGrid w:val="0"/>
        <w:spacing w:before="50" w:after="50"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项目编号：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14:paraId="22B38249">
      <w:pPr>
        <w:snapToGrid w:val="0"/>
        <w:spacing w:before="50" w:after="50"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单位：元</w:t>
      </w:r>
    </w:p>
    <w:tbl>
      <w:tblPr>
        <w:tblStyle w:val="4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1080"/>
        <w:gridCol w:w="1080"/>
        <w:gridCol w:w="1359"/>
        <w:gridCol w:w="1064"/>
        <w:gridCol w:w="1046"/>
        <w:gridCol w:w="1133"/>
        <w:gridCol w:w="1107"/>
      </w:tblGrid>
      <w:tr w14:paraId="32556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387" w:type="pct"/>
            <w:vAlign w:val="center"/>
          </w:tcPr>
          <w:p w14:paraId="0D6C6FE8">
            <w:pPr>
              <w:spacing w:line="400" w:lineRule="exact"/>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序号</w:t>
            </w:r>
          </w:p>
        </w:tc>
        <w:tc>
          <w:tcPr>
            <w:tcW w:w="633" w:type="pct"/>
            <w:vAlign w:val="center"/>
          </w:tcPr>
          <w:p w14:paraId="140DD16E">
            <w:pPr>
              <w:spacing w:line="400" w:lineRule="exact"/>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产品名称</w:t>
            </w:r>
          </w:p>
        </w:tc>
        <w:tc>
          <w:tcPr>
            <w:tcW w:w="633" w:type="pct"/>
            <w:vAlign w:val="center"/>
          </w:tcPr>
          <w:p w14:paraId="71281AA3">
            <w:pPr>
              <w:spacing w:line="400" w:lineRule="exact"/>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商标品牌</w:t>
            </w:r>
          </w:p>
        </w:tc>
        <w:tc>
          <w:tcPr>
            <w:tcW w:w="797" w:type="pct"/>
            <w:vAlign w:val="center"/>
          </w:tcPr>
          <w:p w14:paraId="2A92C977">
            <w:pPr>
              <w:spacing w:line="400" w:lineRule="exact"/>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规格型号</w:t>
            </w:r>
          </w:p>
        </w:tc>
        <w:tc>
          <w:tcPr>
            <w:tcW w:w="624" w:type="pct"/>
            <w:vAlign w:val="center"/>
          </w:tcPr>
          <w:p w14:paraId="5C47A395">
            <w:pPr>
              <w:spacing w:line="400" w:lineRule="exact"/>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生产厂家</w:t>
            </w:r>
          </w:p>
        </w:tc>
        <w:tc>
          <w:tcPr>
            <w:tcW w:w="613" w:type="pct"/>
            <w:vAlign w:val="center"/>
          </w:tcPr>
          <w:p w14:paraId="28FD3910">
            <w:pPr>
              <w:spacing w:line="400" w:lineRule="exact"/>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数量及单位</w:t>
            </w:r>
          </w:p>
        </w:tc>
        <w:tc>
          <w:tcPr>
            <w:tcW w:w="664" w:type="pct"/>
            <w:vAlign w:val="center"/>
          </w:tcPr>
          <w:p w14:paraId="1582E359">
            <w:pPr>
              <w:spacing w:line="400" w:lineRule="exact"/>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单价(元)</w:t>
            </w:r>
          </w:p>
        </w:tc>
        <w:tc>
          <w:tcPr>
            <w:tcW w:w="649" w:type="pct"/>
            <w:vAlign w:val="center"/>
          </w:tcPr>
          <w:p w14:paraId="59587A36">
            <w:pPr>
              <w:spacing w:line="400" w:lineRule="exact"/>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总价(元)</w:t>
            </w:r>
          </w:p>
        </w:tc>
      </w:tr>
      <w:tr w14:paraId="46DC4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387" w:type="pct"/>
            <w:vAlign w:val="center"/>
          </w:tcPr>
          <w:p w14:paraId="10A71C07">
            <w:pPr>
              <w:spacing w:line="4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633" w:type="pct"/>
            <w:vAlign w:val="center"/>
          </w:tcPr>
          <w:p w14:paraId="75EAE5CC">
            <w:pPr>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（产品名称必须与注册证一致）</w:t>
            </w:r>
          </w:p>
        </w:tc>
        <w:tc>
          <w:tcPr>
            <w:tcW w:w="633" w:type="pct"/>
            <w:vAlign w:val="center"/>
          </w:tcPr>
          <w:p w14:paraId="4F7EB839">
            <w:pPr>
              <w:spacing w:line="400" w:lineRule="exact"/>
              <w:rPr>
                <w:rFonts w:hint="eastAsia" w:ascii="仿宋" w:hAnsi="仿宋" w:eastAsia="仿宋" w:cs="仿宋"/>
                <w:color w:val="auto"/>
                <w:szCs w:val="21"/>
                <w:highlight w:val="none"/>
              </w:rPr>
            </w:pPr>
          </w:p>
        </w:tc>
        <w:tc>
          <w:tcPr>
            <w:tcW w:w="797" w:type="pct"/>
            <w:vAlign w:val="center"/>
          </w:tcPr>
          <w:p w14:paraId="4B6E38F3">
            <w:pPr>
              <w:spacing w:line="4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（规格型号必须与注册证一致）</w:t>
            </w:r>
          </w:p>
        </w:tc>
        <w:tc>
          <w:tcPr>
            <w:tcW w:w="624" w:type="pct"/>
            <w:vAlign w:val="center"/>
          </w:tcPr>
          <w:p w14:paraId="5E8B9EBD">
            <w:pPr>
              <w:spacing w:line="400" w:lineRule="exact"/>
              <w:jc w:val="center"/>
              <w:rPr>
                <w:rFonts w:hint="eastAsia" w:ascii="仿宋" w:hAnsi="仿宋" w:eastAsia="仿宋" w:cs="仿宋"/>
                <w:color w:val="auto"/>
                <w:szCs w:val="21"/>
                <w:highlight w:val="none"/>
              </w:rPr>
            </w:pPr>
          </w:p>
        </w:tc>
        <w:tc>
          <w:tcPr>
            <w:tcW w:w="613" w:type="pct"/>
            <w:vAlign w:val="center"/>
          </w:tcPr>
          <w:p w14:paraId="2D55980C">
            <w:pPr>
              <w:spacing w:line="400" w:lineRule="exact"/>
              <w:jc w:val="center"/>
              <w:rPr>
                <w:rFonts w:hint="eastAsia" w:ascii="仿宋" w:hAnsi="仿宋" w:eastAsia="仿宋" w:cs="仿宋"/>
                <w:color w:val="auto"/>
                <w:szCs w:val="21"/>
                <w:highlight w:val="none"/>
              </w:rPr>
            </w:pPr>
          </w:p>
        </w:tc>
        <w:tc>
          <w:tcPr>
            <w:tcW w:w="664" w:type="pct"/>
            <w:vAlign w:val="center"/>
          </w:tcPr>
          <w:p w14:paraId="47B6C09A">
            <w:pPr>
              <w:spacing w:line="400" w:lineRule="exact"/>
              <w:jc w:val="center"/>
              <w:rPr>
                <w:rFonts w:hint="eastAsia" w:ascii="仿宋" w:hAnsi="仿宋" w:eastAsia="仿宋" w:cs="仿宋"/>
                <w:color w:val="auto"/>
                <w:szCs w:val="21"/>
                <w:highlight w:val="none"/>
              </w:rPr>
            </w:pPr>
          </w:p>
        </w:tc>
        <w:tc>
          <w:tcPr>
            <w:tcW w:w="649" w:type="pct"/>
            <w:vAlign w:val="center"/>
          </w:tcPr>
          <w:p w14:paraId="4907AF48">
            <w:pPr>
              <w:spacing w:line="400" w:lineRule="exact"/>
              <w:jc w:val="center"/>
              <w:rPr>
                <w:rFonts w:hint="eastAsia" w:ascii="仿宋" w:hAnsi="仿宋" w:eastAsia="仿宋" w:cs="仿宋"/>
                <w:color w:val="auto"/>
                <w:szCs w:val="21"/>
                <w:highlight w:val="none"/>
              </w:rPr>
            </w:pPr>
          </w:p>
        </w:tc>
      </w:tr>
      <w:tr w14:paraId="5D0C4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387" w:type="pct"/>
            <w:vAlign w:val="center"/>
          </w:tcPr>
          <w:p w14:paraId="5C51C2EE">
            <w:pPr>
              <w:spacing w:line="4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633" w:type="pct"/>
            <w:vAlign w:val="center"/>
          </w:tcPr>
          <w:p w14:paraId="47B01EF8">
            <w:pPr>
              <w:spacing w:line="400" w:lineRule="exact"/>
              <w:rPr>
                <w:rFonts w:hint="eastAsia" w:ascii="仿宋" w:hAnsi="仿宋" w:eastAsia="仿宋" w:cs="仿宋"/>
                <w:color w:val="auto"/>
                <w:szCs w:val="21"/>
                <w:highlight w:val="none"/>
              </w:rPr>
            </w:pPr>
          </w:p>
        </w:tc>
        <w:tc>
          <w:tcPr>
            <w:tcW w:w="633" w:type="pct"/>
            <w:vAlign w:val="center"/>
          </w:tcPr>
          <w:p w14:paraId="4AA0E942">
            <w:pPr>
              <w:spacing w:line="400" w:lineRule="exact"/>
              <w:rPr>
                <w:rFonts w:hint="eastAsia" w:ascii="仿宋" w:hAnsi="仿宋" w:eastAsia="仿宋" w:cs="仿宋"/>
                <w:color w:val="auto"/>
                <w:szCs w:val="21"/>
                <w:highlight w:val="none"/>
              </w:rPr>
            </w:pPr>
          </w:p>
        </w:tc>
        <w:tc>
          <w:tcPr>
            <w:tcW w:w="797" w:type="pct"/>
            <w:vAlign w:val="center"/>
          </w:tcPr>
          <w:p w14:paraId="1A2168AA">
            <w:pPr>
              <w:spacing w:line="400" w:lineRule="exact"/>
              <w:jc w:val="center"/>
              <w:rPr>
                <w:rFonts w:hint="eastAsia" w:ascii="仿宋" w:hAnsi="仿宋" w:eastAsia="仿宋" w:cs="仿宋"/>
                <w:color w:val="auto"/>
                <w:szCs w:val="21"/>
                <w:highlight w:val="none"/>
              </w:rPr>
            </w:pPr>
          </w:p>
        </w:tc>
        <w:tc>
          <w:tcPr>
            <w:tcW w:w="624" w:type="pct"/>
            <w:vAlign w:val="center"/>
          </w:tcPr>
          <w:p w14:paraId="0EB8F383">
            <w:pPr>
              <w:spacing w:line="400" w:lineRule="exact"/>
              <w:jc w:val="center"/>
              <w:rPr>
                <w:rFonts w:hint="eastAsia" w:ascii="仿宋" w:hAnsi="仿宋" w:eastAsia="仿宋" w:cs="仿宋"/>
                <w:color w:val="auto"/>
                <w:szCs w:val="21"/>
                <w:highlight w:val="none"/>
              </w:rPr>
            </w:pPr>
          </w:p>
        </w:tc>
        <w:tc>
          <w:tcPr>
            <w:tcW w:w="613" w:type="pct"/>
            <w:vAlign w:val="center"/>
          </w:tcPr>
          <w:p w14:paraId="6862B371">
            <w:pPr>
              <w:spacing w:line="400" w:lineRule="exact"/>
              <w:jc w:val="center"/>
              <w:rPr>
                <w:rFonts w:hint="eastAsia" w:ascii="仿宋" w:hAnsi="仿宋" w:eastAsia="仿宋" w:cs="仿宋"/>
                <w:color w:val="auto"/>
                <w:szCs w:val="21"/>
                <w:highlight w:val="none"/>
              </w:rPr>
            </w:pPr>
          </w:p>
        </w:tc>
        <w:tc>
          <w:tcPr>
            <w:tcW w:w="664" w:type="pct"/>
            <w:vAlign w:val="center"/>
          </w:tcPr>
          <w:p w14:paraId="2D8AE180">
            <w:pPr>
              <w:spacing w:line="400" w:lineRule="exact"/>
              <w:jc w:val="center"/>
              <w:rPr>
                <w:rFonts w:hint="eastAsia" w:ascii="仿宋" w:hAnsi="仿宋" w:eastAsia="仿宋" w:cs="仿宋"/>
                <w:color w:val="auto"/>
                <w:szCs w:val="21"/>
                <w:highlight w:val="none"/>
              </w:rPr>
            </w:pPr>
          </w:p>
        </w:tc>
        <w:tc>
          <w:tcPr>
            <w:tcW w:w="649" w:type="pct"/>
            <w:vAlign w:val="center"/>
          </w:tcPr>
          <w:p w14:paraId="43F9B11C">
            <w:pPr>
              <w:spacing w:line="400" w:lineRule="exact"/>
              <w:jc w:val="center"/>
              <w:rPr>
                <w:rFonts w:hint="eastAsia" w:ascii="仿宋" w:hAnsi="仿宋" w:eastAsia="仿宋" w:cs="仿宋"/>
                <w:color w:val="auto"/>
                <w:szCs w:val="21"/>
                <w:highlight w:val="none"/>
              </w:rPr>
            </w:pPr>
          </w:p>
        </w:tc>
      </w:tr>
      <w:tr w14:paraId="2DB9E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5000" w:type="pct"/>
            <w:gridSpan w:val="8"/>
            <w:vAlign w:val="center"/>
          </w:tcPr>
          <w:p w14:paraId="0BA0AA82">
            <w:pPr>
              <w:spacing w:line="400" w:lineRule="exact"/>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 xml:space="preserve">人民币合计金额（含税）(大写) </w:t>
            </w:r>
            <w:r>
              <w:rPr>
                <w:rFonts w:hint="eastAsia" w:ascii="仿宋" w:hAnsi="仿宋" w:eastAsia="仿宋" w:cs="仿宋"/>
                <w:b/>
                <w:bCs/>
                <w:color w:val="auto"/>
                <w:szCs w:val="21"/>
                <w:highlight w:val="none"/>
                <w:u w:val="single"/>
              </w:rPr>
              <w:t xml:space="preserve">             </w:t>
            </w:r>
            <w:r>
              <w:rPr>
                <w:rFonts w:hint="eastAsia" w:ascii="仿宋" w:hAnsi="仿宋" w:eastAsia="仿宋" w:cs="仿宋"/>
                <w:b/>
                <w:bCs/>
                <w:color w:val="auto"/>
                <w:szCs w:val="21"/>
                <w:highlight w:val="none"/>
              </w:rPr>
              <w:t>元整(小写)（¥</w:t>
            </w:r>
            <w:r>
              <w:rPr>
                <w:rFonts w:hint="eastAsia" w:ascii="仿宋" w:hAnsi="仿宋" w:eastAsia="仿宋" w:cs="仿宋"/>
                <w:b/>
                <w:bCs/>
                <w:color w:val="auto"/>
                <w:szCs w:val="21"/>
                <w:highlight w:val="none"/>
                <w:u w:val="single"/>
              </w:rPr>
              <w:t xml:space="preserve">       </w:t>
            </w:r>
            <w:r>
              <w:rPr>
                <w:rFonts w:hint="eastAsia" w:ascii="仿宋" w:hAnsi="仿宋" w:eastAsia="仿宋" w:cs="仿宋"/>
                <w:b/>
                <w:bCs/>
                <w:color w:val="auto"/>
                <w:szCs w:val="21"/>
                <w:highlight w:val="none"/>
              </w:rPr>
              <w:t xml:space="preserve">） </w:t>
            </w:r>
          </w:p>
        </w:tc>
      </w:tr>
      <w:tr w14:paraId="7D68BC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27" w:hRule="atLeast"/>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14:paraId="01B44FDF">
            <w:pPr>
              <w:snapToGrid w:val="0"/>
              <w:spacing w:line="3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投标货物中，属于小微企业生产的产品总值为￥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，占本投标报价的比例为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；属于优先采购节能产品总值为￥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，占本投标报价的比例为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；属于优先采购环境标志产品总值为￥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，占本投标报价的比例为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tc>
      </w:tr>
    </w:tbl>
    <w:p w14:paraId="36201DC7">
      <w:pPr>
        <w:snapToGrid w:val="0"/>
        <w:spacing w:before="50" w:after="50" w:line="24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注: </w:t>
      </w:r>
    </w:p>
    <w:p w14:paraId="09233E47">
      <w:pPr>
        <w:snapToGrid w:val="0"/>
        <w:spacing w:before="50" w:after="50" w:line="24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1.投标人的报价明细表必须加盖投标人（盖公章或电子签章）并由法定代表人或者委托代理人（签字或者电子签名），</w:t>
      </w:r>
      <w:r>
        <w:rPr>
          <w:rFonts w:hint="eastAsia" w:ascii="仿宋" w:hAnsi="仿宋" w:eastAsia="仿宋" w:cs="仿宋"/>
          <w:b/>
          <w:color w:val="auto"/>
          <w:sz w:val="24"/>
          <w:highlight w:val="none"/>
        </w:rPr>
        <w:t>否则其投标作无效标处理</w:t>
      </w:r>
      <w:r>
        <w:rPr>
          <w:rFonts w:hint="eastAsia" w:ascii="仿宋" w:hAnsi="仿宋" w:eastAsia="仿宋" w:cs="仿宋"/>
          <w:color w:val="auto"/>
          <w:sz w:val="24"/>
          <w:highlight w:val="none"/>
        </w:rPr>
        <w:t>。</w:t>
      </w:r>
    </w:p>
    <w:p w14:paraId="2818DB3F">
      <w:pPr>
        <w:snapToGrid w:val="0"/>
        <w:spacing w:before="50" w:after="50" w:line="240" w:lineRule="auto"/>
        <w:ind w:firstLine="480" w:firstLineChars="200"/>
        <w:jc w:val="left"/>
        <w:rPr>
          <w:rFonts w:hint="eastAsia" w:ascii="仿宋" w:hAnsi="仿宋" w:eastAsia="仿宋" w:cs="仿宋"/>
          <w:b/>
          <w:color w:val="auto"/>
          <w:sz w:val="24"/>
          <w:highlight w:val="none"/>
        </w:rPr>
      </w:pPr>
      <w:r>
        <w:rPr>
          <w:rFonts w:hint="eastAsia" w:ascii="仿宋" w:hAnsi="仿宋" w:eastAsia="仿宋" w:cs="仿宋"/>
          <w:bCs/>
          <w:color w:val="auto"/>
          <w:sz w:val="24"/>
          <w:highlight w:val="none"/>
        </w:rPr>
        <w:t>2.</w:t>
      </w:r>
      <w:r>
        <w:rPr>
          <w:rFonts w:hint="eastAsia" w:ascii="仿宋" w:hAnsi="仿宋" w:eastAsia="仿宋" w:cs="仿宋"/>
          <w:color w:val="auto"/>
          <w:sz w:val="24"/>
          <w:highlight w:val="none"/>
        </w:rPr>
        <w:t>报价一经涂改，应在涂改处加盖投标人（盖公章或电子签章）或者由法定代表人或者授权委托人（签字或者电子签名）</w:t>
      </w:r>
      <w:r>
        <w:rPr>
          <w:rFonts w:hint="eastAsia" w:ascii="仿宋" w:hAnsi="仿宋" w:eastAsia="仿宋" w:cs="仿宋"/>
          <w:b/>
          <w:color w:val="auto"/>
          <w:sz w:val="24"/>
          <w:highlight w:val="none"/>
        </w:rPr>
        <w:t>，否则其投标作无效标处理。</w:t>
      </w:r>
    </w:p>
    <w:p w14:paraId="5C9FD53B">
      <w:pPr>
        <w:snapToGrid w:val="0"/>
        <w:spacing w:before="50" w:after="50" w:line="24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3.招标文件中列明采购专用耗材的，应按招标文件规定的耗材量或者按耗材的常规试用量提供报价。</w:t>
      </w:r>
    </w:p>
    <w:p w14:paraId="7AC40E00">
      <w:pPr>
        <w:snapToGrid w:val="0"/>
        <w:spacing w:before="50" w:after="50" w:line="24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4.如为联合体投标，“投标人名称”处必须列明联合体各方名称，并标注联合体牵头人名称，</w:t>
      </w:r>
      <w:r>
        <w:rPr>
          <w:rFonts w:hint="eastAsia" w:ascii="仿宋" w:hAnsi="仿宋" w:eastAsia="仿宋" w:cs="仿宋"/>
          <w:b/>
          <w:color w:val="auto"/>
          <w:sz w:val="24"/>
          <w:highlight w:val="none"/>
        </w:rPr>
        <w:t>否则其投标作无效标处理。</w:t>
      </w:r>
    </w:p>
    <w:p w14:paraId="4E5A0079">
      <w:pPr>
        <w:snapToGrid w:val="0"/>
        <w:spacing w:before="50" w:after="50" w:line="24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5.如为联合体投标，盖章处须加盖联合体各方公章或电子签章，</w:t>
      </w:r>
      <w:r>
        <w:rPr>
          <w:rFonts w:hint="eastAsia" w:ascii="仿宋" w:hAnsi="仿宋" w:eastAsia="仿宋" w:cs="仿宋"/>
          <w:b/>
          <w:color w:val="auto"/>
          <w:sz w:val="24"/>
          <w:highlight w:val="none"/>
        </w:rPr>
        <w:t>否则其投标作无效标处理。</w:t>
      </w:r>
    </w:p>
    <w:p w14:paraId="64ECEF1C">
      <w:pPr>
        <w:tabs>
          <w:tab w:val="left" w:pos="8931"/>
        </w:tabs>
        <w:snapToGrid w:val="0"/>
        <w:spacing w:before="120" w:beforeLines="50" w:line="360" w:lineRule="auto"/>
        <w:ind w:left="1" w:right="480" w:firstLine="1699" w:firstLineChars="708"/>
        <w:rPr>
          <w:rFonts w:hint="eastAsia" w:ascii="仿宋" w:hAnsi="仿宋" w:eastAsia="仿宋" w:cs="仿宋"/>
          <w:color w:val="auto"/>
          <w:sz w:val="24"/>
          <w:highlight w:val="none"/>
        </w:rPr>
      </w:pPr>
    </w:p>
    <w:p w14:paraId="6DD10024">
      <w:pPr>
        <w:tabs>
          <w:tab w:val="left" w:pos="8931"/>
        </w:tabs>
        <w:snapToGrid w:val="0"/>
        <w:spacing w:before="120" w:beforeLines="50" w:line="360" w:lineRule="auto"/>
        <w:ind w:left="1" w:right="480" w:firstLine="1699" w:firstLineChars="708"/>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法定代表人或者委托代理人（签字或者电子签名）：</w:t>
      </w:r>
      <w:r>
        <w:rPr>
          <w:rFonts w:hint="eastAsia" w:ascii="仿宋" w:hAnsi="仿宋" w:eastAsia="仿宋" w:cs="仿宋"/>
          <w:color w:val="auto"/>
          <w:sz w:val="24"/>
          <w:highlight w:val="none"/>
          <w:u w:val="single"/>
        </w:rPr>
        <w:t xml:space="preserve">                  </w:t>
      </w:r>
    </w:p>
    <w:p w14:paraId="05FF4B49">
      <w:pPr>
        <w:tabs>
          <w:tab w:val="left" w:pos="8931"/>
        </w:tabs>
        <w:snapToGrid w:val="0"/>
        <w:spacing w:before="120" w:beforeLines="50" w:after="50" w:line="360" w:lineRule="auto"/>
        <w:ind w:left="1" w:right="480" w:firstLine="1699" w:firstLineChars="708"/>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投标人（盖公章或电子签章）：</w:t>
      </w:r>
      <w:r>
        <w:rPr>
          <w:rFonts w:hint="eastAsia" w:ascii="仿宋" w:hAnsi="仿宋" w:eastAsia="仿宋" w:cs="仿宋"/>
          <w:color w:val="auto"/>
          <w:sz w:val="24"/>
          <w:highlight w:val="none"/>
          <w:u w:val="single"/>
        </w:rPr>
        <w:t xml:space="preserve">                 </w:t>
      </w:r>
    </w:p>
    <w:p w14:paraId="05E8984D">
      <w:pPr>
        <w:tabs>
          <w:tab w:val="left" w:pos="8931"/>
        </w:tabs>
        <w:snapToGrid w:val="0"/>
        <w:spacing w:before="120" w:beforeLines="50" w:after="50" w:line="360" w:lineRule="auto"/>
        <w:ind w:left="1" w:right="480" w:firstLine="1699" w:firstLineChars="708"/>
        <w:rPr>
          <w:rFonts w:hint="eastAsia" w:ascii="仿宋" w:hAnsi="仿宋" w:eastAsia="仿宋" w:cs="仿宋"/>
          <w:color w:val="auto"/>
          <w:szCs w:val="21"/>
          <w:highlight w:val="none"/>
        </w:rPr>
      </w:pPr>
      <w:r>
        <w:rPr>
          <w:rFonts w:hint="eastAsia" w:ascii="仿宋" w:hAnsi="仿宋" w:eastAsia="仿宋" w:cs="仿宋"/>
          <w:color w:val="auto"/>
          <w:sz w:val="24"/>
          <w:highlight w:val="none"/>
        </w:rPr>
        <w:t>年    月    日</w:t>
      </w:r>
    </w:p>
    <w:bookmarkEnd w:id="171"/>
    <w:bookmarkEnd w:id="172"/>
    <w:p w14:paraId="1B87E607">
      <w:pPr>
        <w:snapToGrid w:val="0"/>
        <w:spacing w:before="120" w:beforeLines="50" w:after="5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br w:type="page"/>
      </w:r>
      <w:r>
        <w:rPr>
          <w:rFonts w:hint="eastAsia" w:ascii="仿宋" w:hAnsi="仿宋" w:eastAsia="仿宋" w:cs="仿宋"/>
          <w:b/>
          <w:color w:val="auto"/>
          <w:sz w:val="24"/>
          <w:highlight w:val="none"/>
        </w:rPr>
        <w:t>投标人直接控股、管理关系信息表</w:t>
      </w:r>
    </w:p>
    <w:p w14:paraId="77C17EF1">
      <w:pPr>
        <w:snapToGrid w:val="0"/>
        <w:spacing w:before="240" w:after="120" w:afterLines="50"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投标人直接控股股东信息表</w:t>
      </w:r>
    </w:p>
    <w:tbl>
      <w:tblPr>
        <w:tblStyle w:val="45"/>
        <w:tblW w:w="0" w:type="auto"/>
        <w:jc w:val="center"/>
        <w:shd w:val="clear" w:color="auto" w:fill="FBFBFB"/>
        <w:tblLayout w:type="fixed"/>
        <w:tblCellMar>
          <w:top w:w="0" w:type="dxa"/>
          <w:left w:w="0" w:type="dxa"/>
          <w:bottom w:w="0" w:type="dxa"/>
          <w:right w:w="0" w:type="dxa"/>
        </w:tblCellMar>
      </w:tblPr>
      <w:tblGrid>
        <w:gridCol w:w="740"/>
        <w:gridCol w:w="2028"/>
        <w:gridCol w:w="1107"/>
        <w:gridCol w:w="3454"/>
        <w:gridCol w:w="1140"/>
      </w:tblGrid>
      <w:tr w14:paraId="4BA4C72C">
        <w:tblPrEx>
          <w:shd w:val="clear" w:color="auto" w:fill="FBFBFB"/>
          <w:tblCellMar>
            <w:top w:w="0" w:type="dxa"/>
            <w:left w:w="0" w:type="dxa"/>
            <w:bottom w:w="0" w:type="dxa"/>
            <w:right w:w="0" w:type="dxa"/>
          </w:tblCellMar>
        </w:tblPrEx>
        <w:trPr>
          <w:trHeight w:val="367" w:hRule="atLeast"/>
          <w:tblHeader/>
          <w:jc w:val="center"/>
        </w:trPr>
        <w:tc>
          <w:tcPr>
            <w:tcW w:w="74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5B700D6">
            <w:pPr>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序号</w:t>
            </w:r>
          </w:p>
        </w:tc>
        <w:tc>
          <w:tcPr>
            <w:tcW w:w="20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530DFFA">
            <w:pPr>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直接控股股东名称</w:t>
            </w:r>
          </w:p>
        </w:tc>
        <w:tc>
          <w:tcPr>
            <w:tcW w:w="1107"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39F715C">
            <w:pPr>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出资比例</w:t>
            </w:r>
          </w:p>
        </w:tc>
        <w:tc>
          <w:tcPr>
            <w:tcW w:w="345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D354FF6">
            <w:pPr>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身份证号码或者统一社会信用代码</w:t>
            </w:r>
          </w:p>
        </w:tc>
        <w:tc>
          <w:tcPr>
            <w:tcW w:w="114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4CC3B84">
            <w:pPr>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备注</w:t>
            </w:r>
          </w:p>
        </w:tc>
      </w:tr>
      <w:tr w14:paraId="608ED639">
        <w:tblPrEx>
          <w:shd w:val="clear" w:color="auto" w:fill="FBFBFB"/>
          <w:tblCellMar>
            <w:top w:w="0" w:type="dxa"/>
            <w:left w:w="0" w:type="dxa"/>
            <w:bottom w:w="0" w:type="dxa"/>
            <w:right w:w="0" w:type="dxa"/>
          </w:tblCellMar>
        </w:tblPrEx>
        <w:trPr>
          <w:trHeight w:val="382" w:hRule="atLeast"/>
          <w:jc w:val="center"/>
        </w:trPr>
        <w:tc>
          <w:tcPr>
            <w:tcW w:w="74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410DE36">
            <w:pPr>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20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7CD1AA0">
            <w:pPr>
              <w:spacing w:line="360" w:lineRule="auto"/>
              <w:jc w:val="center"/>
              <w:rPr>
                <w:rFonts w:hint="eastAsia" w:ascii="仿宋" w:hAnsi="仿宋" w:eastAsia="仿宋" w:cs="仿宋"/>
                <w:color w:val="auto"/>
                <w:kern w:val="0"/>
                <w:sz w:val="24"/>
                <w:highlight w:val="none"/>
              </w:rPr>
            </w:pPr>
          </w:p>
        </w:tc>
        <w:tc>
          <w:tcPr>
            <w:tcW w:w="110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F1300D5">
            <w:pPr>
              <w:spacing w:line="360" w:lineRule="auto"/>
              <w:jc w:val="center"/>
              <w:rPr>
                <w:rFonts w:hint="eastAsia" w:ascii="仿宋" w:hAnsi="仿宋" w:eastAsia="仿宋" w:cs="仿宋"/>
                <w:color w:val="auto"/>
                <w:kern w:val="0"/>
                <w:sz w:val="24"/>
                <w:highlight w:val="none"/>
              </w:rPr>
            </w:pPr>
          </w:p>
        </w:tc>
        <w:tc>
          <w:tcPr>
            <w:tcW w:w="345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3A4608D">
            <w:pPr>
              <w:spacing w:line="360" w:lineRule="auto"/>
              <w:jc w:val="center"/>
              <w:rPr>
                <w:rFonts w:hint="eastAsia" w:ascii="仿宋" w:hAnsi="仿宋" w:eastAsia="仿宋" w:cs="仿宋"/>
                <w:color w:val="auto"/>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F0281FA">
            <w:pPr>
              <w:spacing w:line="360" w:lineRule="auto"/>
              <w:jc w:val="center"/>
              <w:rPr>
                <w:rFonts w:hint="eastAsia" w:ascii="仿宋" w:hAnsi="仿宋" w:eastAsia="仿宋" w:cs="仿宋"/>
                <w:color w:val="auto"/>
                <w:kern w:val="0"/>
                <w:sz w:val="24"/>
                <w:highlight w:val="none"/>
              </w:rPr>
            </w:pPr>
          </w:p>
        </w:tc>
      </w:tr>
      <w:tr w14:paraId="5FC4E0B3">
        <w:tblPrEx>
          <w:tblCellMar>
            <w:top w:w="0" w:type="dxa"/>
            <w:left w:w="0" w:type="dxa"/>
            <w:bottom w:w="0" w:type="dxa"/>
            <w:right w:w="0" w:type="dxa"/>
          </w:tblCellMar>
        </w:tblPrEx>
        <w:trPr>
          <w:trHeight w:val="367" w:hRule="atLeast"/>
          <w:jc w:val="center"/>
        </w:trPr>
        <w:tc>
          <w:tcPr>
            <w:tcW w:w="74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CCAB505">
            <w:pPr>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p>
        </w:tc>
        <w:tc>
          <w:tcPr>
            <w:tcW w:w="20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EC9E184">
            <w:pPr>
              <w:spacing w:line="360" w:lineRule="auto"/>
              <w:jc w:val="center"/>
              <w:rPr>
                <w:rFonts w:hint="eastAsia" w:ascii="仿宋" w:hAnsi="仿宋" w:eastAsia="仿宋" w:cs="仿宋"/>
                <w:color w:val="auto"/>
                <w:kern w:val="0"/>
                <w:sz w:val="24"/>
                <w:highlight w:val="none"/>
              </w:rPr>
            </w:pPr>
          </w:p>
        </w:tc>
        <w:tc>
          <w:tcPr>
            <w:tcW w:w="110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EC0BC7E">
            <w:pPr>
              <w:spacing w:line="360" w:lineRule="auto"/>
              <w:jc w:val="center"/>
              <w:rPr>
                <w:rFonts w:hint="eastAsia" w:ascii="仿宋" w:hAnsi="仿宋" w:eastAsia="仿宋" w:cs="仿宋"/>
                <w:color w:val="auto"/>
                <w:kern w:val="0"/>
                <w:sz w:val="24"/>
                <w:highlight w:val="none"/>
              </w:rPr>
            </w:pPr>
          </w:p>
        </w:tc>
        <w:tc>
          <w:tcPr>
            <w:tcW w:w="345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D015512">
            <w:pPr>
              <w:spacing w:line="360" w:lineRule="auto"/>
              <w:jc w:val="center"/>
              <w:rPr>
                <w:rFonts w:hint="eastAsia" w:ascii="仿宋" w:hAnsi="仿宋" w:eastAsia="仿宋" w:cs="仿宋"/>
                <w:color w:val="auto"/>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54962AD">
            <w:pPr>
              <w:spacing w:line="360" w:lineRule="auto"/>
              <w:jc w:val="center"/>
              <w:rPr>
                <w:rFonts w:hint="eastAsia" w:ascii="仿宋" w:hAnsi="仿宋" w:eastAsia="仿宋" w:cs="仿宋"/>
                <w:color w:val="auto"/>
                <w:kern w:val="0"/>
                <w:sz w:val="24"/>
                <w:highlight w:val="none"/>
              </w:rPr>
            </w:pPr>
          </w:p>
        </w:tc>
      </w:tr>
      <w:tr w14:paraId="61FE8476">
        <w:tblPrEx>
          <w:tblCellMar>
            <w:top w:w="0" w:type="dxa"/>
            <w:left w:w="0" w:type="dxa"/>
            <w:bottom w:w="0" w:type="dxa"/>
            <w:right w:w="0" w:type="dxa"/>
          </w:tblCellMar>
        </w:tblPrEx>
        <w:trPr>
          <w:trHeight w:val="367" w:hRule="atLeast"/>
          <w:jc w:val="center"/>
        </w:trPr>
        <w:tc>
          <w:tcPr>
            <w:tcW w:w="74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B7223CE">
            <w:pPr>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w:t>
            </w:r>
          </w:p>
        </w:tc>
        <w:tc>
          <w:tcPr>
            <w:tcW w:w="20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BB1339C">
            <w:pPr>
              <w:spacing w:line="360" w:lineRule="auto"/>
              <w:jc w:val="center"/>
              <w:rPr>
                <w:rFonts w:hint="eastAsia" w:ascii="仿宋" w:hAnsi="仿宋" w:eastAsia="仿宋" w:cs="仿宋"/>
                <w:color w:val="auto"/>
                <w:kern w:val="0"/>
                <w:sz w:val="24"/>
                <w:highlight w:val="none"/>
              </w:rPr>
            </w:pPr>
          </w:p>
        </w:tc>
        <w:tc>
          <w:tcPr>
            <w:tcW w:w="110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8C18483">
            <w:pPr>
              <w:spacing w:line="360" w:lineRule="auto"/>
              <w:jc w:val="center"/>
              <w:rPr>
                <w:rFonts w:hint="eastAsia" w:ascii="仿宋" w:hAnsi="仿宋" w:eastAsia="仿宋" w:cs="仿宋"/>
                <w:color w:val="auto"/>
                <w:kern w:val="0"/>
                <w:sz w:val="24"/>
                <w:highlight w:val="none"/>
              </w:rPr>
            </w:pPr>
          </w:p>
        </w:tc>
        <w:tc>
          <w:tcPr>
            <w:tcW w:w="345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D150C3C">
            <w:pPr>
              <w:spacing w:line="360" w:lineRule="auto"/>
              <w:jc w:val="center"/>
              <w:rPr>
                <w:rFonts w:hint="eastAsia" w:ascii="仿宋" w:hAnsi="仿宋" w:eastAsia="仿宋" w:cs="仿宋"/>
                <w:color w:val="auto"/>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D09FB9E">
            <w:pPr>
              <w:spacing w:line="360" w:lineRule="auto"/>
              <w:jc w:val="center"/>
              <w:rPr>
                <w:rFonts w:hint="eastAsia" w:ascii="仿宋" w:hAnsi="仿宋" w:eastAsia="仿宋" w:cs="仿宋"/>
                <w:color w:val="auto"/>
                <w:kern w:val="0"/>
                <w:sz w:val="24"/>
                <w:highlight w:val="none"/>
              </w:rPr>
            </w:pPr>
          </w:p>
        </w:tc>
      </w:tr>
      <w:tr w14:paraId="4715E3AE">
        <w:tblPrEx>
          <w:tblCellMar>
            <w:top w:w="0" w:type="dxa"/>
            <w:left w:w="0" w:type="dxa"/>
            <w:bottom w:w="0" w:type="dxa"/>
            <w:right w:w="0" w:type="dxa"/>
          </w:tblCellMar>
        </w:tblPrEx>
        <w:trPr>
          <w:trHeight w:val="367" w:hRule="atLeast"/>
          <w:jc w:val="center"/>
        </w:trPr>
        <w:tc>
          <w:tcPr>
            <w:tcW w:w="74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EB6DF2A">
            <w:pPr>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w:t>
            </w:r>
          </w:p>
        </w:tc>
        <w:tc>
          <w:tcPr>
            <w:tcW w:w="20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8AFB639">
            <w:pPr>
              <w:spacing w:line="360" w:lineRule="auto"/>
              <w:jc w:val="center"/>
              <w:rPr>
                <w:rFonts w:hint="eastAsia" w:ascii="仿宋" w:hAnsi="仿宋" w:eastAsia="仿宋" w:cs="仿宋"/>
                <w:color w:val="auto"/>
                <w:kern w:val="0"/>
                <w:sz w:val="24"/>
                <w:highlight w:val="none"/>
              </w:rPr>
            </w:pPr>
          </w:p>
        </w:tc>
        <w:tc>
          <w:tcPr>
            <w:tcW w:w="110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0CD7560">
            <w:pPr>
              <w:spacing w:line="360" w:lineRule="auto"/>
              <w:jc w:val="center"/>
              <w:rPr>
                <w:rFonts w:hint="eastAsia" w:ascii="仿宋" w:hAnsi="仿宋" w:eastAsia="仿宋" w:cs="仿宋"/>
                <w:color w:val="auto"/>
                <w:kern w:val="0"/>
                <w:sz w:val="24"/>
                <w:highlight w:val="none"/>
              </w:rPr>
            </w:pPr>
          </w:p>
        </w:tc>
        <w:tc>
          <w:tcPr>
            <w:tcW w:w="345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940FD4D">
            <w:pPr>
              <w:spacing w:line="360" w:lineRule="auto"/>
              <w:jc w:val="center"/>
              <w:rPr>
                <w:rFonts w:hint="eastAsia" w:ascii="仿宋" w:hAnsi="仿宋" w:eastAsia="仿宋" w:cs="仿宋"/>
                <w:color w:val="auto"/>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8781625">
            <w:pPr>
              <w:spacing w:line="360" w:lineRule="auto"/>
              <w:jc w:val="center"/>
              <w:rPr>
                <w:rFonts w:hint="eastAsia" w:ascii="仿宋" w:hAnsi="仿宋" w:eastAsia="仿宋" w:cs="仿宋"/>
                <w:color w:val="auto"/>
                <w:kern w:val="0"/>
                <w:sz w:val="24"/>
                <w:highlight w:val="none"/>
              </w:rPr>
            </w:pPr>
          </w:p>
        </w:tc>
      </w:tr>
    </w:tbl>
    <w:p w14:paraId="6AAA2EE5">
      <w:p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p>
    <w:p w14:paraId="0BF220BD">
      <w:p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34E8A75">
      <w:p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2.本表所指的控股关系仅限于直接控股关系，不包括间接的控股关系。公司实际控制人与公司之间的关系不属于本表所指的直接控股关系。</w:t>
      </w:r>
    </w:p>
    <w:p w14:paraId="75DD31DE">
      <w:p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3.供应商不存在直接控股股东的，则填“无”。</w:t>
      </w:r>
    </w:p>
    <w:p w14:paraId="39B81945">
      <w:pPr>
        <w:snapToGrid w:val="0"/>
        <w:spacing w:line="360" w:lineRule="auto"/>
        <w:jc w:val="left"/>
        <w:rPr>
          <w:rFonts w:hint="eastAsia" w:ascii="仿宋" w:hAnsi="仿宋" w:eastAsia="仿宋" w:cs="仿宋"/>
          <w:color w:val="auto"/>
          <w:sz w:val="24"/>
          <w:highlight w:val="none"/>
        </w:rPr>
      </w:pPr>
    </w:p>
    <w:p w14:paraId="5C06983E">
      <w:pPr>
        <w:snapToGrid w:val="0"/>
        <w:spacing w:line="360" w:lineRule="auto"/>
        <w:jc w:val="left"/>
        <w:rPr>
          <w:rFonts w:hint="eastAsia" w:ascii="仿宋" w:hAnsi="仿宋" w:eastAsia="仿宋" w:cs="仿宋"/>
          <w:color w:val="auto"/>
          <w:sz w:val="24"/>
          <w:highlight w:val="none"/>
        </w:rPr>
      </w:pPr>
    </w:p>
    <w:p w14:paraId="109065FF">
      <w:pPr>
        <w:snapToGrid w:val="0"/>
        <w:spacing w:before="120" w:beforeLines="50" w:line="360" w:lineRule="auto"/>
        <w:ind w:right="-1" w:firstLine="1132" w:firstLineChars="472"/>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法定代表人或者委托代理人（签字或者电子签名）：</w:t>
      </w:r>
      <w:r>
        <w:rPr>
          <w:rFonts w:hint="eastAsia" w:ascii="仿宋" w:hAnsi="仿宋" w:eastAsia="仿宋" w:cs="仿宋"/>
          <w:color w:val="auto"/>
          <w:sz w:val="24"/>
          <w:highlight w:val="none"/>
          <w:u w:val="single"/>
        </w:rPr>
        <w:t xml:space="preserve">                  </w:t>
      </w:r>
    </w:p>
    <w:p w14:paraId="3D38CBF0">
      <w:pPr>
        <w:snapToGrid w:val="0"/>
        <w:spacing w:before="120" w:beforeLines="50" w:after="50" w:line="360" w:lineRule="auto"/>
        <w:ind w:right="-1" w:firstLine="1132" w:firstLineChars="472"/>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投标人（盖公章或电子签章）：</w:t>
      </w:r>
      <w:r>
        <w:rPr>
          <w:rFonts w:hint="eastAsia" w:ascii="仿宋" w:hAnsi="仿宋" w:eastAsia="仿宋" w:cs="仿宋"/>
          <w:color w:val="auto"/>
          <w:sz w:val="24"/>
          <w:highlight w:val="none"/>
          <w:u w:val="single"/>
        </w:rPr>
        <w:t xml:space="preserve">                 </w:t>
      </w:r>
    </w:p>
    <w:p w14:paraId="4E2D6438">
      <w:pPr>
        <w:snapToGrid w:val="0"/>
        <w:spacing w:before="120" w:beforeLines="50" w:after="50" w:line="360" w:lineRule="auto"/>
        <w:ind w:right="-1" w:firstLine="1132" w:firstLineChars="472"/>
        <w:rPr>
          <w:rFonts w:hint="eastAsia" w:ascii="仿宋" w:hAnsi="仿宋" w:eastAsia="仿宋" w:cs="仿宋"/>
          <w:color w:val="auto"/>
          <w:sz w:val="24"/>
          <w:highlight w:val="none"/>
        </w:rPr>
      </w:pPr>
      <w:r>
        <w:rPr>
          <w:rFonts w:hint="eastAsia" w:ascii="仿宋" w:hAnsi="仿宋" w:eastAsia="仿宋" w:cs="仿宋"/>
          <w:color w:val="auto"/>
          <w:sz w:val="24"/>
          <w:highlight w:val="none"/>
        </w:rPr>
        <w:t>年    月    日</w:t>
      </w:r>
    </w:p>
    <w:p w14:paraId="0FBFB7E9">
      <w:pPr>
        <w:snapToGrid w:val="0"/>
        <w:jc w:val="center"/>
        <w:rPr>
          <w:rFonts w:hint="eastAsia" w:ascii="仿宋" w:hAnsi="仿宋" w:eastAsia="仿宋" w:cs="仿宋"/>
          <w:b/>
          <w:color w:val="auto"/>
          <w:sz w:val="28"/>
          <w:szCs w:val="28"/>
          <w:highlight w:val="none"/>
        </w:rPr>
      </w:pPr>
      <w:r>
        <w:rPr>
          <w:rFonts w:hint="eastAsia" w:ascii="仿宋" w:hAnsi="仿宋" w:eastAsia="仿宋" w:cs="仿宋"/>
          <w:b/>
          <w:color w:val="auto"/>
          <w:szCs w:val="21"/>
          <w:highlight w:val="none"/>
        </w:rPr>
        <w:br w:type="page"/>
      </w:r>
    </w:p>
    <w:p w14:paraId="26F83F85">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b/>
          <w:color w:val="auto"/>
          <w:sz w:val="24"/>
          <w:highlight w:val="none"/>
        </w:rPr>
        <w:t>投标人直接管理关系信息表</w:t>
      </w:r>
    </w:p>
    <w:tbl>
      <w:tblPr>
        <w:tblStyle w:val="45"/>
        <w:tblW w:w="8675" w:type="dxa"/>
        <w:jc w:val="center"/>
        <w:shd w:val="clear" w:color="auto" w:fill="FBFBFB"/>
        <w:tblLayout w:type="fixed"/>
        <w:tblCellMar>
          <w:top w:w="0" w:type="dxa"/>
          <w:left w:w="0" w:type="dxa"/>
          <w:bottom w:w="0" w:type="dxa"/>
          <w:right w:w="0" w:type="dxa"/>
        </w:tblCellMar>
      </w:tblPr>
      <w:tblGrid>
        <w:gridCol w:w="902"/>
        <w:gridCol w:w="2390"/>
        <w:gridCol w:w="3528"/>
        <w:gridCol w:w="1855"/>
      </w:tblGrid>
      <w:tr w14:paraId="09975F99">
        <w:tblPrEx>
          <w:shd w:val="clear" w:color="auto" w:fill="FBFBFB"/>
          <w:tblCellMar>
            <w:top w:w="0" w:type="dxa"/>
            <w:left w:w="0" w:type="dxa"/>
            <w:bottom w:w="0" w:type="dxa"/>
            <w:right w:w="0" w:type="dxa"/>
          </w:tblCellMar>
        </w:tblPrEx>
        <w:trPr>
          <w:trHeight w:val="377" w:hRule="atLeast"/>
          <w:tblHeader/>
          <w:jc w:val="center"/>
        </w:trPr>
        <w:tc>
          <w:tcPr>
            <w:tcW w:w="90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BEE352B">
            <w:pPr>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序号</w:t>
            </w:r>
          </w:p>
        </w:tc>
        <w:tc>
          <w:tcPr>
            <w:tcW w:w="239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825BB7F">
            <w:pPr>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直接管理关系单位名称</w:t>
            </w:r>
          </w:p>
        </w:tc>
        <w:tc>
          <w:tcPr>
            <w:tcW w:w="35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E2C1DEC">
            <w:pPr>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统一社会信用代码</w:t>
            </w:r>
          </w:p>
        </w:tc>
        <w:tc>
          <w:tcPr>
            <w:tcW w:w="185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BFE3826">
            <w:pPr>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备注</w:t>
            </w:r>
          </w:p>
        </w:tc>
      </w:tr>
      <w:tr w14:paraId="05DC6590">
        <w:tblPrEx>
          <w:tblCellMar>
            <w:top w:w="0" w:type="dxa"/>
            <w:left w:w="0" w:type="dxa"/>
            <w:bottom w:w="0" w:type="dxa"/>
            <w:right w:w="0" w:type="dxa"/>
          </w:tblCellMar>
        </w:tblPrEx>
        <w:trPr>
          <w:trHeight w:val="393" w:hRule="atLeast"/>
          <w:jc w:val="center"/>
        </w:trPr>
        <w:tc>
          <w:tcPr>
            <w:tcW w:w="90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FB6024E">
            <w:pPr>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239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70E71E8">
            <w:pPr>
              <w:spacing w:line="360" w:lineRule="auto"/>
              <w:jc w:val="center"/>
              <w:rPr>
                <w:rFonts w:hint="eastAsia" w:ascii="仿宋" w:hAnsi="仿宋" w:eastAsia="仿宋" w:cs="仿宋"/>
                <w:color w:val="auto"/>
                <w:kern w:val="0"/>
                <w:sz w:val="24"/>
                <w:highlight w:val="none"/>
              </w:rPr>
            </w:pPr>
          </w:p>
        </w:tc>
        <w:tc>
          <w:tcPr>
            <w:tcW w:w="35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230874C">
            <w:pPr>
              <w:spacing w:line="360" w:lineRule="auto"/>
              <w:jc w:val="center"/>
              <w:rPr>
                <w:rFonts w:hint="eastAsia" w:ascii="仿宋" w:hAnsi="仿宋" w:eastAsia="仿宋" w:cs="仿宋"/>
                <w:color w:val="auto"/>
                <w:kern w:val="0"/>
                <w:sz w:val="24"/>
                <w:highlight w:val="none"/>
              </w:rPr>
            </w:pPr>
          </w:p>
        </w:tc>
        <w:tc>
          <w:tcPr>
            <w:tcW w:w="18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BC863ED">
            <w:pPr>
              <w:spacing w:line="360" w:lineRule="auto"/>
              <w:jc w:val="center"/>
              <w:rPr>
                <w:rFonts w:hint="eastAsia" w:ascii="仿宋" w:hAnsi="仿宋" w:eastAsia="仿宋" w:cs="仿宋"/>
                <w:color w:val="auto"/>
                <w:kern w:val="0"/>
                <w:sz w:val="24"/>
                <w:highlight w:val="none"/>
              </w:rPr>
            </w:pPr>
          </w:p>
        </w:tc>
      </w:tr>
      <w:tr w14:paraId="2E09A289">
        <w:tblPrEx>
          <w:tblCellMar>
            <w:top w:w="0" w:type="dxa"/>
            <w:left w:w="0" w:type="dxa"/>
            <w:bottom w:w="0" w:type="dxa"/>
            <w:right w:w="0" w:type="dxa"/>
          </w:tblCellMar>
        </w:tblPrEx>
        <w:trPr>
          <w:trHeight w:val="377" w:hRule="atLeast"/>
          <w:jc w:val="center"/>
        </w:trPr>
        <w:tc>
          <w:tcPr>
            <w:tcW w:w="90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FD6535C">
            <w:pPr>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p>
        </w:tc>
        <w:tc>
          <w:tcPr>
            <w:tcW w:w="239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B6C08FE">
            <w:pPr>
              <w:spacing w:line="360" w:lineRule="auto"/>
              <w:jc w:val="center"/>
              <w:rPr>
                <w:rFonts w:hint="eastAsia" w:ascii="仿宋" w:hAnsi="仿宋" w:eastAsia="仿宋" w:cs="仿宋"/>
                <w:color w:val="auto"/>
                <w:kern w:val="0"/>
                <w:sz w:val="24"/>
                <w:highlight w:val="none"/>
              </w:rPr>
            </w:pPr>
          </w:p>
        </w:tc>
        <w:tc>
          <w:tcPr>
            <w:tcW w:w="35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F5F1DCB">
            <w:pPr>
              <w:spacing w:line="360" w:lineRule="auto"/>
              <w:jc w:val="center"/>
              <w:rPr>
                <w:rFonts w:hint="eastAsia" w:ascii="仿宋" w:hAnsi="仿宋" w:eastAsia="仿宋" w:cs="仿宋"/>
                <w:color w:val="auto"/>
                <w:kern w:val="0"/>
                <w:sz w:val="24"/>
                <w:highlight w:val="none"/>
              </w:rPr>
            </w:pPr>
          </w:p>
        </w:tc>
        <w:tc>
          <w:tcPr>
            <w:tcW w:w="18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5C65CE2">
            <w:pPr>
              <w:spacing w:line="360" w:lineRule="auto"/>
              <w:jc w:val="center"/>
              <w:rPr>
                <w:rFonts w:hint="eastAsia" w:ascii="仿宋" w:hAnsi="仿宋" w:eastAsia="仿宋" w:cs="仿宋"/>
                <w:color w:val="auto"/>
                <w:kern w:val="0"/>
                <w:sz w:val="24"/>
                <w:highlight w:val="none"/>
              </w:rPr>
            </w:pPr>
          </w:p>
        </w:tc>
      </w:tr>
      <w:tr w14:paraId="56743ED2">
        <w:tblPrEx>
          <w:tblCellMar>
            <w:top w:w="0" w:type="dxa"/>
            <w:left w:w="0" w:type="dxa"/>
            <w:bottom w:w="0" w:type="dxa"/>
            <w:right w:w="0" w:type="dxa"/>
          </w:tblCellMar>
        </w:tblPrEx>
        <w:trPr>
          <w:trHeight w:val="377" w:hRule="atLeast"/>
          <w:jc w:val="center"/>
        </w:trPr>
        <w:tc>
          <w:tcPr>
            <w:tcW w:w="90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3951F05">
            <w:pPr>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w:t>
            </w:r>
          </w:p>
        </w:tc>
        <w:tc>
          <w:tcPr>
            <w:tcW w:w="239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81C8E01">
            <w:pPr>
              <w:spacing w:line="360" w:lineRule="auto"/>
              <w:jc w:val="center"/>
              <w:rPr>
                <w:rFonts w:hint="eastAsia" w:ascii="仿宋" w:hAnsi="仿宋" w:eastAsia="仿宋" w:cs="仿宋"/>
                <w:color w:val="auto"/>
                <w:kern w:val="0"/>
                <w:sz w:val="24"/>
                <w:highlight w:val="none"/>
              </w:rPr>
            </w:pPr>
          </w:p>
        </w:tc>
        <w:tc>
          <w:tcPr>
            <w:tcW w:w="35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0624E1F">
            <w:pPr>
              <w:spacing w:line="360" w:lineRule="auto"/>
              <w:jc w:val="center"/>
              <w:rPr>
                <w:rFonts w:hint="eastAsia" w:ascii="仿宋" w:hAnsi="仿宋" w:eastAsia="仿宋" w:cs="仿宋"/>
                <w:color w:val="auto"/>
                <w:kern w:val="0"/>
                <w:sz w:val="24"/>
                <w:highlight w:val="none"/>
              </w:rPr>
            </w:pPr>
          </w:p>
        </w:tc>
        <w:tc>
          <w:tcPr>
            <w:tcW w:w="18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267402A">
            <w:pPr>
              <w:spacing w:line="360" w:lineRule="auto"/>
              <w:jc w:val="center"/>
              <w:rPr>
                <w:rFonts w:hint="eastAsia" w:ascii="仿宋" w:hAnsi="仿宋" w:eastAsia="仿宋" w:cs="仿宋"/>
                <w:color w:val="auto"/>
                <w:kern w:val="0"/>
                <w:sz w:val="24"/>
                <w:highlight w:val="none"/>
              </w:rPr>
            </w:pPr>
          </w:p>
        </w:tc>
      </w:tr>
      <w:tr w14:paraId="1A3605B3">
        <w:tblPrEx>
          <w:tblCellMar>
            <w:top w:w="0" w:type="dxa"/>
            <w:left w:w="0" w:type="dxa"/>
            <w:bottom w:w="0" w:type="dxa"/>
            <w:right w:w="0" w:type="dxa"/>
          </w:tblCellMar>
        </w:tblPrEx>
        <w:trPr>
          <w:trHeight w:val="377" w:hRule="atLeast"/>
          <w:jc w:val="center"/>
        </w:trPr>
        <w:tc>
          <w:tcPr>
            <w:tcW w:w="90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5E680FB">
            <w:pPr>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w:t>
            </w:r>
          </w:p>
        </w:tc>
        <w:tc>
          <w:tcPr>
            <w:tcW w:w="239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7E3D54E">
            <w:pPr>
              <w:spacing w:line="360" w:lineRule="auto"/>
              <w:jc w:val="center"/>
              <w:rPr>
                <w:rFonts w:hint="eastAsia" w:ascii="仿宋" w:hAnsi="仿宋" w:eastAsia="仿宋" w:cs="仿宋"/>
                <w:color w:val="auto"/>
                <w:kern w:val="0"/>
                <w:sz w:val="24"/>
                <w:highlight w:val="none"/>
              </w:rPr>
            </w:pPr>
          </w:p>
        </w:tc>
        <w:tc>
          <w:tcPr>
            <w:tcW w:w="35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9CF5ACD">
            <w:pPr>
              <w:spacing w:line="360" w:lineRule="auto"/>
              <w:jc w:val="center"/>
              <w:rPr>
                <w:rFonts w:hint="eastAsia" w:ascii="仿宋" w:hAnsi="仿宋" w:eastAsia="仿宋" w:cs="仿宋"/>
                <w:color w:val="auto"/>
                <w:kern w:val="0"/>
                <w:sz w:val="24"/>
                <w:highlight w:val="none"/>
              </w:rPr>
            </w:pPr>
          </w:p>
        </w:tc>
        <w:tc>
          <w:tcPr>
            <w:tcW w:w="18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D25789C">
            <w:pPr>
              <w:spacing w:line="360" w:lineRule="auto"/>
              <w:jc w:val="center"/>
              <w:rPr>
                <w:rFonts w:hint="eastAsia" w:ascii="仿宋" w:hAnsi="仿宋" w:eastAsia="仿宋" w:cs="仿宋"/>
                <w:color w:val="auto"/>
                <w:kern w:val="0"/>
                <w:sz w:val="24"/>
                <w:highlight w:val="none"/>
              </w:rPr>
            </w:pPr>
          </w:p>
        </w:tc>
      </w:tr>
    </w:tbl>
    <w:p w14:paraId="60117063">
      <w:p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p>
    <w:p w14:paraId="3F2E26F5">
      <w:pPr>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1.管理关系：是指不具有出资持股关系的其他单位之间存在的管理与被管理关系，如一些上下级关系的事业单位和团体组织。</w:t>
      </w:r>
    </w:p>
    <w:p w14:paraId="28555998">
      <w:pPr>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pacing w:val="-6"/>
          <w:sz w:val="24"/>
          <w:highlight w:val="none"/>
        </w:rPr>
        <w:t>本表所指的管理关系仅限于直接管理关系，不包括间接的管理关系。</w:t>
      </w:r>
    </w:p>
    <w:p w14:paraId="39FC0A07">
      <w:pPr>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3.供应商不存在直接管理关系的，则填“无”。</w:t>
      </w:r>
    </w:p>
    <w:p w14:paraId="137999D4">
      <w:pPr>
        <w:snapToGrid w:val="0"/>
        <w:spacing w:line="360" w:lineRule="auto"/>
        <w:jc w:val="left"/>
        <w:rPr>
          <w:rFonts w:hint="eastAsia" w:ascii="仿宋" w:hAnsi="仿宋" w:eastAsia="仿宋" w:cs="仿宋"/>
          <w:color w:val="auto"/>
          <w:sz w:val="24"/>
          <w:highlight w:val="none"/>
        </w:rPr>
      </w:pPr>
    </w:p>
    <w:p w14:paraId="2FE96851">
      <w:pPr>
        <w:snapToGrid w:val="0"/>
        <w:spacing w:line="360" w:lineRule="auto"/>
        <w:jc w:val="left"/>
        <w:rPr>
          <w:rFonts w:hint="eastAsia" w:ascii="仿宋" w:hAnsi="仿宋" w:eastAsia="仿宋" w:cs="仿宋"/>
          <w:color w:val="auto"/>
          <w:sz w:val="24"/>
          <w:highlight w:val="none"/>
        </w:rPr>
      </w:pPr>
    </w:p>
    <w:p w14:paraId="541BF365">
      <w:pPr>
        <w:snapToGrid w:val="0"/>
        <w:spacing w:before="120" w:beforeLines="50" w:line="360" w:lineRule="auto"/>
        <w:ind w:right="-1" w:firstLine="2692" w:firstLineChars="1122"/>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法定代表人或者委托代理人（签字或者电子签名）：</w:t>
      </w:r>
      <w:r>
        <w:rPr>
          <w:rFonts w:hint="eastAsia" w:ascii="仿宋" w:hAnsi="仿宋" w:eastAsia="仿宋" w:cs="仿宋"/>
          <w:color w:val="auto"/>
          <w:sz w:val="24"/>
          <w:highlight w:val="none"/>
          <w:u w:val="single"/>
        </w:rPr>
        <w:t xml:space="preserve">           </w:t>
      </w:r>
    </w:p>
    <w:p w14:paraId="15FC3B93">
      <w:pPr>
        <w:snapToGrid w:val="0"/>
        <w:spacing w:before="120" w:beforeLines="50" w:after="50" w:line="360" w:lineRule="auto"/>
        <w:ind w:right="-1" w:firstLine="2692" w:firstLineChars="1122"/>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投标人（盖公章或电子签章）：</w:t>
      </w:r>
      <w:r>
        <w:rPr>
          <w:rFonts w:hint="eastAsia" w:ascii="仿宋" w:hAnsi="仿宋" w:eastAsia="仿宋" w:cs="仿宋"/>
          <w:color w:val="auto"/>
          <w:sz w:val="24"/>
          <w:highlight w:val="none"/>
          <w:u w:val="single"/>
        </w:rPr>
        <w:t xml:space="preserve">          </w:t>
      </w:r>
    </w:p>
    <w:p w14:paraId="4CF15EA8">
      <w:pPr>
        <w:snapToGrid w:val="0"/>
        <w:spacing w:before="120" w:beforeLines="50" w:after="50" w:line="360" w:lineRule="auto"/>
        <w:ind w:right="-1" w:firstLine="2551" w:firstLineChars="1063"/>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年    月    日</w:t>
      </w:r>
    </w:p>
    <w:p w14:paraId="44538C2C">
      <w:pPr>
        <w:snapToGrid w:val="0"/>
        <w:spacing w:before="120" w:beforeLines="50" w:after="50"/>
        <w:jc w:val="left"/>
        <w:rPr>
          <w:rFonts w:hint="eastAsia" w:ascii="仿宋" w:hAnsi="仿宋" w:eastAsia="仿宋" w:cs="仿宋"/>
          <w:b/>
          <w:color w:val="auto"/>
          <w:sz w:val="24"/>
          <w:szCs w:val="20"/>
          <w:highlight w:val="none"/>
        </w:rPr>
      </w:pPr>
      <w:r>
        <w:rPr>
          <w:rFonts w:hint="eastAsia" w:ascii="仿宋" w:hAnsi="仿宋" w:eastAsia="仿宋" w:cs="仿宋"/>
          <w:b/>
          <w:color w:val="auto"/>
          <w:sz w:val="24"/>
          <w:highlight w:val="none"/>
        </w:rPr>
        <w:br w:type="page"/>
      </w:r>
      <w:r>
        <w:rPr>
          <w:rFonts w:hint="eastAsia" w:ascii="仿宋" w:hAnsi="仿宋" w:eastAsia="仿宋" w:cs="仿宋"/>
          <w:b/>
          <w:color w:val="auto"/>
          <w:sz w:val="24"/>
          <w:highlight w:val="none"/>
        </w:rPr>
        <w:t>投标声明</w:t>
      </w:r>
    </w:p>
    <w:p w14:paraId="0DFDA402">
      <w:pPr>
        <w:snapToGrid w:val="0"/>
        <w:spacing w:before="50" w:after="120" w:afterLines="5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投标声明</w:t>
      </w:r>
    </w:p>
    <w:p w14:paraId="394093B1">
      <w:pPr>
        <w:snapToGrid w:val="0"/>
        <w:spacing w:before="50" w:after="120" w:afterLines="50"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rPr>
        <w:t>招标人名称</w:t>
      </w:r>
    </w:p>
    <w:p w14:paraId="32E395C6">
      <w:pPr>
        <w:snapToGrid w:val="0"/>
        <w:spacing w:line="400" w:lineRule="exact"/>
        <w:ind w:firstLine="405"/>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我方参加贵单位组织</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项目（项目编号：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）的政府采购活动。我方在此郑重声明：</w:t>
      </w:r>
    </w:p>
    <w:p w14:paraId="1451320B">
      <w:pPr>
        <w:snapToGrid w:val="0"/>
        <w:spacing w:line="40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33949AC3">
      <w:pPr>
        <w:snapToGrid w:val="0"/>
        <w:spacing w:line="40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 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01742CF4">
      <w:pPr>
        <w:snapToGrid w:val="0"/>
        <w:spacing w:line="40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 我方承诺符合《中华人民共和国政府采购法》第二十二条规定：</w:t>
      </w:r>
    </w:p>
    <w:p w14:paraId="20B8B26C">
      <w:pPr>
        <w:snapToGrid w:val="0"/>
        <w:spacing w:line="40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（一）具有独立承担民事责任的能力；</w:t>
      </w:r>
    </w:p>
    <w:p w14:paraId="10AA9D47">
      <w:pPr>
        <w:snapToGrid w:val="0"/>
        <w:spacing w:line="40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（二）具有良好的商业信誉和健全的财务会计制度；</w:t>
      </w:r>
    </w:p>
    <w:p w14:paraId="333C63A7">
      <w:pPr>
        <w:snapToGrid w:val="0"/>
        <w:spacing w:line="40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（三）具有履行合同所必需的设备和专业技术能力；</w:t>
      </w:r>
    </w:p>
    <w:p w14:paraId="3D14B38B">
      <w:pPr>
        <w:snapToGrid w:val="0"/>
        <w:spacing w:line="40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（四）有依法缴纳税收和社会保障资金的良好记录；</w:t>
      </w:r>
    </w:p>
    <w:p w14:paraId="32875DB3">
      <w:pPr>
        <w:snapToGrid w:val="0"/>
        <w:spacing w:line="40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（五）参加政府采购活动前三年内，在经营活动中没有重大违法记录；</w:t>
      </w:r>
    </w:p>
    <w:p w14:paraId="6C18B63B">
      <w:pPr>
        <w:snapToGrid w:val="0"/>
        <w:spacing w:line="40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（六）法律、行政法规规定的其他条件。</w:t>
      </w:r>
    </w:p>
    <w:p w14:paraId="6486AB06">
      <w:pPr>
        <w:snapToGrid w:val="0"/>
        <w:spacing w:line="40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4.以上事项如有虚假或者隐瞒，我方愿意承担一切后果，并不再寻求任何旨在减轻或者免除法律责任的辩解。</w:t>
      </w:r>
    </w:p>
    <w:p w14:paraId="0AF0A1B4">
      <w:pPr>
        <w:snapToGrid w:val="0"/>
        <w:spacing w:line="400" w:lineRule="exact"/>
        <w:ind w:firstLine="42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特此承诺。</w:t>
      </w:r>
    </w:p>
    <w:p w14:paraId="0B864EC6">
      <w:pPr>
        <w:snapToGrid w:val="0"/>
        <w:spacing w:line="400" w:lineRule="exact"/>
        <w:ind w:firstLine="420"/>
        <w:jc w:val="left"/>
        <w:rPr>
          <w:rFonts w:hint="eastAsia" w:ascii="仿宋" w:hAnsi="仿宋" w:eastAsia="仿宋" w:cs="仿宋"/>
          <w:color w:val="auto"/>
          <w:sz w:val="24"/>
          <w:highlight w:val="none"/>
        </w:rPr>
      </w:pPr>
      <w:r>
        <w:rPr>
          <w:rFonts w:hint="eastAsia" w:ascii="仿宋" w:hAnsi="仿宋" w:eastAsia="仿宋" w:cs="仿宋"/>
          <w:b/>
          <w:color w:val="auto"/>
          <w:sz w:val="24"/>
          <w:highlight w:val="none"/>
        </w:rPr>
        <w:t>注：如为联合体投标，盖章处须加盖联合体各方公章并由联合体各方法定代表人分别</w:t>
      </w:r>
    </w:p>
    <w:p w14:paraId="5A05BCCC">
      <w:pPr>
        <w:snapToGrid w:val="0"/>
        <w:spacing w:line="40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签署，否则投标无效。</w:t>
      </w:r>
    </w:p>
    <w:p w14:paraId="5212A767">
      <w:pPr>
        <w:snapToGrid w:val="0"/>
        <w:spacing w:before="50" w:after="120" w:afterLines="50" w:line="360" w:lineRule="exact"/>
        <w:ind w:left="-2" w:leftChars="-1" w:right="139" w:rightChars="66" w:firstLine="1843" w:firstLineChars="768"/>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法定代表人或者委托代理人（签字或者电子签名）：</w:t>
      </w:r>
      <w:r>
        <w:rPr>
          <w:rFonts w:hint="eastAsia" w:ascii="仿宋" w:hAnsi="仿宋" w:eastAsia="仿宋" w:cs="仿宋"/>
          <w:color w:val="auto"/>
          <w:sz w:val="24"/>
          <w:highlight w:val="none"/>
          <w:u w:val="single"/>
        </w:rPr>
        <w:t xml:space="preserve">       </w:t>
      </w:r>
    </w:p>
    <w:p w14:paraId="3811B0B1">
      <w:pPr>
        <w:snapToGrid w:val="0"/>
        <w:spacing w:before="50" w:after="120" w:afterLines="50" w:line="360" w:lineRule="exact"/>
        <w:ind w:left="-2" w:leftChars="-1" w:right="139" w:rightChars="66" w:firstLine="1843" w:firstLineChars="768"/>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投标人（盖公章或电子签章）：</w:t>
      </w:r>
      <w:r>
        <w:rPr>
          <w:rFonts w:hint="eastAsia" w:ascii="仿宋" w:hAnsi="仿宋" w:eastAsia="仿宋" w:cs="仿宋"/>
          <w:color w:val="auto"/>
          <w:sz w:val="24"/>
          <w:highlight w:val="none"/>
          <w:u w:val="single"/>
        </w:rPr>
        <w:t xml:space="preserve">              </w:t>
      </w:r>
    </w:p>
    <w:p w14:paraId="0C12979C">
      <w:pPr>
        <w:snapToGrid w:val="0"/>
        <w:spacing w:before="50" w:after="120" w:afterLines="50" w:line="360" w:lineRule="exact"/>
        <w:ind w:left="-2" w:leftChars="-1" w:right="139" w:rightChars="66" w:firstLine="1843" w:firstLineChars="768"/>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年    月    日</w:t>
      </w:r>
    </w:p>
    <w:p w14:paraId="750248B5">
      <w:pPr>
        <w:snapToGrid w:val="0"/>
        <w:spacing w:before="120" w:beforeLines="50" w:after="50"/>
        <w:jc w:val="left"/>
        <w:rPr>
          <w:rFonts w:hint="eastAsia" w:ascii="仿宋" w:hAnsi="仿宋" w:eastAsia="仿宋" w:cs="仿宋"/>
          <w:b/>
          <w:color w:val="auto"/>
          <w:sz w:val="24"/>
          <w:highlight w:val="none"/>
        </w:rPr>
      </w:pPr>
      <w:r>
        <w:rPr>
          <w:rFonts w:hint="eastAsia" w:ascii="仿宋" w:hAnsi="仿宋" w:eastAsia="仿宋" w:cs="仿宋"/>
          <w:color w:val="auto"/>
          <w:sz w:val="24"/>
          <w:highlight w:val="none"/>
        </w:rPr>
        <w:br w:type="page"/>
      </w:r>
      <w:r>
        <w:rPr>
          <w:rFonts w:hint="eastAsia" w:ascii="仿宋" w:hAnsi="仿宋" w:eastAsia="仿宋" w:cs="仿宋"/>
          <w:b/>
          <w:color w:val="auto"/>
          <w:sz w:val="24"/>
          <w:highlight w:val="none"/>
        </w:rPr>
        <w:t>参加本项目无围标串标行为的承诺</w:t>
      </w:r>
    </w:p>
    <w:p w14:paraId="72602735">
      <w:pPr>
        <w:snapToGrid w:val="0"/>
        <w:spacing w:before="120" w:beforeLines="50" w:after="50"/>
        <w:ind w:left="42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投标人参加本项目无围标串标行为的承诺函</w:t>
      </w:r>
    </w:p>
    <w:p w14:paraId="2CE11F9E">
      <w:pPr>
        <w:snapToGrid w:val="0"/>
        <w:spacing w:before="120" w:beforeLines="50" w:after="50"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一、我方承诺无下列相互串通投标的情形：</w:t>
      </w:r>
    </w:p>
    <w:p w14:paraId="1DD1B19C">
      <w:pPr>
        <w:spacing w:line="400" w:lineRule="exact"/>
        <w:ind w:firstLine="470" w:firstLineChars="196"/>
        <w:contextualSpacing/>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1.不同投标人的投标文件由同一单位或者个人编制；</w:t>
      </w:r>
      <w:bookmarkStart w:id="174" w:name="_Hlk166142426"/>
      <w:r>
        <w:rPr>
          <w:rFonts w:hint="eastAsia" w:ascii="仿宋" w:hAnsi="仿宋" w:eastAsia="仿宋" w:cs="仿宋"/>
          <w:color w:val="auto"/>
          <w:sz w:val="24"/>
          <w:highlight w:val="none"/>
        </w:rPr>
        <w:t>或者不同投标人报名的IP地址一致的；或者编制标书硬件设备CPU编号、硬盘编号、网卡地址一致的情况；</w:t>
      </w:r>
    </w:p>
    <w:bookmarkEnd w:id="174"/>
    <w:p w14:paraId="27E067AF">
      <w:pPr>
        <w:snapToGrid w:val="0"/>
        <w:spacing w:before="120" w:beforeLines="50" w:after="50" w:line="360" w:lineRule="auto"/>
        <w:ind w:firstLine="470" w:firstLineChars="196"/>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2.不同投标人委托同一单位或者个人办理投标事宜；</w:t>
      </w:r>
    </w:p>
    <w:p w14:paraId="7AAAC8DF">
      <w:pPr>
        <w:snapToGrid w:val="0"/>
        <w:spacing w:before="120" w:beforeLines="50" w:after="50" w:line="360" w:lineRule="auto"/>
        <w:ind w:firstLine="470" w:firstLineChars="196"/>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3.不同的投标人的投标文件载明的项目管理员为同一个人；</w:t>
      </w:r>
    </w:p>
    <w:p w14:paraId="54CF6F8C">
      <w:pPr>
        <w:snapToGrid w:val="0"/>
        <w:spacing w:before="120" w:beforeLines="50" w:after="50" w:line="360" w:lineRule="auto"/>
        <w:ind w:firstLine="470" w:firstLineChars="196"/>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4.不同投标人的投标文件异常一致或者投标报价呈规律性差异；</w:t>
      </w:r>
    </w:p>
    <w:p w14:paraId="7D597542">
      <w:pPr>
        <w:snapToGrid w:val="0"/>
        <w:spacing w:before="120" w:beforeLines="50" w:after="50" w:line="360" w:lineRule="auto"/>
        <w:ind w:firstLine="470" w:firstLineChars="196"/>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5.不同投标人的投标文件相互混装；</w:t>
      </w:r>
    </w:p>
    <w:p w14:paraId="11948B62">
      <w:pPr>
        <w:snapToGrid w:val="0"/>
        <w:spacing w:before="120" w:beforeLines="50" w:after="50" w:line="360" w:lineRule="auto"/>
        <w:ind w:firstLine="470" w:firstLineChars="196"/>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6.不同投标人的投标保证金从同一单位或者个人账户转出。</w:t>
      </w:r>
    </w:p>
    <w:p w14:paraId="4E9FA5DC">
      <w:pPr>
        <w:snapToGrid w:val="0"/>
        <w:spacing w:before="120" w:beforeLines="50" w:after="50" w:line="360" w:lineRule="auto"/>
        <w:jc w:val="left"/>
        <w:rPr>
          <w:rFonts w:hint="eastAsia" w:ascii="仿宋" w:hAnsi="仿宋" w:eastAsia="仿宋" w:cs="仿宋"/>
          <w:color w:val="auto"/>
          <w:sz w:val="24"/>
          <w:highlight w:val="none"/>
        </w:rPr>
      </w:pPr>
      <w:r>
        <w:rPr>
          <w:rFonts w:hint="eastAsia" w:ascii="仿宋" w:hAnsi="仿宋" w:eastAsia="仿宋" w:cs="仿宋"/>
          <w:b/>
          <w:color w:val="auto"/>
          <w:sz w:val="24"/>
          <w:highlight w:val="none"/>
        </w:rPr>
        <w:t>二、我方承诺无下列恶意串通的情形：</w:t>
      </w:r>
    </w:p>
    <w:p w14:paraId="1DA535FA">
      <w:pPr>
        <w:snapToGrid w:val="0"/>
        <w:spacing w:before="120" w:beforeLines="50" w:after="50" w:line="360" w:lineRule="auto"/>
        <w:ind w:firstLine="470" w:firstLineChars="196"/>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1.投标人直接或者间接从采购人或者采购代理机构处获得其他投标人的相关信息并修改其投标文件或者响应文件；</w:t>
      </w:r>
    </w:p>
    <w:p w14:paraId="0A57F741">
      <w:pPr>
        <w:snapToGrid w:val="0"/>
        <w:spacing w:before="120" w:beforeLines="50" w:after="50" w:line="360" w:lineRule="auto"/>
        <w:ind w:firstLine="470" w:firstLineChars="196"/>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2.投标人按照采购人或者采购代理机构的授意撤换、修改投标文件或者响应文件；</w:t>
      </w:r>
    </w:p>
    <w:p w14:paraId="77431AB7">
      <w:pPr>
        <w:snapToGrid w:val="0"/>
        <w:spacing w:before="120" w:beforeLines="50" w:after="50" w:line="360" w:lineRule="auto"/>
        <w:ind w:firstLine="470" w:firstLineChars="196"/>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3.投标人之间协商报价、技术方案等投标文件或者响应文件的实质性内容；</w:t>
      </w:r>
    </w:p>
    <w:p w14:paraId="3EDDA50A">
      <w:pPr>
        <w:snapToGrid w:val="0"/>
        <w:spacing w:before="120" w:beforeLines="50" w:after="50" w:line="360" w:lineRule="auto"/>
        <w:ind w:firstLine="470" w:firstLineChars="196"/>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4.属于同一集团、协会、商会等组织成员的投标人按照该组织要求协同参加政府采购活动；</w:t>
      </w:r>
    </w:p>
    <w:p w14:paraId="348B6CB8">
      <w:pPr>
        <w:snapToGrid w:val="0"/>
        <w:spacing w:before="120" w:beforeLines="50" w:after="50" w:line="360" w:lineRule="auto"/>
        <w:ind w:firstLine="470" w:firstLineChars="196"/>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5.投标人之间事先约定一致抬高或者压低投标报价，或者在招标项目中事先约定轮流以高价位或者低价位中标，或者事先约定由某一特定投标人中标，然后再参加投标；</w:t>
      </w:r>
    </w:p>
    <w:p w14:paraId="65952343">
      <w:pPr>
        <w:snapToGrid w:val="0"/>
        <w:spacing w:before="120" w:beforeLines="50" w:after="50" w:line="360" w:lineRule="auto"/>
        <w:ind w:firstLine="470" w:firstLineChars="196"/>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6.投标人之间商定部分投标人放弃参加政府采购活动或者放弃中标；</w:t>
      </w:r>
    </w:p>
    <w:p w14:paraId="3BDEEFDF">
      <w:pPr>
        <w:snapToGrid w:val="0"/>
        <w:spacing w:before="120" w:beforeLines="50" w:after="50" w:line="360" w:lineRule="auto"/>
        <w:ind w:firstLine="470" w:firstLineChars="196"/>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7.投标人与采购人或者采购代理机构之间、投标人相互之间，为谋求特定投标人中标或者排斥其他投标人的其他串通行为。</w:t>
      </w:r>
    </w:p>
    <w:p w14:paraId="243E8654">
      <w:pPr>
        <w:snapToGrid w:val="0"/>
        <w:spacing w:before="120" w:beforeLines="50" w:after="50" w:line="360" w:lineRule="auto"/>
        <w:ind w:firstLine="472" w:firstLineChars="196"/>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以上情形一经核查属实，我方愿意承担一切后果，并不再寻求任何旨在减轻或者免除法律责任的辩解。</w:t>
      </w:r>
    </w:p>
    <w:p w14:paraId="1BB4EADA">
      <w:pPr>
        <w:snapToGrid w:val="0"/>
        <w:spacing w:before="50" w:after="120" w:afterLines="50"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投标人（盖公章或电子签章）：</w:t>
      </w:r>
      <w:r>
        <w:rPr>
          <w:rFonts w:hint="eastAsia" w:ascii="仿宋" w:hAnsi="仿宋" w:eastAsia="仿宋" w:cs="仿宋"/>
          <w:color w:val="auto"/>
          <w:sz w:val="24"/>
          <w:highlight w:val="none"/>
          <w:u w:val="single"/>
        </w:rPr>
        <w:t xml:space="preserve">              </w:t>
      </w:r>
    </w:p>
    <w:p w14:paraId="688A43C1">
      <w:pPr>
        <w:snapToGrid w:val="0"/>
        <w:spacing w:before="50" w:after="120" w:afterLines="50" w:line="360" w:lineRule="auto"/>
        <w:jc w:val="left"/>
        <w:rPr>
          <w:rFonts w:hint="eastAsia" w:ascii="仿宋" w:hAnsi="仿宋" w:eastAsia="仿宋" w:cs="仿宋"/>
          <w:b/>
          <w:color w:val="auto"/>
          <w:sz w:val="24"/>
          <w:szCs w:val="20"/>
          <w:highlight w:val="none"/>
        </w:rPr>
      </w:pPr>
      <w:r>
        <w:rPr>
          <w:rFonts w:hint="eastAsia" w:ascii="仿宋" w:hAnsi="仿宋" w:eastAsia="仿宋" w:cs="仿宋"/>
          <w:color w:val="auto"/>
          <w:sz w:val="24"/>
          <w:highlight w:val="none"/>
        </w:rPr>
        <w:t xml:space="preserve">                                                  年    月    日</w:t>
      </w:r>
      <w:r>
        <w:rPr>
          <w:rFonts w:hint="eastAsia" w:ascii="仿宋" w:hAnsi="仿宋" w:eastAsia="仿宋" w:cs="仿宋"/>
          <w:b/>
          <w:color w:val="auto"/>
          <w:sz w:val="24"/>
          <w:highlight w:val="none"/>
        </w:rPr>
        <w:br w:type="page"/>
      </w:r>
      <w:r>
        <w:rPr>
          <w:rFonts w:hint="eastAsia" w:ascii="仿宋" w:hAnsi="仿宋" w:eastAsia="仿宋" w:cs="仿宋"/>
          <w:b/>
          <w:color w:val="auto"/>
          <w:sz w:val="24"/>
          <w:highlight w:val="none"/>
        </w:rPr>
        <w:t>法定代表人身份证明</w:t>
      </w:r>
    </w:p>
    <w:p w14:paraId="1DC97B11">
      <w:pPr>
        <w:spacing w:before="240" w:beforeLines="100" w:after="120" w:afterLines="50"/>
        <w:ind w:left="540"/>
        <w:jc w:val="center"/>
        <w:rPr>
          <w:rFonts w:hint="eastAsia" w:ascii="仿宋" w:hAnsi="仿宋" w:eastAsia="仿宋" w:cs="仿宋"/>
          <w:color w:val="auto"/>
          <w:sz w:val="24"/>
          <w:highlight w:val="none"/>
        </w:rPr>
      </w:pPr>
      <w:r>
        <w:rPr>
          <w:rFonts w:hint="eastAsia" w:ascii="仿宋" w:hAnsi="仿宋" w:eastAsia="仿宋" w:cs="仿宋"/>
          <w:b/>
          <w:color w:val="auto"/>
          <w:sz w:val="24"/>
          <w:highlight w:val="none"/>
        </w:rPr>
        <w:t>法定代表人身份证明</w:t>
      </w:r>
    </w:p>
    <w:p w14:paraId="5C097AB6">
      <w:pPr>
        <w:spacing w:line="500" w:lineRule="exact"/>
        <w:ind w:left="540"/>
        <w:rPr>
          <w:rFonts w:hint="eastAsia" w:ascii="仿宋" w:hAnsi="仿宋" w:eastAsia="仿宋" w:cs="仿宋"/>
          <w:color w:val="auto"/>
          <w:sz w:val="24"/>
          <w:highlight w:val="none"/>
        </w:rPr>
      </w:pPr>
      <w:r>
        <w:rPr>
          <w:rFonts w:hint="eastAsia" w:ascii="仿宋" w:hAnsi="仿宋" w:eastAsia="仿宋" w:cs="仿宋"/>
          <w:color w:val="auto"/>
          <w:sz w:val="24"/>
          <w:highlight w:val="none"/>
        </w:rPr>
        <w:t>投 标 人：</w:t>
      </w:r>
      <w:r>
        <w:rPr>
          <w:rFonts w:hint="eastAsia" w:ascii="仿宋" w:hAnsi="仿宋" w:eastAsia="仿宋" w:cs="仿宋"/>
          <w:color w:val="auto"/>
          <w:sz w:val="24"/>
          <w:highlight w:val="none"/>
          <w:u w:val="single"/>
        </w:rPr>
        <w:t xml:space="preserve">                                                        </w:t>
      </w:r>
    </w:p>
    <w:p w14:paraId="70F44A0B">
      <w:pPr>
        <w:spacing w:line="500" w:lineRule="exact"/>
        <w:ind w:left="540"/>
        <w:rPr>
          <w:rFonts w:hint="eastAsia" w:ascii="仿宋" w:hAnsi="仿宋" w:eastAsia="仿宋" w:cs="仿宋"/>
          <w:color w:val="auto"/>
          <w:sz w:val="24"/>
          <w:highlight w:val="none"/>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single"/>
        </w:rPr>
        <w:t xml:space="preserve">                                                        </w:t>
      </w:r>
    </w:p>
    <w:p w14:paraId="539B3F11">
      <w:pPr>
        <w:spacing w:line="500" w:lineRule="exact"/>
        <w:ind w:left="540"/>
        <w:rPr>
          <w:rFonts w:hint="eastAsia" w:ascii="仿宋" w:hAnsi="仿宋" w:eastAsia="仿宋" w:cs="仿宋"/>
          <w:color w:val="auto"/>
          <w:sz w:val="24"/>
          <w:highlight w:val="none"/>
        </w:rPr>
      </w:pPr>
      <w:r>
        <w:rPr>
          <w:rFonts w:hint="eastAsia" w:ascii="仿宋" w:hAnsi="仿宋" w:eastAsia="仿宋" w:cs="仿宋"/>
          <w:color w:val="auto"/>
          <w:sz w:val="24"/>
          <w:highlight w:val="none"/>
        </w:rPr>
        <w:t>姓    名：</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性      别：</w:t>
      </w:r>
      <w:r>
        <w:rPr>
          <w:rFonts w:hint="eastAsia" w:ascii="仿宋" w:hAnsi="仿宋" w:eastAsia="仿宋" w:cs="仿宋"/>
          <w:color w:val="auto"/>
          <w:sz w:val="24"/>
          <w:highlight w:val="none"/>
          <w:u w:val="single"/>
        </w:rPr>
        <w:t xml:space="preserve">                </w:t>
      </w:r>
    </w:p>
    <w:p w14:paraId="19EF2070">
      <w:pPr>
        <w:spacing w:line="500" w:lineRule="exact"/>
        <w:ind w:left="54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年    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职      务：</w:t>
      </w:r>
      <w:r>
        <w:rPr>
          <w:rFonts w:hint="eastAsia" w:ascii="仿宋" w:hAnsi="仿宋" w:eastAsia="仿宋" w:cs="仿宋"/>
          <w:color w:val="auto"/>
          <w:sz w:val="24"/>
          <w:highlight w:val="none"/>
          <w:u w:val="single"/>
        </w:rPr>
        <w:t xml:space="preserve">                </w:t>
      </w:r>
    </w:p>
    <w:p w14:paraId="02EE71EB">
      <w:pPr>
        <w:spacing w:line="500" w:lineRule="exact"/>
        <w:ind w:left="540"/>
        <w:rPr>
          <w:rFonts w:hint="eastAsia" w:ascii="仿宋" w:hAnsi="仿宋" w:eastAsia="仿宋" w:cs="仿宋"/>
          <w:color w:val="auto"/>
          <w:sz w:val="24"/>
          <w:highlight w:val="none"/>
        </w:rPr>
      </w:pPr>
      <w:r>
        <w:rPr>
          <w:rFonts w:hint="eastAsia" w:ascii="仿宋" w:hAnsi="仿宋" w:eastAsia="仿宋" w:cs="仿宋"/>
          <w:color w:val="auto"/>
          <w:sz w:val="24"/>
          <w:highlight w:val="none"/>
        </w:rPr>
        <w:t>身份证号码：</w:t>
      </w:r>
      <w:r>
        <w:rPr>
          <w:rFonts w:hint="eastAsia" w:ascii="仿宋" w:hAnsi="仿宋" w:eastAsia="仿宋" w:cs="仿宋"/>
          <w:color w:val="auto"/>
          <w:sz w:val="24"/>
          <w:highlight w:val="none"/>
          <w:u w:val="single"/>
        </w:rPr>
        <w:t xml:space="preserve">                                 </w:t>
      </w:r>
    </w:p>
    <w:p w14:paraId="379C850F">
      <w:pPr>
        <w:spacing w:line="500" w:lineRule="exact"/>
        <w:ind w:left="540"/>
        <w:rPr>
          <w:rFonts w:hint="eastAsia" w:ascii="仿宋" w:hAnsi="仿宋" w:eastAsia="仿宋" w:cs="仿宋"/>
          <w:color w:val="auto"/>
          <w:sz w:val="24"/>
          <w:highlight w:val="none"/>
        </w:rPr>
      </w:pPr>
      <w:r>
        <w:rPr>
          <w:rFonts w:hint="eastAsia" w:ascii="仿宋" w:hAnsi="仿宋" w:eastAsia="仿宋" w:cs="仿宋"/>
          <w:color w:val="auto"/>
          <w:sz w:val="24"/>
          <w:highlight w:val="none"/>
        </w:rPr>
        <w:t>系</w:t>
      </w:r>
      <w:r>
        <w:rPr>
          <w:rFonts w:hint="eastAsia" w:ascii="仿宋" w:hAnsi="仿宋" w:eastAsia="仿宋" w:cs="仿宋"/>
          <w:color w:val="auto"/>
          <w:sz w:val="24"/>
          <w:highlight w:val="none"/>
          <w:u w:val="single"/>
        </w:rPr>
        <w:t xml:space="preserve">            （投标人名称）              </w:t>
      </w:r>
      <w:r>
        <w:rPr>
          <w:rFonts w:hint="eastAsia" w:ascii="仿宋" w:hAnsi="仿宋" w:eastAsia="仿宋" w:cs="仿宋"/>
          <w:color w:val="auto"/>
          <w:sz w:val="24"/>
          <w:highlight w:val="none"/>
        </w:rPr>
        <w:t>的法定代表人。</w:t>
      </w:r>
    </w:p>
    <w:p w14:paraId="2D508D4A">
      <w:pPr>
        <w:spacing w:line="500" w:lineRule="exact"/>
        <w:ind w:left="540"/>
        <w:rPr>
          <w:rFonts w:hint="eastAsia" w:ascii="仿宋" w:hAnsi="仿宋" w:eastAsia="仿宋" w:cs="仿宋"/>
          <w:color w:val="auto"/>
          <w:sz w:val="24"/>
          <w:highlight w:val="none"/>
        </w:rPr>
      </w:pPr>
      <w:r>
        <w:rPr>
          <w:rFonts w:hint="eastAsia" w:ascii="仿宋" w:hAnsi="仿宋" w:eastAsia="仿宋" w:cs="仿宋"/>
          <w:color w:val="auto"/>
          <w:sz w:val="24"/>
          <w:highlight w:val="none"/>
        </w:rPr>
        <w:t>特此证明。</w:t>
      </w:r>
    </w:p>
    <w:p w14:paraId="784C8AA9">
      <w:pPr>
        <w:spacing w:line="500" w:lineRule="exact"/>
        <w:ind w:left="540"/>
        <w:rPr>
          <w:rFonts w:hint="eastAsia" w:ascii="仿宋" w:hAnsi="仿宋" w:eastAsia="仿宋" w:cs="仿宋"/>
          <w:color w:val="auto"/>
          <w:sz w:val="24"/>
          <w:highlight w:val="none"/>
        </w:rPr>
      </w:pPr>
      <w:r>
        <w:rPr>
          <w:rFonts w:hint="eastAsia" w:ascii="仿宋" w:hAnsi="仿宋" w:eastAsia="仿宋" w:cs="仿宋"/>
          <w:color w:val="auto"/>
          <w:sz w:val="24"/>
          <w:highlight w:val="none"/>
        </w:rPr>
        <w:t>附件：法定代表人有效身份证正反面复印件</w:t>
      </w:r>
    </w:p>
    <w:p w14:paraId="7E8D4782">
      <w:pPr>
        <w:spacing w:line="500" w:lineRule="exact"/>
        <w:rPr>
          <w:rFonts w:hint="eastAsia" w:ascii="仿宋" w:hAnsi="仿宋" w:eastAsia="仿宋" w:cs="仿宋"/>
          <w:color w:val="auto"/>
          <w:sz w:val="24"/>
          <w:highlight w:val="none"/>
        </w:rPr>
      </w:pPr>
    </w:p>
    <w:p w14:paraId="406F2796">
      <w:pPr>
        <w:snapToGrid w:val="0"/>
        <w:spacing w:before="50" w:after="120" w:afterLines="50"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投标人（盖公章或电子签章）：</w:t>
      </w:r>
      <w:r>
        <w:rPr>
          <w:rFonts w:hint="eastAsia" w:ascii="仿宋" w:hAnsi="仿宋" w:eastAsia="仿宋" w:cs="仿宋"/>
          <w:color w:val="auto"/>
          <w:sz w:val="24"/>
          <w:highlight w:val="none"/>
          <w:u w:val="single"/>
        </w:rPr>
        <w:t xml:space="preserve">              </w:t>
      </w:r>
    </w:p>
    <w:p w14:paraId="2B43C066">
      <w:pPr>
        <w:snapToGrid w:val="0"/>
        <w:spacing w:before="50" w:after="120" w:afterLines="50"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年    月    日</w:t>
      </w:r>
    </w:p>
    <w:p w14:paraId="6449C644">
      <w:pPr>
        <w:snapToGrid w:val="0"/>
        <w:spacing w:before="120" w:beforeLines="50" w:after="50"/>
        <w:jc w:val="left"/>
        <w:rPr>
          <w:rFonts w:hint="eastAsia" w:ascii="仿宋" w:hAnsi="仿宋" w:eastAsia="仿宋" w:cs="仿宋"/>
          <w:b/>
          <w:color w:val="auto"/>
          <w:sz w:val="24"/>
          <w:highlight w:val="none"/>
        </w:rPr>
      </w:pPr>
      <w:r>
        <w:rPr>
          <w:rFonts w:hint="eastAsia" w:ascii="仿宋" w:hAnsi="仿宋" w:eastAsia="仿宋" w:cs="仿宋"/>
          <w:color w:val="auto"/>
          <w:sz w:val="24"/>
          <w:highlight w:val="none"/>
        </w:rPr>
        <w:t>注：自然人投标的无需提供</w:t>
      </w:r>
    </w:p>
    <w:p w14:paraId="4E9C2D71">
      <w:pPr>
        <w:snapToGrid w:val="0"/>
        <w:spacing w:before="120" w:beforeLines="50" w:after="50"/>
        <w:jc w:val="left"/>
        <w:rPr>
          <w:rFonts w:hint="eastAsia" w:ascii="仿宋" w:hAnsi="仿宋" w:eastAsia="仿宋" w:cs="仿宋"/>
          <w:b/>
          <w:color w:val="auto"/>
          <w:sz w:val="24"/>
          <w:szCs w:val="20"/>
          <w:highlight w:val="none"/>
        </w:rPr>
      </w:pPr>
      <w:r>
        <w:rPr>
          <w:rFonts w:hint="eastAsia" w:ascii="仿宋" w:hAnsi="仿宋" w:eastAsia="仿宋" w:cs="仿宋"/>
          <w:b/>
          <w:color w:val="auto"/>
          <w:sz w:val="24"/>
          <w:highlight w:val="none"/>
        </w:rPr>
        <w:br w:type="page"/>
      </w:r>
      <w:r>
        <w:rPr>
          <w:rFonts w:hint="eastAsia" w:ascii="仿宋" w:hAnsi="仿宋" w:eastAsia="仿宋" w:cs="仿宋"/>
          <w:b/>
          <w:color w:val="auto"/>
          <w:sz w:val="24"/>
          <w:highlight w:val="none"/>
        </w:rPr>
        <w:t>法定代表人授权委托书格式</w:t>
      </w:r>
    </w:p>
    <w:p w14:paraId="6B256B2C">
      <w:pPr>
        <w:snapToGrid w:val="0"/>
        <w:spacing w:before="120" w:beforeLines="50" w:after="5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法定代表人授权委托书（非联合体投标格式）（如有委托时）</w:t>
      </w:r>
    </w:p>
    <w:p w14:paraId="0C2678C3">
      <w:pPr>
        <w:snapToGrid w:val="0"/>
        <w:spacing w:line="360" w:lineRule="auto"/>
        <w:rPr>
          <w:rFonts w:hint="eastAsia" w:ascii="仿宋" w:hAnsi="仿宋" w:eastAsia="仿宋" w:cs="仿宋"/>
          <w:b/>
          <w:bCs/>
          <w:color w:val="auto"/>
          <w:sz w:val="24"/>
          <w:highlight w:val="none"/>
        </w:rPr>
      </w:pPr>
      <w:r>
        <w:rPr>
          <w:rFonts w:hint="eastAsia" w:ascii="仿宋" w:hAnsi="仿宋" w:eastAsia="仿宋" w:cs="仿宋"/>
          <w:bCs/>
          <w:color w:val="auto"/>
          <w:sz w:val="24"/>
          <w:highlight w:val="none"/>
        </w:rPr>
        <w:t>致：</w:t>
      </w:r>
      <w:r>
        <w:rPr>
          <w:rFonts w:hint="eastAsia" w:ascii="仿宋" w:hAnsi="仿宋" w:eastAsia="仿宋" w:cs="仿宋"/>
          <w:color w:val="auto"/>
          <w:sz w:val="24"/>
          <w:highlight w:val="none"/>
          <w:u w:val="single"/>
        </w:rPr>
        <w:t>招标人名称</w:t>
      </w:r>
      <w:r>
        <w:rPr>
          <w:rFonts w:hint="eastAsia" w:ascii="仿宋" w:hAnsi="仿宋" w:eastAsia="仿宋" w:cs="仿宋"/>
          <w:color w:val="auto"/>
          <w:sz w:val="24"/>
          <w:highlight w:val="none"/>
        </w:rPr>
        <w:t>：</w:t>
      </w:r>
    </w:p>
    <w:p w14:paraId="3C1765B0">
      <w:pPr>
        <w:snapToGrid w:val="0"/>
        <w:spacing w:line="360" w:lineRule="auto"/>
        <w:ind w:firstLine="566" w:firstLineChars="236"/>
        <w:rPr>
          <w:rFonts w:hint="eastAsia" w:ascii="仿宋" w:hAnsi="仿宋" w:eastAsia="仿宋" w:cs="仿宋"/>
          <w:color w:val="auto"/>
          <w:sz w:val="24"/>
          <w:highlight w:val="none"/>
        </w:rPr>
      </w:pPr>
      <w:r>
        <w:rPr>
          <w:rFonts w:hint="eastAsia" w:ascii="仿宋" w:hAnsi="仿宋" w:eastAsia="仿宋" w:cs="仿宋"/>
          <w:color w:val="auto"/>
          <w:sz w:val="24"/>
          <w:highlight w:val="none"/>
        </w:rPr>
        <w:t>我</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（姓名）系</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（投标人名称）的法定代表人，现授权委托</w:t>
      </w:r>
      <w:r>
        <w:rPr>
          <w:rFonts w:hint="eastAsia" w:ascii="仿宋" w:hAnsi="仿宋" w:eastAsia="仿宋" w:cs="仿宋"/>
          <w:color w:val="auto"/>
          <w:sz w:val="24"/>
          <w:highlight w:val="none"/>
          <w:u w:val="single"/>
        </w:rPr>
        <w:t xml:space="preserve">              （姓名）</w:t>
      </w:r>
      <w:r>
        <w:rPr>
          <w:rFonts w:hint="eastAsia" w:ascii="仿宋" w:hAnsi="仿宋" w:eastAsia="仿宋" w:cs="仿宋"/>
          <w:color w:val="auto"/>
          <w:sz w:val="24"/>
          <w:highlight w:val="none"/>
        </w:rPr>
        <w:t>以我方的名义参加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项目的投标活动，并代表我方全权办理针对上述项目的所有采购程序和环节的具体事务和签署相关文件。</w:t>
      </w:r>
    </w:p>
    <w:p w14:paraId="0A2D599D">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我方对委托代理人的签字事项负全部责任。</w:t>
      </w:r>
    </w:p>
    <w:p w14:paraId="10F411A4">
      <w:pPr>
        <w:snapToGrid w:val="0"/>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本授权书自签署之日起生效，在撤销授权的书面通知以前，本授权书一直有效。委托代理人在授权书有效期内签署的所有文件不因授权的撤销而失效。</w:t>
      </w:r>
    </w:p>
    <w:p w14:paraId="5A5E51B2">
      <w:pPr>
        <w:snapToGrid w:val="0"/>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委托代理人无转委托权，特此委托。</w:t>
      </w:r>
    </w:p>
    <w:p w14:paraId="1DF3C311">
      <w:pPr>
        <w:snapToGrid w:val="0"/>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附：法定代表人身份证明及委托代理人有效身份证正反面复印件</w:t>
      </w:r>
    </w:p>
    <w:p w14:paraId="01E70E58">
      <w:pPr>
        <w:snapToGrid w:val="0"/>
        <w:spacing w:before="120" w:beforeLines="50" w:after="50"/>
        <w:rPr>
          <w:rFonts w:hint="eastAsia" w:ascii="仿宋" w:hAnsi="仿宋" w:eastAsia="仿宋" w:cs="仿宋"/>
          <w:color w:val="auto"/>
          <w:sz w:val="24"/>
          <w:highlight w:val="none"/>
        </w:rPr>
      </w:pPr>
    </w:p>
    <w:p w14:paraId="7EF933B4">
      <w:pPr>
        <w:snapToGrid w:val="0"/>
        <w:spacing w:before="120" w:beforeLines="50" w:after="5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委托代理人签字或电子签名：</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法定代表人签字或电子签名：</w:t>
      </w:r>
      <w:r>
        <w:rPr>
          <w:rFonts w:hint="eastAsia" w:ascii="仿宋" w:hAnsi="仿宋" w:eastAsia="仿宋" w:cs="仿宋"/>
          <w:color w:val="auto"/>
          <w:sz w:val="24"/>
          <w:highlight w:val="none"/>
          <w:u w:val="single"/>
        </w:rPr>
        <w:t xml:space="preserve">          </w:t>
      </w:r>
    </w:p>
    <w:p w14:paraId="7FAE28DF">
      <w:pPr>
        <w:snapToGrid w:val="0"/>
        <w:spacing w:before="120" w:beforeLines="50" w:after="50"/>
        <w:rPr>
          <w:rFonts w:hint="eastAsia" w:ascii="仿宋" w:hAnsi="仿宋" w:eastAsia="仿宋" w:cs="仿宋"/>
          <w:color w:val="auto"/>
          <w:sz w:val="24"/>
          <w:highlight w:val="none"/>
        </w:rPr>
      </w:pPr>
      <w:r>
        <w:rPr>
          <w:rFonts w:hint="eastAsia" w:ascii="仿宋" w:hAnsi="仿宋" w:eastAsia="仿宋" w:cs="仿宋"/>
          <w:color w:val="auto"/>
          <w:sz w:val="24"/>
          <w:highlight w:val="none"/>
        </w:rPr>
        <w:t>所在部门职务：</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职务：</w:t>
      </w:r>
      <w:r>
        <w:rPr>
          <w:rFonts w:hint="eastAsia" w:ascii="仿宋" w:hAnsi="仿宋" w:eastAsia="仿宋" w:cs="仿宋"/>
          <w:color w:val="auto"/>
          <w:sz w:val="24"/>
          <w:highlight w:val="none"/>
          <w:u w:val="single"/>
        </w:rPr>
        <w:t xml:space="preserve">                  </w:t>
      </w:r>
    </w:p>
    <w:p w14:paraId="4B24AAFB">
      <w:pPr>
        <w:snapToGrid w:val="0"/>
        <w:spacing w:before="120" w:beforeLines="50" w:after="50"/>
        <w:rPr>
          <w:rFonts w:hint="eastAsia" w:ascii="仿宋" w:hAnsi="仿宋" w:eastAsia="仿宋" w:cs="仿宋"/>
          <w:color w:val="auto"/>
          <w:sz w:val="24"/>
          <w:highlight w:val="none"/>
        </w:rPr>
      </w:pPr>
      <w:r>
        <w:rPr>
          <w:rFonts w:hint="eastAsia" w:ascii="仿宋" w:hAnsi="仿宋" w:eastAsia="仿宋" w:cs="仿宋"/>
          <w:color w:val="auto"/>
          <w:sz w:val="24"/>
          <w:highlight w:val="none"/>
        </w:rPr>
        <w:t>委托代理人身份证号码：</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14:paraId="5D9266EC">
      <w:pPr>
        <w:snapToGrid w:val="0"/>
        <w:spacing w:before="120" w:beforeLines="50" w:after="50"/>
        <w:rPr>
          <w:rFonts w:hint="eastAsia" w:ascii="仿宋" w:hAnsi="仿宋" w:eastAsia="仿宋" w:cs="仿宋"/>
          <w:color w:val="auto"/>
          <w:sz w:val="24"/>
          <w:highlight w:val="none"/>
        </w:rPr>
      </w:pPr>
    </w:p>
    <w:p w14:paraId="5BAC0564">
      <w:pPr>
        <w:snapToGrid w:val="0"/>
        <w:spacing w:before="120" w:beforeLines="50" w:after="50"/>
        <w:rPr>
          <w:rFonts w:hint="eastAsia" w:ascii="仿宋" w:hAnsi="仿宋" w:eastAsia="仿宋" w:cs="仿宋"/>
          <w:color w:val="auto"/>
          <w:sz w:val="24"/>
          <w:highlight w:val="none"/>
        </w:rPr>
      </w:pPr>
    </w:p>
    <w:p w14:paraId="1D007622">
      <w:pPr>
        <w:snapToGrid w:val="0"/>
        <w:spacing w:before="50" w:after="120" w:afterLines="50"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投标人（盖公章或电子签章）：</w:t>
      </w:r>
      <w:r>
        <w:rPr>
          <w:rFonts w:hint="eastAsia" w:ascii="仿宋" w:hAnsi="仿宋" w:eastAsia="仿宋" w:cs="仿宋"/>
          <w:color w:val="auto"/>
          <w:sz w:val="24"/>
          <w:highlight w:val="none"/>
          <w:u w:val="single"/>
        </w:rPr>
        <w:t xml:space="preserve">              </w:t>
      </w:r>
    </w:p>
    <w:p w14:paraId="4614BBB1">
      <w:pPr>
        <w:snapToGrid w:val="0"/>
        <w:spacing w:before="50" w:after="120" w:afterLines="50"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年    月    日</w:t>
      </w:r>
    </w:p>
    <w:p w14:paraId="00D9AB12">
      <w:pPr>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注：</w:t>
      </w:r>
    </w:p>
    <w:p w14:paraId="66D900A6">
      <w:pPr>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1.法定代表人和委托代理人必须在授权委托书上签字；</w:t>
      </w:r>
    </w:p>
    <w:p w14:paraId="09C90B7C">
      <w:pPr>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2.以联合体形式投标的，本授权委托书应由联合体牵头人的法定代表人按上述规定签署。</w:t>
      </w:r>
    </w:p>
    <w:p w14:paraId="79643C64">
      <w:pPr>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3.供应商为其他组织或者自然人时，本招标文件规定的法定代表人指负责人或者自然人。本招标文件所称负责人是指参加投标的其他组织营业执照上的负责人，本招标文件所称自然人指参与投标的自然人本人。</w:t>
      </w:r>
    </w:p>
    <w:p w14:paraId="72807080">
      <w:pPr>
        <w:snapToGrid w:val="0"/>
        <w:spacing w:before="120" w:beforeLines="50" w:after="50"/>
        <w:ind w:firstLine="566" w:firstLineChars="236"/>
        <w:jc w:val="center"/>
        <w:rPr>
          <w:rFonts w:hint="eastAsia" w:ascii="仿宋" w:hAnsi="仿宋" w:eastAsia="仿宋" w:cs="仿宋"/>
          <w:b/>
          <w:color w:val="auto"/>
          <w:sz w:val="24"/>
          <w:highlight w:val="none"/>
        </w:rPr>
      </w:pPr>
      <w:r>
        <w:rPr>
          <w:rFonts w:hint="eastAsia" w:ascii="仿宋" w:hAnsi="仿宋" w:eastAsia="仿宋" w:cs="仿宋"/>
          <w:color w:val="auto"/>
          <w:sz w:val="24"/>
          <w:highlight w:val="none"/>
        </w:rPr>
        <w:br w:type="page"/>
      </w:r>
      <w:r>
        <w:rPr>
          <w:rFonts w:hint="eastAsia" w:ascii="仿宋" w:hAnsi="仿宋" w:eastAsia="仿宋" w:cs="仿宋"/>
          <w:b/>
          <w:color w:val="auto"/>
          <w:sz w:val="24"/>
          <w:highlight w:val="none"/>
        </w:rPr>
        <w:t>商务条款偏离表格式</w:t>
      </w:r>
    </w:p>
    <w:p w14:paraId="17364178">
      <w:pPr>
        <w:spacing w:before="240" w:beforeLines="100" w:line="360" w:lineRule="auto"/>
        <w:ind w:firstLine="482" w:firstLineChars="20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商务条款偏离表</w:t>
      </w:r>
    </w:p>
    <w:p w14:paraId="18FF2A8B">
      <w:pPr>
        <w:pStyle w:val="23"/>
        <w:spacing w:line="360" w:lineRule="auto"/>
        <w:ind w:firstLine="480" w:firstLineChars="200"/>
        <w:rPr>
          <w:rFonts w:hint="eastAsia" w:ascii="仿宋" w:hAnsi="仿宋" w:eastAsia="仿宋" w:cs="仿宋"/>
          <w:color w:val="auto"/>
          <w:sz w:val="24"/>
          <w:szCs w:val="24"/>
          <w:highlight w:val="none"/>
        </w:rPr>
      </w:pPr>
    </w:p>
    <w:tbl>
      <w:tblPr>
        <w:tblStyle w:val="4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10"/>
        <w:gridCol w:w="3336"/>
        <w:gridCol w:w="1760"/>
        <w:gridCol w:w="2035"/>
      </w:tblGrid>
      <w:tr w14:paraId="0DD6E7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1510" w:type="dxa"/>
            <w:tcBorders>
              <w:top w:val="single" w:color="auto" w:sz="4" w:space="0"/>
              <w:left w:val="single" w:color="auto" w:sz="4" w:space="0"/>
              <w:bottom w:val="single" w:color="auto" w:sz="4" w:space="0"/>
              <w:right w:val="single" w:color="auto" w:sz="4" w:space="0"/>
            </w:tcBorders>
            <w:vAlign w:val="center"/>
          </w:tcPr>
          <w:p w14:paraId="4892DE73">
            <w:pPr>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w:t>
            </w:r>
          </w:p>
        </w:tc>
        <w:tc>
          <w:tcPr>
            <w:tcW w:w="3336" w:type="dxa"/>
            <w:tcBorders>
              <w:top w:val="single" w:color="auto" w:sz="4" w:space="0"/>
              <w:left w:val="single" w:color="auto" w:sz="4" w:space="0"/>
              <w:bottom w:val="single" w:color="auto" w:sz="4" w:space="0"/>
              <w:right w:val="single" w:color="auto" w:sz="4" w:space="0"/>
            </w:tcBorders>
            <w:vAlign w:val="center"/>
          </w:tcPr>
          <w:p w14:paraId="13A3CC3F">
            <w:pPr>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招标文件商务条款要求</w:t>
            </w:r>
          </w:p>
        </w:tc>
        <w:tc>
          <w:tcPr>
            <w:tcW w:w="1760" w:type="dxa"/>
            <w:tcBorders>
              <w:top w:val="single" w:color="auto" w:sz="4" w:space="0"/>
              <w:left w:val="single" w:color="auto" w:sz="4" w:space="0"/>
              <w:bottom w:val="single" w:color="auto" w:sz="4" w:space="0"/>
              <w:right w:val="single" w:color="auto" w:sz="4" w:space="0"/>
            </w:tcBorders>
            <w:vAlign w:val="center"/>
          </w:tcPr>
          <w:p w14:paraId="3D932466">
            <w:pPr>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投标人的承诺</w:t>
            </w:r>
          </w:p>
        </w:tc>
        <w:tc>
          <w:tcPr>
            <w:tcW w:w="2035" w:type="dxa"/>
            <w:tcBorders>
              <w:top w:val="single" w:color="auto" w:sz="4" w:space="0"/>
              <w:left w:val="single" w:color="auto" w:sz="4" w:space="0"/>
              <w:bottom w:val="single" w:color="auto" w:sz="4" w:space="0"/>
              <w:right w:val="single" w:color="auto" w:sz="4" w:space="0"/>
            </w:tcBorders>
            <w:vAlign w:val="center"/>
          </w:tcPr>
          <w:p w14:paraId="22CF2457">
            <w:pPr>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偏离说明</w:t>
            </w:r>
          </w:p>
        </w:tc>
      </w:tr>
      <w:tr w14:paraId="163B51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8" w:hRule="atLeast"/>
          <w:jc w:val="center"/>
        </w:trPr>
        <w:tc>
          <w:tcPr>
            <w:tcW w:w="1510" w:type="dxa"/>
            <w:tcBorders>
              <w:top w:val="single" w:color="auto" w:sz="4" w:space="0"/>
              <w:left w:val="single" w:color="auto" w:sz="4" w:space="0"/>
              <w:bottom w:val="single" w:color="auto" w:sz="4" w:space="0"/>
              <w:right w:val="single" w:color="auto" w:sz="4" w:space="0"/>
            </w:tcBorders>
            <w:vAlign w:val="center"/>
          </w:tcPr>
          <w:p w14:paraId="52571AF8">
            <w:pPr>
              <w:jc w:val="center"/>
              <w:rPr>
                <w:rFonts w:hint="eastAsia" w:ascii="仿宋" w:hAnsi="仿宋" w:eastAsia="仿宋" w:cs="仿宋"/>
                <w:color w:val="auto"/>
                <w:sz w:val="24"/>
                <w:highlight w:val="none"/>
              </w:rPr>
            </w:pPr>
          </w:p>
        </w:tc>
        <w:tc>
          <w:tcPr>
            <w:tcW w:w="3336" w:type="dxa"/>
            <w:tcBorders>
              <w:top w:val="single" w:color="auto" w:sz="4" w:space="0"/>
              <w:left w:val="single" w:color="auto" w:sz="4" w:space="0"/>
              <w:bottom w:val="single" w:color="auto" w:sz="4" w:space="0"/>
              <w:right w:val="single" w:color="auto" w:sz="4" w:space="0"/>
            </w:tcBorders>
            <w:vAlign w:val="center"/>
          </w:tcPr>
          <w:p w14:paraId="7163A0D8">
            <w:pPr>
              <w:snapToGrid w:val="0"/>
              <w:jc w:val="center"/>
              <w:rPr>
                <w:rFonts w:hint="eastAsia" w:ascii="仿宋" w:hAnsi="仿宋" w:eastAsia="仿宋" w:cs="仿宋"/>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vAlign w:val="center"/>
          </w:tcPr>
          <w:p w14:paraId="67FC2AF7">
            <w:pPr>
              <w:snapToGrid w:val="0"/>
              <w:jc w:val="center"/>
              <w:rPr>
                <w:rFonts w:hint="eastAsia" w:ascii="仿宋" w:hAnsi="仿宋" w:eastAsia="仿宋" w:cs="仿宋"/>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vAlign w:val="center"/>
          </w:tcPr>
          <w:p w14:paraId="15AD07E6">
            <w:pPr>
              <w:snapToGrid w:val="0"/>
              <w:jc w:val="center"/>
              <w:rPr>
                <w:rFonts w:hint="eastAsia" w:ascii="仿宋" w:hAnsi="仿宋" w:eastAsia="仿宋" w:cs="仿宋"/>
                <w:color w:val="auto"/>
                <w:sz w:val="24"/>
                <w:highlight w:val="none"/>
              </w:rPr>
            </w:pPr>
          </w:p>
        </w:tc>
      </w:tr>
      <w:tr w14:paraId="78590F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1510" w:type="dxa"/>
            <w:tcBorders>
              <w:top w:val="single" w:color="auto" w:sz="4" w:space="0"/>
              <w:left w:val="single" w:color="auto" w:sz="4" w:space="0"/>
              <w:bottom w:val="single" w:color="auto" w:sz="4" w:space="0"/>
              <w:right w:val="single" w:color="auto" w:sz="4" w:space="0"/>
            </w:tcBorders>
            <w:vAlign w:val="center"/>
          </w:tcPr>
          <w:p w14:paraId="3E0415EC">
            <w:pPr>
              <w:jc w:val="center"/>
              <w:rPr>
                <w:rFonts w:hint="eastAsia" w:ascii="仿宋" w:hAnsi="仿宋" w:eastAsia="仿宋" w:cs="仿宋"/>
                <w:color w:val="auto"/>
                <w:sz w:val="24"/>
                <w:highlight w:val="none"/>
              </w:rPr>
            </w:pPr>
          </w:p>
        </w:tc>
        <w:tc>
          <w:tcPr>
            <w:tcW w:w="3336" w:type="dxa"/>
            <w:tcBorders>
              <w:top w:val="single" w:color="auto" w:sz="4" w:space="0"/>
              <w:left w:val="single" w:color="auto" w:sz="4" w:space="0"/>
              <w:bottom w:val="single" w:color="auto" w:sz="4" w:space="0"/>
              <w:right w:val="single" w:color="auto" w:sz="4" w:space="0"/>
            </w:tcBorders>
            <w:vAlign w:val="center"/>
          </w:tcPr>
          <w:p w14:paraId="2D995AC6">
            <w:pPr>
              <w:snapToGrid w:val="0"/>
              <w:rPr>
                <w:rFonts w:hint="eastAsia" w:ascii="仿宋" w:hAnsi="仿宋" w:eastAsia="仿宋" w:cs="仿宋"/>
                <w:color w:val="auto"/>
                <w:sz w:val="24"/>
                <w:highlight w:val="none"/>
                <w:u w:val="single"/>
              </w:rPr>
            </w:pPr>
          </w:p>
        </w:tc>
        <w:tc>
          <w:tcPr>
            <w:tcW w:w="1760" w:type="dxa"/>
            <w:tcBorders>
              <w:top w:val="single" w:color="auto" w:sz="4" w:space="0"/>
              <w:left w:val="single" w:color="auto" w:sz="4" w:space="0"/>
              <w:bottom w:val="single" w:color="auto" w:sz="4" w:space="0"/>
              <w:right w:val="single" w:color="auto" w:sz="4" w:space="0"/>
            </w:tcBorders>
            <w:vAlign w:val="center"/>
          </w:tcPr>
          <w:p w14:paraId="02A995BB">
            <w:pPr>
              <w:snapToGrid w:val="0"/>
              <w:jc w:val="center"/>
              <w:rPr>
                <w:rFonts w:hint="eastAsia" w:ascii="仿宋" w:hAnsi="仿宋" w:eastAsia="仿宋" w:cs="仿宋"/>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vAlign w:val="center"/>
          </w:tcPr>
          <w:p w14:paraId="1AA7E28F">
            <w:pPr>
              <w:snapToGrid w:val="0"/>
              <w:jc w:val="center"/>
              <w:rPr>
                <w:rFonts w:hint="eastAsia" w:ascii="仿宋" w:hAnsi="仿宋" w:eastAsia="仿宋" w:cs="仿宋"/>
                <w:color w:val="auto"/>
                <w:sz w:val="24"/>
                <w:highlight w:val="none"/>
              </w:rPr>
            </w:pPr>
          </w:p>
        </w:tc>
      </w:tr>
      <w:tr w14:paraId="057BDB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6" w:hRule="atLeast"/>
          <w:jc w:val="center"/>
        </w:trPr>
        <w:tc>
          <w:tcPr>
            <w:tcW w:w="1510" w:type="dxa"/>
            <w:tcBorders>
              <w:top w:val="single" w:color="auto" w:sz="4" w:space="0"/>
              <w:left w:val="single" w:color="auto" w:sz="4" w:space="0"/>
              <w:bottom w:val="single" w:color="auto" w:sz="4" w:space="0"/>
              <w:right w:val="single" w:color="auto" w:sz="4" w:space="0"/>
            </w:tcBorders>
            <w:vAlign w:val="center"/>
          </w:tcPr>
          <w:p w14:paraId="10C3D52B">
            <w:pP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tc>
        <w:tc>
          <w:tcPr>
            <w:tcW w:w="3336" w:type="dxa"/>
            <w:tcBorders>
              <w:top w:val="single" w:color="auto" w:sz="4" w:space="0"/>
              <w:left w:val="single" w:color="auto" w:sz="4" w:space="0"/>
              <w:bottom w:val="single" w:color="auto" w:sz="4" w:space="0"/>
              <w:right w:val="single" w:color="auto" w:sz="4" w:space="0"/>
            </w:tcBorders>
            <w:vAlign w:val="center"/>
          </w:tcPr>
          <w:p w14:paraId="1896ADC6">
            <w:pPr>
              <w:snapToGrid w:val="0"/>
              <w:jc w:val="center"/>
              <w:rPr>
                <w:rFonts w:hint="eastAsia" w:ascii="仿宋" w:hAnsi="仿宋" w:eastAsia="仿宋" w:cs="仿宋"/>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vAlign w:val="center"/>
          </w:tcPr>
          <w:p w14:paraId="23E85033">
            <w:pPr>
              <w:snapToGrid w:val="0"/>
              <w:jc w:val="center"/>
              <w:rPr>
                <w:rFonts w:hint="eastAsia" w:ascii="仿宋" w:hAnsi="仿宋" w:eastAsia="仿宋" w:cs="仿宋"/>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vAlign w:val="center"/>
          </w:tcPr>
          <w:p w14:paraId="584F5F89">
            <w:pPr>
              <w:snapToGrid w:val="0"/>
              <w:jc w:val="center"/>
              <w:rPr>
                <w:rFonts w:hint="eastAsia" w:ascii="仿宋" w:hAnsi="仿宋" w:eastAsia="仿宋" w:cs="仿宋"/>
                <w:color w:val="auto"/>
                <w:sz w:val="24"/>
                <w:highlight w:val="none"/>
              </w:rPr>
            </w:pPr>
          </w:p>
        </w:tc>
      </w:tr>
      <w:tr w14:paraId="37D7DB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1510" w:type="dxa"/>
            <w:tcBorders>
              <w:top w:val="single" w:color="auto" w:sz="4" w:space="0"/>
              <w:left w:val="single" w:color="auto" w:sz="4" w:space="0"/>
              <w:bottom w:val="single" w:color="auto" w:sz="4" w:space="0"/>
              <w:right w:val="single" w:color="auto" w:sz="4" w:space="0"/>
            </w:tcBorders>
            <w:vAlign w:val="center"/>
          </w:tcPr>
          <w:p w14:paraId="20E98EC3">
            <w:pPr>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3336" w:type="dxa"/>
            <w:tcBorders>
              <w:top w:val="single" w:color="auto" w:sz="4" w:space="0"/>
              <w:left w:val="single" w:color="auto" w:sz="4" w:space="0"/>
              <w:bottom w:val="single" w:color="auto" w:sz="4" w:space="0"/>
              <w:right w:val="single" w:color="auto" w:sz="4" w:space="0"/>
            </w:tcBorders>
            <w:vAlign w:val="center"/>
          </w:tcPr>
          <w:p w14:paraId="27961C62">
            <w:pPr>
              <w:snapToGrid w:val="0"/>
              <w:jc w:val="center"/>
              <w:rPr>
                <w:rFonts w:hint="eastAsia" w:ascii="仿宋" w:hAnsi="仿宋" w:eastAsia="仿宋" w:cs="仿宋"/>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vAlign w:val="center"/>
          </w:tcPr>
          <w:p w14:paraId="36DD43C5">
            <w:pPr>
              <w:snapToGrid w:val="0"/>
              <w:jc w:val="center"/>
              <w:rPr>
                <w:rFonts w:hint="eastAsia" w:ascii="仿宋" w:hAnsi="仿宋" w:eastAsia="仿宋" w:cs="仿宋"/>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vAlign w:val="center"/>
          </w:tcPr>
          <w:p w14:paraId="1E630729">
            <w:pPr>
              <w:snapToGrid w:val="0"/>
              <w:jc w:val="center"/>
              <w:rPr>
                <w:rFonts w:hint="eastAsia" w:ascii="仿宋" w:hAnsi="仿宋" w:eastAsia="仿宋" w:cs="仿宋"/>
                <w:color w:val="auto"/>
                <w:sz w:val="24"/>
                <w:highlight w:val="none"/>
              </w:rPr>
            </w:pPr>
          </w:p>
        </w:tc>
      </w:tr>
    </w:tbl>
    <w:p w14:paraId="094195CB">
      <w:pPr>
        <w:pStyle w:val="15"/>
        <w:spacing w:line="360" w:lineRule="auto"/>
        <w:ind w:firstLine="482" w:firstLineChars="200"/>
        <w:rPr>
          <w:rFonts w:hint="eastAsia" w:ascii="仿宋" w:hAnsi="仿宋" w:eastAsia="仿宋" w:cs="仿宋"/>
          <w:color w:val="auto"/>
          <w:highlight w:val="none"/>
        </w:rPr>
      </w:pPr>
      <w:r>
        <w:rPr>
          <w:rFonts w:hint="eastAsia" w:ascii="仿宋" w:hAnsi="仿宋" w:eastAsia="仿宋" w:cs="仿宋"/>
          <w:color w:val="auto"/>
          <w:highlight w:val="none"/>
        </w:rPr>
        <w:t>注：</w:t>
      </w:r>
    </w:p>
    <w:p w14:paraId="6F13909B">
      <w:pPr>
        <w:pStyle w:val="17"/>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说明：应对照招标文件“第二章 采购需求”中的商务要求条款逐条实质性响应，并作出偏离说明。</w:t>
      </w:r>
    </w:p>
    <w:p w14:paraId="5B5E47E3">
      <w:pPr>
        <w:pStyle w:val="15"/>
        <w:spacing w:line="360" w:lineRule="auto"/>
        <w:ind w:firstLine="48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2.投标人应根据自身的承诺，对照招标文件要求在“偏离说明”中注明“</w:t>
      </w:r>
      <w:r>
        <w:rPr>
          <w:rFonts w:hint="eastAsia" w:ascii="仿宋" w:hAnsi="仿宋" w:eastAsia="仿宋" w:cs="仿宋"/>
          <w:color w:val="auto"/>
          <w:highlight w:val="none"/>
        </w:rPr>
        <w:t>正偏离</w:t>
      </w:r>
      <w:r>
        <w:rPr>
          <w:rFonts w:hint="eastAsia" w:ascii="仿宋" w:hAnsi="仿宋" w:eastAsia="仿宋" w:cs="仿宋"/>
          <w:b w:val="0"/>
          <w:bCs w:val="0"/>
          <w:color w:val="auto"/>
          <w:highlight w:val="none"/>
        </w:rPr>
        <w:t>”、“</w:t>
      </w:r>
      <w:r>
        <w:rPr>
          <w:rFonts w:hint="eastAsia" w:ascii="仿宋" w:hAnsi="仿宋" w:eastAsia="仿宋" w:cs="仿宋"/>
          <w:color w:val="auto"/>
          <w:highlight w:val="none"/>
        </w:rPr>
        <w:t>负偏离</w:t>
      </w:r>
      <w:r>
        <w:rPr>
          <w:rFonts w:hint="eastAsia" w:ascii="仿宋" w:hAnsi="仿宋" w:eastAsia="仿宋" w:cs="仿宋"/>
          <w:b w:val="0"/>
          <w:bCs w:val="0"/>
          <w:color w:val="auto"/>
          <w:highlight w:val="none"/>
        </w:rPr>
        <w:t>”或者“</w:t>
      </w:r>
      <w:r>
        <w:rPr>
          <w:rFonts w:hint="eastAsia" w:ascii="仿宋" w:hAnsi="仿宋" w:eastAsia="仿宋" w:cs="仿宋"/>
          <w:color w:val="auto"/>
          <w:highlight w:val="none"/>
        </w:rPr>
        <w:t>无偏离</w:t>
      </w:r>
      <w:r>
        <w:rPr>
          <w:rFonts w:hint="eastAsia" w:ascii="仿宋" w:hAnsi="仿宋" w:eastAsia="仿宋" w:cs="仿宋"/>
          <w:b w:val="0"/>
          <w:bCs w:val="0"/>
          <w:color w:val="auto"/>
          <w:highlight w:val="none"/>
        </w:rPr>
        <w:t>”。既不属于“</w:t>
      </w:r>
      <w:r>
        <w:rPr>
          <w:rFonts w:hint="eastAsia" w:ascii="仿宋" w:hAnsi="仿宋" w:eastAsia="仿宋" w:cs="仿宋"/>
          <w:color w:val="auto"/>
          <w:highlight w:val="none"/>
        </w:rPr>
        <w:t>正偏离</w:t>
      </w:r>
      <w:r>
        <w:rPr>
          <w:rFonts w:hint="eastAsia" w:ascii="仿宋" w:hAnsi="仿宋" w:eastAsia="仿宋" w:cs="仿宋"/>
          <w:b w:val="0"/>
          <w:bCs w:val="0"/>
          <w:color w:val="auto"/>
          <w:highlight w:val="none"/>
        </w:rPr>
        <w:t>”也不属于“</w:t>
      </w:r>
      <w:r>
        <w:rPr>
          <w:rFonts w:hint="eastAsia" w:ascii="仿宋" w:hAnsi="仿宋" w:eastAsia="仿宋" w:cs="仿宋"/>
          <w:color w:val="auto"/>
          <w:highlight w:val="none"/>
        </w:rPr>
        <w:t>负偏离</w:t>
      </w:r>
      <w:r>
        <w:rPr>
          <w:rFonts w:hint="eastAsia" w:ascii="仿宋" w:hAnsi="仿宋" w:eastAsia="仿宋" w:cs="仿宋"/>
          <w:b w:val="0"/>
          <w:bCs w:val="0"/>
          <w:color w:val="auto"/>
          <w:highlight w:val="none"/>
        </w:rPr>
        <w:t>”即为“</w:t>
      </w:r>
      <w:r>
        <w:rPr>
          <w:rFonts w:hint="eastAsia" w:ascii="仿宋" w:hAnsi="仿宋" w:eastAsia="仿宋" w:cs="仿宋"/>
          <w:color w:val="auto"/>
          <w:highlight w:val="none"/>
        </w:rPr>
        <w:t>无偏离</w:t>
      </w:r>
      <w:r>
        <w:rPr>
          <w:rFonts w:hint="eastAsia" w:ascii="仿宋" w:hAnsi="仿宋" w:eastAsia="仿宋" w:cs="仿宋"/>
          <w:b w:val="0"/>
          <w:bCs w:val="0"/>
          <w:color w:val="auto"/>
          <w:highlight w:val="none"/>
        </w:rPr>
        <w:t>”。</w:t>
      </w:r>
    </w:p>
    <w:p w14:paraId="4F3BFC1B">
      <w:pPr>
        <w:snapToGrid w:val="0"/>
        <w:spacing w:line="360" w:lineRule="auto"/>
        <w:ind w:firstLine="480" w:firstLineChars="200"/>
        <w:rPr>
          <w:rFonts w:hint="eastAsia" w:ascii="仿宋" w:hAnsi="仿宋" w:eastAsia="仿宋" w:cs="仿宋"/>
          <w:color w:val="auto"/>
          <w:sz w:val="24"/>
          <w:highlight w:val="none"/>
        </w:rPr>
      </w:pPr>
    </w:p>
    <w:p w14:paraId="3AACC866">
      <w:pPr>
        <w:snapToGrid w:val="0"/>
        <w:spacing w:line="360" w:lineRule="auto"/>
        <w:jc w:val="left"/>
        <w:rPr>
          <w:rFonts w:hint="eastAsia" w:ascii="仿宋" w:hAnsi="仿宋" w:eastAsia="仿宋" w:cs="仿宋"/>
          <w:color w:val="auto"/>
          <w:spacing w:val="20"/>
          <w:sz w:val="24"/>
          <w:highlight w:val="none"/>
          <w:u w:val="single"/>
        </w:rPr>
      </w:pPr>
      <w:r>
        <w:rPr>
          <w:rFonts w:hint="eastAsia" w:ascii="仿宋" w:hAnsi="仿宋" w:eastAsia="仿宋" w:cs="仿宋"/>
          <w:color w:val="auto"/>
          <w:sz w:val="24"/>
          <w:highlight w:val="none"/>
        </w:rPr>
        <w:t>法定代表人或者委托代理人</w:t>
      </w:r>
      <w:r>
        <w:rPr>
          <w:rFonts w:hint="eastAsia" w:ascii="仿宋" w:hAnsi="仿宋" w:eastAsia="仿宋" w:cs="仿宋"/>
          <w:color w:val="auto"/>
          <w:spacing w:val="20"/>
          <w:sz w:val="24"/>
          <w:highlight w:val="none"/>
        </w:rPr>
        <w:t>（签字或者电子签名）：</w:t>
      </w:r>
      <w:r>
        <w:rPr>
          <w:rFonts w:hint="eastAsia" w:ascii="仿宋" w:hAnsi="仿宋" w:eastAsia="仿宋" w:cs="仿宋"/>
          <w:color w:val="auto"/>
          <w:spacing w:val="20"/>
          <w:sz w:val="24"/>
          <w:highlight w:val="none"/>
          <w:u w:val="single"/>
        </w:rPr>
        <w:t xml:space="preserve">        </w:t>
      </w:r>
    </w:p>
    <w:p w14:paraId="592A67DB">
      <w:pPr>
        <w:snapToGrid w:val="0"/>
        <w:spacing w:line="360" w:lineRule="auto"/>
        <w:jc w:val="left"/>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投标人（盖公章或电子签章）：</w:t>
      </w:r>
      <w:r>
        <w:rPr>
          <w:rFonts w:hint="eastAsia" w:ascii="仿宋" w:hAnsi="仿宋" w:eastAsia="仿宋" w:cs="仿宋"/>
          <w:color w:val="auto"/>
          <w:spacing w:val="20"/>
          <w:sz w:val="24"/>
          <w:highlight w:val="none"/>
          <w:u w:val="single"/>
        </w:rPr>
        <w:t xml:space="preserve">            </w:t>
      </w:r>
    </w:p>
    <w:p w14:paraId="1A18EEDE">
      <w:pPr>
        <w:snapToGrid w:val="0"/>
        <w:spacing w:line="360" w:lineRule="auto"/>
        <w:rPr>
          <w:rFonts w:hint="eastAsia" w:ascii="仿宋" w:hAnsi="仿宋" w:eastAsia="仿宋" w:cs="仿宋"/>
          <w:color w:val="auto"/>
          <w:spacing w:val="20"/>
          <w:sz w:val="24"/>
          <w:highlight w:val="none"/>
          <w:u w:val="single"/>
        </w:rPr>
      </w:pPr>
      <w:r>
        <w:rPr>
          <w:rFonts w:hint="eastAsia" w:ascii="仿宋" w:hAnsi="仿宋" w:eastAsia="仿宋" w:cs="仿宋"/>
          <w:color w:val="auto"/>
          <w:spacing w:val="20"/>
          <w:sz w:val="24"/>
          <w:highlight w:val="none"/>
        </w:rPr>
        <w:t>日  期：</w:t>
      </w:r>
      <w:r>
        <w:rPr>
          <w:rFonts w:hint="eastAsia" w:ascii="仿宋" w:hAnsi="仿宋" w:eastAsia="仿宋" w:cs="仿宋"/>
          <w:color w:val="auto"/>
          <w:spacing w:val="20"/>
          <w:sz w:val="24"/>
          <w:highlight w:val="none"/>
          <w:u w:val="single"/>
        </w:rPr>
        <w:t xml:space="preserve">          </w:t>
      </w:r>
    </w:p>
    <w:p w14:paraId="77FC3C70">
      <w:pPr>
        <w:snapToGrid w:val="0"/>
        <w:spacing w:line="360" w:lineRule="auto"/>
        <w:rPr>
          <w:rFonts w:hint="eastAsia" w:ascii="仿宋" w:hAnsi="仿宋" w:eastAsia="仿宋" w:cs="仿宋"/>
          <w:b/>
          <w:color w:val="auto"/>
          <w:szCs w:val="21"/>
          <w:highlight w:val="none"/>
        </w:rPr>
      </w:pPr>
      <w:r>
        <w:rPr>
          <w:rFonts w:hint="eastAsia" w:ascii="仿宋" w:hAnsi="仿宋" w:eastAsia="仿宋" w:cs="仿宋"/>
          <w:color w:val="auto"/>
          <w:spacing w:val="20"/>
          <w:sz w:val="24"/>
          <w:highlight w:val="none"/>
          <w:u w:val="single"/>
        </w:rPr>
        <w:br w:type="column"/>
      </w:r>
      <w:r>
        <w:rPr>
          <w:rFonts w:hint="eastAsia" w:ascii="仿宋" w:hAnsi="仿宋" w:eastAsia="仿宋" w:cs="仿宋"/>
          <w:b/>
          <w:color w:val="auto"/>
          <w:sz w:val="24"/>
          <w:highlight w:val="none"/>
        </w:rPr>
        <w:t>投标人类似的业绩证明文件</w:t>
      </w:r>
    </w:p>
    <w:p w14:paraId="46739FE6">
      <w:pPr>
        <w:pStyle w:val="33"/>
        <w:snapToGrid w:val="0"/>
        <w:spacing w:after="240" w:afterLines="100"/>
        <w:ind w:left="482" w:hanging="482"/>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投标人类似业绩情况表</w:t>
      </w:r>
    </w:p>
    <w:p w14:paraId="6AD711A4">
      <w:pPr>
        <w:pStyle w:val="33"/>
        <w:snapToGrid w:val="0"/>
        <w:ind w:left="480" w:hanging="48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投标人同类项目情况一览表格式：（投标人同类项目合同复印件）</w:t>
      </w:r>
    </w:p>
    <w:tbl>
      <w:tblPr>
        <w:tblStyle w:val="45"/>
        <w:tblW w:w="878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432"/>
        <w:gridCol w:w="1090"/>
        <w:gridCol w:w="1486"/>
        <w:gridCol w:w="2080"/>
        <w:gridCol w:w="1701"/>
      </w:tblGrid>
      <w:tr w14:paraId="3524C0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2432" w:type="dxa"/>
            <w:vMerge w:val="restart"/>
            <w:tcBorders>
              <w:top w:val="single" w:color="auto" w:sz="4" w:space="0"/>
              <w:left w:val="single" w:color="auto" w:sz="4" w:space="0"/>
              <w:bottom w:val="single" w:color="auto" w:sz="4" w:space="0"/>
              <w:right w:val="single" w:color="auto" w:sz="4" w:space="0"/>
            </w:tcBorders>
            <w:vAlign w:val="center"/>
          </w:tcPr>
          <w:p w14:paraId="31AD83E3">
            <w:pPr>
              <w:snapToGrid w:val="0"/>
              <w:spacing w:line="2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采购人名称</w:t>
            </w:r>
          </w:p>
        </w:tc>
        <w:tc>
          <w:tcPr>
            <w:tcW w:w="1090" w:type="dxa"/>
            <w:vMerge w:val="restart"/>
            <w:tcBorders>
              <w:top w:val="single" w:color="auto" w:sz="4" w:space="0"/>
              <w:left w:val="single" w:color="auto" w:sz="4" w:space="0"/>
              <w:bottom w:val="single" w:color="auto" w:sz="4" w:space="0"/>
              <w:right w:val="single" w:color="auto" w:sz="4" w:space="0"/>
            </w:tcBorders>
            <w:vAlign w:val="center"/>
          </w:tcPr>
          <w:p w14:paraId="5B5C158A">
            <w:pPr>
              <w:snapToGrid w:val="0"/>
              <w:spacing w:line="2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p>
        </w:tc>
        <w:tc>
          <w:tcPr>
            <w:tcW w:w="1486" w:type="dxa"/>
            <w:vMerge w:val="restart"/>
            <w:tcBorders>
              <w:top w:val="single" w:color="auto" w:sz="4" w:space="0"/>
              <w:left w:val="single" w:color="auto" w:sz="4" w:space="0"/>
              <w:bottom w:val="single" w:color="auto" w:sz="4" w:space="0"/>
              <w:right w:val="single" w:color="auto" w:sz="4" w:space="0"/>
            </w:tcBorders>
            <w:vAlign w:val="center"/>
          </w:tcPr>
          <w:p w14:paraId="3CF408A6">
            <w:pPr>
              <w:snapToGrid w:val="0"/>
              <w:spacing w:line="2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合同金额</w:t>
            </w:r>
          </w:p>
          <w:p w14:paraId="02B45173">
            <w:pPr>
              <w:snapToGrid w:val="0"/>
              <w:spacing w:line="2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（万元）</w:t>
            </w:r>
          </w:p>
        </w:tc>
        <w:tc>
          <w:tcPr>
            <w:tcW w:w="2080" w:type="dxa"/>
            <w:tcBorders>
              <w:top w:val="single" w:color="auto" w:sz="4" w:space="0"/>
              <w:left w:val="single" w:color="auto" w:sz="4" w:space="0"/>
              <w:bottom w:val="single" w:color="auto" w:sz="4" w:space="0"/>
              <w:right w:val="single" w:color="auto" w:sz="4" w:space="0"/>
            </w:tcBorders>
            <w:vAlign w:val="center"/>
          </w:tcPr>
          <w:p w14:paraId="0BF06B72">
            <w:pPr>
              <w:snapToGrid w:val="0"/>
              <w:spacing w:line="2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附件在投标文件中页码</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14:paraId="53F410EB">
            <w:pPr>
              <w:snapToGrid w:val="0"/>
              <w:spacing w:line="2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采购人联系人及</w:t>
            </w:r>
          </w:p>
          <w:p w14:paraId="3139313B">
            <w:pPr>
              <w:snapToGrid w:val="0"/>
              <w:spacing w:line="2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联系电话</w:t>
            </w:r>
          </w:p>
        </w:tc>
      </w:tr>
      <w:tr w14:paraId="4C9215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2" w:hRule="atLeast"/>
          <w:jc w:val="center"/>
        </w:trPr>
        <w:tc>
          <w:tcPr>
            <w:tcW w:w="2432" w:type="dxa"/>
            <w:vMerge w:val="continue"/>
            <w:tcBorders>
              <w:top w:val="single" w:color="auto" w:sz="4" w:space="0"/>
              <w:left w:val="single" w:color="auto" w:sz="4" w:space="0"/>
              <w:bottom w:val="single" w:color="auto" w:sz="4" w:space="0"/>
              <w:right w:val="single" w:color="auto" w:sz="4" w:space="0"/>
            </w:tcBorders>
            <w:vAlign w:val="center"/>
          </w:tcPr>
          <w:p w14:paraId="4AF72B0C">
            <w:pPr>
              <w:jc w:val="left"/>
              <w:rPr>
                <w:rFonts w:hint="eastAsia" w:ascii="仿宋" w:hAnsi="仿宋" w:eastAsia="仿宋" w:cs="仿宋"/>
                <w:color w:val="auto"/>
                <w:sz w:val="24"/>
                <w:highlight w:val="none"/>
              </w:rPr>
            </w:pPr>
          </w:p>
        </w:tc>
        <w:tc>
          <w:tcPr>
            <w:tcW w:w="1090" w:type="dxa"/>
            <w:vMerge w:val="continue"/>
            <w:tcBorders>
              <w:top w:val="single" w:color="auto" w:sz="4" w:space="0"/>
              <w:left w:val="single" w:color="auto" w:sz="4" w:space="0"/>
              <w:bottom w:val="single" w:color="auto" w:sz="4" w:space="0"/>
              <w:right w:val="single" w:color="auto" w:sz="4" w:space="0"/>
            </w:tcBorders>
            <w:vAlign w:val="center"/>
          </w:tcPr>
          <w:p w14:paraId="7440DECF">
            <w:pPr>
              <w:jc w:val="left"/>
              <w:rPr>
                <w:rFonts w:hint="eastAsia" w:ascii="仿宋" w:hAnsi="仿宋" w:eastAsia="仿宋" w:cs="仿宋"/>
                <w:color w:val="auto"/>
                <w:sz w:val="24"/>
                <w:highlight w:val="none"/>
              </w:rPr>
            </w:pPr>
          </w:p>
        </w:tc>
        <w:tc>
          <w:tcPr>
            <w:tcW w:w="1486" w:type="dxa"/>
            <w:vMerge w:val="continue"/>
            <w:tcBorders>
              <w:top w:val="single" w:color="auto" w:sz="4" w:space="0"/>
              <w:left w:val="single" w:color="auto" w:sz="4" w:space="0"/>
              <w:bottom w:val="single" w:color="auto" w:sz="4" w:space="0"/>
              <w:right w:val="single" w:color="auto" w:sz="4" w:space="0"/>
            </w:tcBorders>
            <w:vAlign w:val="center"/>
          </w:tcPr>
          <w:p w14:paraId="7B9CEEFA">
            <w:pPr>
              <w:jc w:val="left"/>
              <w:rPr>
                <w:rFonts w:hint="eastAsia" w:ascii="仿宋" w:hAnsi="仿宋" w:eastAsia="仿宋" w:cs="仿宋"/>
                <w:color w:val="auto"/>
                <w:sz w:val="24"/>
                <w:highlight w:val="none"/>
              </w:rPr>
            </w:pPr>
          </w:p>
        </w:tc>
        <w:tc>
          <w:tcPr>
            <w:tcW w:w="2080" w:type="dxa"/>
            <w:tcBorders>
              <w:top w:val="single" w:color="auto" w:sz="4" w:space="0"/>
              <w:left w:val="single" w:color="auto" w:sz="4" w:space="0"/>
              <w:bottom w:val="single" w:color="auto" w:sz="4" w:space="0"/>
              <w:right w:val="single" w:color="auto" w:sz="4" w:space="0"/>
            </w:tcBorders>
            <w:vAlign w:val="center"/>
          </w:tcPr>
          <w:p w14:paraId="60FC3CD9">
            <w:pPr>
              <w:snapToGrid w:val="0"/>
              <w:spacing w:line="2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合同</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14:paraId="7972262E">
            <w:pPr>
              <w:jc w:val="left"/>
              <w:rPr>
                <w:rFonts w:hint="eastAsia" w:ascii="仿宋" w:hAnsi="仿宋" w:eastAsia="仿宋" w:cs="仿宋"/>
                <w:color w:val="auto"/>
                <w:sz w:val="24"/>
                <w:highlight w:val="none"/>
              </w:rPr>
            </w:pPr>
          </w:p>
        </w:tc>
      </w:tr>
      <w:tr w14:paraId="781CDD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6" w:hRule="atLeast"/>
          <w:jc w:val="center"/>
        </w:trPr>
        <w:tc>
          <w:tcPr>
            <w:tcW w:w="2432" w:type="dxa"/>
            <w:tcBorders>
              <w:top w:val="single" w:color="auto" w:sz="4" w:space="0"/>
              <w:left w:val="single" w:color="auto" w:sz="4" w:space="0"/>
              <w:bottom w:val="single" w:color="auto" w:sz="4" w:space="0"/>
              <w:right w:val="single" w:color="auto" w:sz="4" w:space="0"/>
            </w:tcBorders>
            <w:vAlign w:val="center"/>
          </w:tcPr>
          <w:p w14:paraId="5A57A42B">
            <w:pPr>
              <w:snapToGrid w:val="0"/>
              <w:spacing w:line="240" w:lineRule="exact"/>
              <w:jc w:val="left"/>
              <w:rPr>
                <w:rFonts w:hint="eastAsia" w:ascii="仿宋" w:hAnsi="仿宋" w:eastAsia="仿宋" w:cs="仿宋"/>
                <w:color w:val="auto"/>
                <w:sz w:val="24"/>
                <w:highlight w:val="none"/>
              </w:rPr>
            </w:pPr>
          </w:p>
        </w:tc>
        <w:tc>
          <w:tcPr>
            <w:tcW w:w="1090" w:type="dxa"/>
            <w:tcBorders>
              <w:top w:val="single" w:color="auto" w:sz="4" w:space="0"/>
              <w:left w:val="single" w:color="auto" w:sz="4" w:space="0"/>
              <w:bottom w:val="single" w:color="auto" w:sz="4" w:space="0"/>
              <w:right w:val="single" w:color="auto" w:sz="4" w:space="0"/>
            </w:tcBorders>
            <w:vAlign w:val="center"/>
          </w:tcPr>
          <w:p w14:paraId="69644EE2">
            <w:pPr>
              <w:snapToGrid w:val="0"/>
              <w:spacing w:line="240" w:lineRule="exact"/>
              <w:jc w:val="left"/>
              <w:rPr>
                <w:rFonts w:hint="eastAsia" w:ascii="仿宋" w:hAnsi="仿宋" w:eastAsia="仿宋" w:cs="仿宋"/>
                <w:color w:val="auto"/>
                <w:sz w:val="24"/>
                <w:highlight w:val="none"/>
              </w:rPr>
            </w:pPr>
          </w:p>
        </w:tc>
        <w:tc>
          <w:tcPr>
            <w:tcW w:w="1486" w:type="dxa"/>
            <w:tcBorders>
              <w:top w:val="single" w:color="auto" w:sz="4" w:space="0"/>
              <w:left w:val="single" w:color="auto" w:sz="4" w:space="0"/>
              <w:bottom w:val="single" w:color="auto" w:sz="4" w:space="0"/>
              <w:right w:val="single" w:color="auto" w:sz="4" w:space="0"/>
            </w:tcBorders>
            <w:vAlign w:val="center"/>
          </w:tcPr>
          <w:p w14:paraId="03D72D2F">
            <w:pPr>
              <w:snapToGrid w:val="0"/>
              <w:spacing w:line="240" w:lineRule="exact"/>
              <w:jc w:val="left"/>
              <w:rPr>
                <w:rFonts w:hint="eastAsia" w:ascii="仿宋" w:hAnsi="仿宋" w:eastAsia="仿宋" w:cs="仿宋"/>
                <w:color w:val="auto"/>
                <w:sz w:val="24"/>
                <w:highlight w:val="none"/>
              </w:rPr>
            </w:pPr>
          </w:p>
        </w:tc>
        <w:tc>
          <w:tcPr>
            <w:tcW w:w="2080" w:type="dxa"/>
            <w:tcBorders>
              <w:top w:val="single" w:color="auto" w:sz="4" w:space="0"/>
              <w:left w:val="single" w:color="auto" w:sz="4" w:space="0"/>
              <w:bottom w:val="single" w:color="auto" w:sz="4" w:space="0"/>
              <w:right w:val="single" w:color="auto" w:sz="4" w:space="0"/>
            </w:tcBorders>
            <w:vAlign w:val="center"/>
          </w:tcPr>
          <w:p w14:paraId="4CA98B6F">
            <w:pPr>
              <w:snapToGrid w:val="0"/>
              <w:spacing w:line="240" w:lineRule="exact"/>
              <w:jc w:val="left"/>
              <w:rPr>
                <w:rFonts w:hint="eastAsia" w:ascii="仿宋" w:hAnsi="仿宋" w:eastAsia="仿宋" w:cs="仿宋"/>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18045AFD">
            <w:pPr>
              <w:snapToGrid w:val="0"/>
              <w:spacing w:line="240" w:lineRule="exact"/>
              <w:jc w:val="left"/>
              <w:rPr>
                <w:rFonts w:hint="eastAsia" w:ascii="仿宋" w:hAnsi="仿宋" w:eastAsia="仿宋" w:cs="仿宋"/>
                <w:color w:val="auto"/>
                <w:sz w:val="24"/>
                <w:highlight w:val="none"/>
              </w:rPr>
            </w:pPr>
          </w:p>
        </w:tc>
      </w:tr>
      <w:tr w14:paraId="45FCE1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2432" w:type="dxa"/>
            <w:tcBorders>
              <w:top w:val="single" w:color="auto" w:sz="4" w:space="0"/>
              <w:left w:val="single" w:color="auto" w:sz="4" w:space="0"/>
              <w:bottom w:val="single" w:color="auto" w:sz="4" w:space="0"/>
              <w:right w:val="single" w:color="auto" w:sz="4" w:space="0"/>
            </w:tcBorders>
            <w:vAlign w:val="center"/>
          </w:tcPr>
          <w:p w14:paraId="6D5BDDC6">
            <w:pPr>
              <w:snapToGrid w:val="0"/>
              <w:spacing w:before="50" w:after="120" w:afterLines="50" w:line="400" w:lineRule="exact"/>
              <w:jc w:val="left"/>
              <w:rPr>
                <w:rFonts w:hint="eastAsia" w:ascii="仿宋" w:hAnsi="仿宋" w:eastAsia="仿宋" w:cs="仿宋"/>
                <w:color w:val="auto"/>
                <w:sz w:val="24"/>
                <w:highlight w:val="none"/>
              </w:rPr>
            </w:pPr>
          </w:p>
        </w:tc>
        <w:tc>
          <w:tcPr>
            <w:tcW w:w="1090" w:type="dxa"/>
            <w:tcBorders>
              <w:top w:val="single" w:color="auto" w:sz="4" w:space="0"/>
              <w:left w:val="single" w:color="auto" w:sz="4" w:space="0"/>
              <w:bottom w:val="single" w:color="auto" w:sz="4" w:space="0"/>
              <w:right w:val="single" w:color="auto" w:sz="4" w:space="0"/>
            </w:tcBorders>
            <w:vAlign w:val="center"/>
          </w:tcPr>
          <w:p w14:paraId="09216404">
            <w:pPr>
              <w:snapToGrid w:val="0"/>
              <w:spacing w:before="50" w:after="120" w:afterLines="50" w:line="400" w:lineRule="exact"/>
              <w:jc w:val="left"/>
              <w:rPr>
                <w:rFonts w:hint="eastAsia" w:ascii="仿宋" w:hAnsi="仿宋" w:eastAsia="仿宋" w:cs="仿宋"/>
                <w:color w:val="auto"/>
                <w:sz w:val="24"/>
                <w:highlight w:val="none"/>
              </w:rPr>
            </w:pPr>
          </w:p>
        </w:tc>
        <w:tc>
          <w:tcPr>
            <w:tcW w:w="1486" w:type="dxa"/>
            <w:tcBorders>
              <w:top w:val="single" w:color="auto" w:sz="4" w:space="0"/>
              <w:left w:val="single" w:color="auto" w:sz="4" w:space="0"/>
              <w:bottom w:val="single" w:color="auto" w:sz="4" w:space="0"/>
              <w:right w:val="single" w:color="auto" w:sz="4" w:space="0"/>
            </w:tcBorders>
            <w:vAlign w:val="center"/>
          </w:tcPr>
          <w:p w14:paraId="1A974063">
            <w:pPr>
              <w:snapToGrid w:val="0"/>
              <w:spacing w:before="50" w:after="120" w:afterLines="50" w:line="400" w:lineRule="exact"/>
              <w:jc w:val="left"/>
              <w:rPr>
                <w:rFonts w:hint="eastAsia" w:ascii="仿宋" w:hAnsi="仿宋" w:eastAsia="仿宋" w:cs="仿宋"/>
                <w:color w:val="auto"/>
                <w:sz w:val="24"/>
                <w:highlight w:val="none"/>
              </w:rPr>
            </w:pPr>
          </w:p>
        </w:tc>
        <w:tc>
          <w:tcPr>
            <w:tcW w:w="2080" w:type="dxa"/>
            <w:tcBorders>
              <w:top w:val="single" w:color="auto" w:sz="4" w:space="0"/>
              <w:left w:val="single" w:color="auto" w:sz="4" w:space="0"/>
              <w:bottom w:val="single" w:color="auto" w:sz="4" w:space="0"/>
              <w:right w:val="single" w:color="auto" w:sz="4" w:space="0"/>
            </w:tcBorders>
            <w:vAlign w:val="center"/>
          </w:tcPr>
          <w:p w14:paraId="08BA8A47">
            <w:pPr>
              <w:snapToGrid w:val="0"/>
              <w:spacing w:before="50" w:after="120" w:afterLines="50" w:line="400" w:lineRule="exact"/>
              <w:jc w:val="left"/>
              <w:rPr>
                <w:rFonts w:hint="eastAsia" w:ascii="仿宋" w:hAnsi="仿宋" w:eastAsia="仿宋" w:cs="仿宋"/>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46BD2587">
            <w:pPr>
              <w:snapToGrid w:val="0"/>
              <w:spacing w:before="50" w:after="120" w:afterLines="50" w:line="400" w:lineRule="exact"/>
              <w:jc w:val="left"/>
              <w:rPr>
                <w:rFonts w:hint="eastAsia" w:ascii="仿宋" w:hAnsi="仿宋" w:eastAsia="仿宋" w:cs="仿宋"/>
                <w:color w:val="auto"/>
                <w:sz w:val="24"/>
                <w:highlight w:val="none"/>
              </w:rPr>
            </w:pPr>
          </w:p>
        </w:tc>
      </w:tr>
      <w:tr w14:paraId="496A97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7" w:hRule="atLeast"/>
          <w:jc w:val="center"/>
        </w:trPr>
        <w:tc>
          <w:tcPr>
            <w:tcW w:w="2432" w:type="dxa"/>
            <w:tcBorders>
              <w:top w:val="single" w:color="auto" w:sz="4" w:space="0"/>
              <w:left w:val="single" w:color="auto" w:sz="4" w:space="0"/>
              <w:bottom w:val="single" w:color="auto" w:sz="4" w:space="0"/>
              <w:right w:val="single" w:color="auto" w:sz="4" w:space="0"/>
            </w:tcBorders>
            <w:vAlign w:val="center"/>
          </w:tcPr>
          <w:p w14:paraId="75E3C47A">
            <w:pPr>
              <w:snapToGrid w:val="0"/>
              <w:spacing w:before="50" w:after="120" w:afterLines="50" w:line="400" w:lineRule="exact"/>
              <w:jc w:val="left"/>
              <w:rPr>
                <w:rFonts w:hint="eastAsia" w:ascii="仿宋" w:hAnsi="仿宋" w:eastAsia="仿宋" w:cs="仿宋"/>
                <w:color w:val="auto"/>
                <w:sz w:val="24"/>
                <w:highlight w:val="none"/>
              </w:rPr>
            </w:pPr>
          </w:p>
        </w:tc>
        <w:tc>
          <w:tcPr>
            <w:tcW w:w="1090" w:type="dxa"/>
            <w:tcBorders>
              <w:top w:val="single" w:color="auto" w:sz="4" w:space="0"/>
              <w:left w:val="single" w:color="auto" w:sz="4" w:space="0"/>
              <w:bottom w:val="single" w:color="auto" w:sz="4" w:space="0"/>
              <w:right w:val="single" w:color="auto" w:sz="4" w:space="0"/>
            </w:tcBorders>
            <w:vAlign w:val="center"/>
          </w:tcPr>
          <w:p w14:paraId="5ABCE534">
            <w:pPr>
              <w:snapToGrid w:val="0"/>
              <w:spacing w:before="50" w:after="120" w:afterLines="50" w:line="400" w:lineRule="exact"/>
              <w:jc w:val="left"/>
              <w:rPr>
                <w:rFonts w:hint="eastAsia" w:ascii="仿宋" w:hAnsi="仿宋" w:eastAsia="仿宋" w:cs="仿宋"/>
                <w:color w:val="auto"/>
                <w:sz w:val="24"/>
                <w:highlight w:val="none"/>
              </w:rPr>
            </w:pPr>
          </w:p>
        </w:tc>
        <w:tc>
          <w:tcPr>
            <w:tcW w:w="1486" w:type="dxa"/>
            <w:tcBorders>
              <w:top w:val="single" w:color="auto" w:sz="4" w:space="0"/>
              <w:left w:val="single" w:color="auto" w:sz="4" w:space="0"/>
              <w:bottom w:val="single" w:color="auto" w:sz="4" w:space="0"/>
              <w:right w:val="single" w:color="auto" w:sz="4" w:space="0"/>
            </w:tcBorders>
            <w:vAlign w:val="center"/>
          </w:tcPr>
          <w:p w14:paraId="2832D21F">
            <w:pPr>
              <w:snapToGrid w:val="0"/>
              <w:spacing w:before="50" w:after="120" w:afterLines="50" w:line="400" w:lineRule="exact"/>
              <w:jc w:val="left"/>
              <w:rPr>
                <w:rFonts w:hint="eastAsia" w:ascii="仿宋" w:hAnsi="仿宋" w:eastAsia="仿宋" w:cs="仿宋"/>
                <w:color w:val="auto"/>
                <w:sz w:val="24"/>
                <w:highlight w:val="none"/>
              </w:rPr>
            </w:pPr>
          </w:p>
        </w:tc>
        <w:tc>
          <w:tcPr>
            <w:tcW w:w="2080" w:type="dxa"/>
            <w:tcBorders>
              <w:top w:val="single" w:color="auto" w:sz="4" w:space="0"/>
              <w:left w:val="single" w:color="auto" w:sz="4" w:space="0"/>
              <w:bottom w:val="single" w:color="auto" w:sz="4" w:space="0"/>
              <w:right w:val="single" w:color="auto" w:sz="4" w:space="0"/>
            </w:tcBorders>
            <w:vAlign w:val="center"/>
          </w:tcPr>
          <w:p w14:paraId="4BD6F206">
            <w:pPr>
              <w:snapToGrid w:val="0"/>
              <w:spacing w:before="50" w:after="120" w:afterLines="50" w:line="400" w:lineRule="exact"/>
              <w:jc w:val="left"/>
              <w:rPr>
                <w:rFonts w:hint="eastAsia" w:ascii="仿宋" w:hAnsi="仿宋" w:eastAsia="仿宋" w:cs="仿宋"/>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17024EE8">
            <w:pPr>
              <w:snapToGrid w:val="0"/>
              <w:spacing w:before="50" w:after="120" w:afterLines="50" w:line="400" w:lineRule="exact"/>
              <w:jc w:val="left"/>
              <w:rPr>
                <w:rFonts w:hint="eastAsia" w:ascii="仿宋" w:hAnsi="仿宋" w:eastAsia="仿宋" w:cs="仿宋"/>
                <w:color w:val="auto"/>
                <w:sz w:val="24"/>
                <w:highlight w:val="none"/>
              </w:rPr>
            </w:pPr>
          </w:p>
        </w:tc>
      </w:tr>
      <w:tr w14:paraId="22FE00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2432" w:type="dxa"/>
            <w:tcBorders>
              <w:top w:val="single" w:color="auto" w:sz="4" w:space="0"/>
              <w:left w:val="single" w:color="auto" w:sz="4" w:space="0"/>
              <w:bottom w:val="single" w:color="auto" w:sz="4" w:space="0"/>
              <w:right w:val="single" w:color="auto" w:sz="4" w:space="0"/>
            </w:tcBorders>
            <w:vAlign w:val="center"/>
          </w:tcPr>
          <w:p w14:paraId="300C087E">
            <w:pPr>
              <w:snapToGrid w:val="0"/>
              <w:spacing w:before="50" w:after="120" w:afterLines="50" w:line="400" w:lineRule="exact"/>
              <w:jc w:val="left"/>
              <w:rPr>
                <w:rFonts w:hint="eastAsia" w:ascii="仿宋" w:hAnsi="仿宋" w:eastAsia="仿宋" w:cs="仿宋"/>
                <w:color w:val="auto"/>
                <w:sz w:val="24"/>
                <w:highlight w:val="none"/>
              </w:rPr>
            </w:pPr>
          </w:p>
        </w:tc>
        <w:tc>
          <w:tcPr>
            <w:tcW w:w="1090" w:type="dxa"/>
            <w:tcBorders>
              <w:top w:val="single" w:color="auto" w:sz="4" w:space="0"/>
              <w:left w:val="single" w:color="auto" w:sz="4" w:space="0"/>
              <w:bottom w:val="single" w:color="auto" w:sz="4" w:space="0"/>
              <w:right w:val="single" w:color="auto" w:sz="4" w:space="0"/>
            </w:tcBorders>
            <w:vAlign w:val="center"/>
          </w:tcPr>
          <w:p w14:paraId="69E29800">
            <w:pPr>
              <w:snapToGrid w:val="0"/>
              <w:spacing w:before="50" w:after="120" w:afterLines="50" w:line="400" w:lineRule="exact"/>
              <w:jc w:val="left"/>
              <w:rPr>
                <w:rFonts w:hint="eastAsia" w:ascii="仿宋" w:hAnsi="仿宋" w:eastAsia="仿宋" w:cs="仿宋"/>
                <w:color w:val="auto"/>
                <w:sz w:val="24"/>
                <w:highlight w:val="none"/>
              </w:rPr>
            </w:pPr>
          </w:p>
        </w:tc>
        <w:tc>
          <w:tcPr>
            <w:tcW w:w="1486" w:type="dxa"/>
            <w:tcBorders>
              <w:top w:val="single" w:color="auto" w:sz="4" w:space="0"/>
              <w:left w:val="single" w:color="auto" w:sz="4" w:space="0"/>
              <w:bottom w:val="single" w:color="auto" w:sz="4" w:space="0"/>
              <w:right w:val="single" w:color="auto" w:sz="4" w:space="0"/>
            </w:tcBorders>
            <w:vAlign w:val="center"/>
          </w:tcPr>
          <w:p w14:paraId="663CFE41">
            <w:pPr>
              <w:snapToGrid w:val="0"/>
              <w:spacing w:before="50" w:after="120" w:afterLines="50" w:line="400" w:lineRule="exact"/>
              <w:jc w:val="left"/>
              <w:rPr>
                <w:rFonts w:hint="eastAsia" w:ascii="仿宋" w:hAnsi="仿宋" w:eastAsia="仿宋" w:cs="仿宋"/>
                <w:color w:val="auto"/>
                <w:sz w:val="24"/>
                <w:highlight w:val="none"/>
              </w:rPr>
            </w:pPr>
          </w:p>
        </w:tc>
        <w:tc>
          <w:tcPr>
            <w:tcW w:w="2080" w:type="dxa"/>
            <w:tcBorders>
              <w:top w:val="single" w:color="auto" w:sz="4" w:space="0"/>
              <w:left w:val="single" w:color="auto" w:sz="4" w:space="0"/>
              <w:bottom w:val="single" w:color="auto" w:sz="4" w:space="0"/>
              <w:right w:val="single" w:color="auto" w:sz="4" w:space="0"/>
            </w:tcBorders>
            <w:vAlign w:val="center"/>
          </w:tcPr>
          <w:p w14:paraId="4E6D40EF">
            <w:pPr>
              <w:snapToGrid w:val="0"/>
              <w:spacing w:before="50" w:after="120" w:afterLines="50" w:line="400" w:lineRule="exact"/>
              <w:jc w:val="left"/>
              <w:rPr>
                <w:rFonts w:hint="eastAsia" w:ascii="仿宋" w:hAnsi="仿宋" w:eastAsia="仿宋" w:cs="仿宋"/>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08F52778">
            <w:pPr>
              <w:snapToGrid w:val="0"/>
              <w:spacing w:before="50" w:after="120" w:afterLines="50" w:line="400" w:lineRule="exact"/>
              <w:jc w:val="left"/>
              <w:rPr>
                <w:rFonts w:hint="eastAsia" w:ascii="仿宋" w:hAnsi="仿宋" w:eastAsia="仿宋" w:cs="仿宋"/>
                <w:color w:val="auto"/>
                <w:sz w:val="24"/>
                <w:highlight w:val="none"/>
              </w:rPr>
            </w:pPr>
          </w:p>
        </w:tc>
      </w:tr>
      <w:tr w14:paraId="1C54F6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2432" w:type="dxa"/>
            <w:tcBorders>
              <w:top w:val="single" w:color="auto" w:sz="4" w:space="0"/>
              <w:left w:val="single" w:color="auto" w:sz="4" w:space="0"/>
              <w:bottom w:val="single" w:color="auto" w:sz="4" w:space="0"/>
              <w:right w:val="single" w:color="auto" w:sz="4" w:space="0"/>
            </w:tcBorders>
            <w:vAlign w:val="center"/>
          </w:tcPr>
          <w:p w14:paraId="441CBCF9">
            <w:pPr>
              <w:snapToGrid w:val="0"/>
              <w:spacing w:before="50" w:after="120" w:afterLines="50" w:line="400" w:lineRule="exact"/>
              <w:jc w:val="left"/>
              <w:rPr>
                <w:rFonts w:hint="eastAsia" w:ascii="仿宋" w:hAnsi="仿宋" w:eastAsia="仿宋" w:cs="仿宋"/>
                <w:color w:val="auto"/>
                <w:sz w:val="24"/>
                <w:highlight w:val="none"/>
              </w:rPr>
            </w:pPr>
          </w:p>
        </w:tc>
        <w:tc>
          <w:tcPr>
            <w:tcW w:w="1090" w:type="dxa"/>
            <w:tcBorders>
              <w:top w:val="single" w:color="auto" w:sz="4" w:space="0"/>
              <w:left w:val="single" w:color="auto" w:sz="4" w:space="0"/>
              <w:bottom w:val="single" w:color="auto" w:sz="4" w:space="0"/>
              <w:right w:val="single" w:color="auto" w:sz="4" w:space="0"/>
            </w:tcBorders>
            <w:vAlign w:val="center"/>
          </w:tcPr>
          <w:p w14:paraId="02E90042">
            <w:pPr>
              <w:snapToGrid w:val="0"/>
              <w:spacing w:before="50" w:after="120" w:afterLines="50" w:line="400" w:lineRule="exact"/>
              <w:jc w:val="left"/>
              <w:rPr>
                <w:rFonts w:hint="eastAsia" w:ascii="仿宋" w:hAnsi="仿宋" w:eastAsia="仿宋" w:cs="仿宋"/>
                <w:color w:val="auto"/>
                <w:sz w:val="24"/>
                <w:highlight w:val="none"/>
              </w:rPr>
            </w:pPr>
          </w:p>
        </w:tc>
        <w:tc>
          <w:tcPr>
            <w:tcW w:w="1486" w:type="dxa"/>
            <w:tcBorders>
              <w:top w:val="single" w:color="auto" w:sz="4" w:space="0"/>
              <w:left w:val="single" w:color="auto" w:sz="4" w:space="0"/>
              <w:bottom w:val="single" w:color="auto" w:sz="4" w:space="0"/>
              <w:right w:val="single" w:color="auto" w:sz="4" w:space="0"/>
            </w:tcBorders>
            <w:vAlign w:val="center"/>
          </w:tcPr>
          <w:p w14:paraId="2191F111">
            <w:pPr>
              <w:snapToGrid w:val="0"/>
              <w:spacing w:before="50" w:after="120" w:afterLines="50" w:line="400" w:lineRule="exact"/>
              <w:jc w:val="left"/>
              <w:rPr>
                <w:rFonts w:hint="eastAsia" w:ascii="仿宋" w:hAnsi="仿宋" w:eastAsia="仿宋" w:cs="仿宋"/>
                <w:color w:val="auto"/>
                <w:sz w:val="24"/>
                <w:highlight w:val="none"/>
              </w:rPr>
            </w:pPr>
          </w:p>
        </w:tc>
        <w:tc>
          <w:tcPr>
            <w:tcW w:w="2080" w:type="dxa"/>
            <w:tcBorders>
              <w:top w:val="single" w:color="auto" w:sz="4" w:space="0"/>
              <w:left w:val="single" w:color="auto" w:sz="4" w:space="0"/>
              <w:bottom w:val="single" w:color="auto" w:sz="4" w:space="0"/>
              <w:right w:val="single" w:color="auto" w:sz="4" w:space="0"/>
            </w:tcBorders>
            <w:vAlign w:val="center"/>
          </w:tcPr>
          <w:p w14:paraId="4981D17A">
            <w:pPr>
              <w:snapToGrid w:val="0"/>
              <w:spacing w:before="50" w:after="120" w:afterLines="50" w:line="400" w:lineRule="exact"/>
              <w:jc w:val="left"/>
              <w:rPr>
                <w:rFonts w:hint="eastAsia" w:ascii="仿宋" w:hAnsi="仿宋" w:eastAsia="仿宋" w:cs="仿宋"/>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5E08882C">
            <w:pPr>
              <w:snapToGrid w:val="0"/>
              <w:spacing w:before="50" w:after="120" w:afterLines="50" w:line="400" w:lineRule="exact"/>
              <w:jc w:val="left"/>
              <w:rPr>
                <w:rFonts w:hint="eastAsia" w:ascii="仿宋" w:hAnsi="仿宋" w:eastAsia="仿宋" w:cs="仿宋"/>
                <w:color w:val="auto"/>
                <w:sz w:val="24"/>
                <w:highlight w:val="none"/>
              </w:rPr>
            </w:pPr>
          </w:p>
        </w:tc>
      </w:tr>
    </w:tbl>
    <w:p w14:paraId="26B3E941">
      <w:pPr>
        <w:pStyle w:val="13"/>
        <w:snapToGrid w:val="0"/>
        <w:rPr>
          <w:rFonts w:hint="eastAsia" w:ascii="仿宋" w:hAnsi="仿宋" w:eastAsia="仿宋" w:cs="仿宋"/>
          <w:color w:val="auto"/>
          <w:sz w:val="24"/>
          <w:szCs w:val="24"/>
          <w:highlight w:val="none"/>
        </w:rPr>
      </w:pPr>
    </w:p>
    <w:p w14:paraId="258991AE">
      <w:pPr>
        <w:snapToGrid w:val="0"/>
        <w:spacing w:line="360" w:lineRule="auto"/>
        <w:jc w:val="left"/>
        <w:rPr>
          <w:rFonts w:hint="eastAsia" w:ascii="仿宋" w:hAnsi="仿宋" w:eastAsia="仿宋" w:cs="仿宋"/>
          <w:color w:val="auto"/>
          <w:spacing w:val="20"/>
          <w:sz w:val="24"/>
          <w:highlight w:val="none"/>
          <w:u w:val="single"/>
        </w:rPr>
      </w:pPr>
      <w:r>
        <w:rPr>
          <w:rFonts w:hint="eastAsia" w:ascii="仿宋" w:hAnsi="仿宋" w:eastAsia="仿宋" w:cs="仿宋"/>
          <w:color w:val="auto"/>
          <w:sz w:val="24"/>
          <w:highlight w:val="none"/>
        </w:rPr>
        <w:t>法定代表人或者委托代理人</w:t>
      </w:r>
      <w:r>
        <w:rPr>
          <w:rFonts w:hint="eastAsia" w:ascii="仿宋" w:hAnsi="仿宋" w:eastAsia="仿宋" w:cs="仿宋"/>
          <w:color w:val="auto"/>
          <w:spacing w:val="20"/>
          <w:sz w:val="24"/>
          <w:highlight w:val="none"/>
        </w:rPr>
        <w:t>（签字或者电子签名）：</w:t>
      </w:r>
      <w:r>
        <w:rPr>
          <w:rFonts w:hint="eastAsia" w:ascii="仿宋" w:hAnsi="仿宋" w:eastAsia="仿宋" w:cs="仿宋"/>
          <w:color w:val="auto"/>
          <w:spacing w:val="20"/>
          <w:sz w:val="24"/>
          <w:highlight w:val="none"/>
          <w:u w:val="single"/>
        </w:rPr>
        <w:t xml:space="preserve">        </w:t>
      </w:r>
    </w:p>
    <w:p w14:paraId="0233858D">
      <w:pPr>
        <w:snapToGrid w:val="0"/>
        <w:spacing w:line="360" w:lineRule="auto"/>
        <w:jc w:val="left"/>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投标人（盖公章或电子签章）：</w:t>
      </w:r>
      <w:r>
        <w:rPr>
          <w:rFonts w:hint="eastAsia" w:ascii="仿宋" w:hAnsi="仿宋" w:eastAsia="仿宋" w:cs="仿宋"/>
          <w:color w:val="auto"/>
          <w:spacing w:val="20"/>
          <w:sz w:val="24"/>
          <w:highlight w:val="none"/>
          <w:u w:val="single"/>
        </w:rPr>
        <w:t xml:space="preserve">            </w:t>
      </w:r>
    </w:p>
    <w:p w14:paraId="1DC8A18A">
      <w:pPr>
        <w:snapToGrid w:val="0"/>
        <w:spacing w:before="50" w:line="360" w:lineRule="auto"/>
        <w:ind w:right="480" w:firstLine="480" w:firstLineChars="200"/>
        <w:jc w:val="left"/>
        <w:rPr>
          <w:rFonts w:hint="eastAsia" w:ascii="仿宋" w:hAnsi="仿宋" w:eastAsia="仿宋" w:cs="仿宋"/>
          <w:color w:val="auto"/>
          <w:sz w:val="24"/>
          <w:highlight w:val="none"/>
        </w:rPr>
        <w:sectPr>
          <w:footerReference r:id="rId16" w:type="first"/>
          <w:footerReference r:id="rId14" w:type="default"/>
          <w:footerReference r:id="rId15" w:type="even"/>
          <w:pgSz w:w="11906" w:h="16838"/>
          <w:pgMar w:top="1440" w:right="1797" w:bottom="1440" w:left="1797" w:header="851" w:footer="992" w:gutter="0"/>
          <w:pgNumType w:fmt="decimal"/>
          <w:cols w:space="720" w:num="1"/>
          <w:docGrid w:linePitch="312" w:charSpace="0"/>
        </w:sectPr>
      </w:pPr>
      <w:r>
        <w:rPr>
          <w:rFonts w:hint="eastAsia" w:ascii="仿宋" w:hAnsi="仿宋" w:eastAsia="仿宋" w:cs="仿宋"/>
          <w:color w:val="auto"/>
          <w:sz w:val="24"/>
          <w:highlight w:val="none"/>
        </w:rPr>
        <w:t>年    月    日</w:t>
      </w:r>
    </w:p>
    <w:p w14:paraId="04AD5D3C">
      <w:pPr>
        <w:snapToGrid w:val="0"/>
        <w:spacing w:before="120" w:beforeLines="50" w:after="5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设备性能配置清单格式</w:t>
      </w:r>
    </w:p>
    <w:p w14:paraId="3B3D5AC5">
      <w:pPr>
        <w:snapToGrid w:val="0"/>
        <w:spacing w:before="120" w:beforeLines="50" w:after="50"/>
        <w:ind w:left="142"/>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设备性能配置清单</w:t>
      </w:r>
    </w:p>
    <w:p w14:paraId="6C05EA81">
      <w:pPr>
        <w:pStyle w:val="23"/>
        <w:rPr>
          <w:rFonts w:hint="eastAsia" w:ascii="仿宋" w:hAnsi="仿宋" w:eastAsia="仿宋" w:cs="仿宋"/>
          <w:color w:val="auto"/>
          <w:sz w:val="24"/>
          <w:szCs w:val="24"/>
          <w:highlight w:val="none"/>
        </w:rPr>
      </w:pPr>
    </w:p>
    <w:tbl>
      <w:tblPr>
        <w:tblStyle w:val="45"/>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14"/>
        <w:gridCol w:w="1372"/>
        <w:gridCol w:w="1052"/>
        <w:gridCol w:w="1147"/>
        <w:gridCol w:w="1638"/>
        <w:gridCol w:w="981"/>
        <w:gridCol w:w="1202"/>
        <w:gridCol w:w="1648"/>
      </w:tblGrid>
      <w:tr w14:paraId="50778C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14:paraId="6DEC0BE7">
            <w:pPr>
              <w:snapToGrid w:val="0"/>
              <w:spacing w:before="50" w:after="5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696" w:type="pct"/>
            <w:tcBorders>
              <w:top w:val="single" w:color="auto" w:sz="4" w:space="0"/>
              <w:left w:val="single" w:color="auto" w:sz="4" w:space="0"/>
              <w:bottom w:val="single" w:color="auto" w:sz="4" w:space="0"/>
              <w:right w:val="single" w:color="auto" w:sz="4" w:space="0"/>
            </w:tcBorders>
            <w:vAlign w:val="center"/>
          </w:tcPr>
          <w:p w14:paraId="2821AE80">
            <w:pPr>
              <w:snapToGrid w:val="0"/>
              <w:spacing w:before="50" w:after="5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货物名称</w:t>
            </w:r>
          </w:p>
        </w:tc>
        <w:tc>
          <w:tcPr>
            <w:tcW w:w="534" w:type="pct"/>
            <w:tcBorders>
              <w:top w:val="single" w:color="auto" w:sz="4" w:space="0"/>
              <w:left w:val="single" w:color="auto" w:sz="4" w:space="0"/>
              <w:bottom w:val="single" w:color="auto" w:sz="4" w:space="0"/>
              <w:right w:val="single" w:color="auto" w:sz="4" w:space="0"/>
            </w:tcBorders>
            <w:vAlign w:val="center"/>
          </w:tcPr>
          <w:p w14:paraId="50AF57BB">
            <w:pPr>
              <w:snapToGrid w:val="0"/>
              <w:spacing w:before="50" w:after="5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数量及单位</w:t>
            </w:r>
          </w:p>
        </w:tc>
        <w:tc>
          <w:tcPr>
            <w:tcW w:w="582" w:type="pct"/>
            <w:tcBorders>
              <w:top w:val="single" w:color="auto" w:sz="4" w:space="0"/>
              <w:left w:val="single" w:color="auto" w:sz="4" w:space="0"/>
              <w:bottom w:val="single" w:color="auto" w:sz="4" w:space="0"/>
              <w:right w:val="single" w:color="auto" w:sz="4" w:space="0"/>
            </w:tcBorders>
            <w:vAlign w:val="center"/>
          </w:tcPr>
          <w:p w14:paraId="1FB641CC">
            <w:pPr>
              <w:snapToGrid w:val="0"/>
              <w:spacing w:before="50" w:after="5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品牌</w:t>
            </w:r>
          </w:p>
        </w:tc>
        <w:tc>
          <w:tcPr>
            <w:tcW w:w="831" w:type="pct"/>
            <w:tcBorders>
              <w:top w:val="single" w:color="auto" w:sz="4" w:space="0"/>
              <w:left w:val="single" w:color="auto" w:sz="4" w:space="0"/>
              <w:bottom w:val="single" w:color="auto" w:sz="4" w:space="0"/>
              <w:right w:val="single" w:color="auto" w:sz="4" w:space="0"/>
            </w:tcBorders>
            <w:vAlign w:val="center"/>
          </w:tcPr>
          <w:p w14:paraId="79B74254">
            <w:pPr>
              <w:snapToGrid w:val="0"/>
              <w:spacing w:before="50" w:after="50"/>
              <w:rPr>
                <w:rFonts w:hint="eastAsia" w:ascii="仿宋" w:hAnsi="仿宋" w:eastAsia="仿宋" w:cs="仿宋"/>
                <w:color w:val="auto"/>
                <w:sz w:val="24"/>
                <w:highlight w:val="none"/>
              </w:rPr>
            </w:pPr>
            <w:r>
              <w:rPr>
                <w:rFonts w:hint="eastAsia" w:ascii="仿宋" w:hAnsi="仿宋" w:eastAsia="仿宋" w:cs="仿宋"/>
                <w:color w:val="auto"/>
                <w:sz w:val="24"/>
                <w:highlight w:val="none"/>
              </w:rPr>
              <w:t>规格型号</w:t>
            </w:r>
          </w:p>
        </w:tc>
        <w:tc>
          <w:tcPr>
            <w:tcW w:w="498" w:type="pct"/>
            <w:tcBorders>
              <w:top w:val="single" w:color="auto" w:sz="4" w:space="0"/>
              <w:left w:val="single" w:color="auto" w:sz="4" w:space="0"/>
              <w:bottom w:val="single" w:color="auto" w:sz="4" w:space="0"/>
              <w:right w:val="single" w:color="auto" w:sz="4" w:space="0"/>
            </w:tcBorders>
            <w:vAlign w:val="center"/>
          </w:tcPr>
          <w:p w14:paraId="1BFF8C2E">
            <w:pPr>
              <w:snapToGrid w:val="0"/>
              <w:spacing w:before="50" w:after="5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制造商</w:t>
            </w:r>
          </w:p>
        </w:tc>
        <w:tc>
          <w:tcPr>
            <w:tcW w:w="610" w:type="pct"/>
            <w:tcBorders>
              <w:top w:val="single" w:color="auto" w:sz="4" w:space="0"/>
              <w:left w:val="single" w:color="auto" w:sz="4" w:space="0"/>
              <w:bottom w:val="single" w:color="auto" w:sz="4" w:space="0"/>
              <w:right w:val="single" w:color="auto" w:sz="4" w:space="0"/>
            </w:tcBorders>
            <w:vAlign w:val="center"/>
          </w:tcPr>
          <w:p w14:paraId="059F65A7">
            <w:pPr>
              <w:snapToGrid w:val="0"/>
              <w:spacing w:before="50" w:after="5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原产地</w:t>
            </w:r>
          </w:p>
        </w:tc>
        <w:tc>
          <w:tcPr>
            <w:tcW w:w="836" w:type="pct"/>
            <w:tcBorders>
              <w:top w:val="single" w:color="auto" w:sz="4" w:space="0"/>
              <w:left w:val="single" w:color="auto" w:sz="4" w:space="0"/>
              <w:bottom w:val="single" w:color="auto" w:sz="4" w:space="0"/>
              <w:right w:val="single" w:color="auto" w:sz="4" w:space="0"/>
            </w:tcBorders>
            <w:vAlign w:val="center"/>
          </w:tcPr>
          <w:p w14:paraId="3ED905E7">
            <w:pPr>
              <w:snapToGrid w:val="0"/>
              <w:spacing w:before="50" w:after="5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参数性能、指标及配置</w:t>
            </w:r>
          </w:p>
        </w:tc>
      </w:tr>
      <w:tr w14:paraId="39BE1B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14:paraId="60814E30">
            <w:pPr>
              <w:snapToGrid w:val="0"/>
              <w:spacing w:before="50" w:after="50"/>
              <w:jc w:val="center"/>
              <w:rPr>
                <w:rFonts w:hint="eastAsia" w:ascii="仿宋" w:hAnsi="仿宋" w:eastAsia="仿宋" w:cs="仿宋"/>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vAlign w:val="center"/>
          </w:tcPr>
          <w:p w14:paraId="631A57FF">
            <w:pPr>
              <w:snapToGrid w:val="0"/>
              <w:spacing w:before="50" w:after="50"/>
              <w:jc w:val="center"/>
              <w:rPr>
                <w:rFonts w:hint="eastAsia" w:ascii="仿宋" w:hAnsi="仿宋" w:eastAsia="仿宋" w:cs="仿宋"/>
                <w:color w:val="auto"/>
                <w:sz w:val="24"/>
                <w:highlight w:val="none"/>
              </w:rPr>
            </w:pPr>
          </w:p>
        </w:tc>
        <w:tc>
          <w:tcPr>
            <w:tcW w:w="534" w:type="pct"/>
            <w:tcBorders>
              <w:top w:val="single" w:color="auto" w:sz="4" w:space="0"/>
              <w:left w:val="single" w:color="auto" w:sz="4" w:space="0"/>
              <w:bottom w:val="single" w:color="auto" w:sz="4" w:space="0"/>
              <w:right w:val="single" w:color="auto" w:sz="4" w:space="0"/>
            </w:tcBorders>
            <w:vAlign w:val="center"/>
          </w:tcPr>
          <w:p w14:paraId="754A22BA">
            <w:pPr>
              <w:snapToGrid w:val="0"/>
              <w:spacing w:before="50" w:after="50"/>
              <w:jc w:val="center"/>
              <w:rPr>
                <w:rFonts w:hint="eastAsia" w:ascii="仿宋" w:hAnsi="仿宋" w:eastAsia="仿宋" w:cs="仿宋"/>
                <w:color w:val="auto"/>
                <w:sz w:val="24"/>
                <w:highlight w:val="none"/>
              </w:rPr>
            </w:pPr>
          </w:p>
        </w:tc>
        <w:tc>
          <w:tcPr>
            <w:tcW w:w="582" w:type="pct"/>
            <w:tcBorders>
              <w:top w:val="single" w:color="auto" w:sz="4" w:space="0"/>
              <w:left w:val="single" w:color="auto" w:sz="4" w:space="0"/>
              <w:bottom w:val="single" w:color="auto" w:sz="4" w:space="0"/>
              <w:right w:val="single" w:color="auto" w:sz="4" w:space="0"/>
            </w:tcBorders>
            <w:vAlign w:val="center"/>
          </w:tcPr>
          <w:p w14:paraId="1E65DCC0">
            <w:pPr>
              <w:snapToGrid w:val="0"/>
              <w:spacing w:before="50" w:after="50"/>
              <w:jc w:val="center"/>
              <w:rPr>
                <w:rFonts w:hint="eastAsia" w:ascii="仿宋" w:hAnsi="仿宋" w:eastAsia="仿宋" w:cs="仿宋"/>
                <w:color w:val="auto"/>
                <w:sz w:val="24"/>
                <w:highlight w:val="none"/>
              </w:rPr>
            </w:pPr>
          </w:p>
        </w:tc>
        <w:tc>
          <w:tcPr>
            <w:tcW w:w="831" w:type="pct"/>
            <w:tcBorders>
              <w:top w:val="single" w:color="auto" w:sz="4" w:space="0"/>
              <w:left w:val="single" w:color="auto" w:sz="4" w:space="0"/>
              <w:bottom w:val="single" w:color="auto" w:sz="4" w:space="0"/>
              <w:right w:val="single" w:color="auto" w:sz="4" w:space="0"/>
            </w:tcBorders>
            <w:vAlign w:val="center"/>
          </w:tcPr>
          <w:p w14:paraId="3A450D80">
            <w:pPr>
              <w:snapToGrid w:val="0"/>
              <w:spacing w:before="50" w:after="50"/>
              <w:jc w:val="center"/>
              <w:rPr>
                <w:rFonts w:hint="eastAsia" w:ascii="仿宋" w:hAnsi="仿宋" w:eastAsia="仿宋" w:cs="仿宋"/>
                <w:color w:val="auto"/>
                <w:sz w:val="24"/>
                <w:highlight w:val="none"/>
              </w:rPr>
            </w:pPr>
          </w:p>
        </w:tc>
        <w:tc>
          <w:tcPr>
            <w:tcW w:w="498" w:type="pct"/>
            <w:tcBorders>
              <w:top w:val="single" w:color="auto" w:sz="4" w:space="0"/>
              <w:left w:val="single" w:color="auto" w:sz="4" w:space="0"/>
              <w:bottom w:val="single" w:color="auto" w:sz="4" w:space="0"/>
              <w:right w:val="single" w:color="auto" w:sz="4" w:space="0"/>
            </w:tcBorders>
            <w:vAlign w:val="center"/>
          </w:tcPr>
          <w:p w14:paraId="5868DDDA">
            <w:pPr>
              <w:snapToGrid w:val="0"/>
              <w:spacing w:before="50" w:after="50"/>
              <w:jc w:val="center"/>
              <w:rPr>
                <w:rFonts w:hint="eastAsia" w:ascii="仿宋" w:hAnsi="仿宋" w:eastAsia="仿宋" w:cs="仿宋"/>
                <w:color w:val="auto"/>
                <w:sz w:val="24"/>
                <w:highlight w:val="none"/>
              </w:rPr>
            </w:pPr>
          </w:p>
        </w:tc>
        <w:tc>
          <w:tcPr>
            <w:tcW w:w="610" w:type="pct"/>
            <w:tcBorders>
              <w:top w:val="single" w:color="auto" w:sz="4" w:space="0"/>
              <w:left w:val="single" w:color="auto" w:sz="4" w:space="0"/>
              <w:bottom w:val="single" w:color="auto" w:sz="4" w:space="0"/>
              <w:right w:val="single" w:color="auto" w:sz="4" w:space="0"/>
            </w:tcBorders>
            <w:vAlign w:val="center"/>
          </w:tcPr>
          <w:p w14:paraId="5CB56AA4">
            <w:pPr>
              <w:snapToGrid w:val="0"/>
              <w:spacing w:before="50" w:after="50"/>
              <w:jc w:val="center"/>
              <w:rPr>
                <w:rFonts w:hint="eastAsia" w:ascii="仿宋" w:hAnsi="仿宋" w:eastAsia="仿宋" w:cs="仿宋"/>
                <w:color w:val="auto"/>
                <w:sz w:val="24"/>
                <w:highlight w:val="none"/>
              </w:rPr>
            </w:pPr>
          </w:p>
        </w:tc>
        <w:tc>
          <w:tcPr>
            <w:tcW w:w="836" w:type="pct"/>
            <w:tcBorders>
              <w:top w:val="single" w:color="auto" w:sz="4" w:space="0"/>
              <w:left w:val="single" w:color="auto" w:sz="4" w:space="0"/>
              <w:bottom w:val="single" w:color="auto" w:sz="4" w:space="0"/>
              <w:right w:val="single" w:color="auto" w:sz="4" w:space="0"/>
            </w:tcBorders>
            <w:vAlign w:val="center"/>
          </w:tcPr>
          <w:p w14:paraId="6894BAFE">
            <w:pPr>
              <w:snapToGrid w:val="0"/>
              <w:spacing w:before="50" w:after="50"/>
              <w:jc w:val="center"/>
              <w:rPr>
                <w:rFonts w:hint="eastAsia" w:ascii="仿宋" w:hAnsi="仿宋" w:eastAsia="仿宋" w:cs="仿宋"/>
                <w:color w:val="auto"/>
                <w:sz w:val="24"/>
                <w:highlight w:val="none"/>
              </w:rPr>
            </w:pPr>
          </w:p>
        </w:tc>
      </w:tr>
      <w:tr w14:paraId="5727DF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14:paraId="6AB23ACC">
            <w:pPr>
              <w:snapToGrid w:val="0"/>
              <w:spacing w:before="50" w:after="50"/>
              <w:jc w:val="center"/>
              <w:rPr>
                <w:rFonts w:hint="eastAsia" w:ascii="仿宋" w:hAnsi="仿宋" w:eastAsia="仿宋" w:cs="仿宋"/>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vAlign w:val="center"/>
          </w:tcPr>
          <w:p w14:paraId="24A8FB81">
            <w:pPr>
              <w:snapToGrid w:val="0"/>
              <w:spacing w:before="50" w:after="50"/>
              <w:jc w:val="center"/>
              <w:rPr>
                <w:rFonts w:hint="eastAsia" w:ascii="仿宋" w:hAnsi="仿宋" w:eastAsia="仿宋" w:cs="仿宋"/>
                <w:color w:val="auto"/>
                <w:sz w:val="24"/>
                <w:highlight w:val="none"/>
              </w:rPr>
            </w:pPr>
          </w:p>
        </w:tc>
        <w:tc>
          <w:tcPr>
            <w:tcW w:w="534" w:type="pct"/>
            <w:tcBorders>
              <w:top w:val="single" w:color="auto" w:sz="4" w:space="0"/>
              <w:left w:val="single" w:color="auto" w:sz="4" w:space="0"/>
              <w:bottom w:val="single" w:color="auto" w:sz="4" w:space="0"/>
              <w:right w:val="single" w:color="auto" w:sz="4" w:space="0"/>
            </w:tcBorders>
            <w:vAlign w:val="center"/>
          </w:tcPr>
          <w:p w14:paraId="0BB1A7D8">
            <w:pPr>
              <w:snapToGrid w:val="0"/>
              <w:spacing w:before="50" w:after="50"/>
              <w:jc w:val="center"/>
              <w:rPr>
                <w:rFonts w:hint="eastAsia" w:ascii="仿宋" w:hAnsi="仿宋" w:eastAsia="仿宋" w:cs="仿宋"/>
                <w:color w:val="auto"/>
                <w:sz w:val="24"/>
                <w:highlight w:val="none"/>
              </w:rPr>
            </w:pPr>
          </w:p>
        </w:tc>
        <w:tc>
          <w:tcPr>
            <w:tcW w:w="582" w:type="pct"/>
            <w:tcBorders>
              <w:top w:val="single" w:color="auto" w:sz="4" w:space="0"/>
              <w:left w:val="single" w:color="auto" w:sz="4" w:space="0"/>
              <w:bottom w:val="single" w:color="auto" w:sz="4" w:space="0"/>
              <w:right w:val="single" w:color="auto" w:sz="4" w:space="0"/>
            </w:tcBorders>
            <w:vAlign w:val="center"/>
          </w:tcPr>
          <w:p w14:paraId="222B69C2">
            <w:pPr>
              <w:snapToGrid w:val="0"/>
              <w:spacing w:before="50" w:after="50"/>
              <w:jc w:val="center"/>
              <w:rPr>
                <w:rFonts w:hint="eastAsia" w:ascii="仿宋" w:hAnsi="仿宋" w:eastAsia="仿宋" w:cs="仿宋"/>
                <w:color w:val="auto"/>
                <w:sz w:val="24"/>
                <w:highlight w:val="none"/>
              </w:rPr>
            </w:pPr>
          </w:p>
        </w:tc>
        <w:tc>
          <w:tcPr>
            <w:tcW w:w="831" w:type="pct"/>
            <w:tcBorders>
              <w:top w:val="single" w:color="auto" w:sz="4" w:space="0"/>
              <w:left w:val="single" w:color="auto" w:sz="4" w:space="0"/>
              <w:bottom w:val="single" w:color="auto" w:sz="4" w:space="0"/>
              <w:right w:val="single" w:color="auto" w:sz="4" w:space="0"/>
            </w:tcBorders>
            <w:vAlign w:val="center"/>
          </w:tcPr>
          <w:p w14:paraId="55792FA8">
            <w:pPr>
              <w:snapToGrid w:val="0"/>
              <w:spacing w:before="50" w:after="50"/>
              <w:jc w:val="center"/>
              <w:rPr>
                <w:rFonts w:hint="eastAsia" w:ascii="仿宋" w:hAnsi="仿宋" w:eastAsia="仿宋" w:cs="仿宋"/>
                <w:color w:val="auto"/>
                <w:sz w:val="24"/>
                <w:highlight w:val="none"/>
              </w:rPr>
            </w:pPr>
          </w:p>
        </w:tc>
        <w:tc>
          <w:tcPr>
            <w:tcW w:w="498" w:type="pct"/>
            <w:tcBorders>
              <w:top w:val="single" w:color="auto" w:sz="4" w:space="0"/>
              <w:left w:val="single" w:color="auto" w:sz="4" w:space="0"/>
              <w:bottom w:val="single" w:color="auto" w:sz="4" w:space="0"/>
              <w:right w:val="single" w:color="auto" w:sz="4" w:space="0"/>
            </w:tcBorders>
            <w:vAlign w:val="center"/>
          </w:tcPr>
          <w:p w14:paraId="7E096E4B">
            <w:pPr>
              <w:snapToGrid w:val="0"/>
              <w:spacing w:before="50" w:after="50"/>
              <w:jc w:val="center"/>
              <w:rPr>
                <w:rFonts w:hint="eastAsia" w:ascii="仿宋" w:hAnsi="仿宋" w:eastAsia="仿宋" w:cs="仿宋"/>
                <w:color w:val="auto"/>
                <w:sz w:val="24"/>
                <w:highlight w:val="none"/>
              </w:rPr>
            </w:pPr>
          </w:p>
        </w:tc>
        <w:tc>
          <w:tcPr>
            <w:tcW w:w="610" w:type="pct"/>
            <w:tcBorders>
              <w:top w:val="single" w:color="auto" w:sz="4" w:space="0"/>
              <w:left w:val="single" w:color="auto" w:sz="4" w:space="0"/>
              <w:bottom w:val="single" w:color="auto" w:sz="4" w:space="0"/>
              <w:right w:val="single" w:color="auto" w:sz="4" w:space="0"/>
            </w:tcBorders>
            <w:vAlign w:val="center"/>
          </w:tcPr>
          <w:p w14:paraId="69BA69A2">
            <w:pPr>
              <w:snapToGrid w:val="0"/>
              <w:spacing w:before="50" w:after="50"/>
              <w:jc w:val="center"/>
              <w:rPr>
                <w:rFonts w:hint="eastAsia" w:ascii="仿宋" w:hAnsi="仿宋" w:eastAsia="仿宋" w:cs="仿宋"/>
                <w:color w:val="auto"/>
                <w:sz w:val="24"/>
                <w:highlight w:val="none"/>
              </w:rPr>
            </w:pPr>
          </w:p>
        </w:tc>
        <w:tc>
          <w:tcPr>
            <w:tcW w:w="836" w:type="pct"/>
            <w:tcBorders>
              <w:top w:val="single" w:color="auto" w:sz="4" w:space="0"/>
              <w:left w:val="single" w:color="auto" w:sz="4" w:space="0"/>
              <w:bottom w:val="single" w:color="auto" w:sz="4" w:space="0"/>
              <w:right w:val="single" w:color="auto" w:sz="4" w:space="0"/>
            </w:tcBorders>
            <w:vAlign w:val="center"/>
          </w:tcPr>
          <w:p w14:paraId="2814A801">
            <w:pPr>
              <w:snapToGrid w:val="0"/>
              <w:spacing w:before="50" w:after="50"/>
              <w:jc w:val="center"/>
              <w:rPr>
                <w:rFonts w:hint="eastAsia" w:ascii="仿宋" w:hAnsi="仿宋" w:eastAsia="仿宋" w:cs="仿宋"/>
                <w:color w:val="auto"/>
                <w:sz w:val="24"/>
                <w:highlight w:val="none"/>
              </w:rPr>
            </w:pPr>
          </w:p>
        </w:tc>
      </w:tr>
      <w:tr w14:paraId="52F7A6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14:paraId="15F118B3">
            <w:pPr>
              <w:snapToGrid w:val="0"/>
              <w:spacing w:before="50" w:after="50"/>
              <w:jc w:val="center"/>
              <w:rPr>
                <w:rFonts w:hint="eastAsia" w:ascii="仿宋" w:hAnsi="仿宋" w:eastAsia="仿宋" w:cs="仿宋"/>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vAlign w:val="center"/>
          </w:tcPr>
          <w:p w14:paraId="4100C598">
            <w:pPr>
              <w:snapToGrid w:val="0"/>
              <w:spacing w:before="50" w:after="50"/>
              <w:jc w:val="center"/>
              <w:rPr>
                <w:rFonts w:hint="eastAsia" w:ascii="仿宋" w:hAnsi="仿宋" w:eastAsia="仿宋" w:cs="仿宋"/>
                <w:color w:val="auto"/>
                <w:sz w:val="24"/>
                <w:highlight w:val="none"/>
              </w:rPr>
            </w:pPr>
          </w:p>
        </w:tc>
        <w:tc>
          <w:tcPr>
            <w:tcW w:w="534" w:type="pct"/>
            <w:tcBorders>
              <w:top w:val="single" w:color="auto" w:sz="4" w:space="0"/>
              <w:left w:val="single" w:color="auto" w:sz="4" w:space="0"/>
              <w:bottom w:val="single" w:color="auto" w:sz="4" w:space="0"/>
              <w:right w:val="single" w:color="auto" w:sz="4" w:space="0"/>
            </w:tcBorders>
            <w:vAlign w:val="center"/>
          </w:tcPr>
          <w:p w14:paraId="540F7404">
            <w:pPr>
              <w:snapToGrid w:val="0"/>
              <w:spacing w:before="50" w:after="50"/>
              <w:jc w:val="center"/>
              <w:rPr>
                <w:rFonts w:hint="eastAsia" w:ascii="仿宋" w:hAnsi="仿宋" w:eastAsia="仿宋" w:cs="仿宋"/>
                <w:color w:val="auto"/>
                <w:sz w:val="24"/>
                <w:highlight w:val="none"/>
              </w:rPr>
            </w:pPr>
          </w:p>
        </w:tc>
        <w:tc>
          <w:tcPr>
            <w:tcW w:w="582" w:type="pct"/>
            <w:tcBorders>
              <w:top w:val="single" w:color="auto" w:sz="4" w:space="0"/>
              <w:left w:val="single" w:color="auto" w:sz="4" w:space="0"/>
              <w:bottom w:val="single" w:color="auto" w:sz="4" w:space="0"/>
              <w:right w:val="single" w:color="auto" w:sz="4" w:space="0"/>
            </w:tcBorders>
            <w:vAlign w:val="center"/>
          </w:tcPr>
          <w:p w14:paraId="61EEFBE9">
            <w:pPr>
              <w:snapToGrid w:val="0"/>
              <w:spacing w:before="50" w:after="50"/>
              <w:jc w:val="center"/>
              <w:rPr>
                <w:rFonts w:hint="eastAsia" w:ascii="仿宋" w:hAnsi="仿宋" w:eastAsia="仿宋" w:cs="仿宋"/>
                <w:color w:val="auto"/>
                <w:sz w:val="24"/>
                <w:highlight w:val="none"/>
              </w:rPr>
            </w:pPr>
          </w:p>
        </w:tc>
        <w:tc>
          <w:tcPr>
            <w:tcW w:w="831" w:type="pct"/>
            <w:tcBorders>
              <w:top w:val="single" w:color="auto" w:sz="4" w:space="0"/>
              <w:left w:val="single" w:color="auto" w:sz="4" w:space="0"/>
              <w:bottom w:val="single" w:color="auto" w:sz="4" w:space="0"/>
              <w:right w:val="single" w:color="auto" w:sz="4" w:space="0"/>
            </w:tcBorders>
            <w:vAlign w:val="center"/>
          </w:tcPr>
          <w:p w14:paraId="4E1A8216">
            <w:pPr>
              <w:snapToGrid w:val="0"/>
              <w:spacing w:before="50" w:after="50"/>
              <w:jc w:val="center"/>
              <w:rPr>
                <w:rFonts w:hint="eastAsia" w:ascii="仿宋" w:hAnsi="仿宋" w:eastAsia="仿宋" w:cs="仿宋"/>
                <w:color w:val="auto"/>
                <w:sz w:val="24"/>
                <w:highlight w:val="none"/>
              </w:rPr>
            </w:pPr>
          </w:p>
        </w:tc>
        <w:tc>
          <w:tcPr>
            <w:tcW w:w="498" w:type="pct"/>
            <w:tcBorders>
              <w:top w:val="single" w:color="auto" w:sz="4" w:space="0"/>
              <w:left w:val="single" w:color="auto" w:sz="4" w:space="0"/>
              <w:bottom w:val="single" w:color="auto" w:sz="4" w:space="0"/>
              <w:right w:val="single" w:color="auto" w:sz="4" w:space="0"/>
            </w:tcBorders>
            <w:vAlign w:val="center"/>
          </w:tcPr>
          <w:p w14:paraId="7E467802">
            <w:pPr>
              <w:snapToGrid w:val="0"/>
              <w:spacing w:before="50" w:after="50"/>
              <w:jc w:val="center"/>
              <w:rPr>
                <w:rFonts w:hint="eastAsia" w:ascii="仿宋" w:hAnsi="仿宋" w:eastAsia="仿宋" w:cs="仿宋"/>
                <w:color w:val="auto"/>
                <w:sz w:val="24"/>
                <w:highlight w:val="none"/>
              </w:rPr>
            </w:pPr>
          </w:p>
        </w:tc>
        <w:tc>
          <w:tcPr>
            <w:tcW w:w="610" w:type="pct"/>
            <w:tcBorders>
              <w:top w:val="single" w:color="auto" w:sz="4" w:space="0"/>
              <w:left w:val="single" w:color="auto" w:sz="4" w:space="0"/>
              <w:bottom w:val="single" w:color="auto" w:sz="4" w:space="0"/>
              <w:right w:val="single" w:color="auto" w:sz="4" w:space="0"/>
            </w:tcBorders>
            <w:vAlign w:val="center"/>
          </w:tcPr>
          <w:p w14:paraId="7B63690D">
            <w:pPr>
              <w:snapToGrid w:val="0"/>
              <w:spacing w:before="50" w:after="50"/>
              <w:jc w:val="center"/>
              <w:rPr>
                <w:rFonts w:hint="eastAsia" w:ascii="仿宋" w:hAnsi="仿宋" w:eastAsia="仿宋" w:cs="仿宋"/>
                <w:color w:val="auto"/>
                <w:sz w:val="24"/>
                <w:highlight w:val="none"/>
              </w:rPr>
            </w:pPr>
          </w:p>
        </w:tc>
        <w:tc>
          <w:tcPr>
            <w:tcW w:w="836" w:type="pct"/>
            <w:tcBorders>
              <w:top w:val="single" w:color="auto" w:sz="4" w:space="0"/>
              <w:left w:val="single" w:color="auto" w:sz="4" w:space="0"/>
              <w:bottom w:val="single" w:color="auto" w:sz="4" w:space="0"/>
              <w:right w:val="single" w:color="auto" w:sz="4" w:space="0"/>
            </w:tcBorders>
            <w:vAlign w:val="center"/>
          </w:tcPr>
          <w:p w14:paraId="6B91BE99">
            <w:pPr>
              <w:snapToGrid w:val="0"/>
              <w:spacing w:before="50" w:after="50"/>
              <w:jc w:val="center"/>
              <w:rPr>
                <w:rFonts w:hint="eastAsia" w:ascii="仿宋" w:hAnsi="仿宋" w:eastAsia="仿宋" w:cs="仿宋"/>
                <w:color w:val="auto"/>
                <w:sz w:val="24"/>
                <w:highlight w:val="none"/>
              </w:rPr>
            </w:pPr>
          </w:p>
        </w:tc>
      </w:tr>
    </w:tbl>
    <w:p w14:paraId="66BF367E">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备注：以上性能配置清单中“货物名称、数量及单位、品牌、规格型号、制造商、原产地、参数性能、指标及配置”必须如实填写完整，品牌、规格型号没有则填无，填写有缺漏</w:t>
      </w:r>
      <w:r>
        <w:rPr>
          <w:rFonts w:hint="eastAsia" w:ascii="仿宋" w:hAnsi="仿宋" w:eastAsia="仿宋" w:cs="仿宋"/>
          <w:bCs/>
          <w:color w:val="auto"/>
          <w:sz w:val="24"/>
          <w:highlight w:val="none"/>
        </w:rPr>
        <w:t>的，</w:t>
      </w:r>
      <w:r>
        <w:rPr>
          <w:rFonts w:hint="eastAsia" w:ascii="仿宋" w:hAnsi="仿宋" w:eastAsia="仿宋" w:cs="仿宋"/>
          <w:b/>
          <w:color w:val="auto"/>
          <w:sz w:val="24"/>
          <w:highlight w:val="none"/>
        </w:rPr>
        <w:t>作无效投标处理。</w:t>
      </w:r>
    </w:p>
    <w:p w14:paraId="291DBF7C">
      <w:pPr>
        <w:snapToGrid w:val="0"/>
        <w:spacing w:before="50" w:after="50"/>
        <w:rPr>
          <w:rFonts w:hint="eastAsia" w:ascii="仿宋" w:hAnsi="仿宋" w:eastAsia="仿宋" w:cs="仿宋"/>
          <w:color w:val="auto"/>
          <w:sz w:val="24"/>
          <w:highlight w:val="none"/>
        </w:rPr>
      </w:pPr>
    </w:p>
    <w:p w14:paraId="7AF52820">
      <w:pPr>
        <w:snapToGrid w:val="0"/>
        <w:spacing w:line="360" w:lineRule="auto"/>
        <w:jc w:val="left"/>
        <w:rPr>
          <w:rFonts w:hint="eastAsia" w:ascii="仿宋" w:hAnsi="仿宋" w:eastAsia="仿宋" w:cs="仿宋"/>
          <w:color w:val="auto"/>
          <w:spacing w:val="20"/>
          <w:sz w:val="24"/>
          <w:highlight w:val="none"/>
          <w:u w:val="single"/>
        </w:rPr>
      </w:pPr>
      <w:r>
        <w:rPr>
          <w:rFonts w:hint="eastAsia" w:ascii="仿宋" w:hAnsi="仿宋" w:eastAsia="仿宋" w:cs="仿宋"/>
          <w:color w:val="auto"/>
          <w:sz w:val="24"/>
          <w:highlight w:val="none"/>
        </w:rPr>
        <w:t>法定代表人或者委托代理人</w:t>
      </w:r>
      <w:r>
        <w:rPr>
          <w:rFonts w:hint="eastAsia" w:ascii="仿宋" w:hAnsi="仿宋" w:eastAsia="仿宋" w:cs="仿宋"/>
          <w:color w:val="auto"/>
          <w:spacing w:val="20"/>
          <w:sz w:val="24"/>
          <w:highlight w:val="none"/>
        </w:rPr>
        <w:t>（签字或者电子签名）：</w:t>
      </w:r>
      <w:r>
        <w:rPr>
          <w:rFonts w:hint="eastAsia" w:ascii="仿宋" w:hAnsi="仿宋" w:eastAsia="仿宋" w:cs="仿宋"/>
          <w:color w:val="auto"/>
          <w:spacing w:val="20"/>
          <w:sz w:val="24"/>
          <w:highlight w:val="none"/>
          <w:u w:val="single"/>
        </w:rPr>
        <w:t xml:space="preserve">        </w:t>
      </w:r>
    </w:p>
    <w:p w14:paraId="3F7E36BD">
      <w:pPr>
        <w:snapToGrid w:val="0"/>
        <w:spacing w:line="360" w:lineRule="auto"/>
        <w:jc w:val="left"/>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投标人（盖公章或电子签章）：</w:t>
      </w:r>
      <w:r>
        <w:rPr>
          <w:rFonts w:hint="eastAsia" w:ascii="仿宋" w:hAnsi="仿宋" w:eastAsia="仿宋" w:cs="仿宋"/>
          <w:color w:val="auto"/>
          <w:spacing w:val="20"/>
          <w:sz w:val="24"/>
          <w:highlight w:val="none"/>
          <w:u w:val="single"/>
        </w:rPr>
        <w:t xml:space="preserve">            </w:t>
      </w:r>
    </w:p>
    <w:p w14:paraId="6A2EF804">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pacing w:val="20"/>
          <w:sz w:val="24"/>
          <w:highlight w:val="none"/>
        </w:rPr>
        <w:t>日  期：</w:t>
      </w:r>
      <w:r>
        <w:rPr>
          <w:rFonts w:hint="eastAsia" w:ascii="仿宋" w:hAnsi="仿宋" w:eastAsia="仿宋" w:cs="仿宋"/>
          <w:color w:val="auto"/>
          <w:spacing w:val="20"/>
          <w:sz w:val="24"/>
          <w:highlight w:val="none"/>
          <w:u w:val="single"/>
        </w:rPr>
        <w:t xml:space="preserve">          </w:t>
      </w:r>
    </w:p>
    <w:p w14:paraId="1759BC70">
      <w:pPr>
        <w:snapToGrid w:val="0"/>
        <w:spacing w:before="120" w:beforeLines="50" w:after="50"/>
        <w:jc w:val="left"/>
        <w:rPr>
          <w:rFonts w:hint="eastAsia" w:ascii="仿宋" w:hAnsi="仿宋" w:eastAsia="仿宋" w:cs="仿宋"/>
          <w:b/>
          <w:color w:val="auto"/>
          <w:sz w:val="24"/>
          <w:highlight w:val="none"/>
        </w:rPr>
      </w:pPr>
      <w:r>
        <w:rPr>
          <w:rFonts w:hint="eastAsia" w:ascii="仿宋" w:hAnsi="仿宋" w:eastAsia="仿宋" w:cs="仿宋"/>
          <w:b/>
          <w:color w:val="auto"/>
          <w:szCs w:val="21"/>
          <w:highlight w:val="none"/>
        </w:rPr>
        <w:br w:type="page"/>
      </w:r>
      <w:r>
        <w:rPr>
          <w:rFonts w:hint="eastAsia" w:ascii="仿宋" w:hAnsi="仿宋" w:eastAsia="仿宋" w:cs="仿宋"/>
          <w:b/>
          <w:color w:val="auto"/>
          <w:sz w:val="24"/>
          <w:highlight w:val="none"/>
        </w:rPr>
        <w:t>技术偏离表格式</w:t>
      </w:r>
    </w:p>
    <w:p w14:paraId="4761492B">
      <w:pPr>
        <w:snapToGrid w:val="0"/>
        <w:spacing w:before="120" w:beforeLines="50" w:after="50"/>
        <w:ind w:left="142"/>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技术偏离表</w:t>
      </w:r>
    </w:p>
    <w:p w14:paraId="6EC9CCB2">
      <w:pPr>
        <w:pStyle w:val="23"/>
        <w:rPr>
          <w:rFonts w:hint="eastAsia" w:ascii="仿宋" w:hAnsi="仿宋" w:eastAsia="仿宋" w:cs="仿宋"/>
          <w:color w:val="auto"/>
          <w:sz w:val="24"/>
          <w:szCs w:val="24"/>
          <w:highlight w:val="none"/>
        </w:rPr>
      </w:pPr>
    </w:p>
    <w:tbl>
      <w:tblPr>
        <w:tblStyle w:val="45"/>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717E9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vAlign w:val="center"/>
          </w:tcPr>
          <w:p w14:paraId="7EF14527">
            <w:pPr>
              <w:pStyle w:val="23"/>
              <w:spacing w:line="400" w:lineRule="exact"/>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项号</w:t>
            </w:r>
          </w:p>
        </w:tc>
        <w:tc>
          <w:tcPr>
            <w:tcW w:w="2143" w:type="dxa"/>
            <w:vAlign w:val="center"/>
          </w:tcPr>
          <w:p w14:paraId="7087E1AE">
            <w:pPr>
              <w:pStyle w:val="23"/>
              <w:spacing w:line="400" w:lineRule="exact"/>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标的的名称</w:t>
            </w:r>
          </w:p>
        </w:tc>
        <w:tc>
          <w:tcPr>
            <w:tcW w:w="1834" w:type="dxa"/>
            <w:vAlign w:val="center"/>
          </w:tcPr>
          <w:p w14:paraId="0045D036">
            <w:pPr>
              <w:pStyle w:val="23"/>
              <w:spacing w:line="400" w:lineRule="exact"/>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招标要求</w:t>
            </w:r>
          </w:p>
        </w:tc>
        <w:tc>
          <w:tcPr>
            <w:tcW w:w="2181" w:type="dxa"/>
            <w:vAlign w:val="center"/>
          </w:tcPr>
          <w:p w14:paraId="4E1E8F01">
            <w:pPr>
              <w:pStyle w:val="23"/>
              <w:spacing w:line="400" w:lineRule="exact"/>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投标响应</w:t>
            </w:r>
          </w:p>
        </w:tc>
        <w:tc>
          <w:tcPr>
            <w:tcW w:w="1934" w:type="dxa"/>
            <w:vAlign w:val="center"/>
          </w:tcPr>
          <w:p w14:paraId="334E56E8">
            <w:pPr>
              <w:pStyle w:val="23"/>
              <w:spacing w:line="400" w:lineRule="exact"/>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偏离说明</w:t>
            </w:r>
          </w:p>
        </w:tc>
      </w:tr>
      <w:tr w14:paraId="6E1DD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1F61D053">
            <w:pPr>
              <w:pStyle w:val="23"/>
              <w:spacing w:line="600" w:lineRule="exact"/>
              <w:rPr>
                <w:rFonts w:hint="eastAsia" w:ascii="仿宋" w:hAnsi="仿宋" w:eastAsia="仿宋" w:cs="仿宋"/>
                <w:color w:val="auto"/>
                <w:kern w:val="2"/>
                <w:sz w:val="24"/>
                <w:szCs w:val="24"/>
                <w:highlight w:val="none"/>
              </w:rPr>
            </w:pPr>
          </w:p>
        </w:tc>
        <w:tc>
          <w:tcPr>
            <w:tcW w:w="2143" w:type="dxa"/>
          </w:tcPr>
          <w:p w14:paraId="4E56708D">
            <w:pPr>
              <w:pStyle w:val="23"/>
              <w:spacing w:line="600" w:lineRule="exact"/>
              <w:rPr>
                <w:rFonts w:hint="eastAsia" w:ascii="仿宋" w:hAnsi="仿宋" w:eastAsia="仿宋" w:cs="仿宋"/>
                <w:color w:val="auto"/>
                <w:kern w:val="2"/>
                <w:sz w:val="24"/>
                <w:szCs w:val="24"/>
                <w:highlight w:val="none"/>
              </w:rPr>
            </w:pPr>
          </w:p>
        </w:tc>
        <w:tc>
          <w:tcPr>
            <w:tcW w:w="1834" w:type="dxa"/>
          </w:tcPr>
          <w:p w14:paraId="01DBCE94">
            <w:pPr>
              <w:pStyle w:val="23"/>
              <w:spacing w:line="600" w:lineRule="exact"/>
              <w:rPr>
                <w:rFonts w:hint="eastAsia" w:ascii="仿宋" w:hAnsi="仿宋" w:eastAsia="仿宋" w:cs="仿宋"/>
                <w:color w:val="auto"/>
                <w:kern w:val="2"/>
                <w:sz w:val="24"/>
                <w:szCs w:val="24"/>
                <w:highlight w:val="none"/>
              </w:rPr>
            </w:pPr>
          </w:p>
        </w:tc>
        <w:tc>
          <w:tcPr>
            <w:tcW w:w="2181" w:type="dxa"/>
          </w:tcPr>
          <w:p w14:paraId="72E0EC45">
            <w:pPr>
              <w:pStyle w:val="23"/>
              <w:spacing w:line="600" w:lineRule="exact"/>
              <w:rPr>
                <w:rFonts w:hint="eastAsia" w:ascii="仿宋" w:hAnsi="仿宋" w:eastAsia="仿宋" w:cs="仿宋"/>
                <w:color w:val="auto"/>
                <w:kern w:val="2"/>
                <w:sz w:val="24"/>
                <w:szCs w:val="24"/>
                <w:highlight w:val="none"/>
              </w:rPr>
            </w:pPr>
          </w:p>
        </w:tc>
        <w:tc>
          <w:tcPr>
            <w:tcW w:w="1934" w:type="dxa"/>
          </w:tcPr>
          <w:p w14:paraId="0FAA0444">
            <w:pPr>
              <w:pStyle w:val="23"/>
              <w:spacing w:line="600" w:lineRule="exact"/>
              <w:rPr>
                <w:rFonts w:hint="eastAsia" w:ascii="仿宋" w:hAnsi="仿宋" w:eastAsia="仿宋" w:cs="仿宋"/>
                <w:color w:val="auto"/>
                <w:kern w:val="2"/>
                <w:sz w:val="24"/>
                <w:szCs w:val="24"/>
                <w:highlight w:val="none"/>
              </w:rPr>
            </w:pPr>
          </w:p>
        </w:tc>
      </w:tr>
      <w:tr w14:paraId="414FD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6C461FD7">
            <w:pPr>
              <w:pStyle w:val="23"/>
              <w:spacing w:line="600" w:lineRule="exact"/>
              <w:rPr>
                <w:rFonts w:hint="eastAsia" w:ascii="仿宋" w:hAnsi="仿宋" w:eastAsia="仿宋" w:cs="仿宋"/>
                <w:color w:val="auto"/>
                <w:kern w:val="2"/>
                <w:sz w:val="24"/>
                <w:szCs w:val="24"/>
                <w:highlight w:val="none"/>
              </w:rPr>
            </w:pPr>
          </w:p>
        </w:tc>
        <w:tc>
          <w:tcPr>
            <w:tcW w:w="2143" w:type="dxa"/>
          </w:tcPr>
          <w:p w14:paraId="5424369F">
            <w:pPr>
              <w:pStyle w:val="23"/>
              <w:spacing w:line="600" w:lineRule="exact"/>
              <w:rPr>
                <w:rFonts w:hint="eastAsia" w:ascii="仿宋" w:hAnsi="仿宋" w:eastAsia="仿宋" w:cs="仿宋"/>
                <w:color w:val="auto"/>
                <w:kern w:val="2"/>
                <w:sz w:val="24"/>
                <w:szCs w:val="24"/>
                <w:highlight w:val="none"/>
              </w:rPr>
            </w:pPr>
          </w:p>
        </w:tc>
        <w:tc>
          <w:tcPr>
            <w:tcW w:w="1834" w:type="dxa"/>
          </w:tcPr>
          <w:p w14:paraId="2A5EE18C">
            <w:pPr>
              <w:pStyle w:val="23"/>
              <w:spacing w:line="600" w:lineRule="exact"/>
              <w:rPr>
                <w:rFonts w:hint="eastAsia" w:ascii="仿宋" w:hAnsi="仿宋" w:eastAsia="仿宋" w:cs="仿宋"/>
                <w:color w:val="auto"/>
                <w:kern w:val="2"/>
                <w:sz w:val="24"/>
                <w:szCs w:val="24"/>
                <w:highlight w:val="none"/>
              </w:rPr>
            </w:pPr>
          </w:p>
        </w:tc>
        <w:tc>
          <w:tcPr>
            <w:tcW w:w="2181" w:type="dxa"/>
          </w:tcPr>
          <w:p w14:paraId="63AEF6F6">
            <w:pPr>
              <w:pStyle w:val="23"/>
              <w:spacing w:line="600" w:lineRule="exact"/>
              <w:rPr>
                <w:rFonts w:hint="eastAsia" w:ascii="仿宋" w:hAnsi="仿宋" w:eastAsia="仿宋" w:cs="仿宋"/>
                <w:color w:val="auto"/>
                <w:kern w:val="2"/>
                <w:sz w:val="24"/>
                <w:szCs w:val="24"/>
                <w:highlight w:val="none"/>
              </w:rPr>
            </w:pPr>
          </w:p>
        </w:tc>
        <w:tc>
          <w:tcPr>
            <w:tcW w:w="1934" w:type="dxa"/>
          </w:tcPr>
          <w:p w14:paraId="60FAB0DA">
            <w:pPr>
              <w:pStyle w:val="23"/>
              <w:spacing w:line="600" w:lineRule="exact"/>
              <w:rPr>
                <w:rFonts w:hint="eastAsia" w:ascii="仿宋" w:hAnsi="仿宋" w:eastAsia="仿宋" w:cs="仿宋"/>
                <w:color w:val="auto"/>
                <w:kern w:val="2"/>
                <w:sz w:val="24"/>
                <w:szCs w:val="24"/>
                <w:highlight w:val="none"/>
              </w:rPr>
            </w:pPr>
          </w:p>
        </w:tc>
      </w:tr>
      <w:tr w14:paraId="0E491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57C17B14">
            <w:pPr>
              <w:pStyle w:val="23"/>
              <w:spacing w:line="600" w:lineRule="exact"/>
              <w:rPr>
                <w:rFonts w:hint="eastAsia" w:ascii="仿宋" w:hAnsi="仿宋" w:eastAsia="仿宋" w:cs="仿宋"/>
                <w:color w:val="auto"/>
                <w:kern w:val="2"/>
                <w:sz w:val="24"/>
                <w:szCs w:val="24"/>
                <w:highlight w:val="none"/>
              </w:rPr>
            </w:pPr>
          </w:p>
        </w:tc>
        <w:tc>
          <w:tcPr>
            <w:tcW w:w="2143" w:type="dxa"/>
          </w:tcPr>
          <w:p w14:paraId="5842D874">
            <w:pPr>
              <w:pStyle w:val="23"/>
              <w:spacing w:line="600" w:lineRule="exact"/>
              <w:rPr>
                <w:rFonts w:hint="eastAsia" w:ascii="仿宋" w:hAnsi="仿宋" w:eastAsia="仿宋" w:cs="仿宋"/>
                <w:color w:val="auto"/>
                <w:kern w:val="2"/>
                <w:sz w:val="24"/>
                <w:szCs w:val="24"/>
                <w:highlight w:val="none"/>
              </w:rPr>
            </w:pPr>
          </w:p>
        </w:tc>
        <w:tc>
          <w:tcPr>
            <w:tcW w:w="1834" w:type="dxa"/>
          </w:tcPr>
          <w:p w14:paraId="4AD16CFF">
            <w:pPr>
              <w:pStyle w:val="23"/>
              <w:spacing w:line="600" w:lineRule="exact"/>
              <w:rPr>
                <w:rFonts w:hint="eastAsia" w:ascii="仿宋" w:hAnsi="仿宋" w:eastAsia="仿宋" w:cs="仿宋"/>
                <w:color w:val="auto"/>
                <w:kern w:val="2"/>
                <w:sz w:val="24"/>
                <w:szCs w:val="24"/>
                <w:highlight w:val="none"/>
              </w:rPr>
            </w:pPr>
          </w:p>
        </w:tc>
        <w:tc>
          <w:tcPr>
            <w:tcW w:w="2181" w:type="dxa"/>
          </w:tcPr>
          <w:p w14:paraId="20764BAD">
            <w:pPr>
              <w:pStyle w:val="23"/>
              <w:spacing w:line="600" w:lineRule="exact"/>
              <w:rPr>
                <w:rFonts w:hint="eastAsia" w:ascii="仿宋" w:hAnsi="仿宋" w:eastAsia="仿宋" w:cs="仿宋"/>
                <w:color w:val="auto"/>
                <w:kern w:val="2"/>
                <w:sz w:val="24"/>
                <w:szCs w:val="24"/>
                <w:highlight w:val="none"/>
              </w:rPr>
            </w:pPr>
          </w:p>
        </w:tc>
        <w:tc>
          <w:tcPr>
            <w:tcW w:w="1934" w:type="dxa"/>
          </w:tcPr>
          <w:p w14:paraId="1736FBBE">
            <w:pPr>
              <w:pStyle w:val="23"/>
              <w:spacing w:line="600" w:lineRule="exact"/>
              <w:rPr>
                <w:rFonts w:hint="eastAsia" w:ascii="仿宋" w:hAnsi="仿宋" w:eastAsia="仿宋" w:cs="仿宋"/>
                <w:color w:val="auto"/>
                <w:kern w:val="2"/>
                <w:sz w:val="24"/>
                <w:szCs w:val="24"/>
                <w:highlight w:val="none"/>
              </w:rPr>
            </w:pPr>
          </w:p>
        </w:tc>
      </w:tr>
      <w:tr w14:paraId="6DAC1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3DFD055E">
            <w:pPr>
              <w:pStyle w:val="23"/>
              <w:spacing w:line="600" w:lineRule="exact"/>
              <w:rPr>
                <w:rFonts w:hint="eastAsia" w:ascii="仿宋" w:hAnsi="仿宋" w:eastAsia="仿宋" w:cs="仿宋"/>
                <w:color w:val="auto"/>
                <w:kern w:val="2"/>
                <w:sz w:val="24"/>
                <w:szCs w:val="24"/>
                <w:highlight w:val="none"/>
              </w:rPr>
            </w:pPr>
          </w:p>
        </w:tc>
        <w:tc>
          <w:tcPr>
            <w:tcW w:w="2143" w:type="dxa"/>
          </w:tcPr>
          <w:p w14:paraId="6F95A6F0">
            <w:pPr>
              <w:pStyle w:val="23"/>
              <w:spacing w:line="600" w:lineRule="exact"/>
              <w:rPr>
                <w:rFonts w:hint="eastAsia" w:ascii="仿宋" w:hAnsi="仿宋" w:eastAsia="仿宋" w:cs="仿宋"/>
                <w:color w:val="auto"/>
                <w:kern w:val="2"/>
                <w:sz w:val="24"/>
                <w:szCs w:val="24"/>
                <w:highlight w:val="none"/>
              </w:rPr>
            </w:pPr>
          </w:p>
        </w:tc>
        <w:tc>
          <w:tcPr>
            <w:tcW w:w="1834" w:type="dxa"/>
          </w:tcPr>
          <w:p w14:paraId="1C73FBB1">
            <w:pPr>
              <w:pStyle w:val="23"/>
              <w:spacing w:line="600" w:lineRule="exact"/>
              <w:rPr>
                <w:rFonts w:hint="eastAsia" w:ascii="仿宋" w:hAnsi="仿宋" w:eastAsia="仿宋" w:cs="仿宋"/>
                <w:color w:val="auto"/>
                <w:kern w:val="2"/>
                <w:sz w:val="24"/>
                <w:szCs w:val="24"/>
                <w:highlight w:val="none"/>
              </w:rPr>
            </w:pPr>
          </w:p>
        </w:tc>
        <w:tc>
          <w:tcPr>
            <w:tcW w:w="2181" w:type="dxa"/>
          </w:tcPr>
          <w:p w14:paraId="6F3C86A7">
            <w:pPr>
              <w:pStyle w:val="23"/>
              <w:spacing w:line="600" w:lineRule="exact"/>
              <w:rPr>
                <w:rFonts w:hint="eastAsia" w:ascii="仿宋" w:hAnsi="仿宋" w:eastAsia="仿宋" w:cs="仿宋"/>
                <w:color w:val="auto"/>
                <w:kern w:val="2"/>
                <w:sz w:val="24"/>
                <w:szCs w:val="24"/>
                <w:highlight w:val="none"/>
              </w:rPr>
            </w:pPr>
          </w:p>
        </w:tc>
        <w:tc>
          <w:tcPr>
            <w:tcW w:w="1934" w:type="dxa"/>
          </w:tcPr>
          <w:p w14:paraId="1E4B4D50">
            <w:pPr>
              <w:pStyle w:val="23"/>
              <w:spacing w:line="600" w:lineRule="exact"/>
              <w:rPr>
                <w:rFonts w:hint="eastAsia" w:ascii="仿宋" w:hAnsi="仿宋" w:eastAsia="仿宋" w:cs="仿宋"/>
                <w:color w:val="auto"/>
                <w:kern w:val="2"/>
                <w:sz w:val="24"/>
                <w:szCs w:val="24"/>
                <w:highlight w:val="none"/>
              </w:rPr>
            </w:pPr>
          </w:p>
        </w:tc>
      </w:tr>
      <w:tr w14:paraId="07527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1C49EC1B">
            <w:pPr>
              <w:pStyle w:val="23"/>
              <w:spacing w:line="600" w:lineRule="exact"/>
              <w:rPr>
                <w:rFonts w:hint="eastAsia" w:ascii="仿宋" w:hAnsi="仿宋" w:eastAsia="仿宋" w:cs="仿宋"/>
                <w:color w:val="auto"/>
                <w:kern w:val="2"/>
                <w:sz w:val="24"/>
                <w:szCs w:val="24"/>
                <w:highlight w:val="none"/>
              </w:rPr>
            </w:pPr>
          </w:p>
        </w:tc>
        <w:tc>
          <w:tcPr>
            <w:tcW w:w="2143" w:type="dxa"/>
          </w:tcPr>
          <w:p w14:paraId="4AF450A0">
            <w:pPr>
              <w:pStyle w:val="23"/>
              <w:spacing w:line="600" w:lineRule="exact"/>
              <w:rPr>
                <w:rFonts w:hint="eastAsia" w:ascii="仿宋" w:hAnsi="仿宋" w:eastAsia="仿宋" w:cs="仿宋"/>
                <w:color w:val="auto"/>
                <w:kern w:val="2"/>
                <w:sz w:val="24"/>
                <w:szCs w:val="24"/>
                <w:highlight w:val="none"/>
              </w:rPr>
            </w:pPr>
          </w:p>
        </w:tc>
        <w:tc>
          <w:tcPr>
            <w:tcW w:w="1834" w:type="dxa"/>
          </w:tcPr>
          <w:p w14:paraId="049259FC">
            <w:pPr>
              <w:pStyle w:val="23"/>
              <w:spacing w:line="600" w:lineRule="exact"/>
              <w:rPr>
                <w:rFonts w:hint="eastAsia" w:ascii="仿宋" w:hAnsi="仿宋" w:eastAsia="仿宋" w:cs="仿宋"/>
                <w:color w:val="auto"/>
                <w:kern w:val="2"/>
                <w:sz w:val="24"/>
                <w:szCs w:val="24"/>
                <w:highlight w:val="none"/>
              </w:rPr>
            </w:pPr>
          </w:p>
        </w:tc>
        <w:tc>
          <w:tcPr>
            <w:tcW w:w="2181" w:type="dxa"/>
          </w:tcPr>
          <w:p w14:paraId="6BCBAF6E">
            <w:pPr>
              <w:pStyle w:val="23"/>
              <w:spacing w:line="600" w:lineRule="exact"/>
              <w:rPr>
                <w:rFonts w:hint="eastAsia" w:ascii="仿宋" w:hAnsi="仿宋" w:eastAsia="仿宋" w:cs="仿宋"/>
                <w:color w:val="auto"/>
                <w:kern w:val="2"/>
                <w:sz w:val="24"/>
                <w:szCs w:val="24"/>
                <w:highlight w:val="none"/>
              </w:rPr>
            </w:pPr>
          </w:p>
        </w:tc>
        <w:tc>
          <w:tcPr>
            <w:tcW w:w="1934" w:type="dxa"/>
          </w:tcPr>
          <w:p w14:paraId="029727C5">
            <w:pPr>
              <w:pStyle w:val="23"/>
              <w:spacing w:line="600" w:lineRule="exact"/>
              <w:rPr>
                <w:rFonts w:hint="eastAsia" w:ascii="仿宋" w:hAnsi="仿宋" w:eastAsia="仿宋" w:cs="仿宋"/>
                <w:color w:val="auto"/>
                <w:kern w:val="2"/>
                <w:sz w:val="24"/>
                <w:szCs w:val="24"/>
                <w:highlight w:val="none"/>
              </w:rPr>
            </w:pPr>
          </w:p>
        </w:tc>
      </w:tr>
      <w:tr w14:paraId="16EFD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537A2C6D">
            <w:pPr>
              <w:pStyle w:val="23"/>
              <w:spacing w:line="600" w:lineRule="exact"/>
              <w:rPr>
                <w:rFonts w:hint="eastAsia" w:ascii="仿宋" w:hAnsi="仿宋" w:eastAsia="仿宋" w:cs="仿宋"/>
                <w:color w:val="auto"/>
                <w:kern w:val="2"/>
                <w:sz w:val="24"/>
                <w:szCs w:val="24"/>
                <w:highlight w:val="none"/>
              </w:rPr>
            </w:pPr>
          </w:p>
        </w:tc>
        <w:tc>
          <w:tcPr>
            <w:tcW w:w="2143" w:type="dxa"/>
          </w:tcPr>
          <w:p w14:paraId="37CB744C">
            <w:pPr>
              <w:pStyle w:val="23"/>
              <w:spacing w:line="600" w:lineRule="exact"/>
              <w:rPr>
                <w:rFonts w:hint="eastAsia" w:ascii="仿宋" w:hAnsi="仿宋" w:eastAsia="仿宋" w:cs="仿宋"/>
                <w:color w:val="auto"/>
                <w:kern w:val="2"/>
                <w:sz w:val="24"/>
                <w:szCs w:val="24"/>
                <w:highlight w:val="none"/>
              </w:rPr>
            </w:pPr>
          </w:p>
        </w:tc>
        <w:tc>
          <w:tcPr>
            <w:tcW w:w="1834" w:type="dxa"/>
          </w:tcPr>
          <w:p w14:paraId="43AAC26E">
            <w:pPr>
              <w:pStyle w:val="23"/>
              <w:spacing w:line="600" w:lineRule="exact"/>
              <w:rPr>
                <w:rFonts w:hint="eastAsia" w:ascii="仿宋" w:hAnsi="仿宋" w:eastAsia="仿宋" w:cs="仿宋"/>
                <w:color w:val="auto"/>
                <w:kern w:val="2"/>
                <w:sz w:val="24"/>
                <w:szCs w:val="24"/>
                <w:highlight w:val="none"/>
              </w:rPr>
            </w:pPr>
          </w:p>
        </w:tc>
        <w:tc>
          <w:tcPr>
            <w:tcW w:w="2181" w:type="dxa"/>
          </w:tcPr>
          <w:p w14:paraId="6E284E14">
            <w:pPr>
              <w:pStyle w:val="23"/>
              <w:spacing w:line="600" w:lineRule="exact"/>
              <w:rPr>
                <w:rFonts w:hint="eastAsia" w:ascii="仿宋" w:hAnsi="仿宋" w:eastAsia="仿宋" w:cs="仿宋"/>
                <w:color w:val="auto"/>
                <w:kern w:val="2"/>
                <w:sz w:val="24"/>
                <w:szCs w:val="24"/>
                <w:highlight w:val="none"/>
              </w:rPr>
            </w:pPr>
          </w:p>
        </w:tc>
        <w:tc>
          <w:tcPr>
            <w:tcW w:w="1934" w:type="dxa"/>
          </w:tcPr>
          <w:p w14:paraId="644090CA">
            <w:pPr>
              <w:pStyle w:val="23"/>
              <w:spacing w:line="600" w:lineRule="exact"/>
              <w:rPr>
                <w:rFonts w:hint="eastAsia" w:ascii="仿宋" w:hAnsi="仿宋" w:eastAsia="仿宋" w:cs="仿宋"/>
                <w:color w:val="auto"/>
                <w:kern w:val="2"/>
                <w:sz w:val="24"/>
                <w:szCs w:val="24"/>
                <w:highlight w:val="none"/>
              </w:rPr>
            </w:pPr>
          </w:p>
        </w:tc>
      </w:tr>
    </w:tbl>
    <w:p w14:paraId="10E5A5BC">
      <w:pPr>
        <w:pStyle w:val="15"/>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注：</w:t>
      </w:r>
    </w:p>
    <w:p w14:paraId="4BB0ECA8">
      <w:pPr>
        <w:pStyle w:val="17"/>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说明：应对照招标文件“第二章 采购需求”中的技术需求条款逐条实质性响应，并作出偏离说明。</w:t>
      </w:r>
    </w:p>
    <w:p w14:paraId="4D2EFBEB">
      <w:pPr>
        <w:pStyle w:val="15"/>
        <w:spacing w:line="360" w:lineRule="auto"/>
        <w:rPr>
          <w:rFonts w:hint="eastAsia" w:ascii="仿宋" w:hAnsi="仿宋" w:eastAsia="仿宋" w:cs="仿宋"/>
          <w:color w:val="auto"/>
          <w:highlight w:val="none"/>
        </w:rPr>
      </w:pPr>
      <w:r>
        <w:rPr>
          <w:rFonts w:hint="eastAsia" w:ascii="仿宋" w:hAnsi="仿宋" w:eastAsia="仿宋" w:cs="仿宋"/>
          <w:b w:val="0"/>
          <w:bCs w:val="0"/>
          <w:color w:val="auto"/>
          <w:highlight w:val="none"/>
        </w:rPr>
        <w:t>2.投标人应根据投标设备的性能指标，对照招标文件要求，在“偏离说明”中注明“</w:t>
      </w:r>
      <w:r>
        <w:rPr>
          <w:rFonts w:hint="eastAsia" w:ascii="仿宋" w:hAnsi="仿宋" w:eastAsia="仿宋" w:cs="仿宋"/>
          <w:color w:val="auto"/>
          <w:highlight w:val="none"/>
        </w:rPr>
        <w:t>正偏离</w:t>
      </w:r>
      <w:r>
        <w:rPr>
          <w:rFonts w:hint="eastAsia" w:ascii="仿宋" w:hAnsi="仿宋" w:eastAsia="仿宋" w:cs="仿宋"/>
          <w:b w:val="0"/>
          <w:bCs w:val="0"/>
          <w:color w:val="auto"/>
          <w:highlight w:val="none"/>
        </w:rPr>
        <w:t>”、“</w:t>
      </w:r>
      <w:r>
        <w:rPr>
          <w:rFonts w:hint="eastAsia" w:ascii="仿宋" w:hAnsi="仿宋" w:eastAsia="仿宋" w:cs="仿宋"/>
          <w:color w:val="auto"/>
          <w:highlight w:val="none"/>
        </w:rPr>
        <w:t>负偏离</w:t>
      </w:r>
      <w:r>
        <w:rPr>
          <w:rFonts w:hint="eastAsia" w:ascii="仿宋" w:hAnsi="仿宋" w:eastAsia="仿宋" w:cs="仿宋"/>
          <w:b w:val="0"/>
          <w:bCs w:val="0"/>
          <w:color w:val="auto"/>
          <w:highlight w:val="none"/>
        </w:rPr>
        <w:t>”或者“</w:t>
      </w:r>
      <w:r>
        <w:rPr>
          <w:rFonts w:hint="eastAsia" w:ascii="仿宋" w:hAnsi="仿宋" w:eastAsia="仿宋" w:cs="仿宋"/>
          <w:color w:val="auto"/>
          <w:highlight w:val="none"/>
        </w:rPr>
        <w:t>无偏离</w:t>
      </w:r>
      <w:r>
        <w:rPr>
          <w:rFonts w:hint="eastAsia" w:ascii="仿宋" w:hAnsi="仿宋" w:eastAsia="仿宋" w:cs="仿宋"/>
          <w:b w:val="0"/>
          <w:bCs w:val="0"/>
          <w:color w:val="auto"/>
          <w:highlight w:val="none"/>
        </w:rPr>
        <w:t>”。既不属于“</w:t>
      </w:r>
      <w:r>
        <w:rPr>
          <w:rFonts w:hint="eastAsia" w:ascii="仿宋" w:hAnsi="仿宋" w:eastAsia="仿宋" w:cs="仿宋"/>
          <w:color w:val="auto"/>
          <w:highlight w:val="none"/>
        </w:rPr>
        <w:t>正偏离</w:t>
      </w:r>
      <w:r>
        <w:rPr>
          <w:rFonts w:hint="eastAsia" w:ascii="仿宋" w:hAnsi="仿宋" w:eastAsia="仿宋" w:cs="仿宋"/>
          <w:b w:val="0"/>
          <w:bCs w:val="0"/>
          <w:color w:val="auto"/>
          <w:highlight w:val="none"/>
        </w:rPr>
        <w:t>”也不属于“</w:t>
      </w:r>
      <w:r>
        <w:rPr>
          <w:rFonts w:hint="eastAsia" w:ascii="仿宋" w:hAnsi="仿宋" w:eastAsia="仿宋" w:cs="仿宋"/>
          <w:color w:val="auto"/>
          <w:highlight w:val="none"/>
        </w:rPr>
        <w:t>负偏离</w:t>
      </w:r>
      <w:r>
        <w:rPr>
          <w:rFonts w:hint="eastAsia" w:ascii="仿宋" w:hAnsi="仿宋" w:eastAsia="仿宋" w:cs="仿宋"/>
          <w:b w:val="0"/>
          <w:bCs w:val="0"/>
          <w:color w:val="auto"/>
          <w:highlight w:val="none"/>
        </w:rPr>
        <w:t>”即为“</w:t>
      </w:r>
      <w:r>
        <w:rPr>
          <w:rFonts w:hint="eastAsia" w:ascii="仿宋" w:hAnsi="仿宋" w:eastAsia="仿宋" w:cs="仿宋"/>
          <w:color w:val="auto"/>
          <w:highlight w:val="none"/>
        </w:rPr>
        <w:t>无偏离</w:t>
      </w:r>
      <w:r>
        <w:rPr>
          <w:rFonts w:hint="eastAsia" w:ascii="仿宋" w:hAnsi="仿宋" w:eastAsia="仿宋" w:cs="仿宋"/>
          <w:b w:val="0"/>
          <w:bCs w:val="0"/>
          <w:color w:val="auto"/>
          <w:highlight w:val="none"/>
        </w:rPr>
        <w:t>”。</w:t>
      </w:r>
    </w:p>
    <w:p w14:paraId="2205CF51">
      <w:pPr>
        <w:pStyle w:val="15"/>
        <w:rPr>
          <w:rFonts w:hint="eastAsia" w:ascii="仿宋" w:hAnsi="仿宋" w:eastAsia="仿宋" w:cs="仿宋"/>
          <w:color w:val="auto"/>
          <w:spacing w:val="20"/>
          <w:highlight w:val="none"/>
        </w:rPr>
      </w:pPr>
    </w:p>
    <w:p w14:paraId="26029281">
      <w:pPr>
        <w:snapToGrid w:val="0"/>
        <w:spacing w:line="360" w:lineRule="auto"/>
        <w:jc w:val="left"/>
        <w:rPr>
          <w:rFonts w:hint="eastAsia" w:ascii="仿宋" w:hAnsi="仿宋" w:eastAsia="仿宋" w:cs="仿宋"/>
          <w:color w:val="auto"/>
          <w:spacing w:val="20"/>
          <w:sz w:val="24"/>
          <w:highlight w:val="none"/>
          <w:u w:val="single"/>
        </w:rPr>
      </w:pPr>
      <w:r>
        <w:rPr>
          <w:rFonts w:hint="eastAsia" w:ascii="仿宋" w:hAnsi="仿宋" w:eastAsia="仿宋" w:cs="仿宋"/>
          <w:color w:val="auto"/>
          <w:sz w:val="24"/>
          <w:highlight w:val="none"/>
        </w:rPr>
        <w:t>法定代表人或者委托代理人</w:t>
      </w:r>
      <w:r>
        <w:rPr>
          <w:rFonts w:hint="eastAsia" w:ascii="仿宋" w:hAnsi="仿宋" w:eastAsia="仿宋" w:cs="仿宋"/>
          <w:color w:val="auto"/>
          <w:spacing w:val="20"/>
          <w:sz w:val="24"/>
          <w:highlight w:val="none"/>
        </w:rPr>
        <w:t>（签字或者电子签名）：</w:t>
      </w:r>
      <w:r>
        <w:rPr>
          <w:rFonts w:hint="eastAsia" w:ascii="仿宋" w:hAnsi="仿宋" w:eastAsia="仿宋" w:cs="仿宋"/>
          <w:color w:val="auto"/>
          <w:spacing w:val="20"/>
          <w:sz w:val="24"/>
          <w:highlight w:val="none"/>
          <w:u w:val="single"/>
        </w:rPr>
        <w:t xml:space="preserve">        </w:t>
      </w:r>
    </w:p>
    <w:p w14:paraId="42DDE538">
      <w:pPr>
        <w:snapToGrid w:val="0"/>
        <w:spacing w:line="360" w:lineRule="auto"/>
        <w:jc w:val="left"/>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投标人（盖公章或电子签章）：</w:t>
      </w:r>
      <w:r>
        <w:rPr>
          <w:rFonts w:hint="eastAsia" w:ascii="仿宋" w:hAnsi="仿宋" w:eastAsia="仿宋" w:cs="仿宋"/>
          <w:color w:val="auto"/>
          <w:spacing w:val="20"/>
          <w:sz w:val="24"/>
          <w:highlight w:val="none"/>
          <w:u w:val="single"/>
        </w:rPr>
        <w:t xml:space="preserve">            </w:t>
      </w:r>
    </w:p>
    <w:p w14:paraId="5ED16A8B">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pacing w:val="20"/>
          <w:sz w:val="24"/>
          <w:highlight w:val="none"/>
        </w:rPr>
        <w:t>日  期：</w:t>
      </w:r>
      <w:r>
        <w:rPr>
          <w:rFonts w:hint="eastAsia" w:ascii="仿宋" w:hAnsi="仿宋" w:eastAsia="仿宋" w:cs="仿宋"/>
          <w:color w:val="auto"/>
          <w:spacing w:val="20"/>
          <w:sz w:val="24"/>
          <w:highlight w:val="none"/>
          <w:u w:val="single"/>
        </w:rPr>
        <w:t xml:space="preserve">          </w:t>
      </w:r>
    </w:p>
    <w:p w14:paraId="3259E6A4">
      <w:pPr>
        <w:snapToGrid w:val="0"/>
        <w:spacing w:before="120" w:beforeLines="50" w:after="5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br w:type="page"/>
      </w:r>
      <w:r>
        <w:rPr>
          <w:rFonts w:hint="eastAsia" w:ascii="仿宋" w:hAnsi="仿宋" w:eastAsia="仿宋" w:cs="仿宋"/>
          <w:b/>
          <w:color w:val="auto"/>
          <w:sz w:val="24"/>
          <w:highlight w:val="none"/>
        </w:rPr>
        <w:t>项目实施人员一览表格式</w:t>
      </w:r>
    </w:p>
    <w:p w14:paraId="4A354182">
      <w:pPr>
        <w:snapToGrid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项目实施人员一览表</w:t>
      </w:r>
    </w:p>
    <w:p w14:paraId="32D211A6">
      <w:pPr>
        <w:pStyle w:val="23"/>
        <w:spacing w:line="360" w:lineRule="auto"/>
        <w:rPr>
          <w:rFonts w:hint="eastAsia" w:ascii="仿宋" w:hAnsi="仿宋" w:eastAsia="仿宋" w:cs="仿宋"/>
          <w:color w:val="auto"/>
          <w:sz w:val="24"/>
          <w:szCs w:val="24"/>
          <w:highlight w:val="none"/>
        </w:rPr>
      </w:pP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685"/>
        <w:gridCol w:w="1134"/>
        <w:gridCol w:w="1276"/>
        <w:gridCol w:w="851"/>
      </w:tblGrid>
      <w:tr w14:paraId="704DE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732107E">
            <w:pPr>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姓名</w:t>
            </w:r>
          </w:p>
        </w:tc>
        <w:tc>
          <w:tcPr>
            <w:tcW w:w="709" w:type="dxa"/>
            <w:vAlign w:val="center"/>
          </w:tcPr>
          <w:p w14:paraId="6225556E">
            <w:pPr>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职务</w:t>
            </w:r>
          </w:p>
        </w:tc>
        <w:tc>
          <w:tcPr>
            <w:tcW w:w="3685" w:type="dxa"/>
            <w:vAlign w:val="center"/>
          </w:tcPr>
          <w:p w14:paraId="5D98D770">
            <w:pPr>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专业技术资格（职称）或者职业资格或者执业资格证或者其他证书</w:t>
            </w:r>
          </w:p>
        </w:tc>
        <w:tc>
          <w:tcPr>
            <w:tcW w:w="1134" w:type="dxa"/>
            <w:vAlign w:val="center"/>
          </w:tcPr>
          <w:p w14:paraId="1396B404">
            <w:pPr>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证书编号</w:t>
            </w:r>
          </w:p>
        </w:tc>
        <w:tc>
          <w:tcPr>
            <w:tcW w:w="1276" w:type="dxa"/>
            <w:vAlign w:val="center"/>
          </w:tcPr>
          <w:p w14:paraId="1C24DD73">
            <w:pPr>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参加本单位</w:t>
            </w:r>
          </w:p>
          <w:p w14:paraId="584FFCD5">
            <w:pPr>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工作时间</w:t>
            </w:r>
          </w:p>
        </w:tc>
        <w:tc>
          <w:tcPr>
            <w:tcW w:w="851" w:type="dxa"/>
            <w:vAlign w:val="center"/>
          </w:tcPr>
          <w:p w14:paraId="09E0AD1A">
            <w:pPr>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劳动合同编号</w:t>
            </w:r>
          </w:p>
        </w:tc>
      </w:tr>
      <w:tr w14:paraId="7E79F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ED8BE11">
            <w:pPr>
              <w:snapToGrid w:val="0"/>
              <w:jc w:val="center"/>
              <w:rPr>
                <w:rFonts w:hint="eastAsia" w:ascii="仿宋" w:hAnsi="仿宋" w:eastAsia="仿宋" w:cs="仿宋"/>
                <w:color w:val="auto"/>
                <w:sz w:val="24"/>
                <w:highlight w:val="none"/>
              </w:rPr>
            </w:pPr>
          </w:p>
        </w:tc>
        <w:tc>
          <w:tcPr>
            <w:tcW w:w="709" w:type="dxa"/>
            <w:vAlign w:val="center"/>
          </w:tcPr>
          <w:p w14:paraId="642D9110">
            <w:pPr>
              <w:snapToGrid w:val="0"/>
              <w:jc w:val="center"/>
              <w:rPr>
                <w:rFonts w:hint="eastAsia" w:ascii="仿宋" w:hAnsi="仿宋" w:eastAsia="仿宋" w:cs="仿宋"/>
                <w:color w:val="auto"/>
                <w:sz w:val="24"/>
                <w:highlight w:val="none"/>
              </w:rPr>
            </w:pPr>
          </w:p>
        </w:tc>
        <w:tc>
          <w:tcPr>
            <w:tcW w:w="3685" w:type="dxa"/>
            <w:vAlign w:val="center"/>
          </w:tcPr>
          <w:p w14:paraId="4A4C9CF5">
            <w:pPr>
              <w:snapToGrid w:val="0"/>
              <w:jc w:val="center"/>
              <w:rPr>
                <w:rFonts w:hint="eastAsia" w:ascii="仿宋" w:hAnsi="仿宋" w:eastAsia="仿宋" w:cs="仿宋"/>
                <w:color w:val="auto"/>
                <w:sz w:val="24"/>
                <w:highlight w:val="none"/>
              </w:rPr>
            </w:pPr>
          </w:p>
        </w:tc>
        <w:tc>
          <w:tcPr>
            <w:tcW w:w="1134" w:type="dxa"/>
            <w:vAlign w:val="center"/>
          </w:tcPr>
          <w:p w14:paraId="54C0ACA3">
            <w:pPr>
              <w:snapToGrid w:val="0"/>
              <w:jc w:val="center"/>
              <w:rPr>
                <w:rFonts w:hint="eastAsia" w:ascii="仿宋" w:hAnsi="仿宋" w:eastAsia="仿宋" w:cs="仿宋"/>
                <w:color w:val="auto"/>
                <w:sz w:val="24"/>
                <w:highlight w:val="none"/>
              </w:rPr>
            </w:pPr>
          </w:p>
        </w:tc>
        <w:tc>
          <w:tcPr>
            <w:tcW w:w="1276" w:type="dxa"/>
            <w:vAlign w:val="center"/>
          </w:tcPr>
          <w:p w14:paraId="3C8A51D7">
            <w:pPr>
              <w:snapToGrid w:val="0"/>
              <w:jc w:val="center"/>
              <w:rPr>
                <w:rFonts w:hint="eastAsia" w:ascii="仿宋" w:hAnsi="仿宋" w:eastAsia="仿宋" w:cs="仿宋"/>
                <w:color w:val="auto"/>
                <w:sz w:val="24"/>
                <w:highlight w:val="none"/>
              </w:rPr>
            </w:pPr>
          </w:p>
        </w:tc>
        <w:tc>
          <w:tcPr>
            <w:tcW w:w="851" w:type="dxa"/>
            <w:vAlign w:val="center"/>
          </w:tcPr>
          <w:p w14:paraId="6BED5D94">
            <w:pPr>
              <w:snapToGrid w:val="0"/>
              <w:jc w:val="center"/>
              <w:rPr>
                <w:rFonts w:hint="eastAsia" w:ascii="仿宋" w:hAnsi="仿宋" w:eastAsia="仿宋" w:cs="仿宋"/>
                <w:color w:val="auto"/>
                <w:sz w:val="24"/>
                <w:highlight w:val="none"/>
              </w:rPr>
            </w:pPr>
          </w:p>
        </w:tc>
      </w:tr>
      <w:tr w14:paraId="176EC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282F4F5">
            <w:pPr>
              <w:snapToGrid w:val="0"/>
              <w:jc w:val="center"/>
              <w:rPr>
                <w:rFonts w:hint="eastAsia" w:ascii="仿宋" w:hAnsi="仿宋" w:eastAsia="仿宋" w:cs="仿宋"/>
                <w:color w:val="auto"/>
                <w:sz w:val="24"/>
                <w:highlight w:val="none"/>
              </w:rPr>
            </w:pPr>
          </w:p>
        </w:tc>
        <w:tc>
          <w:tcPr>
            <w:tcW w:w="709" w:type="dxa"/>
            <w:vAlign w:val="center"/>
          </w:tcPr>
          <w:p w14:paraId="132D4D35">
            <w:pPr>
              <w:snapToGrid w:val="0"/>
              <w:jc w:val="center"/>
              <w:rPr>
                <w:rFonts w:hint="eastAsia" w:ascii="仿宋" w:hAnsi="仿宋" w:eastAsia="仿宋" w:cs="仿宋"/>
                <w:color w:val="auto"/>
                <w:sz w:val="24"/>
                <w:highlight w:val="none"/>
              </w:rPr>
            </w:pPr>
          </w:p>
        </w:tc>
        <w:tc>
          <w:tcPr>
            <w:tcW w:w="3685" w:type="dxa"/>
            <w:vAlign w:val="center"/>
          </w:tcPr>
          <w:p w14:paraId="0A6A036E">
            <w:pPr>
              <w:snapToGrid w:val="0"/>
              <w:jc w:val="center"/>
              <w:rPr>
                <w:rFonts w:hint="eastAsia" w:ascii="仿宋" w:hAnsi="仿宋" w:eastAsia="仿宋" w:cs="仿宋"/>
                <w:color w:val="auto"/>
                <w:sz w:val="24"/>
                <w:highlight w:val="none"/>
              </w:rPr>
            </w:pPr>
          </w:p>
        </w:tc>
        <w:tc>
          <w:tcPr>
            <w:tcW w:w="1134" w:type="dxa"/>
            <w:vAlign w:val="center"/>
          </w:tcPr>
          <w:p w14:paraId="13E286E7">
            <w:pPr>
              <w:snapToGrid w:val="0"/>
              <w:jc w:val="center"/>
              <w:rPr>
                <w:rFonts w:hint="eastAsia" w:ascii="仿宋" w:hAnsi="仿宋" w:eastAsia="仿宋" w:cs="仿宋"/>
                <w:color w:val="auto"/>
                <w:sz w:val="24"/>
                <w:highlight w:val="none"/>
              </w:rPr>
            </w:pPr>
          </w:p>
        </w:tc>
        <w:tc>
          <w:tcPr>
            <w:tcW w:w="1276" w:type="dxa"/>
            <w:vAlign w:val="center"/>
          </w:tcPr>
          <w:p w14:paraId="3AA89881">
            <w:pPr>
              <w:snapToGrid w:val="0"/>
              <w:jc w:val="center"/>
              <w:rPr>
                <w:rFonts w:hint="eastAsia" w:ascii="仿宋" w:hAnsi="仿宋" w:eastAsia="仿宋" w:cs="仿宋"/>
                <w:color w:val="auto"/>
                <w:sz w:val="24"/>
                <w:highlight w:val="none"/>
              </w:rPr>
            </w:pPr>
          </w:p>
        </w:tc>
        <w:tc>
          <w:tcPr>
            <w:tcW w:w="851" w:type="dxa"/>
            <w:vAlign w:val="center"/>
          </w:tcPr>
          <w:p w14:paraId="115A6F8A">
            <w:pPr>
              <w:snapToGrid w:val="0"/>
              <w:jc w:val="center"/>
              <w:rPr>
                <w:rFonts w:hint="eastAsia" w:ascii="仿宋" w:hAnsi="仿宋" w:eastAsia="仿宋" w:cs="仿宋"/>
                <w:color w:val="auto"/>
                <w:sz w:val="24"/>
                <w:highlight w:val="none"/>
              </w:rPr>
            </w:pPr>
          </w:p>
        </w:tc>
      </w:tr>
      <w:tr w14:paraId="4E0E9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F8405C8">
            <w:pPr>
              <w:snapToGrid w:val="0"/>
              <w:jc w:val="center"/>
              <w:rPr>
                <w:rFonts w:hint="eastAsia" w:ascii="仿宋" w:hAnsi="仿宋" w:eastAsia="仿宋" w:cs="仿宋"/>
                <w:color w:val="auto"/>
                <w:sz w:val="24"/>
                <w:highlight w:val="none"/>
              </w:rPr>
            </w:pPr>
          </w:p>
        </w:tc>
        <w:tc>
          <w:tcPr>
            <w:tcW w:w="709" w:type="dxa"/>
            <w:vAlign w:val="center"/>
          </w:tcPr>
          <w:p w14:paraId="0E64A4E0">
            <w:pPr>
              <w:snapToGrid w:val="0"/>
              <w:jc w:val="center"/>
              <w:rPr>
                <w:rFonts w:hint="eastAsia" w:ascii="仿宋" w:hAnsi="仿宋" w:eastAsia="仿宋" w:cs="仿宋"/>
                <w:color w:val="auto"/>
                <w:sz w:val="24"/>
                <w:highlight w:val="none"/>
              </w:rPr>
            </w:pPr>
          </w:p>
        </w:tc>
        <w:tc>
          <w:tcPr>
            <w:tcW w:w="3685" w:type="dxa"/>
            <w:vAlign w:val="center"/>
          </w:tcPr>
          <w:p w14:paraId="54EA5B16">
            <w:pPr>
              <w:snapToGrid w:val="0"/>
              <w:jc w:val="center"/>
              <w:rPr>
                <w:rFonts w:hint="eastAsia" w:ascii="仿宋" w:hAnsi="仿宋" w:eastAsia="仿宋" w:cs="仿宋"/>
                <w:color w:val="auto"/>
                <w:sz w:val="24"/>
                <w:highlight w:val="none"/>
              </w:rPr>
            </w:pPr>
          </w:p>
        </w:tc>
        <w:tc>
          <w:tcPr>
            <w:tcW w:w="1134" w:type="dxa"/>
            <w:vAlign w:val="center"/>
          </w:tcPr>
          <w:p w14:paraId="110DE926">
            <w:pPr>
              <w:snapToGrid w:val="0"/>
              <w:jc w:val="center"/>
              <w:rPr>
                <w:rFonts w:hint="eastAsia" w:ascii="仿宋" w:hAnsi="仿宋" w:eastAsia="仿宋" w:cs="仿宋"/>
                <w:color w:val="auto"/>
                <w:sz w:val="24"/>
                <w:highlight w:val="none"/>
              </w:rPr>
            </w:pPr>
          </w:p>
        </w:tc>
        <w:tc>
          <w:tcPr>
            <w:tcW w:w="1276" w:type="dxa"/>
            <w:vAlign w:val="center"/>
          </w:tcPr>
          <w:p w14:paraId="7202DB1C">
            <w:pPr>
              <w:snapToGrid w:val="0"/>
              <w:jc w:val="center"/>
              <w:rPr>
                <w:rFonts w:hint="eastAsia" w:ascii="仿宋" w:hAnsi="仿宋" w:eastAsia="仿宋" w:cs="仿宋"/>
                <w:color w:val="auto"/>
                <w:sz w:val="24"/>
                <w:highlight w:val="none"/>
              </w:rPr>
            </w:pPr>
          </w:p>
        </w:tc>
        <w:tc>
          <w:tcPr>
            <w:tcW w:w="851" w:type="dxa"/>
            <w:vAlign w:val="center"/>
          </w:tcPr>
          <w:p w14:paraId="21881AD4">
            <w:pPr>
              <w:snapToGrid w:val="0"/>
              <w:jc w:val="center"/>
              <w:rPr>
                <w:rFonts w:hint="eastAsia" w:ascii="仿宋" w:hAnsi="仿宋" w:eastAsia="仿宋" w:cs="仿宋"/>
                <w:color w:val="auto"/>
                <w:sz w:val="24"/>
                <w:highlight w:val="none"/>
              </w:rPr>
            </w:pPr>
          </w:p>
        </w:tc>
      </w:tr>
    </w:tbl>
    <w:p w14:paraId="7D5D502E">
      <w:p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注：在填写时，如本表格不适合投标单位的实际情况，可根据本表格式自行制表填写。</w:t>
      </w:r>
    </w:p>
    <w:p w14:paraId="0C82FADD">
      <w:pPr>
        <w:snapToGrid w:val="0"/>
        <w:spacing w:line="360" w:lineRule="auto"/>
        <w:jc w:val="left"/>
        <w:rPr>
          <w:rFonts w:hint="eastAsia" w:ascii="仿宋" w:hAnsi="仿宋" w:eastAsia="仿宋" w:cs="仿宋"/>
          <w:color w:val="auto"/>
          <w:sz w:val="24"/>
          <w:highlight w:val="none"/>
        </w:rPr>
      </w:pPr>
    </w:p>
    <w:p w14:paraId="60466A3C">
      <w:pPr>
        <w:snapToGrid w:val="0"/>
        <w:spacing w:line="360" w:lineRule="auto"/>
        <w:jc w:val="left"/>
        <w:rPr>
          <w:rFonts w:hint="eastAsia" w:ascii="仿宋" w:hAnsi="仿宋" w:eastAsia="仿宋" w:cs="仿宋"/>
          <w:color w:val="auto"/>
          <w:sz w:val="24"/>
          <w:highlight w:val="none"/>
        </w:rPr>
      </w:pPr>
    </w:p>
    <w:p w14:paraId="2645B810">
      <w:pPr>
        <w:snapToGrid w:val="0"/>
        <w:spacing w:line="360" w:lineRule="auto"/>
        <w:jc w:val="left"/>
        <w:rPr>
          <w:rFonts w:hint="eastAsia" w:ascii="仿宋" w:hAnsi="仿宋" w:eastAsia="仿宋" w:cs="仿宋"/>
          <w:color w:val="auto"/>
          <w:spacing w:val="20"/>
          <w:sz w:val="24"/>
          <w:highlight w:val="none"/>
          <w:u w:val="single"/>
        </w:rPr>
      </w:pPr>
      <w:r>
        <w:rPr>
          <w:rFonts w:hint="eastAsia" w:ascii="仿宋" w:hAnsi="仿宋" w:eastAsia="仿宋" w:cs="仿宋"/>
          <w:color w:val="auto"/>
          <w:sz w:val="24"/>
          <w:highlight w:val="none"/>
        </w:rPr>
        <w:t>法定代表人或者委托代理人</w:t>
      </w:r>
      <w:r>
        <w:rPr>
          <w:rFonts w:hint="eastAsia" w:ascii="仿宋" w:hAnsi="仿宋" w:eastAsia="仿宋" w:cs="仿宋"/>
          <w:color w:val="auto"/>
          <w:spacing w:val="20"/>
          <w:sz w:val="24"/>
          <w:highlight w:val="none"/>
        </w:rPr>
        <w:t>（签字或者电子签名）：</w:t>
      </w:r>
      <w:r>
        <w:rPr>
          <w:rFonts w:hint="eastAsia" w:ascii="仿宋" w:hAnsi="仿宋" w:eastAsia="仿宋" w:cs="仿宋"/>
          <w:color w:val="auto"/>
          <w:spacing w:val="20"/>
          <w:sz w:val="24"/>
          <w:highlight w:val="none"/>
          <w:u w:val="single"/>
        </w:rPr>
        <w:t xml:space="preserve">        </w:t>
      </w:r>
    </w:p>
    <w:p w14:paraId="4D4D891A">
      <w:pPr>
        <w:snapToGrid w:val="0"/>
        <w:spacing w:line="360" w:lineRule="auto"/>
        <w:jc w:val="left"/>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投标人（盖公章或电子签章）：</w:t>
      </w:r>
      <w:r>
        <w:rPr>
          <w:rFonts w:hint="eastAsia" w:ascii="仿宋" w:hAnsi="仿宋" w:eastAsia="仿宋" w:cs="仿宋"/>
          <w:color w:val="auto"/>
          <w:spacing w:val="20"/>
          <w:sz w:val="24"/>
          <w:highlight w:val="none"/>
          <w:u w:val="single"/>
        </w:rPr>
        <w:t xml:space="preserve">            </w:t>
      </w:r>
    </w:p>
    <w:p w14:paraId="2AAA54E6">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pacing w:val="20"/>
          <w:sz w:val="24"/>
          <w:highlight w:val="none"/>
        </w:rPr>
        <w:t>日  期：</w:t>
      </w:r>
      <w:r>
        <w:rPr>
          <w:rFonts w:hint="eastAsia" w:ascii="仿宋" w:hAnsi="仿宋" w:eastAsia="仿宋" w:cs="仿宋"/>
          <w:color w:val="auto"/>
          <w:spacing w:val="20"/>
          <w:sz w:val="24"/>
          <w:highlight w:val="none"/>
          <w:u w:val="single"/>
        </w:rPr>
        <w:t xml:space="preserve">          </w:t>
      </w:r>
    </w:p>
    <w:p w14:paraId="0D328E57">
      <w:pPr>
        <w:snapToGrid w:val="0"/>
        <w:spacing w:before="120" w:beforeLines="50" w:after="5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br w:type="page"/>
      </w:r>
      <w:r>
        <w:rPr>
          <w:rFonts w:hint="eastAsia" w:ascii="仿宋" w:hAnsi="仿宋" w:eastAsia="仿宋" w:cs="仿宋"/>
          <w:b/>
          <w:color w:val="auto"/>
          <w:sz w:val="24"/>
          <w:highlight w:val="none"/>
        </w:rPr>
        <w:t>选配件、专用耗材、售后服务优惠表格式</w:t>
      </w:r>
    </w:p>
    <w:p w14:paraId="4FDAED8B">
      <w:pPr>
        <w:snapToGrid w:val="0"/>
        <w:spacing w:before="240" w:beforeLines="100" w:after="48" w:afterLines="20" w:line="360" w:lineRule="auto"/>
        <w:ind w:left="142"/>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选配件、专用耗材、售后服务优惠表</w:t>
      </w:r>
    </w:p>
    <w:p w14:paraId="6BEED880">
      <w:pPr>
        <w:pStyle w:val="23"/>
        <w:rPr>
          <w:rFonts w:hint="eastAsia" w:ascii="仿宋" w:hAnsi="仿宋" w:eastAsia="仿宋" w:cs="仿宋"/>
          <w:color w:val="auto"/>
          <w:sz w:val="24"/>
          <w:szCs w:val="24"/>
          <w:highlight w:val="none"/>
        </w:rPr>
      </w:pPr>
    </w:p>
    <w:tbl>
      <w:tblPr>
        <w:tblStyle w:val="4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35"/>
        <w:gridCol w:w="2700"/>
        <w:gridCol w:w="1440"/>
        <w:gridCol w:w="1440"/>
        <w:gridCol w:w="2340"/>
      </w:tblGrid>
      <w:tr w14:paraId="4BFE32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1" w:hRule="atLeast"/>
        </w:trPr>
        <w:tc>
          <w:tcPr>
            <w:tcW w:w="7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994A0B7">
            <w:pPr>
              <w:pStyle w:val="23"/>
              <w:snapToGrid w:val="0"/>
              <w:spacing w:before="295" w:after="295"/>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序号</w:t>
            </w:r>
          </w:p>
        </w:tc>
        <w:tc>
          <w:tcPr>
            <w:tcW w:w="2700" w:type="dxa"/>
            <w:tcBorders>
              <w:top w:val="single" w:color="auto" w:sz="4" w:space="0"/>
              <w:left w:val="single" w:color="auto" w:sz="4" w:space="0"/>
              <w:bottom w:val="single" w:color="auto" w:sz="2" w:space="0"/>
              <w:right w:val="single" w:color="auto" w:sz="4" w:space="0"/>
            </w:tcBorders>
            <w:vAlign w:val="center"/>
          </w:tcPr>
          <w:p w14:paraId="14CDE46F">
            <w:pPr>
              <w:pStyle w:val="23"/>
              <w:snapToGrid w:val="0"/>
              <w:spacing w:before="295" w:after="295"/>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优惠内容</w:t>
            </w:r>
          </w:p>
        </w:tc>
        <w:tc>
          <w:tcPr>
            <w:tcW w:w="1440" w:type="dxa"/>
            <w:tcBorders>
              <w:top w:val="single" w:color="auto" w:sz="4" w:space="0"/>
              <w:left w:val="single" w:color="auto" w:sz="4" w:space="0"/>
              <w:bottom w:val="single" w:color="auto" w:sz="2" w:space="0"/>
              <w:right w:val="single" w:color="auto" w:sz="4" w:space="0"/>
            </w:tcBorders>
            <w:vAlign w:val="center"/>
          </w:tcPr>
          <w:p w14:paraId="1BA8A8BB">
            <w:pPr>
              <w:pStyle w:val="23"/>
              <w:snapToGrid w:val="0"/>
              <w:spacing w:before="295" w:after="295"/>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适用机型</w:t>
            </w:r>
          </w:p>
        </w:tc>
        <w:tc>
          <w:tcPr>
            <w:tcW w:w="1440" w:type="dxa"/>
            <w:tcBorders>
              <w:top w:val="single" w:color="auto" w:sz="4" w:space="0"/>
              <w:left w:val="single" w:color="auto" w:sz="4" w:space="0"/>
              <w:bottom w:val="single" w:color="auto" w:sz="2" w:space="0"/>
              <w:right w:val="single" w:color="auto" w:sz="4" w:space="0"/>
            </w:tcBorders>
            <w:tcMar>
              <w:top w:w="15" w:type="dxa"/>
              <w:left w:w="15" w:type="dxa"/>
              <w:bottom w:w="0" w:type="dxa"/>
              <w:right w:w="15" w:type="dxa"/>
            </w:tcMar>
            <w:vAlign w:val="center"/>
          </w:tcPr>
          <w:p w14:paraId="24DF2269">
            <w:pPr>
              <w:pStyle w:val="23"/>
              <w:snapToGrid w:val="0"/>
              <w:spacing w:before="295" w:after="295"/>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单价</w:t>
            </w:r>
          </w:p>
        </w:tc>
        <w:tc>
          <w:tcPr>
            <w:tcW w:w="2340" w:type="dxa"/>
            <w:tcBorders>
              <w:top w:val="single" w:color="auto" w:sz="4" w:space="0"/>
              <w:left w:val="single" w:color="auto" w:sz="4" w:space="0"/>
              <w:bottom w:val="single" w:color="auto" w:sz="2" w:space="0"/>
              <w:right w:val="single" w:color="auto" w:sz="4" w:space="0"/>
            </w:tcBorders>
            <w:vAlign w:val="center"/>
          </w:tcPr>
          <w:p w14:paraId="08FEA945">
            <w:pPr>
              <w:pStyle w:val="23"/>
              <w:snapToGrid w:val="0"/>
              <w:spacing w:before="295" w:after="295"/>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比市场价优惠率</w:t>
            </w:r>
          </w:p>
        </w:tc>
      </w:tr>
      <w:tr w14:paraId="7455B9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1DAAF3D9">
            <w:pPr>
              <w:pStyle w:val="23"/>
              <w:snapToGrid w:val="0"/>
              <w:spacing w:before="295" w:after="295"/>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w:t>
            </w:r>
          </w:p>
        </w:tc>
        <w:tc>
          <w:tcPr>
            <w:tcW w:w="2700" w:type="dxa"/>
            <w:tcBorders>
              <w:top w:val="single" w:color="auto" w:sz="2" w:space="0"/>
              <w:left w:val="single" w:color="auto" w:sz="2" w:space="0"/>
              <w:bottom w:val="single" w:color="auto" w:sz="6" w:space="0"/>
              <w:right w:val="single" w:color="auto" w:sz="4" w:space="0"/>
            </w:tcBorders>
            <w:vAlign w:val="center"/>
          </w:tcPr>
          <w:p w14:paraId="24E40933">
            <w:pPr>
              <w:pStyle w:val="23"/>
              <w:snapToGrid w:val="0"/>
              <w:spacing w:before="295" w:after="295"/>
              <w:jc w:val="center"/>
              <w:rPr>
                <w:rFonts w:hint="eastAsia" w:ascii="仿宋" w:hAnsi="仿宋" w:eastAsia="仿宋" w:cs="仿宋"/>
                <w:color w:val="auto"/>
                <w:kern w:val="2"/>
                <w:sz w:val="24"/>
                <w:szCs w:val="24"/>
                <w:highlight w:val="none"/>
              </w:rPr>
            </w:pPr>
          </w:p>
        </w:tc>
        <w:tc>
          <w:tcPr>
            <w:tcW w:w="1440" w:type="dxa"/>
            <w:tcBorders>
              <w:top w:val="single" w:color="auto" w:sz="2" w:space="0"/>
              <w:left w:val="single" w:color="auto" w:sz="4" w:space="0"/>
              <w:bottom w:val="single" w:color="auto" w:sz="6" w:space="0"/>
              <w:right w:val="single" w:color="auto" w:sz="6" w:space="0"/>
            </w:tcBorders>
            <w:vAlign w:val="center"/>
          </w:tcPr>
          <w:p w14:paraId="3565B81A">
            <w:pPr>
              <w:pStyle w:val="23"/>
              <w:snapToGrid w:val="0"/>
              <w:spacing w:before="295" w:after="295"/>
              <w:jc w:val="center"/>
              <w:rPr>
                <w:rFonts w:hint="eastAsia" w:ascii="仿宋" w:hAnsi="仿宋" w:eastAsia="仿宋" w:cs="仿宋"/>
                <w:color w:val="auto"/>
                <w:kern w:val="2"/>
                <w:sz w:val="24"/>
                <w:szCs w:val="24"/>
                <w:highlight w:val="none"/>
              </w:rPr>
            </w:pPr>
          </w:p>
        </w:tc>
        <w:tc>
          <w:tcPr>
            <w:tcW w:w="1440" w:type="dxa"/>
            <w:tcBorders>
              <w:top w:val="single" w:color="auto" w:sz="2" w:space="0"/>
              <w:left w:val="single" w:color="auto" w:sz="6" w:space="0"/>
              <w:bottom w:val="single" w:color="auto" w:sz="6" w:space="0"/>
              <w:right w:val="single" w:color="auto" w:sz="6" w:space="0"/>
            </w:tcBorders>
            <w:tcMar>
              <w:top w:w="15" w:type="dxa"/>
              <w:left w:w="15" w:type="dxa"/>
              <w:bottom w:w="0" w:type="dxa"/>
              <w:right w:w="15" w:type="dxa"/>
            </w:tcMar>
            <w:vAlign w:val="center"/>
          </w:tcPr>
          <w:p w14:paraId="16A6E098">
            <w:pPr>
              <w:pStyle w:val="23"/>
              <w:snapToGrid w:val="0"/>
              <w:spacing w:before="295" w:after="295"/>
              <w:jc w:val="center"/>
              <w:rPr>
                <w:rFonts w:hint="eastAsia" w:ascii="仿宋" w:hAnsi="仿宋" w:eastAsia="仿宋" w:cs="仿宋"/>
                <w:color w:val="auto"/>
                <w:kern w:val="2"/>
                <w:sz w:val="24"/>
                <w:szCs w:val="24"/>
                <w:highlight w:val="none"/>
              </w:rPr>
            </w:pPr>
          </w:p>
        </w:tc>
        <w:tc>
          <w:tcPr>
            <w:tcW w:w="2340" w:type="dxa"/>
            <w:tcBorders>
              <w:top w:val="single" w:color="auto" w:sz="2" w:space="0"/>
              <w:left w:val="single" w:color="auto" w:sz="6" w:space="0"/>
              <w:bottom w:val="single" w:color="auto" w:sz="6" w:space="0"/>
              <w:right w:val="single" w:color="auto" w:sz="2" w:space="0"/>
            </w:tcBorders>
            <w:vAlign w:val="center"/>
          </w:tcPr>
          <w:p w14:paraId="0291BD87">
            <w:pPr>
              <w:pStyle w:val="23"/>
              <w:snapToGrid w:val="0"/>
              <w:spacing w:before="295" w:after="295"/>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 xml:space="preserve"> </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rPr>
              <w:t>%</w:t>
            </w:r>
          </w:p>
        </w:tc>
      </w:tr>
      <w:tr w14:paraId="0F6F7A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37869383">
            <w:pPr>
              <w:pStyle w:val="23"/>
              <w:snapToGrid w:val="0"/>
              <w:spacing w:before="295" w:after="295"/>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2</w:t>
            </w:r>
          </w:p>
        </w:tc>
        <w:tc>
          <w:tcPr>
            <w:tcW w:w="2700" w:type="dxa"/>
            <w:tcBorders>
              <w:top w:val="single" w:color="auto" w:sz="6" w:space="0"/>
              <w:left w:val="single" w:color="auto" w:sz="2" w:space="0"/>
              <w:bottom w:val="single" w:color="auto" w:sz="6" w:space="0"/>
              <w:right w:val="single" w:color="auto" w:sz="4" w:space="0"/>
            </w:tcBorders>
            <w:vAlign w:val="center"/>
          </w:tcPr>
          <w:p w14:paraId="703188DD">
            <w:pPr>
              <w:pStyle w:val="23"/>
              <w:snapToGrid w:val="0"/>
              <w:spacing w:before="295" w:after="295"/>
              <w:jc w:val="center"/>
              <w:rPr>
                <w:rFonts w:hint="eastAsia" w:ascii="仿宋" w:hAnsi="仿宋" w:eastAsia="仿宋" w:cs="仿宋"/>
                <w:color w:val="auto"/>
                <w:kern w:val="2"/>
                <w:sz w:val="24"/>
                <w:szCs w:val="24"/>
                <w:highlight w:val="none"/>
              </w:rPr>
            </w:pPr>
          </w:p>
        </w:tc>
        <w:tc>
          <w:tcPr>
            <w:tcW w:w="1440" w:type="dxa"/>
            <w:tcBorders>
              <w:top w:val="single" w:color="auto" w:sz="6" w:space="0"/>
              <w:left w:val="single" w:color="auto" w:sz="4" w:space="0"/>
              <w:bottom w:val="single" w:color="auto" w:sz="6" w:space="0"/>
              <w:right w:val="single" w:color="auto" w:sz="6" w:space="0"/>
            </w:tcBorders>
            <w:vAlign w:val="center"/>
          </w:tcPr>
          <w:p w14:paraId="13D145B5">
            <w:pPr>
              <w:pStyle w:val="23"/>
              <w:snapToGrid w:val="0"/>
              <w:spacing w:before="295" w:after="295"/>
              <w:jc w:val="center"/>
              <w:rPr>
                <w:rFonts w:hint="eastAsia" w:ascii="仿宋" w:hAnsi="仿宋" w:eastAsia="仿宋" w:cs="仿宋"/>
                <w:color w:val="auto"/>
                <w:kern w:val="2"/>
                <w:sz w:val="24"/>
                <w:szCs w:val="24"/>
                <w:highlight w:val="none"/>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2B810384">
            <w:pPr>
              <w:pStyle w:val="23"/>
              <w:snapToGrid w:val="0"/>
              <w:spacing w:before="295" w:after="295"/>
              <w:jc w:val="center"/>
              <w:rPr>
                <w:rFonts w:hint="eastAsia" w:ascii="仿宋" w:hAnsi="仿宋" w:eastAsia="仿宋" w:cs="仿宋"/>
                <w:color w:val="auto"/>
                <w:kern w:val="2"/>
                <w:sz w:val="24"/>
                <w:szCs w:val="24"/>
                <w:highlight w:val="none"/>
              </w:rPr>
            </w:pPr>
          </w:p>
        </w:tc>
        <w:tc>
          <w:tcPr>
            <w:tcW w:w="2340" w:type="dxa"/>
            <w:tcBorders>
              <w:top w:val="single" w:color="auto" w:sz="6" w:space="0"/>
              <w:left w:val="single" w:color="auto" w:sz="6" w:space="0"/>
              <w:bottom w:val="single" w:color="auto" w:sz="6" w:space="0"/>
              <w:right w:val="single" w:color="auto" w:sz="2" w:space="0"/>
            </w:tcBorders>
            <w:vAlign w:val="center"/>
          </w:tcPr>
          <w:p w14:paraId="6B0C5212">
            <w:pPr>
              <w:pStyle w:val="23"/>
              <w:snapToGrid w:val="0"/>
              <w:spacing w:before="295" w:after="295"/>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 xml:space="preserve"> </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rPr>
              <w:t>%</w:t>
            </w:r>
          </w:p>
        </w:tc>
      </w:tr>
      <w:tr w14:paraId="1CE6A7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2405CD98">
            <w:pPr>
              <w:pStyle w:val="23"/>
              <w:snapToGrid w:val="0"/>
              <w:spacing w:before="295" w:after="295"/>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3</w:t>
            </w:r>
          </w:p>
        </w:tc>
        <w:tc>
          <w:tcPr>
            <w:tcW w:w="2700" w:type="dxa"/>
            <w:tcBorders>
              <w:top w:val="single" w:color="auto" w:sz="6" w:space="0"/>
              <w:left w:val="single" w:color="auto" w:sz="2" w:space="0"/>
              <w:bottom w:val="single" w:color="auto" w:sz="6" w:space="0"/>
              <w:right w:val="single" w:color="auto" w:sz="4" w:space="0"/>
            </w:tcBorders>
            <w:vAlign w:val="center"/>
          </w:tcPr>
          <w:p w14:paraId="18C7FBE7">
            <w:pPr>
              <w:pStyle w:val="23"/>
              <w:snapToGrid w:val="0"/>
              <w:spacing w:before="295" w:after="295"/>
              <w:jc w:val="center"/>
              <w:rPr>
                <w:rFonts w:hint="eastAsia" w:ascii="仿宋" w:hAnsi="仿宋" w:eastAsia="仿宋" w:cs="仿宋"/>
                <w:color w:val="auto"/>
                <w:kern w:val="2"/>
                <w:sz w:val="24"/>
                <w:szCs w:val="24"/>
                <w:highlight w:val="none"/>
              </w:rPr>
            </w:pPr>
          </w:p>
        </w:tc>
        <w:tc>
          <w:tcPr>
            <w:tcW w:w="1440" w:type="dxa"/>
            <w:tcBorders>
              <w:top w:val="single" w:color="auto" w:sz="6" w:space="0"/>
              <w:left w:val="single" w:color="auto" w:sz="4" w:space="0"/>
              <w:bottom w:val="single" w:color="auto" w:sz="6" w:space="0"/>
              <w:right w:val="single" w:color="auto" w:sz="6" w:space="0"/>
            </w:tcBorders>
            <w:vAlign w:val="center"/>
          </w:tcPr>
          <w:p w14:paraId="593589AD">
            <w:pPr>
              <w:pStyle w:val="23"/>
              <w:snapToGrid w:val="0"/>
              <w:spacing w:before="295" w:after="295"/>
              <w:jc w:val="center"/>
              <w:rPr>
                <w:rFonts w:hint="eastAsia" w:ascii="仿宋" w:hAnsi="仿宋" w:eastAsia="仿宋" w:cs="仿宋"/>
                <w:color w:val="auto"/>
                <w:kern w:val="2"/>
                <w:sz w:val="24"/>
                <w:szCs w:val="24"/>
                <w:highlight w:val="none"/>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3215AC39">
            <w:pPr>
              <w:pStyle w:val="23"/>
              <w:snapToGrid w:val="0"/>
              <w:spacing w:before="295" w:after="295"/>
              <w:jc w:val="center"/>
              <w:rPr>
                <w:rFonts w:hint="eastAsia" w:ascii="仿宋" w:hAnsi="仿宋" w:eastAsia="仿宋" w:cs="仿宋"/>
                <w:color w:val="auto"/>
                <w:kern w:val="2"/>
                <w:sz w:val="24"/>
                <w:szCs w:val="24"/>
                <w:highlight w:val="none"/>
              </w:rPr>
            </w:pPr>
          </w:p>
        </w:tc>
        <w:tc>
          <w:tcPr>
            <w:tcW w:w="2340" w:type="dxa"/>
            <w:tcBorders>
              <w:top w:val="single" w:color="auto" w:sz="6" w:space="0"/>
              <w:left w:val="single" w:color="auto" w:sz="6" w:space="0"/>
              <w:bottom w:val="single" w:color="auto" w:sz="6" w:space="0"/>
              <w:right w:val="single" w:color="auto" w:sz="2" w:space="0"/>
            </w:tcBorders>
            <w:vAlign w:val="center"/>
          </w:tcPr>
          <w:p w14:paraId="2CB4B28D">
            <w:pPr>
              <w:pStyle w:val="23"/>
              <w:snapToGrid w:val="0"/>
              <w:spacing w:before="295" w:after="295"/>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 xml:space="preserve"> </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rPr>
              <w:t>%</w:t>
            </w:r>
          </w:p>
        </w:tc>
      </w:tr>
    </w:tbl>
    <w:p w14:paraId="480BE03E">
      <w:pPr>
        <w:snapToGrid w:val="0"/>
        <w:spacing w:before="50" w:after="50"/>
        <w:rPr>
          <w:rFonts w:hint="eastAsia" w:ascii="仿宋" w:hAnsi="仿宋" w:eastAsia="仿宋" w:cs="仿宋"/>
          <w:color w:val="auto"/>
          <w:sz w:val="24"/>
          <w:highlight w:val="none"/>
        </w:rPr>
      </w:pPr>
    </w:p>
    <w:p w14:paraId="6AEEA450">
      <w:pPr>
        <w:snapToGrid w:val="0"/>
        <w:spacing w:before="50" w:after="50"/>
        <w:rPr>
          <w:rFonts w:hint="eastAsia" w:ascii="仿宋" w:hAnsi="仿宋" w:eastAsia="仿宋" w:cs="仿宋"/>
          <w:color w:val="auto"/>
          <w:sz w:val="24"/>
          <w:highlight w:val="none"/>
        </w:rPr>
      </w:pPr>
    </w:p>
    <w:p w14:paraId="730EAAB4">
      <w:pPr>
        <w:snapToGrid w:val="0"/>
        <w:spacing w:line="360" w:lineRule="auto"/>
        <w:jc w:val="left"/>
        <w:rPr>
          <w:rFonts w:hint="eastAsia" w:ascii="仿宋" w:hAnsi="仿宋" w:eastAsia="仿宋" w:cs="仿宋"/>
          <w:color w:val="auto"/>
          <w:spacing w:val="20"/>
          <w:sz w:val="24"/>
          <w:highlight w:val="none"/>
          <w:u w:val="single"/>
        </w:rPr>
      </w:pPr>
      <w:r>
        <w:rPr>
          <w:rFonts w:hint="eastAsia" w:ascii="仿宋" w:hAnsi="仿宋" w:eastAsia="仿宋" w:cs="仿宋"/>
          <w:color w:val="auto"/>
          <w:sz w:val="24"/>
          <w:highlight w:val="none"/>
        </w:rPr>
        <w:t>法定代表人或者委托代理人</w:t>
      </w:r>
      <w:r>
        <w:rPr>
          <w:rFonts w:hint="eastAsia" w:ascii="仿宋" w:hAnsi="仿宋" w:eastAsia="仿宋" w:cs="仿宋"/>
          <w:color w:val="auto"/>
          <w:spacing w:val="20"/>
          <w:sz w:val="24"/>
          <w:highlight w:val="none"/>
        </w:rPr>
        <w:t>（签字或者电子签名）：</w:t>
      </w:r>
      <w:r>
        <w:rPr>
          <w:rFonts w:hint="eastAsia" w:ascii="仿宋" w:hAnsi="仿宋" w:eastAsia="仿宋" w:cs="仿宋"/>
          <w:color w:val="auto"/>
          <w:spacing w:val="20"/>
          <w:sz w:val="24"/>
          <w:highlight w:val="none"/>
          <w:u w:val="single"/>
        </w:rPr>
        <w:t xml:space="preserve">        </w:t>
      </w:r>
    </w:p>
    <w:p w14:paraId="210382FC">
      <w:pPr>
        <w:snapToGrid w:val="0"/>
        <w:spacing w:line="360" w:lineRule="auto"/>
        <w:jc w:val="left"/>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投标人（盖公章或电子签章）：</w:t>
      </w:r>
      <w:r>
        <w:rPr>
          <w:rFonts w:hint="eastAsia" w:ascii="仿宋" w:hAnsi="仿宋" w:eastAsia="仿宋" w:cs="仿宋"/>
          <w:color w:val="auto"/>
          <w:spacing w:val="20"/>
          <w:sz w:val="24"/>
          <w:highlight w:val="none"/>
          <w:u w:val="single"/>
        </w:rPr>
        <w:t xml:space="preserve">            </w:t>
      </w:r>
    </w:p>
    <w:p w14:paraId="77541792">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pacing w:val="20"/>
          <w:sz w:val="24"/>
          <w:highlight w:val="none"/>
        </w:rPr>
        <w:t>日  期：</w:t>
      </w:r>
      <w:r>
        <w:rPr>
          <w:rFonts w:hint="eastAsia" w:ascii="仿宋" w:hAnsi="仿宋" w:eastAsia="仿宋" w:cs="仿宋"/>
          <w:color w:val="auto"/>
          <w:spacing w:val="20"/>
          <w:sz w:val="24"/>
          <w:highlight w:val="none"/>
          <w:u w:val="single"/>
        </w:rPr>
        <w:t xml:space="preserve">          </w:t>
      </w:r>
    </w:p>
    <w:p w14:paraId="43A217F5">
      <w:pPr>
        <w:snapToGrid w:val="0"/>
        <w:spacing w:before="120" w:beforeLines="50" w:after="50"/>
        <w:rPr>
          <w:rFonts w:hint="eastAsia" w:ascii="仿宋" w:hAnsi="仿宋" w:eastAsia="仿宋" w:cs="仿宋"/>
          <w:color w:val="auto"/>
          <w:highlight w:val="none"/>
        </w:rPr>
      </w:pPr>
      <w:r>
        <w:rPr>
          <w:rFonts w:hint="eastAsia" w:ascii="仿宋" w:hAnsi="仿宋" w:eastAsia="仿宋" w:cs="仿宋"/>
          <w:b/>
          <w:bCs/>
          <w:color w:val="auto"/>
          <w:sz w:val="24"/>
          <w:highlight w:val="none"/>
        </w:rPr>
        <w:br w:type="page"/>
      </w:r>
      <w:r>
        <w:rPr>
          <w:rFonts w:hint="eastAsia" w:ascii="仿宋" w:hAnsi="仿宋" w:eastAsia="仿宋" w:cs="仿宋"/>
          <w:b/>
          <w:color w:val="auto"/>
          <w:sz w:val="24"/>
          <w:highlight w:val="none"/>
        </w:rPr>
        <w:t>中小企业声明函格式</w:t>
      </w:r>
    </w:p>
    <w:p w14:paraId="2B977FCD">
      <w:pPr>
        <w:snapToGrid w:val="0"/>
        <w:spacing w:before="120" w:beforeLines="50" w:after="240" w:afterLines="100"/>
        <w:jc w:val="center"/>
        <w:rPr>
          <w:rFonts w:hint="eastAsia" w:ascii="仿宋" w:hAnsi="仿宋" w:eastAsia="仿宋" w:cs="仿宋"/>
          <w:color w:val="auto"/>
          <w:sz w:val="32"/>
          <w:szCs w:val="32"/>
          <w:highlight w:val="none"/>
        </w:rPr>
      </w:pPr>
      <w:r>
        <w:rPr>
          <w:rFonts w:hint="eastAsia" w:ascii="仿宋" w:hAnsi="仿宋" w:eastAsia="仿宋" w:cs="仿宋"/>
          <w:b/>
          <w:color w:val="auto"/>
          <w:sz w:val="32"/>
          <w:szCs w:val="32"/>
          <w:highlight w:val="none"/>
        </w:rPr>
        <w:t>中小企业声明函</w:t>
      </w:r>
    </w:p>
    <w:p w14:paraId="5AD2314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本公司(联合体)郑重声明，根据《政府采购促进中小企业发展管理办法》(财库( 2020 )46号)的规定，本公司(联合体)参加</w:t>
      </w:r>
      <w:r>
        <w:rPr>
          <w:rFonts w:hint="eastAsia" w:ascii="仿宋" w:hAnsi="仿宋" w:eastAsia="仿宋" w:cs="仿宋"/>
          <w:color w:val="auto"/>
          <w:sz w:val="24"/>
          <w:highlight w:val="none"/>
          <w:u w:val="single"/>
        </w:rPr>
        <w:t>(单位名称)</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u w:val="single"/>
        </w:rPr>
        <w:t>(项目名称)</w:t>
      </w:r>
      <w:r>
        <w:rPr>
          <w:rFonts w:hint="eastAsia" w:ascii="仿宋" w:hAnsi="仿宋" w:eastAsia="仿宋" w:cs="仿宋"/>
          <w:color w:val="auto"/>
          <w:sz w:val="24"/>
          <w:highlight w:val="none"/>
        </w:rPr>
        <w:t>采购活动，提供的货物全部由符合政策要求的中小企业制造。相关企业(含联合体中的中小企业、签订分包意向协议的中小企业)的具体情况如下：</w:t>
      </w:r>
    </w:p>
    <w:p w14:paraId="680E313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u w:val="single"/>
        </w:rPr>
        <w:t>(标的名称)</w:t>
      </w:r>
      <w:r>
        <w:rPr>
          <w:rFonts w:hint="eastAsia" w:ascii="仿宋" w:hAnsi="仿宋" w:eastAsia="仿宋" w:cs="仿宋"/>
          <w:color w:val="auto"/>
          <w:sz w:val="24"/>
          <w:highlight w:val="none"/>
        </w:rPr>
        <w:t>，属于</w:t>
      </w:r>
      <w:r>
        <w:rPr>
          <w:rFonts w:hint="eastAsia" w:ascii="仿宋" w:hAnsi="仿宋" w:eastAsia="仿宋" w:cs="仿宋"/>
          <w:color w:val="auto"/>
          <w:sz w:val="24"/>
          <w:highlight w:val="none"/>
          <w:u w:val="single"/>
        </w:rPr>
        <w:t>(采购文件中明确的所属行业)行业</w:t>
      </w:r>
      <w:r>
        <w:rPr>
          <w:rFonts w:hint="eastAsia" w:ascii="仿宋" w:hAnsi="仿宋" w:eastAsia="仿宋" w:cs="仿宋"/>
          <w:color w:val="auto"/>
          <w:sz w:val="24"/>
          <w:highlight w:val="none"/>
        </w:rPr>
        <w:t>；制造商为</w:t>
      </w:r>
      <w:r>
        <w:rPr>
          <w:rFonts w:hint="eastAsia" w:ascii="仿宋" w:hAnsi="仿宋" w:eastAsia="仿宋" w:cs="仿宋"/>
          <w:color w:val="auto"/>
          <w:sz w:val="24"/>
          <w:highlight w:val="none"/>
          <w:u w:val="single"/>
        </w:rPr>
        <w:t>(企业名称)</w:t>
      </w:r>
      <w:r>
        <w:rPr>
          <w:rFonts w:hint="eastAsia" w:ascii="仿宋" w:hAnsi="仿宋" w:eastAsia="仿宋" w:cs="仿宋"/>
          <w:color w:val="auto"/>
          <w:sz w:val="24"/>
          <w:highlight w:val="none"/>
        </w:rPr>
        <w:t>，从业人员____人， 营业收入为___万元，资产总额为___万元，属于</w:t>
      </w:r>
      <w:r>
        <w:rPr>
          <w:rFonts w:hint="eastAsia" w:ascii="仿宋" w:hAnsi="仿宋" w:eastAsia="仿宋" w:cs="仿宋"/>
          <w:color w:val="auto"/>
          <w:sz w:val="24"/>
          <w:highlight w:val="none"/>
          <w:u w:val="single"/>
        </w:rPr>
        <w:t>(中型企业、小型企业、微型企业</w:t>
      </w:r>
      <w:r>
        <w:rPr>
          <w:rFonts w:hint="eastAsia" w:ascii="仿宋" w:hAnsi="仿宋" w:eastAsia="仿宋" w:cs="仿宋"/>
          <w:color w:val="auto"/>
          <w:sz w:val="24"/>
          <w:highlight w:val="none"/>
        </w:rPr>
        <w:t>)；</w:t>
      </w:r>
    </w:p>
    <w:p w14:paraId="0C42219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u w:val="single"/>
        </w:rPr>
        <w:t>(标的名称)</w:t>
      </w:r>
      <w:r>
        <w:rPr>
          <w:rFonts w:hint="eastAsia" w:ascii="仿宋" w:hAnsi="仿宋" w:eastAsia="仿宋" w:cs="仿宋"/>
          <w:color w:val="auto"/>
          <w:sz w:val="24"/>
          <w:highlight w:val="none"/>
        </w:rPr>
        <w:t xml:space="preserve"> ,属于</w:t>
      </w:r>
      <w:r>
        <w:rPr>
          <w:rFonts w:hint="eastAsia" w:ascii="仿宋" w:hAnsi="仿宋" w:eastAsia="仿宋" w:cs="仿宋"/>
          <w:color w:val="auto"/>
          <w:sz w:val="24"/>
          <w:highlight w:val="none"/>
          <w:u w:val="single"/>
        </w:rPr>
        <w:t>(采购文件中明确的所属行业)行</w:t>
      </w:r>
      <w:r>
        <w:rPr>
          <w:rFonts w:hint="eastAsia" w:ascii="仿宋" w:hAnsi="仿宋" w:eastAsia="仿宋" w:cs="仿宋"/>
          <w:color w:val="auto"/>
          <w:sz w:val="24"/>
          <w:highlight w:val="none"/>
        </w:rPr>
        <w:t>业；制造商为</w:t>
      </w:r>
      <w:r>
        <w:rPr>
          <w:rFonts w:hint="eastAsia" w:ascii="仿宋" w:hAnsi="仿宋" w:eastAsia="仿宋" w:cs="仿宋"/>
          <w:color w:val="auto"/>
          <w:sz w:val="24"/>
          <w:highlight w:val="none"/>
          <w:u w:val="single"/>
        </w:rPr>
        <w:t>(企业名称)</w:t>
      </w:r>
      <w:r>
        <w:rPr>
          <w:rFonts w:hint="eastAsia" w:ascii="仿宋" w:hAnsi="仿宋" w:eastAsia="仿宋" w:cs="仿宋"/>
          <w:color w:val="auto"/>
          <w:sz w:val="24"/>
          <w:highlight w:val="none"/>
        </w:rPr>
        <w:t>，从业人员___人， 营业收入为___ 万元，资产总额为___万元，属于(中型企业、小型企业、微型企业)；</w:t>
      </w:r>
    </w:p>
    <w:p w14:paraId="6D316D42">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p w14:paraId="4F42838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以上企业，不属于大企业的分支机构，不存在控股股东为大企业的情形，也不存在与大企业的负责人为同一人的情形。</w:t>
      </w:r>
    </w:p>
    <w:p w14:paraId="2FD9366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本企业对.上述声明内容的真实性负责。如有虚假，将依法承担相应责任。</w:t>
      </w:r>
    </w:p>
    <w:p w14:paraId="136AA493">
      <w:pPr>
        <w:spacing w:line="360" w:lineRule="auto"/>
        <w:rPr>
          <w:rFonts w:hint="eastAsia" w:ascii="仿宋" w:hAnsi="仿宋" w:eastAsia="仿宋" w:cs="仿宋"/>
          <w:color w:val="auto"/>
          <w:sz w:val="24"/>
          <w:highlight w:val="none"/>
        </w:rPr>
      </w:pPr>
    </w:p>
    <w:p w14:paraId="0A2D3F0E">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企业名称（盖公章或电子签章）：</w:t>
      </w:r>
    </w:p>
    <w:p w14:paraId="0C4008A9">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日  期：</w:t>
      </w:r>
    </w:p>
    <w:p w14:paraId="747A77BB">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p>
    <w:p w14:paraId="30B27718">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（1）请根据自己的真实情况出具《中小企业声明函》。依法享受中小企业优惠政策的，采购人或者采购代理机构在公告成交结果时，同时公告其《中小企业声明函》，接受社会监督。</w:t>
      </w:r>
    </w:p>
    <w:p w14:paraId="50951139">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（2）从业人员、营业收入、资产总额填报上一年度数据，无上一年度数据的新成立企业可不填报</w:t>
      </w:r>
    </w:p>
    <w:p w14:paraId="12131F50">
      <w:pPr>
        <w:snapToGrid w:val="0"/>
        <w:spacing w:before="120" w:beforeLines="50" w:after="240" w:afterLines="100"/>
        <w:jc w:val="center"/>
        <w:rPr>
          <w:rFonts w:hint="eastAsia" w:ascii="仿宋" w:hAnsi="仿宋" w:eastAsia="仿宋" w:cs="仿宋"/>
          <w:b/>
          <w:color w:val="auto"/>
          <w:sz w:val="32"/>
          <w:szCs w:val="32"/>
          <w:highlight w:val="none"/>
        </w:rPr>
      </w:pPr>
      <w:r>
        <w:rPr>
          <w:rFonts w:hint="eastAsia" w:ascii="仿宋" w:hAnsi="仿宋" w:eastAsia="仿宋" w:cs="仿宋"/>
          <w:b/>
          <w:color w:val="auto"/>
          <w:sz w:val="24"/>
          <w:highlight w:val="none"/>
        </w:rPr>
        <w:br w:type="page"/>
      </w:r>
      <w:r>
        <w:rPr>
          <w:rFonts w:hint="eastAsia" w:ascii="仿宋" w:hAnsi="仿宋" w:eastAsia="仿宋" w:cs="仿宋"/>
          <w:b/>
          <w:color w:val="auto"/>
          <w:sz w:val="32"/>
          <w:szCs w:val="32"/>
          <w:highlight w:val="none"/>
        </w:rPr>
        <w:t>监狱企业声明函</w:t>
      </w:r>
    </w:p>
    <w:p w14:paraId="483BE0BF">
      <w:pPr>
        <w:autoSpaceDE w:val="0"/>
        <w:autoSpaceDN w:val="0"/>
        <w:adjustRightInd w:val="0"/>
        <w:snapToGrid w:val="0"/>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本公司郑重声明，根据《关于政府采购支持监狱企业发展有关问题的通知》（财库[2014]68号）的规定，本公司为监狱企业。即，本公司同时满足以下条件：</w:t>
      </w:r>
    </w:p>
    <w:p w14:paraId="432890E4">
      <w:pPr>
        <w:autoSpaceDE w:val="0"/>
        <w:autoSpaceDN w:val="0"/>
        <w:adjustRightInd w:val="0"/>
        <w:snapToGrid w:val="0"/>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根据《关于政府采购支持监狱企业发展有关问题的通知》（财库[2014]68号）规定的标准，本公司是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0D5F02D">
      <w:pPr>
        <w:autoSpaceDE w:val="0"/>
        <w:autoSpaceDN w:val="0"/>
        <w:adjustRightInd w:val="0"/>
        <w:snapToGrid w:val="0"/>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2.本公司参加</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项目（项目编号：</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）采购活动时提供的是本企业的产品（包括由本企业承担的工程和提供的服务），或者提供的是其他监狱企业制造的产品。</w:t>
      </w:r>
    </w:p>
    <w:p w14:paraId="25B98DB5">
      <w:pPr>
        <w:autoSpaceDE w:val="0"/>
        <w:autoSpaceDN w:val="0"/>
        <w:adjustRightInd w:val="0"/>
        <w:snapToGrid w:val="0"/>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本公司对上述声明的真实性负责。如有虚假，将依法承担相应责任。</w:t>
      </w:r>
    </w:p>
    <w:p w14:paraId="677CDBF6">
      <w:pPr>
        <w:autoSpaceDE w:val="0"/>
        <w:autoSpaceDN w:val="0"/>
        <w:adjustRightInd w:val="0"/>
        <w:snapToGrid w:val="0"/>
        <w:spacing w:line="360" w:lineRule="auto"/>
        <w:ind w:firstLine="482" w:firstLineChars="200"/>
        <w:jc w:val="left"/>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附件：省级以上监狱管理局、戒毒管理局(含新疆生产建设兵团)出具的属于监狱企业的证明文件</w:t>
      </w:r>
    </w:p>
    <w:p w14:paraId="48565394">
      <w:pPr>
        <w:rPr>
          <w:rFonts w:hint="eastAsia" w:ascii="仿宋" w:hAnsi="仿宋" w:eastAsia="仿宋" w:cs="仿宋"/>
          <w:b/>
          <w:color w:val="auto"/>
          <w:spacing w:val="-8"/>
          <w:sz w:val="24"/>
          <w:highlight w:val="none"/>
        </w:rPr>
      </w:pPr>
    </w:p>
    <w:p w14:paraId="47743CBE">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企业名称（盖公章或电子签章）：</w:t>
      </w:r>
    </w:p>
    <w:p w14:paraId="255F2EAD">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日  期：</w:t>
      </w:r>
    </w:p>
    <w:p w14:paraId="43963BC4">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注：请根据自己的真实情况出具《监狱企业声明函》。依法享受中小企业优惠政策的，采购人或者采购代理机构在公告成交结果时，同时公告其《监狱企业声明函》，接受社会监督。</w:t>
      </w:r>
    </w:p>
    <w:p w14:paraId="543AF9C2">
      <w:pPr>
        <w:snapToGrid w:val="0"/>
        <w:spacing w:before="120" w:beforeLines="50" w:after="240" w:afterLines="100"/>
        <w:jc w:val="center"/>
        <w:rPr>
          <w:rFonts w:hint="eastAsia" w:ascii="仿宋" w:hAnsi="仿宋" w:eastAsia="仿宋" w:cs="仿宋"/>
          <w:color w:val="auto"/>
          <w:sz w:val="32"/>
          <w:szCs w:val="32"/>
          <w:highlight w:val="none"/>
        </w:rPr>
      </w:pPr>
      <w:r>
        <w:rPr>
          <w:rFonts w:hint="eastAsia" w:ascii="仿宋" w:hAnsi="仿宋" w:eastAsia="仿宋" w:cs="仿宋"/>
          <w:color w:val="auto"/>
          <w:sz w:val="24"/>
          <w:highlight w:val="none"/>
        </w:rPr>
        <w:br w:type="page"/>
      </w:r>
      <w:r>
        <w:rPr>
          <w:rFonts w:hint="eastAsia" w:ascii="仿宋" w:hAnsi="仿宋" w:eastAsia="仿宋" w:cs="仿宋"/>
          <w:b/>
          <w:color w:val="auto"/>
          <w:sz w:val="32"/>
          <w:szCs w:val="32"/>
          <w:highlight w:val="none"/>
        </w:rPr>
        <w:t>残疾人福利性单位声明函</w:t>
      </w:r>
    </w:p>
    <w:p w14:paraId="6B640AB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单位的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73B8E6D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本单位对上述声明的真实性负责。如有虚假，将依法承担相应责任。</w:t>
      </w:r>
    </w:p>
    <w:p w14:paraId="0CB4B3E5">
      <w:pPr>
        <w:spacing w:line="360" w:lineRule="auto"/>
        <w:rPr>
          <w:rFonts w:hint="eastAsia" w:ascii="仿宋" w:hAnsi="仿宋" w:eastAsia="仿宋" w:cs="仿宋"/>
          <w:color w:val="auto"/>
          <w:sz w:val="24"/>
          <w:highlight w:val="none"/>
        </w:rPr>
      </w:pPr>
    </w:p>
    <w:p w14:paraId="0CFAA878">
      <w:pPr>
        <w:spacing w:line="360" w:lineRule="auto"/>
        <w:ind w:firstLine="2400" w:firstLineChars="1000"/>
        <w:rPr>
          <w:rFonts w:hint="eastAsia" w:ascii="仿宋" w:hAnsi="仿宋" w:eastAsia="仿宋" w:cs="仿宋"/>
          <w:color w:val="auto"/>
          <w:sz w:val="24"/>
          <w:highlight w:val="none"/>
        </w:rPr>
      </w:pPr>
      <w:r>
        <w:rPr>
          <w:rFonts w:hint="eastAsia" w:ascii="仿宋" w:hAnsi="仿宋" w:eastAsia="仿宋" w:cs="仿宋"/>
          <w:color w:val="auto"/>
          <w:sz w:val="24"/>
          <w:highlight w:val="none"/>
        </w:rPr>
        <w:t>单位名称（盖公章或电子签章）：</w:t>
      </w:r>
    </w:p>
    <w:p w14:paraId="361594A5">
      <w:pPr>
        <w:spacing w:line="360" w:lineRule="auto"/>
        <w:ind w:firstLine="3600" w:firstLineChars="1500"/>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w:t>
      </w:r>
    </w:p>
    <w:p w14:paraId="5F2E6C6D">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注：请根据自己的真实情况出具《残疾人福利性单位声明函》。依法享受中小企业优惠政策的，采购人或者采购代理机构在公告成交结果时，同时公告其《残疾人福利性单位声明函》，接受社会监督。</w:t>
      </w:r>
    </w:p>
    <w:p w14:paraId="133C2F09">
      <w:pPr>
        <w:pStyle w:val="3"/>
        <w:keepNext w:val="0"/>
        <w:keepLines w:val="0"/>
        <w:jc w:val="center"/>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br w:type="page"/>
      </w:r>
      <w:bookmarkStart w:id="175" w:name="_Toc22758"/>
      <w:bookmarkStart w:id="176" w:name="_Toc20358"/>
      <w:r>
        <w:rPr>
          <w:rFonts w:hint="eastAsia" w:ascii="仿宋" w:hAnsi="仿宋" w:eastAsia="仿宋" w:cs="仿宋"/>
          <w:color w:val="auto"/>
          <w:highlight w:val="none"/>
        </w:rPr>
        <w:t>第七章</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其他文件</w:t>
      </w:r>
      <w:bookmarkEnd w:id="175"/>
      <w:bookmarkEnd w:id="176"/>
    </w:p>
    <w:p w14:paraId="5FDFB3CB">
      <w:pPr>
        <w:spacing w:line="360" w:lineRule="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质疑函（格式）</w:t>
      </w:r>
    </w:p>
    <w:p w14:paraId="11616DE2">
      <w:pPr>
        <w:pStyle w:val="23"/>
        <w:snapToGrid w:val="0"/>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一、质疑供应商基本信息：</w:t>
      </w:r>
    </w:p>
    <w:p w14:paraId="253151B8">
      <w:pPr>
        <w:pStyle w:val="23"/>
        <w:snapToGrid w:val="0"/>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质疑供应商：</w:t>
      </w:r>
      <w:r>
        <w:rPr>
          <w:rFonts w:hint="eastAsia" w:ascii="仿宋" w:hAnsi="仿宋" w:eastAsia="仿宋" w:cs="仿宋"/>
          <w:bCs/>
          <w:color w:val="auto"/>
          <w:sz w:val="24"/>
          <w:szCs w:val="24"/>
          <w:highlight w:val="none"/>
          <w:u w:val="single"/>
        </w:rPr>
        <w:t xml:space="preserve">                                       </w:t>
      </w:r>
    </w:p>
    <w:p w14:paraId="57C77997">
      <w:pPr>
        <w:pStyle w:val="23"/>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地址：</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邮编：</w:t>
      </w:r>
      <w:r>
        <w:rPr>
          <w:rFonts w:hint="eastAsia" w:ascii="仿宋" w:hAnsi="仿宋" w:eastAsia="仿宋" w:cs="仿宋"/>
          <w:bCs/>
          <w:color w:val="auto"/>
          <w:sz w:val="24"/>
          <w:szCs w:val="24"/>
          <w:highlight w:val="none"/>
          <w:u w:val="single"/>
        </w:rPr>
        <w:t xml:space="preserve">                  </w:t>
      </w:r>
    </w:p>
    <w:p w14:paraId="1202C2DF">
      <w:pPr>
        <w:pStyle w:val="23"/>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联系人：</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联系电话：</w:t>
      </w:r>
      <w:r>
        <w:rPr>
          <w:rFonts w:hint="eastAsia" w:ascii="仿宋" w:hAnsi="仿宋" w:eastAsia="仿宋" w:cs="仿宋"/>
          <w:bCs/>
          <w:color w:val="auto"/>
          <w:sz w:val="24"/>
          <w:szCs w:val="24"/>
          <w:highlight w:val="none"/>
          <w:u w:val="single"/>
        </w:rPr>
        <w:t xml:space="preserve">                 </w:t>
      </w:r>
    </w:p>
    <w:p w14:paraId="2D658637">
      <w:pPr>
        <w:pStyle w:val="23"/>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授权代表：</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联系电话：</w:t>
      </w:r>
      <w:r>
        <w:rPr>
          <w:rFonts w:hint="eastAsia" w:ascii="仿宋" w:hAnsi="仿宋" w:eastAsia="仿宋" w:cs="仿宋"/>
          <w:bCs/>
          <w:color w:val="auto"/>
          <w:sz w:val="24"/>
          <w:szCs w:val="24"/>
          <w:highlight w:val="none"/>
          <w:u w:val="single"/>
        </w:rPr>
        <w:t xml:space="preserve">                      </w:t>
      </w:r>
    </w:p>
    <w:p w14:paraId="7EBCC0AD">
      <w:pPr>
        <w:pStyle w:val="23"/>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地址：</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邮编：</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w:t>
      </w:r>
    </w:p>
    <w:p w14:paraId="44691B90">
      <w:pPr>
        <w:pStyle w:val="23"/>
        <w:snapToGrid w:val="0"/>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二、质疑项目基本情况：</w:t>
      </w:r>
    </w:p>
    <w:p w14:paraId="072DCF21">
      <w:pPr>
        <w:pStyle w:val="23"/>
        <w:spacing w:line="360" w:lineRule="auto"/>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质疑</w:t>
      </w:r>
      <w:r>
        <w:rPr>
          <w:rFonts w:hint="eastAsia" w:ascii="仿宋" w:hAnsi="仿宋" w:eastAsia="仿宋" w:cs="仿宋"/>
          <w:color w:val="auto"/>
          <w:sz w:val="24"/>
          <w:szCs w:val="24"/>
          <w:highlight w:val="none"/>
        </w:rPr>
        <w:t>项目的名称：</w:t>
      </w:r>
      <w:r>
        <w:rPr>
          <w:rFonts w:hint="eastAsia" w:ascii="仿宋" w:hAnsi="仿宋" w:eastAsia="仿宋" w:cs="仿宋"/>
          <w:bCs/>
          <w:color w:val="auto"/>
          <w:sz w:val="24"/>
          <w:szCs w:val="24"/>
          <w:highlight w:val="none"/>
          <w:u w:val="single"/>
        </w:rPr>
        <w:t xml:space="preserve">                                     </w:t>
      </w:r>
    </w:p>
    <w:p w14:paraId="4FEECF98">
      <w:pPr>
        <w:pStyle w:val="23"/>
        <w:spacing w:line="360" w:lineRule="auto"/>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质疑</w:t>
      </w:r>
      <w:r>
        <w:rPr>
          <w:rFonts w:hint="eastAsia" w:ascii="仿宋" w:hAnsi="仿宋" w:eastAsia="仿宋" w:cs="仿宋"/>
          <w:color w:val="auto"/>
          <w:sz w:val="24"/>
          <w:szCs w:val="24"/>
          <w:highlight w:val="none"/>
        </w:rPr>
        <w:t>项目的编号：</w:t>
      </w:r>
      <w:r>
        <w:rPr>
          <w:rFonts w:hint="eastAsia" w:ascii="仿宋" w:hAnsi="仿宋" w:eastAsia="仿宋" w:cs="仿宋"/>
          <w:bCs/>
          <w:color w:val="auto"/>
          <w:sz w:val="24"/>
          <w:szCs w:val="24"/>
          <w:highlight w:val="none"/>
          <w:u w:val="single"/>
        </w:rPr>
        <w:t xml:space="preserve">                                     </w:t>
      </w:r>
    </w:p>
    <w:p w14:paraId="6C9DE1F6">
      <w:pPr>
        <w:pStyle w:val="23"/>
        <w:spacing w:line="360" w:lineRule="auto"/>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采购人名称：</w:t>
      </w:r>
      <w:r>
        <w:rPr>
          <w:rFonts w:hint="eastAsia" w:ascii="仿宋" w:hAnsi="仿宋" w:eastAsia="仿宋" w:cs="仿宋"/>
          <w:bCs/>
          <w:color w:val="auto"/>
          <w:sz w:val="24"/>
          <w:szCs w:val="24"/>
          <w:highlight w:val="none"/>
          <w:u w:val="single"/>
        </w:rPr>
        <w:t xml:space="preserve">                                         </w:t>
      </w:r>
    </w:p>
    <w:p w14:paraId="3B2F1816">
      <w:pPr>
        <w:pStyle w:val="23"/>
        <w:spacing w:line="360" w:lineRule="auto"/>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质疑事项：</w:t>
      </w:r>
    </w:p>
    <w:p w14:paraId="3E0915DB">
      <w:pPr>
        <w:pStyle w:val="23"/>
        <w:spacing w:line="360" w:lineRule="auto"/>
        <w:ind w:left="25" w:leftChars="12" w:firstLine="352" w:firstLineChars="14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□招标文件   招标文件获取日期：</w:t>
      </w:r>
      <w:r>
        <w:rPr>
          <w:rFonts w:hint="eastAsia" w:ascii="仿宋" w:hAnsi="仿宋" w:eastAsia="仿宋" w:cs="仿宋"/>
          <w:bCs/>
          <w:color w:val="auto"/>
          <w:sz w:val="24"/>
          <w:szCs w:val="24"/>
          <w:highlight w:val="none"/>
          <w:u w:val="single"/>
        </w:rPr>
        <w:t xml:space="preserve">                                   </w:t>
      </w:r>
    </w:p>
    <w:p w14:paraId="79C6F222">
      <w:pPr>
        <w:pStyle w:val="23"/>
        <w:spacing w:line="360" w:lineRule="auto"/>
        <w:ind w:left="25" w:leftChars="12" w:firstLine="352" w:firstLineChars="14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□采购过程</w:t>
      </w:r>
    </w:p>
    <w:p w14:paraId="5339091F">
      <w:pPr>
        <w:pStyle w:val="23"/>
        <w:spacing w:line="360" w:lineRule="auto"/>
        <w:ind w:left="25" w:leftChars="12" w:firstLine="352" w:firstLineChars="147"/>
        <w:rPr>
          <w:rFonts w:hint="eastAsia" w:ascii="仿宋" w:hAnsi="仿宋" w:eastAsia="仿宋" w:cs="仿宋"/>
          <w:bCs/>
          <w:color w:val="auto"/>
          <w:sz w:val="24"/>
          <w:szCs w:val="24"/>
          <w:highlight w:val="none"/>
          <w:u w:val="single"/>
        </w:rPr>
      </w:pPr>
      <w:r>
        <w:rPr>
          <w:rFonts w:hint="eastAsia" w:ascii="仿宋" w:hAnsi="仿宋" w:eastAsia="仿宋" w:cs="仿宋"/>
          <w:color w:val="auto"/>
          <w:sz w:val="24"/>
          <w:szCs w:val="24"/>
          <w:highlight w:val="none"/>
        </w:rPr>
        <w:t>□中标结果</w:t>
      </w:r>
    </w:p>
    <w:p w14:paraId="3E92364E">
      <w:pPr>
        <w:pStyle w:val="23"/>
        <w:spacing w:line="360" w:lineRule="auto"/>
        <w:ind w:left="25" w:leftChars="12" w:firstLine="472" w:firstLineChars="196"/>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三、质疑事项具体内容</w:t>
      </w:r>
    </w:p>
    <w:p w14:paraId="152172C3">
      <w:pPr>
        <w:pStyle w:val="23"/>
        <w:spacing w:line="360" w:lineRule="auto"/>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质疑事项1：</w:t>
      </w:r>
      <w:r>
        <w:rPr>
          <w:rFonts w:hint="eastAsia" w:ascii="仿宋" w:hAnsi="仿宋" w:eastAsia="仿宋" w:cs="仿宋"/>
          <w:bCs/>
          <w:color w:val="auto"/>
          <w:sz w:val="24"/>
          <w:szCs w:val="24"/>
          <w:highlight w:val="none"/>
          <w:u w:val="single"/>
        </w:rPr>
        <w:t xml:space="preserve">                                                        </w:t>
      </w:r>
    </w:p>
    <w:p w14:paraId="0893AABB">
      <w:pPr>
        <w:pStyle w:val="23"/>
        <w:spacing w:line="360" w:lineRule="auto"/>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事实依据：</w:t>
      </w:r>
      <w:r>
        <w:rPr>
          <w:rFonts w:hint="eastAsia" w:ascii="仿宋" w:hAnsi="仿宋" w:eastAsia="仿宋" w:cs="仿宋"/>
          <w:bCs/>
          <w:color w:val="auto"/>
          <w:sz w:val="24"/>
          <w:szCs w:val="24"/>
          <w:highlight w:val="none"/>
          <w:u w:val="single"/>
        </w:rPr>
        <w:t xml:space="preserve">                                                          </w:t>
      </w:r>
    </w:p>
    <w:p w14:paraId="4F1D9A4F">
      <w:pPr>
        <w:pStyle w:val="23"/>
        <w:spacing w:line="360" w:lineRule="auto"/>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法律依据：</w:t>
      </w:r>
      <w:r>
        <w:rPr>
          <w:rFonts w:hint="eastAsia" w:ascii="仿宋" w:hAnsi="仿宋" w:eastAsia="仿宋" w:cs="仿宋"/>
          <w:color w:val="auto"/>
          <w:sz w:val="24"/>
          <w:szCs w:val="24"/>
          <w:highlight w:val="none"/>
          <w:u w:val="single"/>
        </w:rPr>
        <w:t xml:space="preserve">                                                        </w:t>
      </w:r>
      <w:r>
        <w:rPr>
          <w:rFonts w:hint="eastAsia" w:ascii="仿宋" w:hAnsi="仿宋" w:eastAsia="仿宋" w:cs="仿宋"/>
          <w:bCs/>
          <w:color w:val="auto"/>
          <w:sz w:val="24"/>
          <w:szCs w:val="24"/>
          <w:highlight w:val="none"/>
          <w:u w:val="single"/>
        </w:rPr>
        <w:t xml:space="preserve">  </w:t>
      </w:r>
    </w:p>
    <w:p w14:paraId="2B8F3F29">
      <w:pPr>
        <w:pStyle w:val="23"/>
        <w:spacing w:line="360" w:lineRule="auto"/>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质疑事项2</w:t>
      </w:r>
    </w:p>
    <w:p w14:paraId="3F8E117F">
      <w:pPr>
        <w:pStyle w:val="23"/>
        <w:spacing w:line="360" w:lineRule="auto"/>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p w14:paraId="3C23D918">
      <w:pPr>
        <w:pStyle w:val="23"/>
        <w:spacing w:line="360" w:lineRule="auto"/>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四、与质疑事项相关的质疑请求：</w:t>
      </w:r>
    </w:p>
    <w:p w14:paraId="2B84A691">
      <w:pPr>
        <w:pStyle w:val="23"/>
        <w:spacing w:line="360" w:lineRule="auto"/>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请求：</w:t>
      </w:r>
      <w:r>
        <w:rPr>
          <w:rFonts w:hint="eastAsia" w:ascii="仿宋" w:hAnsi="仿宋" w:eastAsia="仿宋" w:cs="仿宋"/>
          <w:bCs/>
          <w:color w:val="auto"/>
          <w:sz w:val="24"/>
          <w:szCs w:val="24"/>
          <w:highlight w:val="none"/>
          <w:u w:val="single"/>
        </w:rPr>
        <w:t xml:space="preserve">                                                                </w:t>
      </w:r>
    </w:p>
    <w:p w14:paraId="6F18EAF2">
      <w:pPr>
        <w:pStyle w:val="23"/>
        <w:spacing w:line="360" w:lineRule="auto"/>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签字（签章）：                                       公章：</w:t>
      </w:r>
    </w:p>
    <w:p w14:paraId="5B95A407">
      <w:pPr>
        <w:pStyle w:val="23"/>
        <w:spacing w:line="360" w:lineRule="auto"/>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p>
    <w:p w14:paraId="29037833">
      <w:pPr>
        <w:pStyle w:val="23"/>
        <w:snapToGrid w:val="0"/>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说明：</w:t>
      </w:r>
    </w:p>
    <w:p w14:paraId="313A7A3A">
      <w:pPr>
        <w:pStyle w:val="23"/>
        <w:spacing w:line="360" w:lineRule="auto"/>
        <w:ind w:left="25" w:leftChars="12" w:firstLine="354" w:firstLineChars="147"/>
        <w:rPr>
          <w:rFonts w:hint="eastAsia" w:ascii="仿宋" w:hAnsi="仿宋" w:eastAsia="仿宋" w:cs="仿宋"/>
          <w:b/>
          <w:bCs/>
          <w:color w:val="auto"/>
          <w:sz w:val="24"/>
          <w:szCs w:val="24"/>
          <w:highlight w:val="none"/>
        </w:rPr>
      </w:pPr>
      <w:r>
        <w:rPr>
          <w:rFonts w:hint="eastAsia" w:ascii="仿宋" w:hAnsi="仿宋" w:eastAsia="仿宋" w:cs="仿宋"/>
          <w:b/>
          <w:color w:val="auto"/>
          <w:sz w:val="24"/>
          <w:szCs w:val="24"/>
          <w:highlight w:val="none"/>
        </w:rPr>
        <w:t>1.供应商提出质疑时，应提交质疑函和必要的证明材料</w:t>
      </w:r>
      <w:r>
        <w:rPr>
          <w:rFonts w:hint="eastAsia" w:ascii="仿宋" w:hAnsi="仿宋" w:eastAsia="仿宋" w:cs="仿宋"/>
          <w:b/>
          <w:bCs/>
          <w:color w:val="auto"/>
          <w:sz w:val="24"/>
          <w:szCs w:val="24"/>
          <w:highlight w:val="none"/>
        </w:rPr>
        <w:t>。</w:t>
      </w:r>
    </w:p>
    <w:p w14:paraId="2AE6AE03">
      <w:pPr>
        <w:pStyle w:val="23"/>
        <w:spacing w:line="360" w:lineRule="auto"/>
        <w:ind w:left="25" w:leftChars="12" w:firstLine="354" w:firstLineChars="147"/>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EA3DDBE">
      <w:pPr>
        <w:pStyle w:val="23"/>
        <w:spacing w:line="360" w:lineRule="auto"/>
        <w:ind w:left="25" w:leftChars="12" w:firstLine="354" w:firstLineChars="147"/>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3.质疑函的质疑事项应具体、明确，并有必要的事实依据和法律依据。</w:t>
      </w:r>
    </w:p>
    <w:p w14:paraId="49BCD891">
      <w:pPr>
        <w:pStyle w:val="23"/>
        <w:spacing w:line="360" w:lineRule="auto"/>
        <w:ind w:left="25" w:leftChars="12" w:firstLine="354" w:firstLineChars="147"/>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4.质疑函的质疑请求应与质疑事项相关。</w:t>
      </w:r>
    </w:p>
    <w:p w14:paraId="0ED05676">
      <w:pPr>
        <w:pStyle w:val="23"/>
        <w:spacing w:line="360" w:lineRule="auto"/>
        <w:ind w:left="25" w:leftChars="12" w:firstLine="354" w:firstLineChars="147"/>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5.质疑供应商为法人或者其他组织的，质疑函应由法定代表人、主要负责人，或者其授权代表签字或者盖章，并加盖公章。</w:t>
      </w:r>
    </w:p>
    <w:p w14:paraId="5E34E88E">
      <w:pPr>
        <w:spacing w:line="4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6F022A61">
      <w:pPr>
        <w:spacing w:line="360" w:lineRule="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投诉书（格式）</w:t>
      </w:r>
    </w:p>
    <w:p w14:paraId="0A3375B6">
      <w:pPr>
        <w:pStyle w:val="23"/>
        <w:snapToGrid w:val="0"/>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一、投诉相关主体基本情况：</w:t>
      </w:r>
    </w:p>
    <w:p w14:paraId="7C27E75B">
      <w:pPr>
        <w:pStyle w:val="23"/>
        <w:snapToGrid w:val="0"/>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投标人：</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w:t>
      </w:r>
    </w:p>
    <w:p w14:paraId="2A3B8457">
      <w:pPr>
        <w:pStyle w:val="23"/>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地址：</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邮编：</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w:t>
      </w:r>
    </w:p>
    <w:p w14:paraId="2DC9105F">
      <w:pPr>
        <w:pStyle w:val="23"/>
        <w:snapToGrid w:val="0"/>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法定代表人/主要负责人：</w:t>
      </w:r>
      <w:r>
        <w:rPr>
          <w:rFonts w:hint="eastAsia" w:ascii="仿宋" w:hAnsi="仿宋" w:eastAsia="仿宋" w:cs="仿宋"/>
          <w:bCs/>
          <w:color w:val="auto"/>
          <w:sz w:val="24"/>
          <w:szCs w:val="24"/>
          <w:highlight w:val="none"/>
          <w:u w:val="single"/>
        </w:rPr>
        <w:t xml:space="preserve">                                                    </w:t>
      </w:r>
    </w:p>
    <w:p w14:paraId="5A8636EB">
      <w:pPr>
        <w:pStyle w:val="23"/>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联系电话：</w:t>
      </w:r>
      <w:r>
        <w:rPr>
          <w:rFonts w:hint="eastAsia" w:ascii="仿宋" w:hAnsi="仿宋" w:eastAsia="仿宋" w:cs="仿宋"/>
          <w:bCs/>
          <w:color w:val="auto"/>
          <w:sz w:val="24"/>
          <w:szCs w:val="24"/>
          <w:highlight w:val="none"/>
          <w:u w:val="single"/>
        </w:rPr>
        <w:t xml:space="preserve">                                         </w:t>
      </w:r>
    </w:p>
    <w:p w14:paraId="2070FBB5">
      <w:pPr>
        <w:pStyle w:val="23"/>
        <w:snapToGrid w:val="0"/>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授权代表：</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联系电话：</w:t>
      </w:r>
      <w:r>
        <w:rPr>
          <w:rFonts w:hint="eastAsia" w:ascii="仿宋" w:hAnsi="仿宋" w:eastAsia="仿宋" w:cs="仿宋"/>
          <w:bCs/>
          <w:color w:val="auto"/>
          <w:sz w:val="24"/>
          <w:szCs w:val="24"/>
          <w:highlight w:val="none"/>
          <w:u w:val="single"/>
        </w:rPr>
        <w:t xml:space="preserve">              </w:t>
      </w:r>
    </w:p>
    <w:p w14:paraId="0F8FA5E5">
      <w:pPr>
        <w:pStyle w:val="23"/>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地址：</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邮编：</w:t>
      </w:r>
      <w:r>
        <w:rPr>
          <w:rFonts w:hint="eastAsia" w:ascii="仿宋" w:hAnsi="仿宋" w:eastAsia="仿宋" w:cs="仿宋"/>
          <w:bCs/>
          <w:color w:val="auto"/>
          <w:sz w:val="24"/>
          <w:szCs w:val="24"/>
          <w:highlight w:val="none"/>
          <w:u w:val="single"/>
        </w:rPr>
        <w:t xml:space="preserve">   </w:t>
      </w:r>
    </w:p>
    <w:p w14:paraId="77D19870">
      <w:pPr>
        <w:pStyle w:val="23"/>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被投诉人1：</w:t>
      </w:r>
    </w:p>
    <w:p w14:paraId="2C72872D">
      <w:pPr>
        <w:pStyle w:val="23"/>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地址：</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邮编：</w:t>
      </w:r>
      <w:r>
        <w:rPr>
          <w:rFonts w:hint="eastAsia" w:ascii="仿宋" w:hAnsi="仿宋" w:eastAsia="仿宋" w:cs="仿宋"/>
          <w:bCs/>
          <w:color w:val="auto"/>
          <w:sz w:val="24"/>
          <w:szCs w:val="24"/>
          <w:highlight w:val="none"/>
          <w:u w:val="single"/>
        </w:rPr>
        <w:t xml:space="preserve">   </w:t>
      </w:r>
    </w:p>
    <w:p w14:paraId="0425C9A8">
      <w:pPr>
        <w:pStyle w:val="23"/>
        <w:snapToGrid w:val="0"/>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联系人：</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联系电话：</w:t>
      </w:r>
      <w:r>
        <w:rPr>
          <w:rFonts w:hint="eastAsia" w:ascii="仿宋" w:hAnsi="仿宋" w:eastAsia="仿宋" w:cs="仿宋"/>
          <w:bCs/>
          <w:color w:val="auto"/>
          <w:sz w:val="24"/>
          <w:szCs w:val="24"/>
          <w:highlight w:val="none"/>
          <w:u w:val="single"/>
        </w:rPr>
        <w:t xml:space="preserve">         </w:t>
      </w:r>
    </w:p>
    <w:p w14:paraId="03F452B8">
      <w:pPr>
        <w:pStyle w:val="23"/>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被投诉人2：</w:t>
      </w:r>
    </w:p>
    <w:p w14:paraId="1AA12EA2">
      <w:pPr>
        <w:pStyle w:val="23"/>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w:t>
      </w:r>
    </w:p>
    <w:p w14:paraId="161E90CB">
      <w:pPr>
        <w:pStyle w:val="23"/>
        <w:snapToGrid w:val="0"/>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相关供应商：</w:t>
      </w:r>
      <w:r>
        <w:rPr>
          <w:rFonts w:hint="eastAsia" w:ascii="仿宋" w:hAnsi="仿宋" w:eastAsia="仿宋" w:cs="仿宋"/>
          <w:bCs/>
          <w:color w:val="auto"/>
          <w:sz w:val="24"/>
          <w:szCs w:val="24"/>
          <w:highlight w:val="none"/>
          <w:u w:val="single"/>
        </w:rPr>
        <w:t xml:space="preserve">                                                               </w:t>
      </w:r>
    </w:p>
    <w:p w14:paraId="64D163D5">
      <w:pPr>
        <w:pStyle w:val="23"/>
        <w:snapToGrid w:val="0"/>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地址：</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邮编：</w:t>
      </w:r>
      <w:r>
        <w:rPr>
          <w:rFonts w:hint="eastAsia" w:ascii="仿宋" w:hAnsi="仿宋" w:eastAsia="仿宋" w:cs="仿宋"/>
          <w:bCs/>
          <w:color w:val="auto"/>
          <w:sz w:val="24"/>
          <w:szCs w:val="24"/>
          <w:highlight w:val="none"/>
          <w:u w:val="single"/>
        </w:rPr>
        <w:t xml:space="preserve">                 </w:t>
      </w:r>
    </w:p>
    <w:p w14:paraId="71713179">
      <w:pPr>
        <w:pStyle w:val="23"/>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联系人：</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联系电话：</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w:t>
      </w:r>
    </w:p>
    <w:p w14:paraId="32B5ED36">
      <w:pPr>
        <w:pStyle w:val="23"/>
        <w:snapToGrid w:val="0"/>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二、投诉项目基本情况：</w:t>
      </w:r>
    </w:p>
    <w:p w14:paraId="2513D8A7">
      <w:pPr>
        <w:pStyle w:val="23"/>
        <w:spacing w:line="360" w:lineRule="auto"/>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采购</w:t>
      </w:r>
      <w:r>
        <w:rPr>
          <w:rFonts w:hint="eastAsia" w:ascii="仿宋" w:hAnsi="仿宋" w:eastAsia="仿宋" w:cs="仿宋"/>
          <w:color w:val="auto"/>
          <w:sz w:val="24"/>
          <w:szCs w:val="24"/>
          <w:highlight w:val="none"/>
        </w:rPr>
        <w:t>项目的名称：</w:t>
      </w:r>
      <w:r>
        <w:rPr>
          <w:rFonts w:hint="eastAsia" w:ascii="仿宋" w:hAnsi="仿宋" w:eastAsia="仿宋" w:cs="仿宋"/>
          <w:bCs/>
          <w:color w:val="auto"/>
          <w:sz w:val="24"/>
          <w:szCs w:val="24"/>
          <w:highlight w:val="none"/>
          <w:u w:val="single"/>
        </w:rPr>
        <w:t xml:space="preserve">                                                           </w:t>
      </w:r>
    </w:p>
    <w:p w14:paraId="172CD317">
      <w:pPr>
        <w:pStyle w:val="23"/>
        <w:spacing w:line="360" w:lineRule="auto"/>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采购</w:t>
      </w:r>
      <w:r>
        <w:rPr>
          <w:rFonts w:hint="eastAsia" w:ascii="仿宋" w:hAnsi="仿宋" w:eastAsia="仿宋" w:cs="仿宋"/>
          <w:color w:val="auto"/>
          <w:sz w:val="24"/>
          <w:szCs w:val="24"/>
          <w:highlight w:val="none"/>
        </w:rPr>
        <w:t>项目的编号：</w:t>
      </w:r>
      <w:r>
        <w:rPr>
          <w:rFonts w:hint="eastAsia" w:ascii="仿宋" w:hAnsi="仿宋" w:eastAsia="仿宋" w:cs="仿宋"/>
          <w:bCs/>
          <w:color w:val="auto"/>
          <w:sz w:val="24"/>
          <w:szCs w:val="24"/>
          <w:highlight w:val="none"/>
          <w:u w:val="single"/>
        </w:rPr>
        <w:t xml:space="preserve">                                          </w:t>
      </w:r>
    </w:p>
    <w:p w14:paraId="7C82C326">
      <w:pPr>
        <w:pStyle w:val="23"/>
        <w:spacing w:line="360" w:lineRule="auto"/>
        <w:ind w:left="25" w:leftChars="12" w:firstLine="472" w:firstLineChars="197"/>
        <w:rPr>
          <w:rFonts w:hint="eastAsia" w:ascii="仿宋" w:hAnsi="仿宋" w:eastAsia="仿宋" w:cs="仿宋"/>
          <w:bCs/>
          <w:color w:val="auto"/>
          <w:sz w:val="24"/>
          <w:szCs w:val="24"/>
          <w:highlight w:val="none"/>
          <w:u w:val="single"/>
        </w:rPr>
      </w:pPr>
      <w:r>
        <w:rPr>
          <w:rFonts w:hint="eastAsia" w:ascii="仿宋" w:hAnsi="仿宋" w:eastAsia="仿宋" w:cs="仿宋"/>
          <w:color w:val="auto"/>
          <w:sz w:val="24"/>
          <w:szCs w:val="24"/>
          <w:highlight w:val="none"/>
        </w:rPr>
        <w:t>采购人名称：</w:t>
      </w:r>
      <w:r>
        <w:rPr>
          <w:rFonts w:hint="eastAsia" w:ascii="仿宋" w:hAnsi="仿宋" w:eastAsia="仿宋" w:cs="仿宋"/>
          <w:bCs/>
          <w:color w:val="auto"/>
          <w:sz w:val="24"/>
          <w:szCs w:val="24"/>
          <w:highlight w:val="none"/>
          <w:u w:val="single"/>
        </w:rPr>
        <w:t xml:space="preserve">                                                               </w:t>
      </w:r>
    </w:p>
    <w:p w14:paraId="1604C49F">
      <w:pPr>
        <w:pStyle w:val="23"/>
        <w:spacing w:line="360" w:lineRule="auto"/>
        <w:ind w:left="25" w:leftChars="12" w:firstLine="472" w:firstLineChars="197"/>
        <w:rPr>
          <w:rFonts w:hint="eastAsia" w:ascii="仿宋" w:hAnsi="仿宋" w:eastAsia="仿宋" w:cs="仿宋"/>
          <w:bCs/>
          <w:color w:val="auto"/>
          <w:sz w:val="24"/>
          <w:szCs w:val="24"/>
          <w:highlight w:val="none"/>
          <w:u w:val="single"/>
        </w:rPr>
      </w:pPr>
      <w:r>
        <w:rPr>
          <w:rFonts w:hint="eastAsia" w:ascii="仿宋" w:hAnsi="仿宋" w:eastAsia="仿宋" w:cs="仿宋"/>
          <w:color w:val="auto"/>
          <w:sz w:val="24"/>
          <w:szCs w:val="24"/>
          <w:highlight w:val="none"/>
        </w:rPr>
        <w:t>代理机构名称：</w:t>
      </w:r>
      <w:r>
        <w:rPr>
          <w:rFonts w:hint="eastAsia" w:ascii="仿宋" w:hAnsi="仿宋" w:eastAsia="仿宋" w:cs="仿宋"/>
          <w:bCs/>
          <w:color w:val="auto"/>
          <w:sz w:val="24"/>
          <w:szCs w:val="24"/>
          <w:highlight w:val="none"/>
          <w:u w:val="single"/>
        </w:rPr>
        <w:t xml:space="preserve">                                                             </w:t>
      </w:r>
    </w:p>
    <w:p w14:paraId="4F28FD79">
      <w:pPr>
        <w:pStyle w:val="23"/>
        <w:spacing w:line="360" w:lineRule="auto"/>
        <w:ind w:left="25" w:leftChars="12" w:firstLine="472" w:firstLineChars="197"/>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招标文件公告：</w:t>
      </w:r>
      <w:r>
        <w:rPr>
          <w:rFonts w:hint="eastAsia" w:ascii="仿宋" w:hAnsi="仿宋" w:eastAsia="仿宋" w:cs="仿宋"/>
          <w:bCs/>
          <w:color w:val="auto"/>
          <w:sz w:val="24"/>
          <w:szCs w:val="24"/>
          <w:highlight w:val="none"/>
          <w:u w:val="single"/>
        </w:rPr>
        <w:t>是/否</w:t>
      </w:r>
      <w:r>
        <w:rPr>
          <w:rFonts w:hint="eastAsia" w:ascii="仿宋" w:hAnsi="仿宋" w:eastAsia="仿宋" w:cs="仿宋"/>
          <w:bCs/>
          <w:color w:val="auto"/>
          <w:sz w:val="24"/>
          <w:szCs w:val="24"/>
          <w:highlight w:val="none"/>
        </w:rPr>
        <w:t>公告期限：</w:t>
      </w:r>
      <w:r>
        <w:rPr>
          <w:rFonts w:hint="eastAsia" w:ascii="仿宋" w:hAnsi="仿宋" w:eastAsia="仿宋" w:cs="仿宋"/>
          <w:bCs/>
          <w:color w:val="auto"/>
          <w:sz w:val="24"/>
          <w:szCs w:val="24"/>
          <w:highlight w:val="none"/>
          <w:u w:val="single"/>
        </w:rPr>
        <w:t xml:space="preserve">                                              </w:t>
      </w:r>
    </w:p>
    <w:p w14:paraId="458ABB01">
      <w:pPr>
        <w:pStyle w:val="23"/>
        <w:spacing w:line="360" w:lineRule="auto"/>
        <w:ind w:left="25" w:leftChars="12" w:firstLine="472" w:firstLineChars="197"/>
        <w:rPr>
          <w:rFonts w:hint="eastAsia" w:ascii="仿宋" w:hAnsi="仿宋" w:eastAsia="仿宋" w:cs="仿宋"/>
          <w:b/>
          <w:color w:val="auto"/>
          <w:sz w:val="24"/>
          <w:szCs w:val="24"/>
          <w:highlight w:val="none"/>
        </w:rPr>
      </w:pPr>
      <w:r>
        <w:rPr>
          <w:rFonts w:hint="eastAsia" w:ascii="仿宋" w:hAnsi="仿宋" w:eastAsia="仿宋" w:cs="仿宋"/>
          <w:bCs/>
          <w:color w:val="auto"/>
          <w:sz w:val="24"/>
          <w:szCs w:val="24"/>
          <w:highlight w:val="none"/>
        </w:rPr>
        <w:t>采购结果公告：</w:t>
      </w:r>
      <w:r>
        <w:rPr>
          <w:rFonts w:hint="eastAsia" w:ascii="仿宋" w:hAnsi="仿宋" w:eastAsia="仿宋" w:cs="仿宋"/>
          <w:bCs/>
          <w:color w:val="auto"/>
          <w:sz w:val="24"/>
          <w:szCs w:val="24"/>
          <w:highlight w:val="none"/>
          <w:u w:val="single"/>
        </w:rPr>
        <w:t>是/否</w:t>
      </w:r>
      <w:r>
        <w:rPr>
          <w:rFonts w:hint="eastAsia" w:ascii="仿宋" w:hAnsi="仿宋" w:eastAsia="仿宋" w:cs="仿宋"/>
          <w:bCs/>
          <w:color w:val="auto"/>
          <w:sz w:val="24"/>
          <w:szCs w:val="24"/>
          <w:highlight w:val="none"/>
        </w:rPr>
        <w:t>公告期限：</w:t>
      </w:r>
      <w:r>
        <w:rPr>
          <w:rFonts w:hint="eastAsia" w:ascii="仿宋" w:hAnsi="仿宋" w:eastAsia="仿宋" w:cs="仿宋"/>
          <w:bCs/>
          <w:color w:val="auto"/>
          <w:sz w:val="24"/>
          <w:szCs w:val="24"/>
          <w:highlight w:val="none"/>
          <w:u w:val="single"/>
        </w:rPr>
        <w:t xml:space="preserve">                                              </w:t>
      </w:r>
    </w:p>
    <w:p w14:paraId="7CB19E01">
      <w:pPr>
        <w:pStyle w:val="23"/>
        <w:spacing w:line="360" w:lineRule="auto"/>
        <w:ind w:left="25" w:leftChars="12" w:firstLine="472" w:firstLineChars="196"/>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三、质疑基本情况</w:t>
      </w:r>
    </w:p>
    <w:p w14:paraId="0E2B379B">
      <w:pPr>
        <w:pStyle w:val="23"/>
        <w:spacing w:line="360" w:lineRule="auto"/>
        <w:ind w:left="25" w:leftChars="12" w:firstLine="952" w:firstLineChars="39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投诉人于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日，向</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提出质疑，质疑事项为：</w:t>
      </w:r>
    </w:p>
    <w:p w14:paraId="580D23EA">
      <w:pPr>
        <w:pStyle w:val="23"/>
        <w:spacing w:line="360" w:lineRule="auto"/>
        <w:ind w:firstLine="241"/>
        <w:rPr>
          <w:rFonts w:hint="eastAsia" w:ascii="仿宋" w:hAnsi="仿宋" w:eastAsia="仿宋" w:cs="仿宋"/>
          <w:bCs/>
          <w:color w:val="auto"/>
          <w:sz w:val="24"/>
          <w:szCs w:val="24"/>
          <w:highlight w:val="none"/>
          <w:u w:val="single"/>
        </w:rPr>
      </w:pPr>
      <w:r>
        <w:rPr>
          <w:rFonts w:hint="eastAsia" w:ascii="仿宋" w:hAnsi="仿宋" w:eastAsia="仿宋" w:cs="仿宋"/>
          <w:color w:val="auto"/>
          <w:sz w:val="24"/>
          <w:szCs w:val="24"/>
          <w:highlight w:val="none"/>
        </w:rPr>
        <w:t xml:space="preserve">    </w:t>
      </w:r>
      <w:r>
        <w:rPr>
          <w:rFonts w:hint="eastAsia" w:ascii="仿宋" w:hAnsi="仿宋" w:eastAsia="仿宋" w:cs="仿宋"/>
          <w:bCs/>
          <w:color w:val="auto"/>
          <w:sz w:val="24"/>
          <w:szCs w:val="24"/>
          <w:highlight w:val="none"/>
          <w:u w:val="single"/>
        </w:rPr>
        <w:t xml:space="preserve">                                                                         </w:t>
      </w:r>
    </w:p>
    <w:p w14:paraId="08DD5D24">
      <w:pPr>
        <w:pStyle w:val="23"/>
        <w:spacing w:line="360" w:lineRule="auto"/>
        <w:ind w:firstLine="241"/>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 xml:space="preserve">    </w:t>
      </w:r>
      <w:r>
        <w:rPr>
          <w:rFonts w:hint="eastAsia" w:ascii="仿宋" w:hAnsi="仿宋" w:eastAsia="仿宋" w:cs="仿宋"/>
          <w:bCs/>
          <w:color w:val="auto"/>
          <w:sz w:val="24"/>
          <w:szCs w:val="24"/>
          <w:highlight w:val="none"/>
          <w:u w:val="single"/>
        </w:rPr>
        <w:t xml:space="preserve">                                                                         </w:t>
      </w:r>
    </w:p>
    <w:p w14:paraId="12F64285">
      <w:pPr>
        <w:pStyle w:val="23"/>
        <w:spacing w:line="360" w:lineRule="auto"/>
        <w:ind w:firstLine="241"/>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 xml:space="preserve">        </w:t>
      </w:r>
      <w:r>
        <w:rPr>
          <w:rFonts w:hint="eastAsia" w:ascii="仿宋" w:hAnsi="仿宋" w:eastAsia="仿宋" w:cs="仿宋"/>
          <w:bCs/>
          <w:color w:val="auto"/>
          <w:sz w:val="24"/>
          <w:szCs w:val="24"/>
          <w:highlight w:val="none"/>
          <w:u w:val="single"/>
        </w:rPr>
        <w:t>采购人/代理机构</w:t>
      </w:r>
      <w:r>
        <w:rPr>
          <w:rFonts w:hint="eastAsia" w:ascii="仿宋" w:hAnsi="仿宋" w:eastAsia="仿宋" w:cs="仿宋"/>
          <w:bCs/>
          <w:color w:val="auto"/>
          <w:sz w:val="24"/>
          <w:szCs w:val="24"/>
          <w:highlight w:val="none"/>
        </w:rPr>
        <w:t>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r>
        <w:rPr>
          <w:rFonts w:hint="eastAsia" w:ascii="仿宋" w:hAnsi="仿宋" w:eastAsia="仿宋" w:cs="仿宋"/>
          <w:bCs/>
          <w:color w:val="auto"/>
          <w:sz w:val="24"/>
          <w:szCs w:val="24"/>
          <w:highlight w:val="none"/>
        </w:rPr>
        <w:t xml:space="preserve">就质疑事项作出了答复/没有在法定期限内作出答复。                                                                                             </w:t>
      </w:r>
    </w:p>
    <w:p w14:paraId="5FDDDE81">
      <w:pPr>
        <w:pStyle w:val="23"/>
        <w:spacing w:line="360" w:lineRule="auto"/>
        <w:ind w:left="25" w:leftChars="12" w:firstLine="472" w:firstLineChars="196"/>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四、投诉事项具体内容</w:t>
      </w:r>
    </w:p>
    <w:p w14:paraId="12A8E42B">
      <w:pPr>
        <w:pStyle w:val="23"/>
        <w:spacing w:line="360" w:lineRule="auto"/>
        <w:ind w:left="25" w:leftChars="12" w:firstLine="472" w:firstLineChars="197"/>
        <w:rPr>
          <w:rFonts w:hint="eastAsia" w:ascii="仿宋" w:hAnsi="仿宋" w:eastAsia="仿宋" w:cs="仿宋"/>
          <w:bCs/>
          <w:color w:val="auto"/>
          <w:sz w:val="24"/>
          <w:szCs w:val="24"/>
          <w:highlight w:val="none"/>
          <w:u w:val="single"/>
        </w:rPr>
      </w:pPr>
      <w:r>
        <w:rPr>
          <w:rFonts w:hint="eastAsia" w:ascii="仿宋" w:hAnsi="仿宋" w:eastAsia="仿宋" w:cs="仿宋"/>
          <w:color w:val="auto"/>
          <w:sz w:val="24"/>
          <w:szCs w:val="24"/>
          <w:highlight w:val="none"/>
        </w:rPr>
        <w:t>投诉事项1：</w:t>
      </w:r>
      <w:r>
        <w:rPr>
          <w:rFonts w:hint="eastAsia" w:ascii="仿宋" w:hAnsi="仿宋" w:eastAsia="仿宋" w:cs="仿宋"/>
          <w:bCs/>
          <w:color w:val="auto"/>
          <w:sz w:val="24"/>
          <w:szCs w:val="24"/>
          <w:highlight w:val="none"/>
          <w:u w:val="single"/>
        </w:rPr>
        <w:t xml:space="preserve">                                                               </w:t>
      </w:r>
    </w:p>
    <w:p w14:paraId="0C87E11C">
      <w:pPr>
        <w:pStyle w:val="23"/>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事实依据：</w:t>
      </w:r>
      <w:r>
        <w:rPr>
          <w:rFonts w:hint="eastAsia" w:ascii="仿宋" w:hAnsi="仿宋" w:eastAsia="仿宋" w:cs="仿宋"/>
          <w:color w:val="auto"/>
          <w:sz w:val="24"/>
          <w:szCs w:val="24"/>
          <w:highlight w:val="none"/>
        </w:rPr>
        <w:t xml:space="preserve"> </w:t>
      </w:r>
      <w:r>
        <w:rPr>
          <w:rFonts w:hint="eastAsia" w:ascii="仿宋" w:hAnsi="仿宋" w:eastAsia="仿宋" w:cs="仿宋"/>
          <w:bCs/>
          <w:color w:val="auto"/>
          <w:sz w:val="24"/>
          <w:szCs w:val="24"/>
          <w:highlight w:val="none"/>
          <w:u w:val="single"/>
        </w:rPr>
        <w:t xml:space="preserve">                                                                </w:t>
      </w:r>
    </w:p>
    <w:p w14:paraId="01DA27DB">
      <w:pPr>
        <w:pStyle w:val="23"/>
        <w:spacing w:line="360" w:lineRule="auto"/>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u w:val="single"/>
        </w:rPr>
        <w:t xml:space="preserve">                                                                           </w:t>
      </w:r>
    </w:p>
    <w:p w14:paraId="5B767A75">
      <w:pPr>
        <w:pStyle w:val="23"/>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法律依据：</w:t>
      </w:r>
      <w:r>
        <w:rPr>
          <w:rFonts w:hint="eastAsia" w:ascii="仿宋" w:hAnsi="仿宋" w:eastAsia="仿宋" w:cs="仿宋"/>
          <w:color w:val="auto"/>
          <w:sz w:val="24"/>
          <w:szCs w:val="24"/>
          <w:highlight w:val="none"/>
        </w:rPr>
        <w:t xml:space="preserve"> </w:t>
      </w:r>
      <w:r>
        <w:rPr>
          <w:rFonts w:hint="eastAsia" w:ascii="仿宋" w:hAnsi="仿宋" w:eastAsia="仿宋" w:cs="仿宋"/>
          <w:bCs/>
          <w:color w:val="auto"/>
          <w:sz w:val="24"/>
          <w:szCs w:val="24"/>
          <w:highlight w:val="none"/>
          <w:u w:val="single"/>
        </w:rPr>
        <w:t xml:space="preserve">                                                                </w:t>
      </w:r>
    </w:p>
    <w:p w14:paraId="7E86FEE7">
      <w:pPr>
        <w:pStyle w:val="23"/>
        <w:spacing w:line="360" w:lineRule="auto"/>
        <w:ind w:left="25" w:leftChars="12" w:firstLine="352" w:firstLineChars="147"/>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 xml:space="preserve"> </w:t>
      </w:r>
      <w:r>
        <w:rPr>
          <w:rFonts w:hint="eastAsia" w:ascii="仿宋" w:hAnsi="仿宋" w:eastAsia="仿宋" w:cs="仿宋"/>
          <w:bCs/>
          <w:color w:val="auto"/>
          <w:sz w:val="24"/>
          <w:szCs w:val="24"/>
          <w:highlight w:val="none"/>
          <w:u w:val="single"/>
        </w:rPr>
        <w:t xml:space="preserve">                                                                           </w:t>
      </w:r>
    </w:p>
    <w:p w14:paraId="20469C77">
      <w:pPr>
        <w:pStyle w:val="23"/>
        <w:spacing w:line="360" w:lineRule="auto"/>
        <w:ind w:left="25" w:leftChars="12" w:firstLine="472" w:firstLineChars="197"/>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 xml:space="preserve">投诉事项2  </w:t>
      </w:r>
      <w:r>
        <w:rPr>
          <w:rFonts w:hint="eastAsia" w:ascii="仿宋" w:hAnsi="仿宋" w:eastAsia="仿宋" w:cs="仿宋"/>
          <w:bCs/>
          <w:color w:val="auto"/>
          <w:sz w:val="24"/>
          <w:szCs w:val="24"/>
          <w:highlight w:val="none"/>
        </w:rPr>
        <w:t xml:space="preserve">   </w:t>
      </w:r>
    </w:p>
    <w:p w14:paraId="2803ED54">
      <w:pPr>
        <w:pStyle w:val="23"/>
        <w:spacing w:line="360" w:lineRule="auto"/>
        <w:ind w:left="25" w:leftChars="12" w:firstLine="472" w:firstLineChars="197"/>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w:t>
      </w:r>
    </w:p>
    <w:p w14:paraId="1925C535">
      <w:pPr>
        <w:pStyle w:val="23"/>
        <w:spacing w:line="360" w:lineRule="auto"/>
        <w:ind w:left="25" w:leftChars="12" w:firstLine="472" w:firstLineChars="196"/>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五、与投诉事项相关的投诉请求：</w:t>
      </w:r>
    </w:p>
    <w:p w14:paraId="000757FC">
      <w:pPr>
        <w:pStyle w:val="23"/>
        <w:spacing w:line="360" w:lineRule="auto"/>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请求：</w:t>
      </w:r>
      <w:r>
        <w:rPr>
          <w:rFonts w:hint="eastAsia" w:ascii="仿宋" w:hAnsi="仿宋" w:eastAsia="仿宋" w:cs="仿宋"/>
          <w:bCs/>
          <w:color w:val="auto"/>
          <w:sz w:val="24"/>
          <w:szCs w:val="24"/>
          <w:highlight w:val="none"/>
          <w:u w:val="single"/>
        </w:rPr>
        <w:t xml:space="preserve">                                                                     </w:t>
      </w:r>
    </w:p>
    <w:p w14:paraId="0D2A2EAB">
      <w:pPr>
        <w:pStyle w:val="23"/>
        <w:spacing w:line="360" w:lineRule="auto"/>
        <w:ind w:left="25" w:leftChars="12" w:firstLine="472" w:firstLineChars="197"/>
        <w:rPr>
          <w:rFonts w:hint="eastAsia" w:ascii="仿宋" w:hAnsi="仿宋" w:eastAsia="仿宋" w:cs="仿宋"/>
          <w:color w:val="auto"/>
          <w:sz w:val="24"/>
          <w:szCs w:val="24"/>
          <w:highlight w:val="none"/>
        </w:rPr>
      </w:pPr>
    </w:p>
    <w:p w14:paraId="1BC09487">
      <w:pPr>
        <w:pStyle w:val="23"/>
        <w:spacing w:line="360" w:lineRule="auto"/>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签字（签章）：                                       公章：</w:t>
      </w:r>
    </w:p>
    <w:p w14:paraId="3A62F14F">
      <w:pPr>
        <w:pStyle w:val="23"/>
        <w:spacing w:line="360" w:lineRule="auto"/>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p>
    <w:p w14:paraId="0AB8788B">
      <w:pPr>
        <w:pStyle w:val="23"/>
        <w:snapToGrid w:val="0"/>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说明：</w:t>
      </w:r>
    </w:p>
    <w:p w14:paraId="1D519A85">
      <w:pPr>
        <w:pStyle w:val="23"/>
        <w:spacing w:line="360" w:lineRule="auto"/>
        <w:ind w:left="25" w:leftChars="12" w:firstLine="354" w:firstLineChars="147"/>
        <w:rPr>
          <w:rFonts w:hint="eastAsia" w:ascii="仿宋" w:hAnsi="仿宋" w:eastAsia="仿宋" w:cs="仿宋"/>
          <w:b/>
          <w:bCs/>
          <w:color w:val="auto"/>
          <w:sz w:val="24"/>
          <w:szCs w:val="24"/>
          <w:highlight w:val="none"/>
        </w:rPr>
      </w:pPr>
      <w:r>
        <w:rPr>
          <w:rFonts w:hint="eastAsia" w:ascii="仿宋" w:hAnsi="仿宋" w:eastAsia="仿宋" w:cs="仿宋"/>
          <w:b/>
          <w:color w:val="auto"/>
          <w:sz w:val="24"/>
          <w:szCs w:val="24"/>
          <w:highlight w:val="none"/>
        </w:rPr>
        <w:t>1.投诉人提起投诉时，应当提交投诉书和必要的证明材料，并按照被投诉人和与投诉事项有关的供应商数量提供投诉书副本</w:t>
      </w:r>
      <w:r>
        <w:rPr>
          <w:rFonts w:hint="eastAsia" w:ascii="仿宋" w:hAnsi="仿宋" w:eastAsia="仿宋" w:cs="仿宋"/>
          <w:b/>
          <w:bCs/>
          <w:color w:val="auto"/>
          <w:sz w:val="24"/>
          <w:szCs w:val="24"/>
          <w:highlight w:val="none"/>
        </w:rPr>
        <w:t>。</w:t>
      </w:r>
    </w:p>
    <w:p w14:paraId="1992B5B6">
      <w:pPr>
        <w:pStyle w:val="23"/>
        <w:spacing w:line="360" w:lineRule="auto"/>
        <w:ind w:left="25" w:leftChars="12" w:firstLine="354" w:firstLineChars="147"/>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2A6E8706">
      <w:pPr>
        <w:pStyle w:val="23"/>
        <w:spacing w:line="360" w:lineRule="auto"/>
        <w:ind w:left="25" w:leftChars="12" w:firstLine="354" w:firstLineChars="147"/>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3.投诉书应简要列明质疑事项，质疑函、质疑答复等作为附件材料提供。</w:t>
      </w:r>
    </w:p>
    <w:p w14:paraId="79F3341E">
      <w:pPr>
        <w:pStyle w:val="23"/>
        <w:spacing w:line="360" w:lineRule="auto"/>
        <w:ind w:left="25" w:leftChars="12" w:firstLine="354" w:firstLineChars="147"/>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4.投诉书的投诉事项应具体、明确，并有必要的事实依据和法律依据。</w:t>
      </w:r>
    </w:p>
    <w:p w14:paraId="29B7C783">
      <w:pPr>
        <w:pStyle w:val="23"/>
        <w:spacing w:line="360" w:lineRule="auto"/>
        <w:ind w:left="25" w:leftChars="12" w:firstLine="354" w:firstLineChars="147"/>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5.投诉书的投诉请求应与投诉事项相关。</w:t>
      </w:r>
    </w:p>
    <w:p w14:paraId="6AA25A04">
      <w:pPr>
        <w:pStyle w:val="23"/>
        <w:spacing w:line="360" w:lineRule="auto"/>
        <w:ind w:left="25" w:leftChars="12" w:firstLine="354" w:firstLineChars="147"/>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6.投诉人为法人或者其他组织的，投诉书应由法定代表人、主要负责人，或者其授权代表签字或者盖章，并加盖公章。</w:t>
      </w:r>
    </w:p>
    <w:sectPr>
      <w:pgSz w:w="11906" w:h="16838"/>
      <w:pgMar w:top="1440" w:right="1134" w:bottom="1440" w:left="1134"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Century">
    <w:panose1 w:val="02040604050505020304"/>
    <w:charset w:val="00"/>
    <w:family w:val="roman"/>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61DC3">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3778A">
    <w:pPr>
      <w:pStyle w:val="29"/>
      <w:jc w:val="center"/>
    </w:pPr>
  </w:p>
  <w:p w14:paraId="34DF196B">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CF397">
    <w:pPr>
      <w:pStyle w:val="2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220A78">
                          <w:pPr>
                            <w:pStyle w:val="2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2220A78">
                    <w:pPr>
                      <w:pStyle w:val="2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EE6C8">
    <w:pPr>
      <w:pStyle w:val="2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FCB17A">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76FCB17A">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2FF5A">
    <w:pPr>
      <w:pStyle w:val="2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D13968">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CD13968">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09001">
    <w:pPr>
      <w:pStyle w:val="2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E0EA3D">
                          <w:pPr>
                            <w:pStyle w:val="29"/>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2E0EA3D">
                    <w:pPr>
                      <w:pStyle w:val="29"/>
                    </w:pPr>
                    <w:r>
                      <w:fldChar w:fldCharType="begin"/>
                    </w:r>
                    <w:r>
                      <w:instrText xml:space="preserve"> PAGE  \* MERGEFORMAT </w:instrText>
                    </w:r>
                    <w:r>
                      <w:fldChar w:fldCharType="separate"/>
                    </w:r>
                    <w:r>
                      <w:t>51</w:t>
                    </w:r>
                    <w:r>
                      <w:fldChar w:fldCharType="end"/>
                    </w:r>
                  </w:p>
                </w:txbxContent>
              </v:textbox>
            </v:shape>
          </w:pict>
        </mc:Fallback>
      </mc:AlternateContent>
    </w:r>
  </w:p>
  <w:p w14:paraId="2E2ECC82"/>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09B90">
    <w:pPr>
      <w:pStyle w:val="29"/>
      <w:framePr w:wrap="around" w:vAnchor="text" w:hAnchor="margin" w:xAlign="center" w:y="1"/>
      <w:rPr>
        <w:rStyle w:val="49"/>
      </w:rPr>
    </w:pPr>
    <w:r>
      <w:fldChar w:fldCharType="begin"/>
    </w:r>
    <w:r>
      <w:rPr>
        <w:rStyle w:val="49"/>
      </w:rPr>
      <w:instrText xml:space="preserve">PAGE  </w:instrText>
    </w:r>
    <w:r>
      <w:fldChar w:fldCharType="separate"/>
    </w:r>
    <w:r>
      <w:rPr>
        <w:rStyle w:val="49"/>
      </w:rPr>
      <w:t>47</w:t>
    </w:r>
    <w:r>
      <w:fldChar w:fldCharType="end"/>
    </w:r>
  </w:p>
  <w:p w14:paraId="6FECAFD1">
    <w:pPr>
      <w:pStyle w:val="29"/>
    </w:pPr>
  </w:p>
  <w:p w14:paraId="0EED8ED5"/>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59E6D4">
    <w:pPr>
      <w:pStyle w:val="29"/>
      <w:framePr w:wrap="around" w:vAnchor="text" w:hAnchor="margin" w:xAlign="right" w:y="1"/>
      <w:rPr>
        <w:rStyle w:val="49"/>
      </w:rPr>
    </w:pPr>
    <w:r>
      <w:fldChar w:fldCharType="begin"/>
    </w:r>
    <w:r>
      <w:rPr>
        <w:rStyle w:val="49"/>
      </w:rPr>
      <w:instrText xml:space="preserve">PAGE  </w:instrText>
    </w:r>
    <w:r>
      <w:fldChar w:fldCharType="separate"/>
    </w:r>
    <w:r>
      <w:rPr>
        <w:rStyle w:val="49"/>
      </w:rPr>
      <w:t>122</w:t>
    </w:r>
    <w:r>
      <w:fldChar w:fldCharType="end"/>
    </w:r>
  </w:p>
  <w:p w14:paraId="213B4DC1">
    <w:pPr>
      <w:pStyle w:val="29"/>
      <w:ind w:right="360"/>
      <w:jc w:val="both"/>
    </w:pPr>
    <w:r>
      <w:rPr>
        <w:rFonts w:hint="eastAsia"/>
      </w:rPr>
      <w:t>121</w:t>
    </w:r>
  </w:p>
  <w:p w14:paraId="1F5623B0"/>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AE1C6">
    <w:pPr>
      <w:pStyle w:val="30"/>
      <w:jc w:val="left"/>
      <w:rPr>
        <w:rFonts w:hint="eastAsia" w:ascii="宋体" w:hAnsi="宋体"/>
        <w:color w:val="000000"/>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E8FF0">
    <w:pPr>
      <w:pStyle w:val="3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A7B6D">
    <w:pPr>
      <w:pStyle w:val="30"/>
      <w:jc w:val="left"/>
      <w:rPr>
        <w:rFonts w:hint="eastAsia" w:ascii="宋体" w:hAnsi="宋体"/>
        <w:color w:val="000000"/>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A6433">
    <w:pPr>
      <w:pStyle w:val="30"/>
      <w:jc w:val="left"/>
      <w:rPr>
        <w:rFonts w:hint="eastAsia" w:eastAsia="宋体"/>
        <w:lang w:eastAsia="zh-CN"/>
      </w:rPr>
    </w:pPr>
    <w:r>
      <w:rPr>
        <w:rFonts w:hint="eastAsia"/>
      </w:rPr>
      <w:t>项目名称：</w:t>
    </w:r>
    <w:r>
      <w:rPr>
        <w:rFonts w:hint="eastAsia"/>
        <w:lang w:eastAsia="zh-CN"/>
      </w:rPr>
      <w:t>广西壮族自治区人民医院数字减影血管造影(DSA)设备采购</w:t>
    </w:r>
  </w:p>
  <w:p w14:paraId="6757BC3F">
    <w:pPr>
      <w:pStyle w:val="30"/>
      <w:jc w:val="left"/>
      <w:rPr>
        <w:rFonts w:hint="eastAsia" w:ascii="宋体" w:hAnsi="宋体" w:eastAsia="宋体"/>
        <w:color w:val="000000"/>
        <w:szCs w:val="21"/>
        <w:lang w:eastAsia="zh-CN"/>
      </w:rPr>
    </w:pPr>
    <w:r>
      <w:rPr>
        <w:rFonts w:hint="eastAsia"/>
      </w:rPr>
      <w:t>项目编号：</w:t>
    </w:r>
    <w:r>
      <w:rPr>
        <w:rFonts w:hint="eastAsia"/>
        <w:lang w:eastAsia="zh-CN"/>
      </w:rPr>
      <w:t>XXXX</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66C91">
    <w:pPr>
      <w:pStyle w:val="30"/>
      <w:jc w:val="left"/>
      <w:rPr>
        <w:rFonts w:hint="eastAsia" w:eastAsia="宋体"/>
        <w:lang w:eastAsia="zh-CN"/>
      </w:rPr>
    </w:pPr>
    <w:r>
      <w:rPr>
        <w:rFonts w:hint="eastAsia"/>
      </w:rPr>
      <w:t>项目名称：</w:t>
    </w:r>
    <w:r>
      <w:rPr>
        <w:rFonts w:hint="eastAsia"/>
        <w:lang w:eastAsia="zh-CN"/>
      </w:rPr>
      <w:t>广西壮族自治区人民医院数字减影血管造影(DSA)设备采购</w:t>
    </w:r>
  </w:p>
  <w:p w14:paraId="3F2A1DB0">
    <w:pPr>
      <w:pStyle w:val="30"/>
      <w:jc w:val="left"/>
      <w:rPr>
        <w:rFonts w:hint="eastAsia" w:eastAsia="宋体"/>
        <w:lang w:eastAsia="zh-CN"/>
      </w:rPr>
    </w:pPr>
    <w:r>
      <w:rPr>
        <w:rFonts w:hint="eastAsia"/>
      </w:rPr>
      <w:t>项目编号：</w:t>
    </w:r>
    <w:r>
      <w:rPr>
        <w:rFonts w:hint="eastAsia"/>
        <w:lang w:eastAsia="zh-CN"/>
      </w:rPr>
      <w:t>XXXX</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57124">
    <w:pPr>
      <w:pStyle w:val="30"/>
      <w:jc w:val="left"/>
      <w:rPr>
        <w:rFonts w:hint="eastAsia" w:eastAsia="宋体"/>
        <w:lang w:eastAsia="zh-CN"/>
      </w:rPr>
    </w:pPr>
    <w:r>
      <w:rPr>
        <w:rFonts w:hint="eastAsia"/>
      </w:rPr>
      <w:t>项目名称：</w:t>
    </w:r>
    <w:r>
      <w:rPr>
        <w:rFonts w:hint="eastAsia"/>
        <w:lang w:eastAsia="zh-CN"/>
      </w:rPr>
      <w:t>广西壮族自治区人民医院数字减影血管造影(DSA)设备采购</w:t>
    </w:r>
  </w:p>
  <w:p w14:paraId="24F4911D">
    <w:pPr>
      <w:pStyle w:val="30"/>
      <w:jc w:val="left"/>
      <w:rPr>
        <w:rFonts w:hint="eastAsia" w:eastAsia="宋体"/>
        <w:lang w:eastAsia="zh-CN"/>
      </w:rPr>
    </w:pPr>
    <w:r>
      <w:rPr>
        <w:rFonts w:hint="eastAsia"/>
      </w:rPr>
      <w:t>项目编号：</w:t>
    </w:r>
    <w:r>
      <w:rPr>
        <w:rFonts w:hint="eastAsia"/>
        <w:lang w:eastAsia="zh-CN"/>
      </w:rPr>
      <w:t>XXXX</w:t>
    </w:r>
  </w:p>
  <w:p w14:paraId="5DFA635E">
    <w:pPr>
      <w:pStyle w:val="30"/>
      <w:pBdr>
        <w:bottom w:val="none" w:color="auto" w:sz="0" w:space="0"/>
      </w:pBdr>
      <w:tabs>
        <w:tab w:val="center" w:pos="4153"/>
        <w:tab w:val="right" w:pos="8306"/>
        <w:tab w:val="clear" w:pos="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19"/>
      <w:lvlText w:val="%1."/>
      <w:lvlJc w:val="left"/>
      <w:pPr>
        <w:tabs>
          <w:tab w:val="left" w:pos="1200"/>
        </w:tabs>
        <w:ind w:left="1200" w:hanging="360"/>
      </w:pPr>
    </w:lvl>
  </w:abstractNum>
  <w:abstractNum w:abstractNumId="1">
    <w:nsid w:val="0A9D3FE2"/>
    <w:multiLevelType w:val="singleLevel"/>
    <w:tmpl w:val="0A9D3FE2"/>
    <w:lvl w:ilvl="0" w:tentative="0">
      <w:start w:val="5"/>
      <w:numFmt w:val="decimal"/>
      <w:suff w:val="space"/>
      <w:lvlText w:val="%1."/>
      <w:lvlJc w:val="left"/>
    </w:lvl>
  </w:abstractNum>
  <w:abstractNum w:abstractNumId="2">
    <w:nsid w:val="1F9CB027"/>
    <w:multiLevelType w:val="singleLevel"/>
    <w:tmpl w:val="1F9CB027"/>
    <w:lvl w:ilvl="0" w:tentative="0">
      <w:start w:val="2"/>
      <w:numFmt w:val="decimal"/>
      <w:suff w:val="space"/>
      <w:lvlText w:val="%1."/>
      <w:lvlJc w:val="left"/>
    </w:lvl>
  </w:abstractNum>
  <w:abstractNum w:abstractNumId="3">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5"/>
      <w:suff w:val="nothing"/>
      <w:lvlText w:val=""/>
      <w:lvlJc w:val="left"/>
      <w:pPr>
        <w:ind w:left="0" w:firstLine="0"/>
      </w:pPr>
      <w:rPr>
        <w:rFonts w:hint="eastAsia"/>
      </w:rPr>
    </w:lvl>
    <w:lvl w:ilvl="5" w:tentative="0">
      <w:start w:val="1"/>
      <w:numFmt w:val="none"/>
      <w:pStyle w:val="7"/>
      <w:suff w:val="nothing"/>
      <w:lvlText w:val=""/>
      <w:lvlJc w:val="left"/>
      <w:pPr>
        <w:ind w:left="0" w:firstLine="0"/>
      </w:pPr>
      <w:rPr>
        <w:rFonts w:hint="eastAsia"/>
      </w:rPr>
    </w:lvl>
    <w:lvl w:ilvl="6" w:tentative="0">
      <w:start w:val="1"/>
      <w:numFmt w:val="none"/>
      <w:pStyle w:val="8"/>
      <w:suff w:val="nothing"/>
      <w:lvlText w:val=""/>
      <w:lvlJc w:val="left"/>
      <w:pPr>
        <w:ind w:left="0" w:firstLine="0"/>
      </w:pPr>
      <w:rPr>
        <w:rFonts w:hint="eastAsia"/>
      </w:rPr>
    </w:lvl>
    <w:lvl w:ilvl="7" w:tentative="0">
      <w:start w:val="1"/>
      <w:numFmt w:val="none"/>
      <w:pStyle w:val="9"/>
      <w:suff w:val="nothing"/>
      <w:lvlText w:val=""/>
      <w:lvlJc w:val="left"/>
      <w:pPr>
        <w:ind w:left="0" w:firstLine="0"/>
      </w:pPr>
      <w:rPr>
        <w:rFonts w:hint="eastAsia"/>
      </w:rPr>
    </w:lvl>
    <w:lvl w:ilvl="8" w:tentative="0">
      <w:start w:val="1"/>
      <w:numFmt w:val="none"/>
      <w:pStyle w:val="10"/>
      <w:suff w:val="nothing"/>
      <w:lvlText w:val=""/>
      <w:lvlJc w:val="left"/>
      <w:pPr>
        <w:ind w:left="0" w:firstLine="0"/>
      </w:pPr>
      <w:rPr>
        <w:rFonts w:hint="eastAsia"/>
      </w:rPr>
    </w:lvl>
  </w:abstractNum>
  <w:abstractNum w:abstractNumId="4">
    <w:nsid w:val="4C601917"/>
    <w:multiLevelType w:val="singleLevel"/>
    <w:tmpl w:val="4C601917"/>
    <w:lvl w:ilvl="0" w:tentative="0">
      <w:start w:val="1"/>
      <w:numFmt w:val="decimal"/>
      <w:suff w:val="nothing"/>
      <w:lvlText w:val="（%1）"/>
      <w:lvlJc w:val="left"/>
    </w:lvl>
  </w:abstractNum>
  <w:abstractNum w:abstractNumId="5">
    <w:nsid w:val="5FABD14B"/>
    <w:multiLevelType w:val="singleLevel"/>
    <w:tmpl w:val="5FABD14B"/>
    <w:lvl w:ilvl="0" w:tentative="0">
      <w:start w:val="1"/>
      <w:numFmt w:val="decimal"/>
      <w:suff w:val="nothing"/>
      <w:lvlText w:val="（%1）"/>
      <w:lvlJc w:val="left"/>
    </w:lvl>
  </w:abstractNum>
  <w:abstractNum w:abstractNumId="6">
    <w:nsid w:val="7E66D773"/>
    <w:multiLevelType w:val="singleLevel"/>
    <w:tmpl w:val="7E66D773"/>
    <w:lvl w:ilvl="0" w:tentative="0">
      <w:start w:val="1"/>
      <w:numFmt w:val="decimal"/>
      <w:lvlText w:val="%1."/>
      <w:lvlJc w:val="left"/>
      <w:pPr>
        <w:tabs>
          <w:tab w:val="left" w:pos="312"/>
        </w:tabs>
      </w:pPr>
    </w:lvl>
  </w:abstractNum>
  <w:num w:numId="1">
    <w:abstractNumId w:val="3"/>
  </w:num>
  <w:num w:numId="2">
    <w:abstractNumId w:val="0"/>
  </w:num>
  <w:num w:numId="3">
    <w:abstractNumId w:val="6"/>
  </w:num>
  <w:num w:numId="4">
    <w:abstractNumId w:val="4"/>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D01" w:allStyles="1" w:customStyles="0" w:latentStyles="0" w:stylesInUse="0" w:headingStyles="0" w:numberingStyles="0" w:tableStyles="0" w:directFormattingOnRuns="1" w:directFormattingOnParagraphs="0"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E5MDQ0NWMwMDAxM2NiOGM2ZjIzNjFiYTYwNjZhOTMifQ=="/>
  </w:docVars>
  <w:rsids>
    <w:rsidRoot w:val="00172A27"/>
    <w:rsid w:val="0000010C"/>
    <w:rsid w:val="000004FE"/>
    <w:rsid w:val="00000FE0"/>
    <w:rsid w:val="00001068"/>
    <w:rsid w:val="0000114A"/>
    <w:rsid w:val="00001731"/>
    <w:rsid w:val="00001C2D"/>
    <w:rsid w:val="00001C55"/>
    <w:rsid w:val="00001CA8"/>
    <w:rsid w:val="00001FAE"/>
    <w:rsid w:val="00002291"/>
    <w:rsid w:val="00002DBF"/>
    <w:rsid w:val="00002EC0"/>
    <w:rsid w:val="00002F69"/>
    <w:rsid w:val="00003224"/>
    <w:rsid w:val="000033F5"/>
    <w:rsid w:val="0000358C"/>
    <w:rsid w:val="00003BEF"/>
    <w:rsid w:val="00004130"/>
    <w:rsid w:val="0000431F"/>
    <w:rsid w:val="000045EB"/>
    <w:rsid w:val="00004634"/>
    <w:rsid w:val="00004CD0"/>
    <w:rsid w:val="00004D8B"/>
    <w:rsid w:val="000059E2"/>
    <w:rsid w:val="000061EA"/>
    <w:rsid w:val="00006AE7"/>
    <w:rsid w:val="00006B9B"/>
    <w:rsid w:val="00006C35"/>
    <w:rsid w:val="000072B1"/>
    <w:rsid w:val="00007329"/>
    <w:rsid w:val="00007E28"/>
    <w:rsid w:val="00007E84"/>
    <w:rsid w:val="00010401"/>
    <w:rsid w:val="0001041F"/>
    <w:rsid w:val="000105A1"/>
    <w:rsid w:val="000107AD"/>
    <w:rsid w:val="00010835"/>
    <w:rsid w:val="000117DF"/>
    <w:rsid w:val="00011842"/>
    <w:rsid w:val="00011DCA"/>
    <w:rsid w:val="00012137"/>
    <w:rsid w:val="000121FF"/>
    <w:rsid w:val="000125B8"/>
    <w:rsid w:val="00012692"/>
    <w:rsid w:val="00013446"/>
    <w:rsid w:val="00013509"/>
    <w:rsid w:val="000135BC"/>
    <w:rsid w:val="000135DC"/>
    <w:rsid w:val="000136D6"/>
    <w:rsid w:val="00014085"/>
    <w:rsid w:val="00014BCB"/>
    <w:rsid w:val="00014DD9"/>
    <w:rsid w:val="00014EE0"/>
    <w:rsid w:val="000151E4"/>
    <w:rsid w:val="00015577"/>
    <w:rsid w:val="000156E4"/>
    <w:rsid w:val="000159A7"/>
    <w:rsid w:val="000159F5"/>
    <w:rsid w:val="00015ECA"/>
    <w:rsid w:val="00015FB8"/>
    <w:rsid w:val="0001609F"/>
    <w:rsid w:val="0001635B"/>
    <w:rsid w:val="00016549"/>
    <w:rsid w:val="00016BF7"/>
    <w:rsid w:val="000172E0"/>
    <w:rsid w:val="0001767E"/>
    <w:rsid w:val="0001776D"/>
    <w:rsid w:val="000179BB"/>
    <w:rsid w:val="00017F31"/>
    <w:rsid w:val="00020607"/>
    <w:rsid w:val="0002103A"/>
    <w:rsid w:val="00021470"/>
    <w:rsid w:val="000217E4"/>
    <w:rsid w:val="00021852"/>
    <w:rsid w:val="00021A12"/>
    <w:rsid w:val="00021DFE"/>
    <w:rsid w:val="0002228A"/>
    <w:rsid w:val="00022622"/>
    <w:rsid w:val="00023363"/>
    <w:rsid w:val="000235F3"/>
    <w:rsid w:val="00023644"/>
    <w:rsid w:val="00023712"/>
    <w:rsid w:val="00024E3C"/>
    <w:rsid w:val="00024EB0"/>
    <w:rsid w:val="00026458"/>
    <w:rsid w:val="0002646A"/>
    <w:rsid w:val="0002651D"/>
    <w:rsid w:val="00026CFD"/>
    <w:rsid w:val="00027C8B"/>
    <w:rsid w:val="00027CD9"/>
    <w:rsid w:val="00030242"/>
    <w:rsid w:val="00030B06"/>
    <w:rsid w:val="0003183A"/>
    <w:rsid w:val="00031CDC"/>
    <w:rsid w:val="0003263B"/>
    <w:rsid w:val="0003282C"/>
    <w:rsid w:val="00032F6D"/>
    <w:rsid w:val="0003304A"/>
    <w:rsid w:val="0003317E"/>
    <w:rsid w:val="000331AF"/>
    <w:rsid w:val="00033413"/>
    <w:rsid w:val="000337F3"/>
    <w:rsid w:val="00033C94"/>
    <w:rsid w:val="00034247"/>
    <w:rsid w:val="00034C27"/>
    <w:rsid w:val="00034E2A"/>
    <w:rsid w:val="0003577F"/>
    <w:rsid w:val="00036466"/>
    <w:rsid w:val="0003675E"/>
    <w:rsid w:val="00037F87"/>
    <w:rsid w:val="00037FA2"/>
    <w:rsid w:val="000400D0"/>
    <w:rsid w:val="000425AC"/>
    <w:rsid w:val="00042F4A"/>
    <w:rsid w:val="00043BE5"/>
    <w:rsid w:val="00044003"/>
    <w:rsid w:val="00044527"/>
    <w:rsid w:val="00044897"/>
    <w:rsid w:val="00044ACF"/>
    <w:rsid w:val="000454F4"/>
    <w:rsid w:val="00045D1E"/>
    <w:rsid w:val="00045E69"/>
    <w:rsid w:val="00045EF4"/>
    <w:rsid w:val="00046547"/>
    <w:rsid w:val="000466D7"/>
    <w:rsid w:val="00046753"/>
    <w:rsid w:val="00047254"/>
    <w:rsid w:val="00047E41"/>
    <w:rsid w:val="0005022B"/>
    <w:rsid w:val="00050771"/>
    <w:rsid w:val="00050EC3"/>
    <w:rsid w:val="000513F3"/>
    <w:rsid w:val="00052287"/>
    <w:rsid w:val="000522E0"/>
    <w:rsid w:val="0005242B"/>
    <w:rsid w:val="000532F4"/>
    <w:rsid w:val="000536AE"/>
    <w:rsid w:val="00054510"/>
    <w:rsid w:val="00054CD5"/>
    <w:rsid w:val="00054D03"/>
    <w:rsid w:val="000550AC"/>
    <w:rsid w:val="00055403"/>
    <w:rsid w:val="0005584D"/>
    <w:rsid w:val="00055CC3"/>
    <w:rsid w:val="00055CEE"/>
    <w:rsid w:val="000561A1"/>
    <w:rsid w:val="000564BB"/>
    <w:rsid w:val="000566FA"/>
    <w:rsid w:val="00056A2B"/>
    <w:rsid w:val="00056DA8"/>
    <w:rsid w:val="00056E37"/>
    <w:rsid w:val="00056EE2"/>
    <w:rsid w:val="00056FE2"/>
    <w:rsid w:val="000570FB"/>
    <w:rsid w:val="000575B8"/>
    <w:rsid w:val="00060131"/>
    <w:rsid w:val="0006026B"/>
    <w:rsid w:val="00060293"/>
    <w:rsid w:val="00061BDA"/>
    <w:rsid w:val="000621FE"/>
    <w:rsid w:val="00062B90"/>
    <w:rsid w:val="00062C70"/>
    <w:rsid w:val="00062DD0"/>
    <w:rsid w:val="00062E6F"/>
    <w:rsid w:val="000630C7"/>
    <w:rsid w:val="00063518"/>
    <w:rsid w:val="0006400F"/>
    <w:rsid w:val="000645DD"/>
    <w:rsid w:val="00064D7E"/>
    <w:rsid w:val="00064F65"/>
    <w:rsid w:val="00064FD0"/>
    <w:rsid w:val="0006534A"/>
    <w:rsid w:val="00065A5D"/>
    <w:rsid w:val="00065BA2"/>
    <w:rsid w:val="000661CA"/>
    <w:rsid w:val="0006668D"/>
    <w:rsid w:val="00066E00"/>
    <w:rsid w:val="00067002"/>
    <w:rsid w:val="00067334"/>
    <w:rsid w:val="00067993"/>
    <w:rsid w:val="00067B1C"/>
    <w:rsid w:val="00067CED"/>
    <w:rsid w:val="00067F66"/>
    <w:rsid w:val="0007041A"/>
    <w:rsid w:val="00070634"/>
    <w:rsid w:val="00070883"/>
    <w:rsid w:val="00070C3F"/>
    <w:rsid w:val="0007102C"/>
    <w:rsid w:val="00071D68"/>
    <w:rsid w:val="00071FCE"/>
    <w:rsid w:val="00072661"/>
    <w:rsid w:val="00072CCC"/>
    <w:rsid w:val="00073549"/>
    <w:rsid w:val="000735C2"/>
    <w:rsid w:val="00073935"/>
    <w:rsid w:val="0007439D"/>
    <w:rsid w:val="0007483E"/>
    <w:rsid w:val="000751DB"/>
    <w:rsid w:val="0007542D"/>
    <w:rsid w:val="0007578F"/>
    <w:rsid w:val="00075E43"/>
    <w:rsid w:val="00077706"/>
    <w:rsid w:val="00077878"/>
    <w:rsid w:val="000804EF"/>
    <w:rsid w:val="00080558"/>
    <w:rsid w:val="00081230"/>
    <w:rsid w:val="000814E2"/>
    <w:rsid w:val="000818C9"/>
    <w:rsid w:val="00081CBB"/>
    <w:rsid w:val="00081D42"/>
    <w:rsid w:val="000822EF"/>
    <w:rsid w:val="0008241E"/>
    <w:rsid w:val="000826F5"/>
    <w:rsid w:val="000829B1"/>
    <w:rsid w:val="00082AAB"/>
    <w:rsid w:val="0008307D"/>
    <w:rsid w:val="000831E9"/>
    <w:rsid w:val="000833BB"/>
    <w:rsid w:val="0008452D"/>
    <w:rsid w:val="0008467B"/>
    <w:rsid w:val="000850FA"/>
    <w:rsid w:val="000857A6"/>
    <w:rsid w:val="00085C12"/>
    <w:rsid w:val="00085DA0"/>
    <w:rsid w:val="00085DDE"/>
    <w:rsid w:val="00085F82"/>
    <w:rsid w:val="00086411"/>
    <w:rsid w:val="00086506"/>
    <w:rsid w:val="00086B6E"/>
    <w:rsid w:val="00086C64"/>
    <w:rsid w:val="0008781A"/>
    <w:rsid w:val="00090951"/>
    <w:rsid w:val="00090A61"/>
    <w:rsid w:val="000918F5"/>
    <w:rsid w:val="000919B5"/>
    <w:rsid w:val="00091C1D"/>
    <w:rsid w:val="00091E08"/>
    <w:rsid w:val="000922D8"/>
    <w:rsid w:val="000932E7"/>
    <w:rsid w:val="0009333A"/>
    <w:rsid w:val="000933C3"/>
    <w:rsid w:val="00093459"/>
    <w:rsid w:val="00093B8B"/>
    <w:rsid w:val="00094E88"/>
    <w:rsid w:val="000951E7"/>
    <w:rsid w:val="00095B82"/>
    <w:rsid w:val="00096098"/>
    <w:rsid w:val="000969D9"/>
    <w:rsid w:val="00096F37"/>
    <w:rsid w:val="00097FE5"/>
    <w:rsid w:val="000A0354"/>
    <w:rsid w:val="000A091F"/>
    <w:rsid w:val="000A0958"/>
    <w:rsid w:val="000A0A3C"/>
    <w:rsid w:val="000A0FCC"/>
    <w:rsid w:val="000A1033"/>
    <w:rsid w:val="000A1355"/>
    <w:rsid w:val="000A2712"/>
    <w:rsid w:val="000A2877"/>
    <w:rsid w:val="000A355D"/>
    <w:rsid w:val="000A35DA"/>
    <w:rsid w:val="000A371E"/>
    <w:rsid w:val="000A3DE5"/>
    <w:rsid w:val="000A4011"/>
    <w:rsid w:val="000A45D5"/>
    <w:rsid w:val="000A490E"/>
    <w:rsid w:val="000A5B49"/>
    <w:rsid w:val="000A5FE5"/>
    <w:rsid w:val="000A60BC"/>
    <w:rsid w:val="000A6ABA"/>
    <w:rsid w:val="000A7218"/>
    <w:rsid w:val="000A73D7"/>
    <w:rsid w:val="000A740A"/>
    <w:rsid w:val="000A7446"/>
    <w:rsid w:val="000A7E7F"/>
    <w:rsid w:val="000A7ECD"/>
    <w:rsid w:val="000B04DD"/>
    <w:rsid w:val="000B0F01"/>
    <w:rsid w:val="000B1346"/>
    <w:rsid w:val="000B1914"/>
    <w:rsid w:val="000B19DC"/>
    <w:rsid w:val="000B1C35"/>
    <w:rsid w:val="000B1CA2"/>
    <w:rsid w:val="000B202E"/>
    <w:rsid w:val="000B2293"/>
    <w:rsid w:val="000B24A4"/>
    <w:rsid w:val="000B255C"/>
    <w:rsid w:val="000B394A"/>
    <w:rsid w:val="000B395E"/>
    <w:rsid w:val="000B39C3"/>
    <w:rsid w:val="000B3A00"/>
    <w:rsid w:val="000B4840"/>
    <w:rsid w:val="000B4D79"/>
    <w:rsid w:val="000B5627"/>
    <w:rsid w:val="000B5671"/>
    <w:rsid w:val="000B6084"/>
    <w:rsid w:val="000B62BE"/>
    <w:rsid w:val="000B6BF0"/>
    <w:rsid w:val="000B6CE8"/>
    <w:rsid w:val="000B7DAF"/>
    <w:rsid w:val="000C071C"/>
    <w:rsid w:val="000C0BB4"/>
    <w:rsid w:val="000C0BEE"/>
    <w:rsid w:val="000C1CB9"/>
    <w:rsid w:val="000C2159"/>
    <w:rsid w:val="000C21BB"/>
    <w:rsid w:val="000C289B"/>
    <w:rsid w:val="000C3F01"/>
    <w:rsid w:val="000C420D"/>
    <w:rsid w:val="000C4773"/>
    <w:rsid w:val="000C4944"/>
    <w:rsid w:val="000C4BBB"/>
    <w:rsid w:val="000C4E24"/>
    <w:rsid w:val="000C5C4A"/>
    <w:rsid w:val="000C5F01"/>
    <w:rsid w:val="000C5F07"/>
    <w:rsid w:val="000C63C4"/>
    <w:rsid w:val="000C66C1"/>
    <w:rsid w:val="000C6F0B"/>
    <w:rsid w:val="000C6F32"/>
    <w:rsid w:val="000C6FEF"/>
    <w:rsid w:val="000C778C"/>
    <w:rsid w:val="000C7833"/>
    <w:rsid w:val="000C7E1B"/>
    <w:rsid w:val="000C7E73"/>
    <w:rsid w:val="000D001B"/>
    <w:rsid w:val="000D0A45"/>
    <w:rsid w:val="000D136E"/>
    <w:rsid w:val="000D14AC"/>
    <w:rsid w:val="000D15BA"/>
    <w:rsid w:val="000D15BE"/>
    <w:rsid w:val="000D2C35"/>
    <w:rsid w:val="000D2C9B"/>
    <w:rsid w:val="000D35FD"/>
    <w:rsid w:val="000D38D0"/>
    <w:rsid w:val="000D3D2D"/>
    <w:rsid w:val="000D3D99"/>
    <w:rsid w:val="000D4653"/>
    <w:rsid w:val="000D4696"/>
    <w:rsid w:val="000D4817"/>
    <w:rsid w:val="000D4FB9"/>
    <w:rsid w:val="000D54B4"/>
    <w:rsid w:val="000D584B"/>
    <w:rsid w:val="000D5F55"/>
    <w:rsid w:val="000D6372"/>
    <w:rsid w:val="000D6664"/>
    <w:rsid w:val="000D6979"/>
    <w:rsid w:val="000D6CE7"/>
    <w:rsid w:val="000D6E38"/>
    <w:rsid w:val="000D6E63"/>
    <w:rsid w:val="000D711C"/>
    <w:rsid w:val="000D7B6E"/>
    <w:rsid w:val="000E0644"/>
    <w:rsid w:val="000E076D"/>
    <w:rsid w:val="000E087C"/>
    <w:rsid w:val="000E187C"/>
    <w:rsid w:val="000E1B28"/>
    <w:rsid w:val="000E1E8D"/>
    <w:rsid w:val="000E1EBC"/>
    <w:rsid w:val="000E2173"/>
    <w:rsid w:val="000E220B"/>
    <w:rsid w:val="000E2A50"/>
    <w:rsid w:val="000E2C5A"/>
    <w:rsid w:val="000E2EDC"/>
    <w:rsid w:val="000E30F2"/>
    <w:rsid w:val="000E316B"/>
    <w:rsid w:val="000E3D08"/>
    <w:rsid w:val="000E43C7"/>
    <w:rsid w:val="000E4728"/>
    <w:rsid w:val="000E4D1F"/>
    <w:rsid w:val="000E5658"/>
    <w:rsid w:val="000E5698"/>
    <w:rsid w:val="000E5723"/>
    <w:rsid w:val="000E581B"/>
    <w:rsid w:val="000E59A4"/>
    <w:rsid w:val="000E61A1"/>
    <w:rsid w:val="000E64B2"/>
    <w:rsid w:val="000E65D2"/>
    <w:rsid w:val="000E6919"/>
    <w:rsid w:val="000E6B1B"/>
    <w:rsid w:val="000E6F0C"/>
    <w:rsid w:val="000E732D"/>
    <w:rsid w:val="000F07ED"/>
    <w:rsid w:val="000F09E2"/>
    <w:rsid w:val="000F0CF2"/>
    <w:rsid w:val="000F1A32"/>
    <w:rsid w:val="000F1BBB"/>
    <w:rsid w:val="000F1CC2"/>
    <w:rsid w:val="000F1D15"/>
    <w:rsid w:val="000F270A"/>
    <w:rsid w:val="000F34C8"/>
    <w:rsid w:val="000F38BC"/>
    <w:rsid w:val="000F3E2A"/>
    <w:rsid w:val="000F4D26"/>
    <w:rsid w:val="000F5639"/>
    <w:rsid w:val="000F58A4"/>
    <w:rsid w:val="000F6757"/>
    <w:rsid w:val="000F6833"/>
    <w:rsid w:val="000F6A24"/>
    <w:rsid w:val="000F6FBB"/>
    <w:rsid w:val="000F7616"/>
    <w:rsid w:val="000F7DE9"/>
    <w:rsid w:val="000F7F7A"/>
    <w:rsid w:val="001002F4"/>
    <w:rsid w:val="001011FC"/>
    <w:rsid w:val="00101232"/>
    <w:rsid w:val="0010165F"/>
    <w:rsid w:val="00101E7C"/>
    <w:rsid w:val="001023DC"/>
    <w:rsid w:val="00102572"/>
    <w:rsid w:val="00102946"/>
    <w:rsid w:val="00102FBF"/>
    <w:rsid w:val="0010333D"/>
    <w:rsid w:val="0010372A"/>
    <w:rsid w:val="00103F41"/>
    <w:rsid w:val="00104060"/>
    <w:rsid w:val="00104F34"/>
    <w:rsid w:val="001053C5"/>
    <w:rsid w:val="001055AD"/>
    <w:rsid w:val="00105AEC"/>
    <w:rsid w:val="00105C14"/>
    <w:rsid w:val="001065A3"/>
    <w:rsid w:val="00106831"/>
    <w:rsid w:val="0010691D"/>
    <w:rsid w:val="00106B33"/>
    <w:rsid w:val="00106E69"/>
    <w:rsid w:val="00110AC5"/>
    <w:rsid w:val="00110F0B"/>
    <w:rsid w:val="0011108B"/>
    <w:rsid w:val="00111136"/>
    <w:rsid w:val="00111164"/>
    <w:rsid w:val="001111F7"/>
    <w:rsid w:val="00111761"/>
    <w:rsid w:val="00112164"/>
    <w:rsid w:val="0011241F"/>
    <w:rsid w:val="001128BF"/>
    <w:rsid w:val="00112D09"/>
    <w:rsid w:val="00112F03"/>
    <w:rsid w:val="00112F38"/>
    <w:rsid w:val="00113821"/>
    <w:rsid w:val="00114058"/>
    <w:rsid w:val="0011449E"/>
    <w:rsid w:val="001153EF"/>
    <w:rsid w:val="00115D55"/>
    <w:rsid w:val="00115E45"/>
    <w:rsid w:val="00115F85"/>
    <w:rsid w:val="0011688E"/>
    <w:rsid w:val="00116ACD"/>
    <w:rsid w:val="00117B7D"/>
    <w:rsid w:val="001205A8"/>
    <w:rsid w:val="00122A64"/>
    <w:rsid w:val="0012388A"/>
    <w:rsid w:val="0012388C"/>
    <w:rsid w:val="00123AFA"/>
    <w:rsid w:val="00123C8C"/>
    <w:rsid w:val="00123E8B"/>
    <w:rsid w:val="00123EA3"/>
    <w:rsid w:val="00124B43"/>
    <w:rsid w:val="00124DF8"/>
    <w:rsid w:val="001253EA"/>
    <w:rsid w:val="00125B99"/>
    <w:rsid w:val="00126160"/>
    <w:rsid w:val="001268DE"/>
    <w:rsid w:val="00126DB5"/>
    <w:rsid w:val="00127178"/>
    <w:rsid w:val="00127F09"/>
    <w:rsid w:val="0013002A"/>
    <w:rsid w:val="0013085D"/>
    <w:rsid w:val="0013089C"/>
    <w:rsid w:val="00130A2D"/>
    <w:rsid w:val="00130F54"/>
    <w:rsid w:val="00131888"/>
    <w:rsid w:val="00131EC4"/>
    <w:rsid w:val="00131F17"/>
    <w:rsid w:val="0013212F"/>
    <w:rsid w:val="001323F9"/>
    <w:rsid w:val="0013251F"/>
    <w:rsid w:val="00133088"/>
    <w:rsid w:val="00133346"/>
    <w:rsid w:val="001335B1"/>
    <w:rsid w:val="00133B4E"/>
    <w:rsid w:val="001346AF"/>
    <w:rsid w:val="00134990"/>
    <w:rsid w:val="001354D1"/>
    <w:rsid w:val="00135A0A"/>
    <w:rsid w:val="00135BB9"/>
    <w:rsid w:val="0013621D"/>
    <w:rsid w:val="00136354"/>
    <w:rsid w:val="00136674"/>
    <w:rsid w:val="00136B0E"/>
    <w:rsid w:val="00136C3B"/>
    <w:rsid w:val="001376AB"/>
    <w:rsid w:val="0013777C"/>
    <w:rsid w:val="00137BA7"/>
    <w:rsid w:val="00137D5F"/>
    <w:rsid w:val="00140082"/>
    <w:rsid w:val="00140175"/>
    <w:rsid w:val="00140757"/>
    <w:rsid w:val="00140D07"/>
    <w:rsid w:val="00141A3A"/>
    <w:rsid w:val="00141CFC"/>
    <w:rsid w:val="001423FA"/>
    <w:rsid w:val="001427B5"/>
    <w:rsid w:val="001428CF"/>
    <w:rsid w:val="00142D0C"/>
    <w:rsid w:val="00142E3C"/>
    <w:rsid w:val="00142F6A"/>
    <w:rsid w:val="00143387"/>
    <w:rsid w:val="00144013"/>
    <w:rsid w:val="00145A17"/>
    <w:rsid w:val="00145BBE"/>
    <w:rsid w:val="001460B5"/>
    <w:rsid w:val="0014641F"/>
    <w:rsid w:val="001464A8"/>
    <w:rsid w:val="001467BB"/>
    <w:rsid w:val="00146CA8"/>
    <w:rsid w:val="00147884"/>
    <w:rsid w:val="00150827"/>
    <w:rsid w:val="00150B0D"/>
    <w:rsid w:val="00151E31"/>
    <w:rsid w:val="00151F9B"/>
    <w:rsid w:val="00152289"/>
    <w:rsid w:val="00152425"/>
    <w:rsid w:val="00152BAD"/>
    <w:rsid w:val="00152CE3"/>
    <w:rsid w:val="00153084"/>
    <w:rsid w:val="00153652"/>
    <w:rsid w:val="00153697"/>
    <w:rsid w:val="00153956"/>
    <w:rsid w:val="00153B95"/>
    <w:rsid w:val="00153C37"/>
    <w:rsid w:val="00153F81"/>
    <w:rsid w:val="00154146"/>
    <w:rsid w:val="00154190"/>
    <w:rsid w:val="001545EA"/>
    <w:rsid w:val="001549BA"/>
    <w:rsid w:val="00154BBF"/>
    <w:rsid w:val="00155099"/>
    <w:rsid w:val="001552B1"/>
    <w:rsid w:val="00155C85"/>
    <w:rsid w:val="001568D1"/>
    <w:rsid w:val="00156A6C"/>
    <w:rsid w:val="00156B10"/>
    <w:rsid w:val="00157204"/>
    <w:rsid w:val="001576FE"/>
    <w:rsid w:val="00157823"/>
    <w:rsid w:val="0015790D"/>
    <w:rsid w:val="00157C5E"/>
    <w:rsid w:val="0016015A"/>
    <w:rsid w:val="0016020E"/>
    <w:rsid w:val="00160503"/>
    <w:rsid w:val="00160D7C"/>
    <w:rsid w:val="00160E30"/>
    <w:rsid w:val="0016106D"/>
    <w:rsid w:val="001611F3"/>
    <w:rsid w:val="001612E1"/>
    <w:rsid w:val="001614DB"/>
    <w:rsid w:val="0016194E"/>
    <w:rsid w:val="0016236C"/>
    <w:rsid w:val="00162625"/>
    <w:rsid w:val="001630A8"/>
    <w:rsid w:val="00163826"/>
    <w:rsid w:val="00163943"/>
    <w:rsid w:val="00163BA1"/>
    <w:rsid w:val="00163F22"/>
    <w:rsid w:val="0016417B"/>
    <w:rsid w:val="0016470E"/>
    <w:rsid w:val="00164E0A"/>
    <w:rsid w:val="001652D7"/>
    <w:rsid w:val="00165A5F"/>
    <w:rsid w:val="00166223"/>
    <w:rsid w:val="0016793E"/>
    <w:rsid w:val="00167CF4"/>
    <w:rsid w:val="00167D4D"/>
    <w:rsid w:val="00170635"/>
    <w:rsid w:val="0017070D"/>
    <w:rsid w:val="00170837"/>
    <w:rsid w:val="00171035"/>
    <w:rsid w:val="001713B7"/>
    <w:rsid w:val="00171ADB"/>
    <w:rsid w:val="00171E2C"/>
    <w:rsid w:val="00172029"/>
    <w:rsid w:val="001733A4"/>
    <w:rsid w:val="00173AB9"/>
    <w:rsid w:val="00173EED"/>
    <w:rsid w:val="00174368"/>
    <w:rsid w:val="001744EA"/>
    <w:rsid w:val="00174D82"/>
    <w:rsid w:val="00174E44"/>
    <w:rsid w:val="00175053"/>
    <w:rsid w:val="001753B7"/>
    <w:rsid w:val="001757E7"/>
    <w:rsid w:val="00175873"/>
    <w:rsid w:val="00175C59"/>
    <w:rsid w:val="001760BC"/>
    <w:rsid w:val="00176674"/>
    <w:rsid w:val="00176818"/>
    <w:rsid w:val="00176B82"/>
    <w:rsid w:val="00176E3B"/>
    <w:rsid w:val="00176ECB"/>
    <w:rsid w:val="0017752D"/>
    <w:rsid w:val="0017759F"/>
    <w:rsid w:val="00177832"/>
    <w:rsid w:val="00181178"/>
    <w:rsid w:val="0018119E"/>
    <w:rsid w:val="00181EEF"/>
    <w:rsid w:val="00181F3E"/>
    <w:rsid w:val="00182FE0"/>
    <w:rsid w:val="00183911"/>
    <w:rsid w:val="00183964"/>
    <w:rsid w:val="001845FB"/>
    <w:rsid w:val="00184B26"/>
    <w:rsid w:val="00185DA6"/>
    <w:rsid w:val="00185F64"/>
    <w:rsid w:val="00186096"/>
    <w:rsid w:val="0018772E"/>
    <w:rsid w:val="00187A94"/>
    <w:rsid w:val="0019029E"/>
    <w:rsid w:val="00190300"/>
    <w:rsid w:val="00190804"/>
    <w:rsid w:val="0019088F"/>
    <w:rsid w:val="00190C51"/>
    <w:rsid w:val="00192135"/>
    <w:rsid w:val="0019306B"/>
    <w:rsid w:val="00193ACC"/>
    <w:rsid w:val="00193BFE"/>
    <w:rsid w:val="0019525E"/>
    <w:rsid w:val="00195322"/>
    <w:rsid w:val="0019560E"/>
    <w:rsid w:val="001958E3"/>
    <w:rsid w:val="0019601B"/>
    <w:rsid w:val="00196048"/>
    <w:rsid w:val="001965BD"/>
    <w:rsid w:val="00196A82"/>
    <w:rsid w:val="001970B4"/>
    <w:rsid w:val="0019769B"/>
    <w:rsid w:val="001979F9"/>
    <w:rsid w:val="00197FFE"/>
    <w:rsid w:val="001A020D"/>
    <w:rsid w:val="001A0D25"/>
    <w:rsid w:val="001A0E14"/>
    <w:rsid w:val="001A1570"/>
    <w:rsid w:val="001A1917"/>
    <w:rsid w:val="001A1C64"/>
    <w:rsid w:val="001A1E7F"/>
    <w:rsid w:val="001A2918"/>
    <w:rsid w:val="001A2D02"/>
    <w:rsid w:val="001A3076"/>
    <w:rsid w:val="001A31A5"/>
    <w:rsid w:val="001A389C"/>
    <w:rsid w:val="001A3B75"/>
    <w:rsid w:val="001A46FB"/>
    <w:rsid w:val="001A5944"/>
    <w:rsid w:val="001A5FB1"/>
    <w:rsid w:val="001A698A"/>
    <w:rsid w:val="001A6CCC"/>
    <w:rsid w:val="001A70C8"/>
    <w:rsid w:val="001A71C9"/>
    <w:rsid w:val="001A7429"/>
    <w:rsid w:val="001A760C"/>
    <w:rsid w:val="001A7632"/>
    <w:rsid w:val="001A799B"/>
    <w:rsid w:val="001A7AC7"/>
    <w:rsid w:val="001A7C38"/>
    <w:rsid w:val="001B02F8"/>
    <w:rsid w:val="001B095C"/>
    <w:rsid w:val="001B2104"/>
    <w:rsid w:val="001B2114"/>
    <w:rsid w:val="001B2279"/>
    <w:rsid w:val="001B2729"/>
    <w:rsid w:val="001B2866"/>
    <w:rsid w:val="001B2881"/>
    <w:rsid w:val="001B2B73"/>
    <w:rsid w:val="001B3675"/>
    <w:rsid w:val="001B37C8"/>
    <w:rsid w:val="001B4B2C"/>
    <w:rsid w:val="001B4C58"/>
    <w:rsid w:val="001B4F10"/>
    <w:rsid w:val="001B5154"/>
    <w:rsid w:val="001B528A"/>
    <w:rsid w:val="001B6D73"/>
    <w:rsid w:val="001B6E30"/>
    <w:rsid w:val="001B7C83"/>
    <w:rsid w:val="001B7F9E"/>
    <w:rsid w:val="001C0206"/>
    <w:rsid w:val="001C0246"/>
    <w:rsid w:val="001C04D4"/>
    <w:rsid w:val="001C0AE4"/>
    <w:rsid w:val="001C0B34"/>
    <w:rsid w:val="001C12A3"/>
    <w:rsid w:val="001C17BB"/>
    <w:rsid w:val="001C187E"/>
    <w:rsid w:val="001C1A37"/>
    <w:rsid w:val="001C1C49"/>
    <w:rsid w:val="001C286F"/>
    <w:rsid w:val="001C2A54"/>
    <w:rsid w:val="001C2B86"/>
    <w:rsid w:val="001C2F54"/>
    <w:rsid w:val="001C2F85"/>
    <w:rsid w:val="001C3308"/>
    <w:rsid w:val="001C3BBB"/>
    <w:rsid w:val="001C40D1"/>
    <w:rsid w:val="001C468A"/>
    <w:rsid w:val="001C4A38"/>
    <w:rsid w:val="001C4A9E"/>
    <w:rsid w:val="001C5001"/>
    <w:rsid w:val="001C5103"/>
    <w:rsid w:val="001C52A8"/>
    <w:rsid w:val="001C5ADF"/>
    <w:rsid w:val="001C5E8E"/>
    <w:rsid w:val="001C6120"/>
    <w:rsid w:val="001C6516"/>
    <w:rsid w:val="001C6B5C"/>
    <w:rsid w:val="001C7155"/>
    <w:rsid w:val="001C7E48"/>
    <w:rsid w:val="001D039B"/>
    <w:rsid w:val="001D1258"/>
    <w:rsid w:val="001D1AB8"/>
    <w:rsid w:val="001D221A"/>
    <w:rsid w:val="001D286F"/>
    <w:rsid w:val="001D2C94"/>
    <w:rsid w:val="001D33D9"/>
    <w:rsid w:val="001D36F6"/>
    <w:rsid w:val="001D4303"/>
    <w:rsid w:val="001D45E5"/>
    <w:rsid w:val="001D461A"/>
    <w:rsid w:val="001D4A9D"/>
    <w:rsid w:val="001D4AAD"/>
    <w:rsid w:val="001D4B86"/>
    <w:rsid w:val="001D5AFA"/>
    <w:rsid w:val="001D61F2"/>
    <w:rsid w:val="001D784A"/>
    <w:rsid w:val="001E04A4"/>
    <w:rsid w:val="001E07C5"/>
    <w:rsid w:val="001E176D"/>
    <w:rsid w:val="001E1BCE"/>
    <w:rsid w:val="001E1E05"/>
    <w:rsid w:val="001E2086"/>
    <w:rsid w:val="001E2529"/>
    <w:rsid w:val="001E2860"/>
    <w:rsid w:val="001E28DB"/>
    <w:rsid w:val="001E339F"/>
    <w:rsid w:val="001E3629"/>
    <w:rsid w:val="001E3E7D"/>
    <w:rsid w:val="001E40F0"/>
    <w:rsid w:val="001E4172"/>
    <w:rsid w:val="001E4471"/>
    <w:rsid w:val="001E5490"/>
    <w:rsid w:val="001E5730"/>
    <w:rsid w:val="001E5E2E"/>
    <w:rsid w:val="001E6352"/>
    <w:rsid w:val="001E70AD"/>
    <w:rsid w:val="001E7237"/>
    <w:rsid w:val="001E7AF6"/>
    <w:rsid w:val="001E7D5F"/>
    <w:rsid w:val="001F01B8"/>
    <w:rsid w:val="001F0FC3"/>
    <w:rsid w:val="001F1188"/>
    <w:rsid w:val="001F1B8D"/>
    <w:rsid w:val="001F2523"/>
    <w:rsid w:val="001F274F"/>
    <w:rsid w:val="001F289C"/>
    <w:rsid w:val="001F2BF9"/>
    <w:rsid w:val="001F3154"/>
    <w:rsid w:val="001F399E"/>
    <w:rsid w:val="001F3AF2"/>
    <w:rsid w:val="001F4486"/>
    <w:rsid w:val="001F6008"/>
    <w:rsid w:val="001F641B"/>
    <w:rsid w:val="001F6D4D"/>
    <w:rsid w:val="00200AB7"/>
    <w:rsid w:val="00200D97"/>
    <w:rsid w:val="0020130D"/>
    <w:rsid w:val="00201D06"/>
    <w:rsid w:val="00201E9F"/>
    <w:rsid w:val="00202F25"/>
    <w:rsid w:val="002030A2"/>
    <w:rsid w:val="002035B3"/>
    <w:rsid w:val="00203929"/>
    <w:rsid w:val="00203CD6"/>
    <w:rsid w:val="00204410"/>
    <w:rsid w:val="00204460"/>
    <w:rsid w:val="00204EA3"/>
    <w:rsid w:val="00205032"/>
    <w:rsid w:val="002051EA"/>
    <w:rsid w:val="00205CBC"/>
    <w:rsid w:val="00206259"/>
    <w:rsid w:val="002074B7"/>
    <w:rsid w:val="0020758D"/>
    <w:rsid w:val="00207C7B"/>
    <w:rsid w:val="00210D7A"/>
    <w:rsid w:val="00211470"/>
    <w:rsid w:val="00211922"/>
    <w:rsid w:val="00211F79"/>
    <w:rsid w:val="0021213A"/>
    <w:rsid w:val="00212151"/>
    <w:rsid w:val="0021265F"/>
    <w:rsid w:val="00213817"/>
    <w:rsid w:val="00213EF2"/>
    <w:rsid w:val="00214428"/>
    <w:rsid w:val="002145EB"/>
    <w:rsid w:val="00214C2C"/>
    <w:rsid w:val="00215834"/>
    <w:rsid w:val="00215CC2"/>
    <w:rsid w:val="00215DBC"/>
    <w:rsid w:val="00215ED8"/>
    <w:rsid w:val="00216111"/>
    <w:rsid w:val="00217700"/>
    <w:rsid w:val="002177E2"/>
    <w:rsid w:val="002205F3"/>
    <w:rsid w:val="0022085B"/>
    <w:rsid w:val="00220924"/>
    <w:rsid w:val="00220E53"/>
    <w:rsid w:val="0022176C"/>
    <w:rsid w:val="002225D1"/>
    <w:rsid w:val="002230FA"/>
    <w:rsid w:val="00223288"/>
    <w:rsid w:val="00223C4F"/>
    <w:rsid w:val="00223DF2"/>
    <w:rsid w:val="00224C0C"/>
    <w:rsid w:val="002256C2"/>
    <w:rsid w:val="002256D0"/>
    <w:rsid w:val="00225C8E"/>
    <w:rsid w:val="00226428"/>
    <w:rsid w:val="002265A9"/>
    <w:rsid w:val="002266CB"/>
    <w:rsid w:val="00226740"/>
    <w:rsid w:val="00227052"/>
    <w:rsid w:val="002272D5"/>
    <w:rsid w:val="0022738E"/>
    <w:rsid w:val="00227906"/>
    <w:rsid w:val="00227934"/>
    <w:rsid w:val="00227E21"/>
    <w:rsid w:val="00231D05"/>
    <w:rsid w:val="00231D1D"/>
    <w:rsid w:val="002325E5"/>
    <w:rsid w:val="002336E2"/>
    <w:rsid w:val="00233AC2"/>
    <w:rsid w:val="00233BAF"/>
    <w:rsid w:val="00234180"/>
    <w:rsid w:val="0023499E"/>
    <w:rsid w:val="00235420"/>
    <w:rsid w:val="00235700"/>
    <w:rsid w:val="0023641E"/>
    <w:rsid w:val="0024065B"/>
    <w:rsid w:val="002409A6"/>
    <w:rsid w:val="00240C63"/>
    <w:rsid w:val="00240EA5"/>
    <w:rsid w:val="00241132"/>
    <w:rsid w:val="00241205"/>
    <w:rsid w:val="002418C5"/>
    <w:rsid w:val="0024261D"/>
    <w:rsid w:val="00242712"/>
    <w:rsid w:val="00242A01"/>
    <w:rsid w:val="00242DFB"/>
    <w:rsid w:val="00243807"/>
    <w:rsid w:val="002440AC"/>
    <w:rsid w:val="00244365"/>
    <w:rsid w:val="0024459A"/>
    <w:rsid w:val="00244771"/>
    <w:rsid w:val="00244903"/>
    <w:rsid w:val="00244AFB"/>
    <w:rsid w:val="002453DF"/>
    <w:rsid w:val="00245A81"/>
    <w:rsid w:val="0024615F"/>
    <w:rsid w:val="00246B86"/>
    <w:rsid w:val="00247335"/>
    <w:rsid w:val="002473EF"/>
    <w:rsid w:val="002477B9"/>
    <w:rsid w:val="00247CBE"/>
    <w:rsid w:val="00247DB0"/>
    <w:rsid w:val="00250979"/>
    <w:rsid w:val="00250A1F"/>
    <w:rsid w:val="00250ADA"/>
    <w:rsid w:val="00250F1D"/>
    <w:rsid w:val="00251078"/>
    <w:rsid w:val="0025138E"/>
    <w:rsid w:val="00251FF1"/>
    <w:rsid w:val="002520BA"/>
    <w:rsid w:val="00252234"/>
    <w:rsid w:val="002528E3"/>
    <w:rsid w:val="00252944"/>
    <w:rsid w:val="00252D55"/>
    <w:rsid w:val="00252D82"/>
    <w:rsid w:val="00253006"/>
    <w:rsid w:val="002533F5"/>
    <w:rsid w:val="00253C60"/>
    <w:rsid w:val="00253F21"/>
    <w:rsid w:val="0025429D"/>
    <w:rsid w:val="002549E9"/>
    <w:rsid w:val="00254FF6"/>
    <w:rsid w:val="00255099"/>
    <w:rsid w:val="002550E8"/>
    <w:rsid w:val="002555C6"/>
    <w:rsid w:val="00255E14"/>
    <w:rsid w:val="00257059"/>
    <w:rsid w:val="0025712F"/>
    <w:rsid w:val="00257395"/>
    <w:rsid w:val="00257857"/>
    <w:rsid w:val="002578DA"/>
    <w:rsid w:val="00257CBC"/>
    <w:rsid w:val="002602C2"/>
    <w:rsid w:val="002602DA"/>
    <w:rsid w:val="0026040B"/>
    <w:rsid w:val="002604F2"/>
    <w:rsid w:val="00260802"/>
    <w:rsid w:val="002609E3"/>
    <w:rsid w:val="00260FBC"/>
    <w:rsid w:val="00261223"/>
    <w:rsid w:val="002617AB"/>
    <w:rsid w:val="00261D08"/>
    <w:rsid w:val="00261DCC"/>
    <w:rsid w:val="002624D0"/>
    <w:rsid w:val="00263EC7"/>
    <w:rsid w:val="00264065"/>
    <w:rsid w:val="0026491B"/>
    <w:rsid w:val="00264A36"/>
    <w:rsid w:val="00264B06"/>
    <w:rsid w:val="00264C1B"/>
    <w:rsid w:val="00265D10"/>
    <w:rsid w:val="00265D56"/>
    <w:rsid w:val="00265E2E"/>
    <w:rsid w:val="002661AB"/>
    <w:rsid w:val="0026742B"/>
    <w:rsid w:val="002674FE"/>
    <w:rsid w:val="00270701"/>
    <w:rsid w:val="00270748"/>
    <w:rsid w:val="002710B4"/>
    <w:rsid w:val="0027117F"/>
    <w:rsid w:val="002712CD"/>
    <w:rsid w:val="002712DC"/>
    <w:rsid w:val="00271875"/>
    <w:rsid w:val="002718A4"/>
    <w:rsid w:val="002718FF"/>
    <w:rsid w:val="00271955"/>
    <w:rsid w:val="00272278"/>
    <w:rsid w:val="00272432"/>
    <w:rsid w:val="00272633"/>
    <w:rsid w:val="00272E48"/>
    <w:rsid w:val="00272FBF"/>
    <w:rsid w:val="002732C8"/>
    <w:rsid w:val="00273A10"/>
    <w:rsid w:val="00273A58"/>
    <w:rsid w:val="00274CAB"/>
    <w:rsid w:val="00274E8A"/>
    <w:rsid w:val="00275FCE"/>
    <w:rsid w:val="002766B8"/>
    <w:rsid w:val="0027680F"/>
    <w:rsid w:val="00276A66"/>
    <w:rsid w:val="00276D5C"/>
    <w:rsid w:val="00277987"/>
    <w:rsid w:val="00277EAD"/>
    <w:rsid w:val="00281006"/>
    <w:rsid w:val="002815B1"/>
    <w:rsid w:val="00281C1F"/>
    <w:rsid w:val="00281EEA"/>
    <w:rsid w:val="00281F88"/>
    <w:rsid w:val="0028288D"/>
    <w:rsid w:val="002829B7"/>
    <w:rsid w:val="00282B82"/>
    <w:rsid w:val="00282C74"/>
    <w:rsid w:val="00282E5B"/>
    <w:rsid w:val="00283995"/>
    <w:rsid w:val="00283B11"/>
    <w:rsid w:val="002841A9"/>
    <w:rsid w:val="00284313"/>
    <w:rsid w:val="002848AD"/>
    <w:rsid w:val="00285154"/>
    <w:rsid w:val="00285BF2"/>
    <w:rsid w:val="00285C78"/>
    <w:rsid w:val="002863CE"/>
    <w:rsid w:val="00291492"/>
    <w:rsid w:val="00291527"/>
    <w:rsid w:val="0029199A"/>
    <w:rsid w:val="00291BBE"/>
    <w:rsid w:val="00291FEB"/>
    <w:rsid w:val="002922BC"/>
    <w:rsid w:val="00293146"/>
    <w:rsid w:val="0029361E"/>
    <w:rsid w:val="00293D68"/>
    <w:rsid w:val="0029408A"/>
    <w:rsid w:val="00294124"/>
    <w:rsid w:val="00294352"/>
    <w:rsid w:val="002944A0"/>
    <w:rsid w:val="002946E4"/>
    <w:rsid w:val="0029495C"/>
    <w:rsid w:val="002957D9"/>
    <w:rsid w:val="00295B52"/>
    <w:rsid w:val="00296024"/>
    <w:rsid w:val="00296293"/>
    <w:rsid w:val="00296896"/>
    <w:rsid w:val="00296AF7"/>
    <w:rsid w:val="002972F9"/>
    <w:rsid w:val="0029739B"/>
    <w:rsid w:val="002977CA"/>
    <w:rsid w:val="00297ED7"/>
    <w:rsid w:val="002A0007"/>
    <w:rsid w:val="002A03AA"/>
    <w:rsid w:val="002A056D"/>
    <w:rsid w:val="002A0626"/>
    <w:rsid w:val="002A07FE"/>
    <w:rsid w:val="002A094D"/>
    <w:rsid w:val="002A0CAF"/>
    <w:rsid w:val="002A1565"/>
    <w:rsid w:val="002A16A9"/>
    <w:rsid w:val="002A2941"/>
    <w:rsid w:val="002A2DC4"/>
    <w:rsid w:val="002A3E69"/>
    <w:rsid w:val="002A44F9"/>
    <w:rsid w:val="002A49EF"/>
    <w:rsid w:val="002A4B8B"/>
    <w:rsid w:val="002A5107"/>
    <w:rsid w:val="002A535E"/>
    <w:rsid w:val="002A5642"/>
    <w:rsid w:val="002A5FB1"/>
    <w:rsid w:val="002A6406"/>
    <w:rsid w:val="002A6CF0"/>
    <w:rsid w:val="002A6FFC"/>
    <w:rsid w:val="002A7010"/>
    <w:rsid w:val="002A70BA"/>
    <w:rsid w:val="002A79D0"/>
    <w:rsid w:val="002A7A57"/>
    <w:rsid w:val="002A7BB2"/>
    <w:rsid w:val="002A7DCB"/>
    <w:rsid w:val="002B0685"/>
    <w:rsid w:val="002B0B53"/>
    <w:rsid w:val="002B0BE0"/>
    <w:rsid w:val="002B1617"/>
    <w:rsid w:val="002B1D11"/>
    <w:rsid w:val="002B2258"/>
    <w:rsid w:val="002B273B"/>
    <w:rsid w:val="002B29AA"/>
    <w:rsid w:val="002B2A7E"/>
    <w:rsid w:val="002B2F1B"/>
    <w:rsid w:val="002B4514"/>
    <w:rsid w:val="002B4748"/>
    <w:rsid w:val="002B5189"/>
    <w:rsid w:val="002B5AFB"/>
    <w:rsid w:val="002B5B1C"/>
    <w:rsid w:val="002B5DB0"/>
    <w:rsid w:val="002B6320"/>
    <w:rsid w:val="002B66AC"/>
    <w:rsid w:val="002B6852"/>
    <w:rsid w:val="002B77E1"/>
    <w:rsid w:val="002C0714"/>
    <w:rsid w:val="002C0A96"/>
    <w:rsid w:val="002C1BF4"/>
    <w:rsid w:val="002C1E0D"/>
    <w:rsid w:val="002C2266"/>
    <w:rsid w:val="002C28EB"/>
    <w:rsid w:val="002C3265"/>
    <w:rsid w:val="002C3AED"/>
    <w:rsid w:val="002C3E56"/>
    <w:rsid w:val="002C414C"/>
    <w:rsid w:val="002C4C2F"/>
    <w:rsid w:val="002C5776"/>
    <w:rsid w:val="002C5EED"/>
    <w:rsid w:val="002C66DE"/>
    <w:rsid w:val="002C7193"/>
    <w:rsid w:val="002C7699"/>
    <w:rsid w:val="002C7A49"/>
    <w:rsid w:val="002D0128"/>
    <w:rsid w:val="002D0E85"/>
    <w:rsid w:val="002D0FA7"/>
    <w:rsid w:val="002D12FB"/>
    <w:rsid w:val="002D19D1"/>
    <w:rsid w:val="002D1F35"/>
    <w:rsid w:val="002D1FA3"/>
    <w:rsid w:val="002D20CD"/>
    <w:rsid w:val="002D23C6"/>
    <w:rsid w:val="002D24F0"/>
    <w:rsid w:val="002D25EB"/>
    <w:rsid w:val="002D29F3"/>
    <w:rsid w:val="002D3126"/>
    <w:rsid w:val="002D3529"/>
    <w:rsid w:val="002D3D0A"/>
    <w:rsid w:val="002D3EF0"/>
    <w:rsid w:val="002D478E"/>
    <w:rsid w:val="002D47AE"/>
    <w:rsid w:val="002D4A94"/>
    <w:rsid w:val="002D65FF"/>
    <w:rsid w:val="002D6D10"/>
    <w:rsid w:val="002D71E2"/>
    <w:rsid w:val="002D72B8"/>
    <w:rsid w:val="002D7B6A"/>
    <w:rsid w:val="002E0026"/>
    <w:rsid w:val="002E0520"/>
    <w:rsid w:val="002E0739"/>
    <w:rsid w:val="002E08E8"/>
    <w:rsid w:val="002E0918"/>
    <w:rsid w:val="002E0BAA"/>
    <w:rsid w:val="002E0D96"/>
    <w:rsid w:val="002E0EA5"/>
    <w:rsid w:val="002E1E19"/>
    <w:rsid w:val="002E1FAC"/>
    <w:rsid w:val="002E283F"/>
    <w:rsid w:val="002E2854"/>
    <w:rsid w:val="002E2E74"/>
    <w:rsid w:val="002E32D2"/>
    <w:rsid w:val="002E361B"/>
    <w:rsid w:val="002E37AB"/>
    <w:rsid w:val="002E3A80"/>
    <w:rsid w:val="002E41C7"/>
    <w:rsid w:val="002E51DF"/>
    <w:rsid w:val="002E5593"/>
    <w:rsid w:val="002E57B9"/>
    <w:rsid w:val="002E6127"/>
    <w:rsid w:val="002E6885"/>
    <w:rsid w:val="002E72E4"/>
    <w:rsid w:val="002E739D"/>
    <w:rsid w:val="002F0F36"/>
    <w:rsid w:val="002F1276"/>
    <w:rsid w:val="002F1986"/>
    <w:rsid w:val="002F1E5F"/>
    <w:rsid w:val="002F2A49"/>
    <w:rsid w:val="002F3550"/>
    <w:rsid w:val="002F3B63"/>
    <w:rsid w:val="002F3C56"/>
    <w:rsid w:val="002F46B0"/>
    <w:rsid w:val="002F4B17"/>
    <w:rsid w:val="002F5150"/>
    <w:rsid w:val="002F5463"/>
    <w:rsid w:val="002F58C2"/>
    <w:rsid w:val="002F5932"/>
    <w:rsid w:val="002F5C85"/>
    <w:rsid w:val="002F603B"/>
    <w:rsid w:val="002F6201"/>
    <w:rsid w:val="002F6E7C"/>
    <w:rsid w:val="002F724B"/>
    <w:rsid w:val="002F72BA"/>
    <w:rsid w:val="00300267"/>
    <w:rsid w:val="003004D2"/>
    <w:rsid w:val="00300D6B"/>
    <w:rsid w:val="00301072"/>
    <w:rsid w:val="00301380"/>
    <w:rsid w:val="003017C5"/>
    <w:rsid w:val="00301E89"/>
    <w:rsid w:val="00302052"/>
    <w:rsid w:val="00302142"/>
    <w:rsid w:val="00302169"/>
    <w:rsid w:val="00302612"/>
    <w:rsid w:val="00303254"/>
    <w:rsid w:val="003044D9"/>
    <w:rsid w:val="00304B91"/>
    <w:rsid w:val="00304D8A"/>
    <w:rsid w:val="00305216"/>
    <w:rsid w:val="0030555B"/>
    <w:rsid w:val="003061F5"/>
    <w:rsid w:val="00306A49"/>
    <w:rsid w:val="00306D27"/>
    <w:rsid w:val="0030739C"/>
    <w:rsid w:val="00310114"/>
    <w:rsid w:val="00310D51"/>
    <w:rsid w:val="00311B36"/>
    <w:rsid w:val="00311C92"/>
    <w:rsid w:val="00312649"/>
    <w:rsid w:val="00313321"/>
    <w:rsid w:val="003133AE"/>
    <w:rsid w:val="0031371B"/>
    <w:rsid w:val="00313A82"/>
    <w:rsid w:val="00314156"/>
    <w:rsid w:val="003146F2"/>
    <w:rsid w:val="0031535B"/>
    <w:rsid w:val="00316F76"/>
    <w:rsid w:val="003170F4"/>
    <w:rsid w:val="0032035D"/>
    <w:rsid w:val="00320474"/>
    <w:rsid w:val="003205E9"/>
    <w:rsid w:val="003207B2"/>
    <w:rsid w:val="00320B28"/>
    <w:rsid w:val="00320BDD"/>
    <w:rsid w:val="0032123E"/>
    <w:rsid w:val="003216D5"/>
    <w:rsid w:val="003216FF"/>
    <w:rsid w:val="00321866"/>
    <w:rsid w:val="00321A83"/>
    <w:rsid w:val="00321C1A"/>
    <w:rsid w:val="00321F6B"/>
    <w:rsid w:val="003222EC"/>
    <w:rsid w:val="00322389"/>
    <w:rsid w:val="0032274F"/>
    <w:rsid w:val="00322BE5"/>
    <w:rsid w:val="00322E87"/>
    <w:rsid w:val="0032312D"/>
    <w:rsid w:val="00323656"/>
    <w:rsid w:val="00323AA5"/>
    <w:rsid w:val="003242E4"/>
    <w:rsid w:val="0032468D"/>
    <w:rsid w:val="00324720"/>
    <w:rsid w:val="00324926"/>
    <w:rsid w:val="00324B25"/>
    <w:rsid w:val="0032522F"/>
    <w:rsid w:val="003253C4"/>
    <w:rsid w:val="0032550F"/>
    <w:rsid w:val="00325992"/>
    <w:rsid w:val="00325B74"/>
    <w:rsid w:val="0032638F"/>
    <w:rsid w:val="00326B59"/>
    <w:rsid w:val="003272C6"/>
    <w:rsid w:val="00327752"/>
    <w:rsid w:val="00327C7C"/>
    <w:rsid w:val="00330009"/>
    <w:rsid w:val="003301E6"/>
    <w:rsid w:val="003310AB"/>
    <w:rsid w:val="003314D2"/>
    <w:rsid w:val="00331712"/>
    <w:rsid w:val="00331A3F"/>
    <w:rsid w:val="00332191"/>
    <w:rsid w:val="00332720"/>
    <w:rsid w:val="00332C5C"/>
    <w:rsid w:val="00332EED"/>
    <w:rsid w:val="003334A7"/>
    <w:rsid w:val="003337E8"/>
    <w:rsid w:val="00333A14"/>
    <w:rsid w:val="00333B2A"/>
    <w:rsid w:val="00333FD5"/>
    <w:rsid w:val="003350E9"/>
    <w:rsid w:val="003351BA"/>
    <w:rsid w:val="0033520F"/>
    <w:rsid w:val="0033596B"/>
    <w:rsid w:val="00335A93"/>
    <w:rsid w:val="00336123"/>
    <w:rsid w:val="0033650E"/>
    <w:rsid w:val="00336580"/>
    <w:rsid w:val="00336907"/>
    <w:rsid w:val="003369DF"/>
    <w:rsid w:val="00336C71"/>
    <w:rsid w:val="00336D96"/>
    <w:rsid w:val="00336DFC"/>
    <w:rsid w:val="00336DFE"/>
    <w:rsid w:val="00337230"/>
    <w:rsid w:val="003377D0"/>
    <w:rsid w:val="00337D75"/>
    <w:rsid w:val="00340020"/>
    <w:rsid w:val="00340AFD"/>
    <w:rsid w:val="00341162"/>
    <w:rsid w:val="00341866"/>
    <w:rsid w:val="00341DAF"/>
    <w:rsid w:val="00342181"/>
    <w:rsid w:val="00343560"/>
    <w:rsid w:val="00343A20"/>
    <w:rsid w:val="0034402B"/>
    <w:rsid w:val="0034449E"/>
    <w:rsid w:val="00344D46"/>
    <w:rsid w:val="003465A5"/>
    <w:rsid w:val="00346817"/>
    <w:rsid w:val="00346C51"/>
    <w:rsid w:val="00347440"/>
    <w:rsid w:val="003474DC"/>
    <w:rsid w:val="003475EA"/>
    <w:rsid w:val="00347A27"/>
    <w:rsid w:val="00347CB5"/>
    <w:rsid w:val="00347CD4"/>
    <w:rsid w:val="00350A55"/>
    <w:rsid w:val="00350DF8"/>
    <w:rsid w:val="0035120E"/>
    <w:rsid w:val="00351A8A"/>
    <w:rsid w:val="0035266A"/>
    <w:rsid w:val="0035279C"/>
    <w:rsid w:val="003535D2"/>
    <w:rsid w:val="0035384D"/>
    <w:rsid w:val="00353C0B"/>
    <w:rsid w:val="003548D9"/>
    <w:rsid w:val="00354AE4"/>
    <w:rsid w:val="00354B0A"/>
    <w:rsid w:val="0035551B"/>
    <w:rsid w:val="003555ED"/>
    <w:rsid w:val="00355911"/>
    <w:rsid w:val="003561AC"/>
    <w:rsid w:val="0035636B"/>
    <w:rsid w:val="00357424"/>
    <w:rsid w:val="0035752A"/>
    <w:rsid w:val="00357A34"/>
    <w:rsid w:val="00357BE9"/>
    <w:rsid w:val="0036003A"/>
    <w:rsid w:val="003601A2"/>
    <w:rsid w:val="00360A2E"/>
    <w:rsid w:val="00361789"/>
    <w:rsid w:val="0036196D"/>
    <w:rsid w:val="00361A59"/>
    <w:rsid w:val="003627BD"/>
    <w:rsid w:val="00362997"/>
    <w:rsid w:val="00362BB3"/>
    <w:rsid w:val="00362C59"/>
    <w:rsid w:val="00363040"/>
    <w:rsid w:val="003630B7"/>
    <w:rsid w:val="00363786"/>
    <w:rsid w:val="003638A4"/>
    <w:rsid w:val="003639BF"/>
    <w:rsid w:val="00363D2E"/>
    <w:rsid w:val="00363E41"/>
    <w:rsid w:val="00363FD2"/>
    <w:rsid w:val="0036572E"/>
    <w:rsid w:val="003663D9"/>
    <w:rsid w:val="003666BF"/>
    <w:rsid w:val="00366707"/>
    <w:rsid w:val="00366FA9"/>
    <w:rsid w:val="00367E49"/>
    <w:rsid w:val="003700E6"/>
    <w:rsid w:val="00371272"/>
    <w:rsid w:val="00371C86"/>
    <w:rsid w:val="0037236C"/>
    <w:rsid w:val="003729DE"/>
    <w:rsid w:val="003735D3"/>
    <w:rsid w:val="0037386D"/>
    <w:rsid w:val="00373956"/>
    <w:rsid w:val="00374153"/>
    <w:rsid w:val="003750E0"/>
    <w:rsid w:val="00375AF1"/>
    <w:rsid w:val="00375C2F"/>
    <w:rsid w:val="00375FC5"/>
    <w:rsid w:val="003760DF"/>
    <w:rsid w:val="003769BA"/>
    <w:rsid w:val="00377871"/>
    <w:rsid w:val="003778B2"/>
    <w:rsid w:val="00377E58"/>
    <w:rsid w:val="003805E3"/>
    <w:rsid w:val="00380618"/>
    <w:rsid w:val="0038062E"/>
    <w:rsid w:val="003807F7"/>
    <w:rsid w:val="00380BA5"/>
    <w:rsid w:val="00381610"/>
    <w:rsid w:val="003820D8"/>
    <w:rsid w:val="00382106"/>
    <w:rsid w:val="00382657"/>
    <w:rsid w:val="00382B82"/>
    <w:rsid w:val="00382E92"/>
    <w:rsid w:val="003844BF"/>
    <w:rsid w:val="00385194"/>
    <w:rsid w:val="003854D5"/>
    <w:rsid w:val="0038552A"/>
    <w:rsid w:val="003859EA"/>
    <w:rsid w:val="0038709E"/>
    <w:rsid w:val="00387D30"/>
    <w:rsid w:val="003914A9"/>
    <w:rsid w:val="00391753"/>
    <w:rsid w:val="00391C7F"/>
    <w:rsid w:val="00391D55"/>
    <w:rsid w:val="00391F9D"/>
    <w:rsid w:val="00392454"/>
    <w:rsid w:val="00392C85"/>
    <w:rsid w:val="00392FD8"/>
    <w:rsid w:val="00393207"/>
    <w:rsid w:val="00393E11"/>
    <w:rsid w:val="00394475"/>
    <w:rsid w:val="0039517A"/>
    <w:rsid w:val="00395B51"/>
    <w:rsid w:val="00396796"/>
    <w:rsid w:val="00396EC6"/>
    <w:rsid w:val="003970BA"/>
    <w:rsid w:val="0039714D"/>
    <w:rsid w:val="0039746C"/>
    <w:rsid w:val="00397B88"/>
    <w:rsid w:val="00397DC6"/>
    <w:rsid w:val="003A0292"/>
    <w:rsid w:val="003A0E82"/>
    <w:rsid w:val="003A0FAC"/>
    <w:rsid w:val="003A184D"/>
    <w:rsid w:val="003A18E8"/>
    <w:rsid w:val="003A1FB7"/>
    <w:rsid w:val="003A2476"/>
    <w:rsid w:val="003A25B2"/>
    <w:rsid w:val="003A2ED9"/>
    <w:rsid w:val="003A2FA3"/>
    <w:rsid w:val="003A3457"/>
    <w:rsid w:val="003A371E"/>
    <w:rsid w:val="003A462A"/>
    <w:rsid w:val="003A5451"/>
    <w:rsid w:val="003A595F"/>
    <w:rsid w:val="003A5EEC"/>
    <w:rsid w:val="003A64F2"/>
    <w:rsid w:val="003A6622"/>
    <w:rsid w:val="003A6E66"/>
    <w:rsid w:val="003A79AE"/>
    <w:rsid w:val="003A7CA3"/>
    <w:rsid w:val="003B00B6"/>
    <w:rsid w:val="003B01C4"/>
    <w:rsid w:val="003B0BB0"/>
    <w:rsid w:val="003B11EE"/>
    <w:rsid w:val="003B15F8"/>
    <w:rsid w:val="003B168A"/>
    <w:rsid w:val="003B230B"/>
    <w:rsid w:val="003B23BC"/>
    <w:rsid w:val="003B28BA"/>
    <w:rsid w:val="003B2DB5"/>
    <w:rsid w:val="003B2F05"/>
    <w:rsid w:val="003B3966"/>
    <w:rsid w:val="003B39B7"/>
    <w:rsid w:val="003B47CC"/>
    <w:rsid w:val="003B4EB0"/>
    <w:rsid w:val="003B5F6A"/>
    <w:rsid w:val="003B6B7F"/>
    <w:rsid w:val="003B7820"/>
    <w:rsid w:val="003C01A4"/>
    <w:rsid w:val="003C0219"/>
    <w:rsid w:val="003C0C12"/>
    <w:rsid w:val="003C0DCF"/>
    <w:rsid w:val="003C16EE"/>
    <w:rsid w:val="003C1C87"/>
    <w:rsid w:val="003C2402"/>
    <w:rsid w:val="003C2C85"/>
    <w:rsid w:val="003C2F61"/>
    <w:rsid w:val="003C3037"/>
    <w:rsid w:val="003C345E"/>
    <w:rsid w:val="003C3E12"/>
    <w:rsid w:val="003C4409"/>
    <w:rsid w:val="003C4605"/>
    <w:rsid w:val="003C4997"/>
    <w:rsid w:val="003C4DA5"/>
    <w:rsid w:val="003C5666"/>
    <w:rsid w:val="003C5FAE"/>
    <w:rsid w:val="003C60CC"/>
    <w:rsid w:val="003C64F4"/>
    <w:rsid w:val="003C6E4B"/>
    <w:rsid w:val="003C6F5B"/>
    <w:rsid w:val="003C724B"/>
    <w:rsid w:val="003C73DB"/>
    <w:rsid w:val="003C7F81"/>
    <w:rsid w:val="003D0185"/>
    <w:rsid w:val="003D02CB"/>
    <w:rsid w:val="003D0382"/>
    <w:rsid w:val="003D069C"/>
    <w:rsid w:val="003D0C40"/>
    <w:rsid w:val="003D191E"/>
    <w:rsid w:val="003D22A5"/>
    <w:rsid w:val="003D23A4"/>
    <w:rsid w:val="003D3414"/>
    <w:rsid w:val="003D3426"/>
    <w:rsid w:val="003D3654"/>
    <w:rsid w:val="003D3721"/>
    <w:rsid w:val="003D5704"/>
    <w:rsid w:val="003D570E"/>
    <w:rsid w:val="003D63F3"/>
    <w:rsid w:val="003D6722"/>
    <w:rsid w:val="003D7428"/>
    <w:rsid w:val="003D77F2"/>
    <w:rsid w:val="003D78CC"/>
    <w:rsid w:val="003D7D01"/>
    <w:rsid w:val="003D7ED8"/>
    <w:rsid w:val="003E0003"/>
    <w:rsid w:val="003E0099"/>
    <w:rsid w:val="003E08C7"/>
    <w:rsid w:val="003E1A72"/>
    <w:rsid w:val="003E249B"/>
    <w:rsid w:val="003E2880"/>
    <w:rsid w:val="003E28FB"/>
    <w:rsid w:val="003E2A00"/>
    <w:rsid w:val="003E2EFA"/>
    <w:rsid w:val="003E3798"/>
    <w:rsid w:val="003E382C"/>
    <w:rsid w:val="003E3D00"/>
    <w:rsid w:val="003E4531"/>
    <w:rsid w:val="003E4771"/>
    <w:rsid w:val="003E54A8"/>
    <w:rsid w:val="003E5833"/>
    <w:rsid w:val="003E5DA8"/>
    <w:rsid w:val="003E7109"/>
    <w:rsid w:val="003E72DE"/>
    <w:rsid w:val="003E7445"/>
    <w:rsid w:val="003E74F9"/>
    <w:rsid w:val="003E77DC"/>
    <w:rsid w:val="003E7BC1"/>
    <w:rsid w:val="003F0453"/>
    <w:rsid w:val="003F0C9F"/>
    <w:rsid w:val="003F144A"/>
    <w:rsid w:val="003F182A"/>
    <w:rsid w:val="003F1B02"/>
    <w:rsid w:val="003F1EFE"/>
    <w:rsid w:val="003F2240"/>
    <w:rsid w:val="003F2460"/>
    <w:rsid w:val="003F2E7B"/>
    <w:rsid w:val="003F3CD5"/>
    <w:rsid w:val="003F4473"/>
    <w:rsid w:val="003F4CF5"/>
    <w:rsid w:val="003F4E31"/>
    <w:rsid w:val="003F51EE"/>
    <w:rsid w:val="003F574E"/>
    <w:rsid w:val="003F60D6"/>
    <w:rsid w:val="003F68E9"/>
    <w:rsid w:val="003F7E15"/>
    <w:rsid w:val="003F7E62"/>
    <w:rsid w:val="003F7FDA"/>
    <w:rsid w:val="004011F0"/>
    <w:rsid w:val="004013AD"/>
    <w:rsid w:val="004021C0"/>
    <w:rsid w:val="004028CE"/>
    <w:rsid w:val="0040313D"/>
    <w:rsid w:val="004043BD"/>
    <w:rsid w:val="004043FA"/>
    <w:rsid w:val="00404970"/>
    <w:rsid w:val="00404A28"/>
    <w:rsid w:val="00405181"/>
    <w:rsid w:val="0040567F"/>
    <w:rsid w:val="00405873"/>
    <w:rsid w:val="00405A17"/>
    <w:rsid w:val="00405F09"/>
    <w:rsid w:val="004066F4"/>
    <w:rsid w:val="00406A32"/>
    <w:rsid w:val="00407185"/>
    <w:rsid w:val="004075A8"/>
    <w:rsid w:val="0040760B"/>
    <w:rsid w:val="00410117"/>
    <w:rsid w:val="00410C32"/>
    <w:rsid w:val="00411237"/>
    <w:rsid w:val="00411557"/>
    <w:rsid w:val="00411994"/>
    <w:rsid w:val="00411D74"/>
    <w:rsid w:val="00411DDE"/>
    <w:rsid w:val="00411F84"/>
    <w:rsid w:val="00412069"/>
    <w:rsid w:val="004121A1"/>
    <w:rsid w:val="00412477"/>
    <w:rsid w:val="00412570"/>
    <w:rsid w:val="004127A2"/>
    <w:rsid w:val="0041280A"/>
    <w:rsid w:val="00412A9D"/>
    <w:rsid w:val="00412CB1"/>
    <w:rsid w:val="004133A5"/>
    <w:rsid w:val="0041375D"/>
    <w:rsid w:val="00413D45"/>
    <w:rsid w:val="00414197"/>
    <w:rsid w:val="00414D68"/>
    <w:rsid w:val="00414FD9"/>
    <w:rsid w:val="00415773"/>
    <w:rsid w:val="00415CAE"/>
    <w:rsid w:val="00415EE7"/>
    <w:rsid w:val="004160FA"/>
    <w:rsid w:val="0041669E"/>
    <w:rsid w:val="00416ACA"/>
    <w:rsid w:val="00416C56"/>
    <w:rsid w:val="00416D79"/>
    <w:rsid w:val="00417294"/>
    <w:rsid w:val="004176B8"/>
    <w:rsid w:val="00417B99"/>
    <w:rsid w:val="00417CE0"/>
    <w:rsid w:val="004203C9"/>
    <w:rsid w:val="004209D5"/>
    <w:rsid w:val="00420FAF"/>
    <w:rsid w:val="00421184"/>
    <w:rsid w:val="004212C1"/>
    <w:rsid w:val="004214B7"/>
    <w:rsid w:val="00421FB5"/>
    <w:rsid w:val="00422669"/>
    <w:rsid w:val="004226ED"/>
    <w:rsid w:val="00422AF4"/>
    <w:rsid w:val="004235F4"/>
    <w:rsid w:val="004236C9"/>
    <w:rsid w:val="00423CF3"/>
    <w:rsid w:val="00423E18"/>
    <w:rsid w:val="00424B7C"/>
    <w:rsid w:val="0042500C"/>
    <w:rsid w:val="004251B5"/>
    <w:rsid w:val="00425514"/>
    <w:rsid w:val="004256BD"/>
    <w:rsid w:val="00425863"/>
    <w:rsid w:val="00425D02"/>
    <w:rsid w:val="00425EDC"/>
    <w:rsid w:val="00426C3E"/>
    <w:rsid w:val="004275CD"/>
    <w:rsid w:val="00427FEB"/>
    <w:rsid w:val="00427FF2"/>
    <w:rsid w:val="004305C0"/>
    <w:rsid w:val="00430B20"/>
    <w:rsid w:val="00430B6C"/>
    <w:rsid w:val="004314BA"/>
    <w:rsid w:val="0043221A"/>
    <w:rsid w:val="0043227C"/>
    <w:rsid w:val="004335C0"/>
    <w:rsid w:val="00433FDC"/>
    <w:rsid w:val="00435121"/>
    <w:rsid w:val="00435715"/>
    <w:rsid w:val="0043571B"/>
    <w:rsid w:val="00435EE0"/>
    <w:rsid w:val="00435F29"/>
    <w:rsid w:val="0043610C"/>
    <w:rsid w:val="004366FF"/>
    <w:rsid w:val="00437CD1"/>
    <w:rsid w:val="00437D83"/>
    <w:rsid w:val="004401DD"/>
    <w:rsid w:val="00440344"/>
    <w:rsid w:val="00441264"/>
    <w:rsid w:val="00441B0F"/>
    <w:rsid w:val="004425C6"/>
    <w:rsid w:val="00443A11"/>
    <w:rsid w:val="00443D5D"/>
    <w:rsid w:val="00445CBA"/>
    <w:rsid w:val="004463CB"/>
    <w:rsid w:val="004466F7"/>
    <w:rsid w:val="00446858"/>
    <w:rsid w:val="00447304"/>
    <w:rsid w:val="00450127"/>
    <w:rsid w:val="0045075F"/>
    <w:rsid w:val="00450EE2"/>
    <w:rsid w:val="004516AD"/>
    <w:rsid w:val="00451E84"/>
    <w:rsid w:val="00451EA3"/>
    <w:rsid w:val="00451F01"/>
    <w:rsid w:val="004546A7"/>
    <w:rsid w:val="00454831"/>
    <w:rsid w:val="004548DF"/>
    <w:rsid w:val="00456CC0"/>
    <w:rsid w:val="00456EDC"/>
    <w:rsid w:val="00457139"/>
    <w:rsid w:val="00457933"/>
    <w:rsid w:val="00457C78"/>
    <w:rsid w:val="00460735"/>
    <w:rsid w:val="00460AD5"/>
    <w:rsid w:val="00460EB8"/>
    <w:rsid w:val="00461090"/>
    <w:rsid w:val="00461991"/>
    <w:rsid w:val="00461C43"/>
    <w:rsid w:val="00462125"/>
    <w:rsid w:val="00462D58"/>
    <w:rsid w:val="00463216"/>
    <w:rsid w:val="0046334D"/>
    <w:rsid w:val="00463C95"/>
    <w:rsid w:val="00463E1C"/>
    <w:rsid w:val="00464052"/>
    <w:rsid w:val="00465153"/>
    <w:rsid w:val="00465602"/>
    <w:rsid w:val="00466377"/>
    <w:rsid w:val="00466AFD"/>
    <w:rsid w:val="00470696"/>
    <w:rsid w:val="00472177"/>
    <w:rsid w:val="004724C9"/>
    <w:rsid w:val="00472585"/>
    <w:rsid w:val="00474130"/>
    <w:rsid w:val="00474EDD"/>
    <w:rsid w:val="00475A6C"/>
    <w:rsid w:val="004764AF"/>
    <w:rsid w:val="00476D04"/>
    <w:rsid w:val="00477183"/>
    <w:rsid w:val="0047775E"/>
    <w:rsid w:val="00477AAE"/>
    <w:rsid w:val="00477AF6"/>
    <w:rsid w:val="00477B3B"/>
    <w:rsid w:val="00477BCB"/>
    <w:rsid w:val="004801A7"/>
    <w:rsid w:val="00480E47"/>
    <w:rsid w:val="00481666"/>
    <w:rsid w:val="0048181B"/>
    <w:rsid w:val="00481F2B"/>
    <w:rsid w:val="004820C5"/>
    <w:rsid w:val="00482198"/>
    <w:rsid w:val="004823D8"/>
    <w:rsid w:val="00482F20"/>
    <w:rsid w:val="00483196"/>
    <w:rsid w:val="0048340F"/>
    <w:rsid w:val="00483630"/>
    <w:rsid w:val="0048423C"/>
    <w:rsid w:val="00484449"/>
    <w:rsid w:val="004852CE"/>
    <w:rsid w:val="0048540C"/>
    <w:rsid w:val="00485F92"/>
    <w:rsid w:val="004860BD"/>
    <w:rsid w:val="004866E1"/>
    <w:rsid w:val="00486C72"/>
    <w:rsid w:val="00487470"/>
    <w:rsid w:val="00490954"/>
    <w:rsid w:val="0049277A"/>
    <w:rsid w:val="00492B38"/>
    <w:rsid w:val="00492FE4"/>
    <w:rsid w:val="00493035"/>
    <w:rsid w:val="00493321"/>
    <w:rsid w:val="004936DE"/>
    <w:rsid w:val="00493707"/>
    <w:rsid w:val="00494060"/>
    <w:rsid w:val="00494F63"/>
    <w:rsid w:val="004950CB"/>
    <w:rsid w:val="0049544E"/>
    <w:rsid w:val="00495670"/>
    <w:rsid w:val="0049604B"/>
    <w:rsid w:val="00496AC9"/>
    <w:rsid w:val="004971ED"/>
    <w:rsid w:val="004A0292"/>
    <w:rsid w:val="004A040E"/>
    <w:rsid w:val="004A042D"/>
    <w:rsid w:val="004A11E0"/>
    <w:rsid w:val="004A1FC5"/>
    <w:rsid w:val="004A2158"/>
    <w:rsid w:val="004A29A5"/>
    <w:rsid w:val="004A3225"/>
    <w:rsid w:val="004A374A"/>
    <w:rsid w:val="004A395B"/>
    <w:rsid w:val="004A3C59"/>
    <w:rsid w:val="004A3FE2"/>
    <w:rsid w:val="004A4195"/>
    <w:rsid w:val="004A421F"/>
    <w:rsid w:val="004A480D"/>
    <w:rsid w:val="004A4D76"/>
    <w:rsid w:val="004A5851"/>
    <w:rsid w:val="004A5A91"/>
    <w:rsid w:val="004A5B0F"/>
    <w:rsid w:val="004A5CF1"/>
    <w:rsid w:val="004A66E0"/>
    <w:rsid w:val="004A7AAE"/>
    <w:rsid w:val="004A7D49"/>
    <w:rsid w:val="004A7F21"/>
    <w:rsid w:val="004B08DB"/>
    <w:rsid w:val="004B096A"/>
    <w:rsid w:val="004B0BEB"/>
    <w:rsid w:val="004B1422"/>
    <w:rsid w:val="004B15B2"/>
    <w:rsid w:val="004B24EB"/>
    <w:rsid w:val="004B29AC"/>
    <w:rsid w:val="004B3C8B"/>
    <w:rsid w:val="004B4017"/>
    <w:rsid w:val="004B44A9"/>
    <w:rsid w:val="004B4509"/>
    <w:rsid w:val="004B452A"/>
    <w:rsid w:val="004B46B4"/>
    <w:rsid w:val="004B4871"/>
    <w:rsid w:val="004B4ADF"/>
    <w:rsid w:val="004B4C00"/>
    <w:rsid w:val="004B4E06"/>
    <w:rsid w:val="004B5493"/>
    <w:rsid w:val="004B5914"/>
    <w:rsid w:val="004B5B6F"/>
    <w:rsid w:val="004B65D7"/>
    <w:rsid w:val="004B6C77"/>
    <w:rsid w:val="004B6D0A"/>
    <w:rsid w:val="004B7995"/>
    <w:rsid w:val="004C02B3"/>
    <w:rsid w:val="004C0859"/>
    <w:rsid w:val="004C098E"/>
    <w:rsid w:val="004C0BBE"/>
    <w:rsid w:val="004C0E2F"/>
    <w:rsid w:val="004C222E"/>
    <w:rsid w:val="004C2561"/>
    <w:rsid w:val="004C2806"/>
    <w:rsid w:val="004C2A38"/>
    <w:rsid w:val="004C3ADD"/>
    <w:rsid w:val="004C428E"/>
    <w:rsid w:val="004C441A"/>
    <w:rsid w:val="004C4775"/>
    <w:rsid w:val="004C483D"/>
    <w:rsid w:val="004C48A9"/>
    <w:rsid w:val="004C4D05"/>
    <w:rsid w:val="004C590B"/>
    <w:rsid w:val="004C6017"/>
    <w:rsid w:val="004C63C7"/>
    <w:rsid w:val="004C6D39"/>
    <w:rsid w:val="004C6D98"/>
    <w:rsid w:val="004C7217"/>
    <w:rsid w:val="004C7743"/>
    <w:rsid w:val="004C77A7"/>
    <w:rsid w:val="004D039E"/>
    <w:rsid w:val="004D04A3"/>
    <w:rsid w:val="004D0C9F"/>
    <w:rsid w:val="004D15FD"/>
    <w:rsid w:val="004D19C8"/>
    <w:rsid w:val="004D1A0A"/>
    <w:rsid w:val="004D2369"/>
    <w:rsid w:val="004D2485"/>
    <w:rsid w:val="004D3A57"/>
    <w:rsid w:val="004D47FF"/>
    <w:rsid w:val="004D4D35"/>
    <w:rsid w:val="004D518F"/>
    <w:rsid w:val="004D54D7"/>
    <w:rsid w:val="004D5BB7"/>
    <w:rsid w:val="004D6053"/>
    <w:rsid w:val="004D6FA4"/>
    <w:rsid w:val="004D7A03"/>
    <w:rsid w:val="004D7C23"/>
    <w:rsid w:val="004E01C6"/>
    <w:rsid w:val="004E0212"/>
    <w:rsid w:val="004E046B"/>
    <w:rsid w:val="004E0ADC"/>
    <w:rsid w:val="004E0FB1"/>
    <w:rsid w:val="004E1043"/>
    <w:rsid w:val="004E1DCA"/>
    <w:rsid w:val="004E21B4"/>
    <w:rsid w:val="004E252B"/>
    <w:rsid w:val="004E2861"/>
    <w:rsid w:val="004E2A85"/>
    <w:rsid w:val="004E3C60"/>
    <w:rsid w:val="004E3F72"/>
    <w:rsid w:val="004E4A78"/>
    <w:rsid w:val="004E551E"/>
    <w:rsid w:val="004E58F6"/>
    <w:rsid w:val="004E5E37"/>
    <w:rsid w:val="004E5E4C"/>
    <w:rsid w:val="004E623E"/>
    <w:rsid w:val="004E6CF9"/>
    <w:rsid w:val="004E6E83"/>
    <w:rsid w:val="004E734E"/>
    <w:rsid w:val="004E7EC0"/>
    <w:rsid w:val="004E7F48"/>
    <w:rsid w:val="004F014E"/>
    <w:rsid w:val="004F023B"/>
    <w:rsid w:val="004F0BC6"/>
    <w:rsid w:val="004F1123"/>
    <w:rsid w:val="004F1715"/>
    <w:rsid w:val="004F17DA"/>
    <w:rsid w:val="004F2FC3"/>
    <w:rsid w:val="004F3BD2"/>
    <w:rsid w:val="004F4372"/>
    <w:rsid w:val="004F43E0"/>
    <w:rsid w:val="004F45EB"/>
    <w:rsid w:val="004F521B"/>
    <w:rsid w:val="004F52BB"/>
    <w:rsid w:val="004F5582"/>
    <w:rsid w:val="004F59B8"/>
    <w:rsid w:val="004F62A7"/>
    <w:rsid w:val="004F62F9"/>
    <w:rsid w:val="004F66B3"/>
    <w:rsid w:val="004F6723"/>
    <w:rsid w:val="004F6F1F"/>
    <w:rsid w:val="004F7352"/>
    <w:rsid w:val="004F7889"/>
    <w:rsid w:val="0050015C"/>
    <w:rsid w:val="00500418"/>
    <w:rsid w:val="00500926"/>
    <w:rsid w:val="00500CCF"/>
    <w:rsid w:val="00500E62"/>
    <w:rsid w:val="005010DE"/>
    <w:rsid w:val="00501164"/>
    <w:rsid w:val="005011FD"/>
    <w:rsid w:val="0050164B"/>
    <w:rsid w:val="00502958"/>
    <w:rsid w:val="00502BD2"/>
    <w:rsid w:val="00502DA4"/>
    <w:rsid w:val="00502E79"/>
    <w:rsid w:val="00503F83"/>
    <w:rsid w:val="0050421C"/>
    <w:rsid w:val="00504A9B"/>
    <w:rsid w:val="00504E9A"/>
    <w:rsid w:val="00504F83"/>
    <w:rsid w:val="005059B9"/>
    <w:rsid w:val="00505D4F"/>
    <w:rsid w:val="00505F64"/>
    <w:rsid w:val="00506DCD"/>
    <w:rsid w:val="00507325"/>
    <w:rsid w:val="00507C56"/>
    <w:rsid w:val="00507F13"/>
    <w:rsid w:val="00510595"/>
    <w:rsid w:val="005109D4"/>
    <w:rsid w:val="00510CF4"/>
    <w:rsid w:val="0051160A"/>
    <w:rsid w:val="005118BA"/>
    <w:rsid w:val="00512D87"/>
    <w:rsid w:val="005130DA"/>
    <w:rsid w:val="00513DDA"/>
    <w:rsid w:val="00513E19"/>
    <w:rsid w:val="005148B4"/>
    <w:rsid w:val="00514B29"/>
    <w:rsid w:val="005152B1"/>
    <w:rsid w:val="005152F0"/>
    <w:rsid w:val="00515856"/>
    <w:rsid w:val="00515A35"/>
    <w:rsid w:val="005163E6"/>
    <w:rsid w:val="005169BB"/>
    <w:rsid w:val="005172EC"/>
    <w:rsid w:val="0051740D"/>
    <w:rsid w:val="005178C2"/>
    <w:rsid w:val="005178CE"/>
    <w:rsid w:val="00521CAB"/>
    <w:rsid w:val="005224EF"/>
    <w:rsid w:val="00522654"/>
    <w:rsid w:val="00522835"/>
    <w:rsid w:val="0052293D"/>
    <w:rsid w:val="005229E2"/>
    <w:rsid w:val="00522AF4"/>
    <w:rsid w:val="00523499"/>
    <w:rsid w:val="00523BC7"/>
    <w:rsid w:val="00523C08"/>
    <w:rsid w:val="00523C10"/>
    <w:rsid w:val="00523E23"/>
    <w:rsid w:val="005245D5"/>
    <w:rsid w:val="00524889"/>
    <w:rsid w:val="0052506A"/>
    <w:rsid w:val="0052575D"/>
    <w:rsid w:val="00525A53"/>
    <w:rsid w:val="00525C71"/>
    <w:rsid w:val="00526569"/>
    <w:rsid w:val="00526726"/>
    <w:rsid w:val="00527256"/>
    <w:rsid w:val="00527AF7"/>
    <w:rsid w:val="00527B57"/>
    <w:rsid w:val="00527C8D"/>
    <w:rsid w:val="00527C9C"/>
    <w:rsid w:val="00530AC4"/>
    <w:rsid w:val="00531D7C"/>
    <w:rsid w:val="0053309E"/>
    <w:rsid w:val="00533169"/>
    <w:rsid w:val="00533194"/>
    <w:rsid w:val="005332C8"/>
    <w:rsid w:val="0053464E"/>
    <w:rsid w:val="005352C8"/>
    <w:rsid w:val="005354C1"/>
    <w:rsid w:val="005354FC"/>
    <w:rsid w:val="00535F99"/>
    <w:rsid w:val="00536356"/>
    <w:rsid w:val="00536CBB"/>
    <w:rsid w:val="00536DDD"/>
    <w:rsid w:val="00537033"/>
    <w:rsid w:val="00540A37"/>
    <w:rsid w:val="00540B49"/>
    <w:rsid w:val="005418DB"/>
    <w:rsid w:val="005434EA"/>
    <w:rsid w:val="00543A69"/>
    <w:rsid w:val="00545D55"/>
    <w:rsid w:val="005461AB"/>
    <w:rsid w:val="00546C6A"/>
    <w:rsid w:val="00546FBA"/>
    <w:rsid w:val="00547A4E"/>
    <w:rsid w:val="00547F04"/>
    <w:rsid w:val="00550924"/>
    <w:rsid w:val="00550D63"/>
    <w:rsid w:val="00550EF1"/>
    <w:rsid w:val="00551075"/>
    <w:rsid w:val="005513C8"/>
    <w:rsid w:val="005519BC"/>
    <w:rsid w:val="0055352C"/>
    <w:rsid w:val="005538A6"/>
    <w:rsid w:val="00554F94"/>
    <w:rsid w:val="00555161"/>
    <w:rsid w:val="00555DE6"/>
    <w:rsid w:val="00555EB3"/>
    <w:rsid w:val="005567F6"/>
    <w:rsid w:val="00556E29"/>
    <w:rsid w:val="00557474"/>
    <w:rsid w:val="00557DAA"/>
    <w:rsid w:val="00557DAD"/>
    <w:rsid w:val="00560F9D"/>
    <w:rsid w:val="00561138"/>
    <w:rsid w:val="00561699"/>
    <w:rsid w:val="0056194F"/>
    <w:rsid w:val="005619E1"/>
    <w:rsid w:val="0056219F"/>
    <w:rsid w:val="00562629"/>
    <w:rsid w:val="005628FE"/>
    <w:rsid w:val="0056364B"/>
    <w:rsid w:val="00564191"/>
    <w:rsid w:val="00564557"/>
    <w:rsid w:val="0056458C"/>
    <w:rsid w:val="00564628"/>
    <w:rsid w:val="005648B9"/>
    <w:rsid w:val="00564A3C"/>
    <w:rsid w:val="00564F82"/>
    <w:rsid w:val="005653AF"/>
    <w:rsid w:val="00565501"/>
    <w:rsid w:val="00565755"/>
    <w:rsid w:val="0056601E"/>
    <w:rsid w:val="00566406"/>
    <w:rsid w:val="00566538"/>
    <w:rsid w:val="0056725A"/>
    <w:rsid w:val="0056741F"/>
    <w:rsid w:val="00567647"/>
    <w:rsid w:val="0056781B"/>
    <w:rsid w:val="00567BE2"/>
    <w:rsid w:val="00570102"/>
    <w:rsid w:val="00570505"/>
    <w:rsid w:val="005708ED"/>
    <w:rsid w:val="005712E6"/>
    <w:rsid w:val="00572942"/>
    <w:rsid w:val="00572F2F"/>
    <w:rsid w:val="005730DB"/>
    <w:rsid w:val="00573251"/>
    <w:rsid w:val="005733A8"/>
    <w:rsid w:val="00573B5B"/>
    <w:rsid w:val="00573F55"/>
    <w:rsid w:val="00574CE3"/>
    <w:rsid w:val="0057540E"/>
    <w:rsid w:val="0057575D"/>
    <w:rsid w:val="005757B6"/>
    <w:rsid w:val="0058000F"/>
    <w:rsid w:val="00580557"/>
    <w:rsid w:val="0058074F"/>
    <w:rsid w:val="00580A76"/>
    <w:rsid w:val="00581042"/>
    <w:rsid w:val="00581703"/>
    <w:rsid w:val="00581B15"/>
    <w:rsid w:val="005821DD"/>
    <w:rsid w:val="00583908"/>
    <w:rsid w:val="00584757"/>
    <w:rsid w:val="00584E21"/>
    <w:rsid w:val="0058608B"/>
    <w:rsid w:val="005863C1"/>
    <w:rsid w:val="0058654D"/>
    <w:rsid w:val="00586786"/>
    <w:rsid w:val="00587123"/>
    <w:rsid w:val="00587729"/>
    <w:rsid w:val="00587886"/>
    <w:rsid w:val="00587A66"/>
    <w:rsid w:val="00590147"/>
    <w:rsid w:val="00590BD1"/>
    <w:rsid w:val="00590D26"/>
    <w:rsid w:val="00590E50"/>
    <w:rsid w:val="00591276"/>
    <w:rsid w:val="00591490"/>
    <w:rsid w:val="0059151A"/>
    <w:rsid w:val="005916C9"/>
    <w:rsid w:val="00591C7E"/>
    <w:rsid w:val="00591DCF"/>
    <w:rsid w:val="005929B4"/>
    <w:rsid w:val="00592A3C"/>
    <w:rsid w:val="0059367F"/>
    <w:rsid w:val="00593720"/>
    <w:rsid w:val="00593909"/>
    <w:rsid w:val="00593A71"/>
    <w:rsid w:val="005941E1"/>
    <w:rsid w:val="005943E2"/>
    <w:rsid w:val="0059452B"/>
    <w:rsid w:val="00594B8A"/>
    <w:rsid w:val="00595009"/>
    <w:rsid w:val="005954B7"/>
    <w:rsid w:val="00595A05"/>
    <w:rsid w:val="00595F17"/>
    <w:rsid w:val="00595F3D"/>
    <w:rsid w:val="00595F89"/>
    <w:rsid w:val="00596873"/>
    <w:rsid w:val="00596BB3"/>
    <w:rsid w:val="00596BD4"/>
    <w:rsid w:val="00596FA8"/>
    <w:rsid w:val="005971A7"/>
    <w:rsid w:val="00597310"/>
    <w:rsid w:val="005977AB"/>
    <w:rsid w:val="005A01C5"/>
    <w:rsid w:val="005A0532"/>
    <w:rsid w:val="005A0740"/>
    <w:rsid w:val="005A07E7"/>
    <w:rsid w:val="005A0A57"/>
    <w:rsid w:val="005A0B9F"/>
    <w:rsid w:val="005A0DBB"/>
    <w:rsid w:val="005A0EBD"/>
    <w:rsid w:val="005A1270"/>
    <w:rsid w:val="005A1295"/>
    <w:rsid w:val="005A1AF9"/>
    <w:rsid w:val="005A1FBF"/>
    <w:rsid w:val="005A29B1"/>
    <w:rsid w:val="005A2D98"/>
    <w:rsid w:val="005A2EBF"/>
    <w:rsid w:val="005A380B"/>
    <w:rsid w:val="005A4890"/>
    <w:rsid w:val="005A49D4"/>
    <w:rsid w:val="005A4D7C"/>
    <w:rsid w:val="005A50EA"/>
    <w:rsid w:val="005A51C9"/>
    <w:rsid w:val="005A5DC0"/>
    <w:rsid w:val="005A6B6D"/>
    <w:rsid w:val="005A6ED5"/>
    <w:rsid w:val="005A6F0E"/>
    <w:rsid w:val="005A6F57"/>
    <w:rsid w:val="005A7235"/>
    <w:rsid w:val="005A795B"/>
    <w:rsid w:val="005A7BAF"/>
    <w:rsid w:val="005B03B1"/>
    <w:rsid w:val="005B0652"/>
    <w:rsid w:val="005B1213"/>
    <w:rsid w:val="005B173C"/>
    <w:rsid w:val="005B1B55"/>
    <w:rsid w:val="005B1DBD"/>
    <w:rsid w:val="005B26B0"/>
    <w:rsid w:val="005B3EBD"/>
    <w:rsid w:val="005B48E8"/>
    <w:rsid w:val="005B56D9"/>
    <w:rsid w:val="005B5BA3"/>
    <w:rsid w:val="005B5E62"/>
    <w:rsid w:val="005B7E97"/>
    <w:rsid w:val="005B7F46"/>
    <w:rsid w:val="005C09A7"/>
    <w:rsid w:val="005C102D"/>
    <w:rsid w:val="005C1274"/>
    <w:rsid w:val="005C132C"/>
    <w:rsid w:val="005C17FB"/>
    <w:rsid w:val="005C1833"/>
    <w:rsid w:val="005C1838"/>
    <w:rsid w:val="005C18C2"/>
    <w:rsid w:val="005C1A4F"/>
    <w:rsid w:val="005C1C53"/>
    <w:rsid w:val="005C2063"/>
    <w:rsid w:val="005C244F"/>
    <w:rsid w:val="005C2767"/>
    <w:rsid w:val="005C2922"/>
    <w:rsid w:val="005C2F60"/>
    <w:rsid w:val="005C2FB7"/>
    <w:rsid w:val="005C323D"/>
    <w:rsid w:val="005C3772"/>
    <w:rsid w:val="005C39C3"/>
    <w:rsid w:val="005C40CE"/>
    <w:rsid w:val="005C4229"/>
    <w:rsid w:val="005C4580"/>
    <w:rsid w:val="005C5065"/>
    <w:rsid w:val="005C52F3"/>
    <w:rsid w:val="005C564C"/>
    <w:rsid w:val="005C5A98"/>
    <w:rsid w:val="005C5E96"/>
    <w:rsid w:val="005C6234"/>
    <w:rsid w:val="005C6605"/>
    <w:rsid w:val="005C71A0"/>
    <w:rsid w:val="005C7802"/>
    <w:rsid w:val="005C7B50"/>
    <w:rsid w:val="005D029E"/>
    <w:rsid w:val="005D0427"/>
    <w:rsid w:val="005D0776"/>
    <w:rsid w:val="005D07AE"/>
    <w:rsid w:val="005D0B9E"/>
    <w:rsid w:val="005D0C83"/>
    <w:rsid w:val="005D113B"/>
    <w:rsid w:val="005D1732"/>
    <w:rsid w:val="005D1DB3"/>
    <w:rsid w:val="005D2D9A"/>
    <w:rsid w:val="005D2EEA"/>
    <w:rsid w:val="005D3A6E"/>
    <w:rsid w:val="005D3B21"/>
    <w:rsid w:val="005D4019"/>
    <w:rsid w:val="005D41DC"/>
    <w:rsid w:val="005D460F"/>
    <w:rsid w:val="005D477B"/>
    <w:rsid w:val="005D4DC5"/>
    <w:rsid w:val="005D5C22"/>
    <w:rsid w:val="005D5DE7"/>
    <w:rsid w:val="005D5E6C"/>
    <w:rsid w:val="005D63A9"/>
    <w:rsid w:val="005D65D5"/>
    <w:rsid w:val="005D6C56"/>
    <w:rsid w:val="005D6F49"/>
    <w:rsid w:val="005D7E8A"/>
    <w:rsid w:val="005E056F"/>
    <w:rsid w:val="005E06FA"/>
    <w:rsid w:val="005E11A5"/>
    <w:rsid w:val="005E13D4"/>
    <w:rsid w:val="005E1435"/>
    <w:rsid w:val="005E16E6"/>
    <w:rsid w:val="005E21F3"/>
    <w:rsid w:val="005E235C"/>
    <w:rsid w:val="005E3078"/>
    <w:rsid w:val="005E33BE"/>
    <w:rsid w:val="005E34C0"/>
    <w:rsid w:val="005E45F3"/>
    <w:rsid w:val="005E49CA"/>
    <w:rsid w:val="005E5427"/>
    <w:rsid w:val="005E5428"/>
    <w:rsid w:val="005E5A7C"/>
    <w:rsid w:val="005E5C33"/>
    <w:rsid w:val="005E6976"/>
    <w:rsid w:val="005E703B"/>
    <w:rsid w:val="005E721A"/>
    <w:rsid w:val="005E74EC"/>
    <w:rsid w:val="005E7AB6"/>
    <w:rsid w:val="005E7B1E"/>
    <w:rsid w:val="005E7CBC"/>
    <w:rsid w:val="005E7D36"/>
    <w:rsid w:val="005F0A62"/>
    <w:rsid w:val="005F0FA8"/>
    <w:rsid w:val="005F1C5D"/>
    <w:rsid w:val="005F2317"/>
    <w:rsid w:val="005F2550"/>
    <w:rsid w:val="005F268E"/>
    <w:rsid w:val="005F2B2D"/>
    <w:rsid w:val="005F2FD5"/>
    <w:rsid w:val="005F340A"/>
    <w:rsid w:val="005F3AE8"/>
    <w:rsid w:val="005F3B09"/>
    <w:rsid w:val="005F3B47"/>
    <w:rsid w:val="005F47C1"/>
    <w:rsid w:val="005F4926"/>
    <w:rsid w:val="005F4B6F"/>
    <w:rsid w:val="005F5009"/>
    <w:rsid w:val="005F5054"/>
    <w:rsid w:val="005F530F"/>
    <w:rsid w:val="005F65D9"/>
    <w:rsid w:val="005F6768"/>
    <w:rsid w:val="005F69CF"/>
    <w:rsid w:val="005F6E39"/>
    <w:rsid w:val="005F6E58"/>
    <w:rsid w:val="005F704C"/>
    <w:rsid w:val="005F79CA"/>
    <w:rsid w:val="005F7A22"/>
    <w:rsid w:val="005F7B9D"/>
    <w:rsid w:val="00600501"/>
    <w:rsid w:val="00600B0C"/>
    <w:rsid w:val="00600FA1"/>
    <w:rsid w:val="00602DFA"/>
    <w:rsid w:val="006031D1"/>
    <w:rsid w:val="006033BF"/>
    <w:rsid w:val="00603702"/>
    <w:rsid w:val="0060381D"/>
    <w:rsid w:val="00603B4B"/>
    <w:rsid w:val="00603F20"/>
    <w:rsid w:val="00604F37"/>
    <w:rsid w:val="0060508A"/>
    <w:rsid w:val="0060541B"/>
    <w:rsid w:val="006055AF"/>
    <w:rsid w:val="00605942"/>
    <w:rsid w:val="006059CD"/>
    <w:rsid w:val="00605C9F"/>
    <w:rsid w:val="006068E8"/>
    <w:rsid w:val="00606ADB"/>
    <w:rsid w:val="00607096"/>
    <w:rsid w:val="006072DE"/>
    <w:rsid w:val="006075F4"/>
    <w:rsid w:val="006078A8"/>
    <w:rsid w:val="00607BAD"/>
    <w:rsid w:val="00607EC7"/>
    <w:rsid w:val="0061020E"/>
    <w:rsid w:val="0061048A"/>
    <w:rsid w:val="00610AE7"/>
    <w:rsid w:val="00611178"/>
    <w:rsid w:val="00611252"/>
    <w:rsid w:val="0061148D"/>
    <w:rsid w:val="00611D01"/>
    <w:rsid w:val="006122EC"/>
    <w:rsid w:val="006124B3"/>
    <w:rsid w:val="00612611"/>
    <w:rsid w:val="0061279A"/>
    <w:rsid w:val="00613009"/>
    <w:rsid w:val="006132EA"/>
    <w:rsid w:val="00613CA5"/>
    <w:rsid w:val="0061401C"/>
    <w:rsid w:val="0061420B"/>
    <w:rsid w:val="00614A99"/>
    <w:rsid w:val="00614D33"/>
    <w:rsid w:val="0061537D"/>
    <w:rsid w:val="0061537F"/>
    <w:rsid w:val="006156D7"/>
    <w:rsid w:val="00615DEA"/>
    <w:rsid w:val="00616A60"/>
    <w:rsid w:val="00616EE6"/>
    <w:rsid w:val="006171FB"/>
    <w:rsid w:val="00617632"/>
    <w:rsid w:val="00617A2A"/>
    <w:rsid w:val="006207F4"/>
    <w:rsid w:val="00620C67"/>
    <w:rsid w:val="00620FE8"/>
    <w:rsid w:val="00621646"/>
    <w:rsid w:val="00621803"/>
    <w:rsid w:val="00622056"/>
    <w:rsid w:val="006220F1"/>
    <w:rsid w:val="00622765"/>
    <w:rsid w:val="00623E46"/>
    <w:rsid w:val="00624604"/>
    <w:rsid w:val="0062462D"/>
    <w:rsid w:val="00624D2C"/>
    <w:rsid w:val="00624F7F"/>
    <w:rsid w:val="00625145"/>
    <w:rsid w:val="00625701"/>
    <w:rsid w:val="006259AB"/>
    <w:rsid w:val="00626768"/>
    <w:rsid w:val="00627402"/>
    <w:rsid w:val="00630480"/>
    <w:rsid w:val="0063058E"/>
    <w:rsid w:val="006305F8"/>
    <w:rsid w:val="00631904"/>
    <w:rsid w:val="00631DA7"/>
    <w:rsid w:val="00631FAE"/>
    <w:rsid w:val="006327BB"/>
    <w:rsid w:val="00632B9C"/>
    <w:rsid w:val="00632F18"/>
    <w:rsid w:val="006332D7"/>
    <w:rsid w:val="0063333D"/>
    <w:rsid w:val="00634225"/>
    <w:rsid w:val="00634913"/>
    <w:rsid w:val="00634D99"/>
    <w:rsid w:val="00635003"/>
    <w:rsid w:val="006351CE"/>
    <w:rsid w:val="006352FD"/>
    <w:rsid w:val="00635978"/>
    <w:rsid w:val="00635B15"/>
    <w:rsid w:val="00636037"/>
    <w:rsid w:val="00636134"/>
    <w:rsid w:val="006362B4"/>
    <w:rsid w:val="006362E1"/>
    <w:rsid w:val="006367DA"/>
    <w:rsid w:val="00636A53"/>
    <w:rsid w:val="006370E1"/>
    <w:rsid w:val="006375B2"/>
    <w:rsid w:val="006375BB"/>
    <w:rsid w:val="006409EE"/>
    <w:rsid w:val="00640BF7"/>
    <w:rsid w:val="00640FFF"/>
    <w:rsid w:val="00641761"/>
    <w:rsid w:val="006425FC"/>
    <w:rsid w:val="00642631"/>
    <w:rsid w:val="00642C5F"/>
    <w:rsid w:val="00642DF5"/>
    <w:rsid w:val="0064304A"/>
    <w:rsid w:val="0064380B"/>
    <w:rsid w:val="00643A4F"/>
    <w:rsid w:val="00643FF5"/>
    <w:rsid w:val="006441FD"/>
    <w:rsid w:val="00644E5A"/>
    <w:rsid w:val="00644F2C"/>
    <w:rsid w:val="00645099"/>
    <w:rsid w:val="00645141"/>
    <w:rsid w:val="00645AEE"/>
    <w:rsid w:val="00646428"/>
    <w:rsid w:val="00646ED8"/>
    <w:rsid w:val="0064707F"/>
    <w:rsid w:val="006471E8"/>
    <w:rsid w:val="00647E90"/>
    <w:rsid w:val="00647FA3"/>
    <w:rsid w:val="006500F7"/>
    <w:rsid w:val="00650769"/>
    <w:rsid w:val="00650BAC"/>
    <w:rsid w:val="006516B7"/>
    <w:rsid w:val="006518E4"/>
    <w:rsid w:val="00651FB8"/>
    <w:rsid w:val="00652BA0"/>
    <w:rsid w:val="00653045"/>
    <w:rsid w:val="006537A3"/>
    <w:rsid w:val="00653A25"/>
    <w:rsid w:val="00653D93"/>
    <w:rsid w:val="00653FDA"/>
    <w:rsid w:val="006541A0"/>
    <w:rsid w:val="00654E99"/>
    <w:rsid w:val="00655104"/>
    <w:rsid w:val="0065548F"/>
    <w:rsid w:val="00655633"/>
    <w:rsid w:val="006559BB"/>
    <w:rsid w:val="00655D93"/>
    <w:rsid w:val="00655E86"/>
    <w:rsid w:val="00656614"/>
    <w:rsid w:val="00656C4D"/>
    <w:rsid w:val="006570E3"/>
    <w:rsid w:val="006577CD"/>
    <w:rsid w:val="00657CCC"/>
    <w:rsid w:val="00660162"/>
    <w:rsid w:val="0066036D"/>
    <w:rsid w:val="006604FA"/>
    <w:rsid w:val="006606A4"/>
    <w:rsid w:val="0066078C"/>
    <w:rsid w:val="00660879"/>
    <w:rsid w:val="00661639"/>
    <w:rsid w:val="00661655"/>
    <w:rsid w:val="0066174D"/>
    <w:rsid w:val="00661E36"/>
    <w:rsid w:val="0066253C"/>
    <w:rsid w:val="006631D3"/>
    <w:rsid w:val="00663D0F"/>
    <w:rsid w:val="00664525"/>
    <w:rsid w:val="0066465B"/>
    <w:rsid w:val="00664C81"/>
    <w:rsid w:val="0066521A"/>
    <w:rsid w:val="0066540C"/>
    <w:rsid w:val="00665EAE"/>
    <w:rsid w:val="006661EA"/>
    <w:rsid w:val="00666909"/>
    <w:rsid w:val="00666EBC"/>
    <w:rsid w:val="00667189"/>
    <w:rsid w:val="0066749E"/>
    <w:rsid w:val="00667CCB"/>
    <w:rsid w:val="00667EFD"/>
    <w:rsid w:val="00670475"/>
    <w:rsid w:val="00670B8C"/>
    <w:rsid w:val="00670C4A"/>
    <w:rsid w:val="00670CF4"/>
    <w:rsid w:val="006716F7"/>
    <w:rsid w:val="00671F3E"/>
    <w:rsid w:val="00672482"/>
    <w:rsid w:val="00672A18"/>
    <w:rsid w:val="00672E93"/>
    <w:rsid w:val="00673032"/>
    <w:rsid w:val="006735D0"/>
    <w:rsid w:val="006739E9"/>
    <w:rsid w:val="00673C8B"/>
    <w:rsid w:val="00673E61"/>
    <w:rsid w:val="00674D52"/>
    <w:rsid w:val="00674F93"/>
    <w:rsid w:val="0067546F"/>
    <w:rsid w:val="00676CE4"/>
    <w:rsid w:val="00676EC2"/>
    <w:rsid w:val="00676FA5"/>
    <w:rsid w:val="006771A4"/>
    <w:rsid w:val="006771AD"/>
    <w:rsid w:val="006774A8"/>
    <w:rsid w:val="00677572"/>
    <w:rsid w:val="00680469"/>
    <w:rsid w:val="00680A5C"/>
    <w:rsid w:val="00681229"/>
    <w:rsid w:val="0068155C"/>
    <w:rsid w:val="0068185E"/>
    <w:rsid w:val="00681BE5"/>
    <w:rsid w:val="00681E30"/>
    <w:rsid w:val="0068379B"/>
    <w:rsid w:val="00683D98"/>
    <w:rsid w:val="00683D99"/>
    <w:rsid w:val="00683E2B"/>
    <w:rsid w:val="00684079"/>
    <w:rsid w:val="0068629B"/>
    <w:rsid w:val="00686C12"/>
    <w:rsid w:val="00686D75"/>
    <w:rsid w:val="00686E5A"/>
    <w:rsid w:val="0068736A"/>
    <w:rsid w:val="00687D17"/>
    <w:rsid w:val="00687D7B"/>
    <w:rsid w:val="00690024"/>
    <w:rsid w:val="006903A4"/>
    <w:rsid w:val="0069055A"/>
    <w:rsid w:val="00690B46"/>
    <w:rsid w:val="00690CAA"/>
    <w:rsid w:val="00690EFB"/>
    <w:rsid w:val="0069137B"/>
    <w:rsid w:val="006913EC"/>
    <w:rsid w:val="006914B7"/>
    <w:rsid w:val="00691742"/>
    <w:rsid w:val="00691DEE"/>
    <w:rsid w:val="00692242"/>
    <w:rsid w:val="0069236E"/>
    <w:rsid w:val="00692704"/>
    <w:rsid w:val="00692E67"/>
    <w:rsid w:val="00693ACF"/>
    <w:rsid w:val="00693EE5"/>
    <w:rsid w:val="0069435E"/>
    <w:rsid w:val="006944C5"/>
    <w:rsid w:val="00694B8D"/>
    <w:rsid w:val="0069561C"/>
    <w:rsid w:val="00695634"/>
    <w:rsid w:val="0069600D"/>
    <w:rsid w:val="006963AE"/>
    <w:rsid w:val="00697053"/>
    <w:rsid w:val="006976A4"/>
    <w:rsid w:val="006A066A"/>
    <w:rsid w:val="006A06CA"/>
    <w:rsid w:val="006A083E"/>
    <w:rsid w:val="006A0FFD"/>
    <w:rsid w:val="006A1170"/>
    <w:rsid w:val="006A14A3"/>
    <w:rsid w:val="006A1516"/>
    <w:rsid w:val="006A159D"/>
    <w:rsid w:val="006A18BF"/>
    <w:rsid w:val="006A1F58"/>
    <w:rsid w:val="006A242E"/>
    <w:rsid w:val="006A26AB"/>
    <w:rsid w:val="006A298D"/>
    <w:rsid w:val="006A2F80"/>
    <w:rsid w:val="006A3A26"/>
    <w:rsid w:val="006A3F98"/>
    <w:rsid w:val="006A3FD6"/>
    <w:rsid w:val="006A4076"/>
    <w:rsid w:val="006A436F"/>
    <w:rsid w:val="006A4E5B"/>
    <w:rsid w:val="006A59D8"/>
    <w:rsid w:val="006A64D3"/>
    <w:rsid w:val="006A6B7B"/>
    <w:rsid w:val="006A78F8"/>
    <w:rsid w:val="006A7C26"/>
    <w:rsid w:val="006A7E27"/>
    <w:rsid w:val="006B010E"/>
    <w:rsid w:val="006B03A3"/>
    <w:rsid w:val="006B091F"/>
    <w:rsid w:val="006B0CAF"/>
    <w:rsid w:val="006B0ED0"/>
    <w:rsid w:val="006B0EED"/>
    <w:rsid w:val="006B147E"/>
    <w:rsid w:val="006B1DF6"/>
    <w:rsid w:val="006B233F"/>
    <w:rsid w:val="006B275E"/>
    <w:rsid w:val="006B28EA"/>
    <w:rsid w:val="006B2DA3"/>
    <w:rsid w:val="006B2FBB"/>
    <w:rsid w:val="006B378A"/>
    <w:rsid w:val="006B3B23"/>
    <w:rsid w:val="006B3BD5"/>
    <w:rsid w:val="006B4185"/>
    <w:rsid w:val="006B4220"/>
    <w:rsid w:val="006B4224"/>
    <w:rsid w:val="006B4493"/>
    <w:rsid w:val="006B4B62"/>
    <w:rsid w:val="006B53DC"/>
    <w:rsid w:val="006B5423"/>
    <w:rsid w:val="006B5855"/>
    <w:rsid w:val="006B58ED"/>
    <w:rsid w:val="006B5AB2"/>
    <w:rsid w:val="006B5C67"/>
    <w:rsid w:val="006B6B5D"/>
    <w:rsid w:val="006B6C0D"/>
    <w:rsid w:val="006C1818"/>
    <w:rsid w:val="006C1F8B"/>
    <w:rsid w:val="006C2721"/>
    <w:rsid w:val="006C3868"/>
    <w:rsid w:val="006C38FF"/>
    <w:rsid w:val="006C393F"/>
    <w:rsid w:val="006C3E6E"/>
    <w:rsid w:val="006C3EEA"/>
    <w:rsid w:val="006C3F92"/>
    <w:rsid w:val="006C43A6"/>
    <w:rsid w:val="006C4A4A"/>
    <w:rsid w:val="006C53EB"/>
    <w:rsid w:val="006C5D29"/>
    <w:rsid w:val="006C650D"/>
    <w:rsid w:val="006C69A5"/>
    <w:rsid w:val="006C6C44"/>
    <w:rsid w:val="006C7740"/>
    <w:rsid w:val="006C7C3A"/>
    <w:rsid w:val="006D0389"/>
    <w:rsid w:val="006D0848"/>
    <w:rsid w:val="006D097E"/>
    <w:rsid w:val="006D0BA5"/>
    <w:rsid w:val="006D0C15"/>
    <w:rsid w:val="006D0D8B"/>
    <w:rsid w:val="006D0FBF"/>
    <w:rsid w:val="006D10DC"/>
    <w:rsid w:val="006D1182"/>
    <w:rsid w:val="006D1547"/>
    <w:rsid w:val="006D1586"/>
    <w:rsid w:val="006D19C1"/>
    <w:rsid w:val="006D2827"/>
    <w:rsid w:val="006D2848"/>
    <w:rsid w:val="006D2867"/>
    <w:rsid w:val="006D2B19"/>
    <w:rsid w:val="006D2EC9"/>
    <w:rsid w:val="006D3071"/>
    <w:rsid w:val="006D3A05"/>
    <w:rsid w:val="006D3B62"/>
    <w:rsid w:val="006D3FDF"/>
    <w:rsid w:val="006D4527"/>
    <w:rsid w:val="006D4B05"/>
    <w:rsid w:val="006D4F86"/>
    <w:rsid w:val="006D5F98"/>
    <w:rsid w:val="006D6665"/>
    <w:rsid w:val="006D7098"/>
    <w:rsid w:val="006D740E"/>
    <w:rsid w:val="006D7F72"/>
    <w:rsid w:val="006E00B7"/>
    <w:rsid w:val="006E0287"/>
    <w:rsid w:val="006E0B17"/>
    <w:rsid w:val="006E0E5B"/>
    <w:rsid w:val="006E3023"/>
    <w:rsid w:val="006E3369"/>
    <w:rsid w:val="006E3D12"/>
    <w:rsid w:val="006E449C"/>
    <w:rsid w:val="006E4726"/>
    <w:rsid w:val="006E489A"/>
    <w:rsid w:val="006E4E72"/>
    <w:rsid w:val="006E50D0"/>
    <w:rsid w:val="006E663E"/>
    <w:rsid w:val="006E6EDF"/>
    <w:rsid w:val="006E73FC"/>
    <w:rsid w:val="006E7BA5"/>
    <w:rsid w:val="006F01E8"/>
    <w:rsid w:val="006F02D7"/>
    <w:rsid w:val="006F08DF"/>
    <w:rsid w:val="006F0EBB"/>
    <w:rsid w:val="006F14AE"/>
    <w:rsid w:val="006F1E96"/>
    <w:rsid w:val="006F2D24"/>
    <w:rsid w:val="006F37F7"/>
    <w:rsid w:val="006F3909"/>
    <w:rsid w:val="006F3D18"/>
    <w:rsid w:val="006F4036"/>
    <w:rsid w:val="006F428E"/>
    <w:rsid w:val="006F48E1"/>
    <w:rsid w:val="006F5160"/>
    <w:rsid w:val="006F5374"/>
    <w:rsid w:val="006F60DF"/>
    <w:rsid w:val="006F68C1"/>
    <w:rsid w:val="006F6CE2"/>
    <w:rsid w:val="006F6E10"/>
    <w:rsid w:val="007014F8"/>
    <w:rsid w:val="0070150D"/>
    <w:rsid w:val="007016D2"/>
    <w:rsid w:val="007018D8"/>
    <w:rsid w:val="00701DF3"/>
    <w:rsid w:val="007029E8"/>
    <w:rsid w:val="00703107"/>
    <w:rsid w:val="00703138"/>
    <w:rsid w:val="00703277"/>
    <w:rsid w:val="0070356D"/>
    <w:rsid w:val="00703981"/>
    <w:rsid w:val="00703D7E"/>
    <w:rsid w:val="00704178"/>
    <w:rsid w:val="0070495F"/>
    <w:rsid w:val="00704B6E"/>
    <w:rsid w:val="00704F73"/>
    <w:rsid w:val="0070508D"/>
    <w:rsid w:val="007051E9"/>
    <w:rsid w:val="0070542E"/>
    <w:rsid w:val="007058C8"/>
    <w:rsid w:val="007060D4"/>
    <w:rsid w:val="0070624C"/>
    <w:rsid w:val="00706451"/>
    <w:rsid w:val="00707E0F"/>
    <w:rsid w:val="0071068A"/>
    <w:rsid w:val="00710E19"/>
    <w:rsid w:val="00710E52"/>
    <w:rsid w:val="0071154B"/>
    <w:rsid w:val="0071174F"/>
    <w:rsid w:val="0071196A"/>
    <w:rsid w:val="007123FD"/>
    <w:rsid w:val="007123FE"/>
    <w:rsid w:val="007131CF"/>
    <w:rsid w:val="007133C0"/>
    <w:rsid w:val="00713613"/>
    <w:rsid w:val="007137C6"/>
    <w:rsid w:val="007138FC"/>
    <w:rsid w:val="0071393D"/>
    <w:rsid w:val="00713E79"/>
    <w:rsid w:val="00714245"/>
    <w:rsid w:val="00715441"/>
    <w:rsid w:val="00715739"/>
    <w:rsid w:val="0071576C"/>
    <w:rsid w:val="00715C94"/>
    <w:rsid w:val="00716A09"/>
    <w:rsid w:val="00716A6C"/>
    <w:rsid w:val="007170DB"/>
    <w:rsid w:val="00717880"/>
    <w:rsid w:val="00717CA8"/>
    <w:rsid w:val="007205E7"/>
    <w:rsid w:val="007209C4"/>
    <w:rsid w:val="00721E9E"/>
    <w:rsid w:val="007227FE"/>
    <w:rsid w:val="00722E8C"/>
    <w:rsid w:val="007233C3"/>
    <w:rsid w:val="00723C95"/>
    <w:rsid w:val="007244E7"/>
    <w:rsid w:val="0072505F"/>
    <w:rsid w:val="00725B00"/>
    <w:rsid w:val="0072628B"/>
    <w:rsid w:val="0072680C"/>
    <w:rsid w:val="00726B3D"/>
    <w:rsid w:val="00726C64"/>
    <w:rsid w:val="007310B7"/>
    <w:rsid w:val="00731237"/>
    <w:rsid w:val="0073207E"/>
    <w:rsid w:val="00732664"/>
    <w:rsid w:val="00732BA7"/>
    <w:rsid w:val="007333EA"/>
    <w:rsid w:val="00733601"/>
    <w:rsid w:val="00733A57"/>
    <w:rsid w:val="00733F36"/>
    <w:rsid w:val="007340CE"/>
    <w:rsid w:val="00734781"/>
    <w:rsid w:val="007349FC"/>
    <w:rsid w:val="00734B6F"/>
    <w:rsid w:val="00735293"/>
    <w:rsid w:val="00735376"/>
    <w:rsid w:val="00735728"/>
    <w:rsid w:val="007363EA"/>
    <w:rsid w:val="00736A02"/>
    <w:rsid w:val="00736E06"/>
    <w:rsid w:val="00736E37"/>
    <w:rsid w:val="00737286"/>
    <w:rsid w:val="007373DB"/>
    <w:rsid w:val="00737F27"/>
    <w:rsid w:val="00737FD3"/>
    <w:rsid w:val="007407DB"/>
    <w:rsid w:val="00740BFC"/>
    <w:rsid w:val="00740F76"/>
    <w:rsid w:val="00741037"/>
    <w:rsid w:val="00741969"/>
    <w:rsid w:val="007422B3"/>
    <w:rsid w:val="007424BF"/>
    <w:rsid w:val="007435F1"/>
    <w:rsid w:val="00743DDD"/>
    <w:rsid w:val="00744625"/>
    <w:rsid w:val="007446BB"/>
    <w:rsid w:val="00745882"/>
    <w:rsid w:val="00745A04"/>
    <w:rsid w:val="00745A0F"/>
    <w:rsid w:val="00745DFD"/>
    <w:rsid w:val="00746197"/>
    <w:rsid w:val="0074689C"/>
    <w:rsid w:val="00746B3F"/>
    <w:rsid w:val="00746E05"/>
    <w:rsid w:val="00747117"/>
    <w:rsid w:val="007479C2"/>
    <w:rsid w:val="00747B0D"/>
    <w:rsid w:val="00751452"/>
    <w:rsid w:val="007521A5"/>
    <w:rsid w:val="0075306D"/>
    <w:rsid w:val="00753959"/>
    <w:rsid w:val="00753A83"/>
    <w:rsid w:val="00753DD6"/>
    <w:rsid w:val="00754A4A"/>
    <w:rsid w:val="007567A8"/>
    <w:rsid w:val="00756D6A"/>
    <w:rsid w:val="0076043F"/>
    <w:rsid w:val="00760F66"/>
    <w:rsid w:val="007611F8"/>
    <w:rsid w:val="00761200"/>
    <w:rsid w:val="00761931"/>
    <w:rsid w:val="00761BD1"/>
    <w:rsid w:val="007627BA"/>
    <w:rsid w:val="0076291E"/>
    <w:rsid w:val="00762D81"/>
    <w:rsid w:val="0076317B"/>
    <w:rsid w:val="007643D5"/>
    <w:rsid w:val="00765366"/>
    <w:rsid w:val="00765914"/>
    <w:rsid w:val="0076614D"/>
    <w:rsid w:val="0076624C"/>
    <w:rsid w:val="0076627D"/>
    <w:rsid w:val="00766304"/>
    <w:rsid w:val="007669F8"/>
    <w:rsid w:val="00767A28"/>
    <w:rsid w:val="00767DD2"/>
    <w:rsid w:val="0077082B"/>
    <w:rsid w:val="00770E60"/>
    <w:rsid w:val="00771B68"/>
    <w:rsid w:val="00771C8F"/>
    <w:rsid w:val="0077266E"/>
    <w:rsid w:val="0077292E"/>
    <w:rsid w:val="007737D8"/>
    <w:rsid w:val="0077391C"/>
    <w:rsid w:val="00773D24"/>
    <w:rsid w:val="00773E46"/>
    <w:rsid w:val="00774576"/>
    <w:rsid w:val="007745DA"/>
    <w:rsid w:val="0077508A"/>
    <w:rsid w:val="00775567"/>
    <w:rsid w:val="00775E0D"/>
    <w:rsid w:val="00776343"/>
    <w:rsid w:val="00776416"/>
    <w:rsid w:val="00776C7B"/>
    <w:rsid w:val="00776CEF"/>
    <w:rsid w:val="0077714A"/>
    <w:rsid w:val="00777E7E"/>
    <w:rsid w:val="007804DD"/>
    <w:rsid w:val="00780F3B"/>
    <w:rsid w:val="007816EE"/>
    <w:rsid w:val="00782071"/>
    <w:rsid w:val="00782946"/>
    <w:rsid w:val="00782ECD"/>
    <w:rsid w:val="0078363B"/>
    <w:rsid w:val="00783CCF"/>
    <w:rsid w:val="00783F5B"/>
    <w:rsid w:val="00784609"/>
    <w:rsid w:val="00784720"/>
    <w:rsid w:val="0078481D"/>
    <w:rsid w:val="007850FA"/>
    <w:rsid w:val="007859FC"/>
    <w:rsid w:val="00785D88"/>
    <w:rsid w:val="00785F4C"/>
    <w:rsid w:val="0078609C"/>
    <w:rsid w:val="00786355"/>
    <w:rsid w:val="00787370"/>
    <w:rsid w:val="007874AE"/>
    <w:rsid w:val="0078750B"/>
    <w:rsid w:val="00787F5E"/>
    <w:rsid w:val="0079024D"/>
    <w:rsid w:val="00790330"/>
    <w:rsid w:val="007909DA"/>
    <w:rsid w:val="00790B01"/>
    <w:rsid w:val="00790BF3"/>
    <w:rsid w:val="007910A6"/>
    <w:rsid w:val="007911B8"/>
    <w:rsid w:val="00791DAE"/>
    <w:rsid w:val="007930E8"/>
    <w:rsid w:val="00793A57"/>
    <w:rsid w:val="00793A9C"/>
    <w:rsid w:val="00793F28"/>
    <w:rsid w:val="007944D2"/>
    <w:rsid w:val="007945A1"/>
    <w:rsid w:val="007947CC"/>
    <w:rsid w:val="00794B19"/>
    <w:rsid w:val="00795B8D"/>
    <w:rsid w:val="00795F0E"/>
    <w:rsid w:val="00797923"/>
    <w:rsid w:val="00797D8F"/>
    <w:rsid w:val="007A0C00"/>
    <w:rsid w:val="007A0E15"/>
    <w:rsid w:val="007A176E"/>
    <w:rsid w:val="007A19BF"/>
    <w:rsid w:val="007A2A69"/>
    <w:rsid w:val="007A2CF1"/>
    <w:rsid w:val="007A384E"/>
    <w:rsid w:val="007A41B5"/>
    <w:rsid w:val="007A4486"/>
    <w:rsid w:val="007A4682"/>
    <w:rsid w:val="007A5879"/>
    <w:rsid w:val="007A58A8"/>
    <w:rsid w:val="007A5BDC"/>
    <w:rsid w:val="007A5FD6"/>
    <w:rsid w:val="007A629D"/>
    <w:rsid w:val="007A6610"/>
    <w:rsid w:val="007A6DD3"/>
    <w:rsid w:val="007A6FF3"/>
    <w:rsid w:val="007A71DC"/>
    <w:rsid w:val="007A7A04"/>
    <w:rsid w:val="007B04FF"/>
    <w:rsid w:val="007B0976"/>
    <w:rsid w:val="007B0CAC"/>
    <w:rsid w:val="007B15F3"/>
    <w:rsid w:val="007B1701"/>
    <w:rsid w:val="007B1C32"/>
    <w:rsid w:val="007B1DBB"/>
    <w:rsid w:val="007B2319"/>
    <w:rsid w:val="007B2FBF"/>
    <w:rsid w:val="007B370E"/>
    <w:rsid w:val="007B3E13"/>
    <w:rsid w:val="007B4046"/>
    <w:rsid w:val="007B4300"/>
    <w:rsid w:val="007B488F"/>
    <w:rsid w:val="007B4B9A"/>
    <w:rsid w:val="007B565C"/>
    <w:rsid w:val="007B595F"/>
    <w:rsid w:val="007B5D75"/>
    <w:rsid w:val="007B6D5E"/>
    <w:rsid w:val="007B7115"/>
    <w:rsid w:val="007B726E"/>
    <w:rsid w:val="007B736B"/>
    <w:rsid w:val="007C0853"/>
    <w:rsid w:val="007C0C90"/>
    <w:rsid w:val="007C0E07"/>
    <w:rsid w:val="007C0E86"/>
    <w:rsid w:val="007C1562"/>
    <w:rsid w:val="007C20FF"/>
    <w:rsid w:val="007C249E"/>
    <w:rsid w:val="007C26CF"/>
    <w:rsid w:val="007C271B"/>
    <w:rsid w:val="007C2C14"/>
    <w:rsid w:val="007C388A"/>
    <w:rsid w:val="007C3A55"/>
    <w:rsid w:val="007C4166"/>
    <w:rsid w:val="007C44E1"/>
    <w:rsid w:val="007C4763"/>
    <w:rsid w:val="007C48DD"/>
    <w:rsid w:val="007C4A05"/>
    <w:rsid w:val="007C5173"/>
    <w:rsid w:val="007C5711"/>
    <w:rsid w:val="007C57B9"/>
    <w:rsid w:val="007C6325"/>
    <w:rsid w:val="007C73A3"/>
    <w:rsid w:val="007C7975"/>
    <w:rsid w:val="007C7EF5"/>
    <w:rsid w:val="007D0487"/>
    <w:rsid w:val="007D06AC"/>
    <w:rsid w:val="007D0741"/>
    <w:rsid w:val="007D0A53"/>
    <w:rsid w:val="007D0FFC"/>
    <w:rsid w:val="007D1013"/>
    <w:rsid w:val="007D19EC"/>
    <w:rsid w:val="007D1FE0"/>
    <w:rsid w:val="007D2608"/>
    <w:rsid w:val="007D30C3"/>
    <w:rsid w:val="007D35AC"/>
    <w:rsid w:val="007D36B1"/>
    <w:rsid w:val="007D36D7"/>
    <w:rsid w:val="007D3BA1"/>
    <w:rsid w:val="007D3EC8"/>
    <w:rsid w:val="007D40AC"/>
    <w:rsid w:val="007D4317"/>
    <w:rsid w:val="007D4C12"/>
    <w:rsid w:val="007D4FC0"/>
    <w:rsid w:val="007D57E0"/>
    <w:rsid w:val="007D5962"/>
    <w:rsid w:val="007D63B2"/>
    <w:rsid w:val="007D651D"/>
    <w:rsid w:val="007D6754"/>
    <w:rsid w:val="007D71B7"/>
    <w:rsid w:val="007D7C66"/>
    <w:rsid w:val="007D7CF3"/>
    <w:rsid w:val="007E0274"/>
    <w:rsid w:val="007E02A7"/>
    <w:rsid w:val="007E0415"/>
    <w:rsid w:val="007E0991"/>
    <w:rsid w:val="007E0B2C"/>
    <w:rsid w:val="007E107F"/>
    <w:rsid w:val="007E2FD7"/>
    <w:rsid w:val="007E310B"/>
    <w:rsid w:val="007E38DA"/>
    <w:rsid w:val="007E3D65"/>
    <w:rsid w:val="007E3EE2"/>
    <w:rsid w:val="007E47E7"/>
    <w:rsid w:val="007E4A98"/>
    <w:rsid w:val="007E4EB6"/>
    <w:rsid w:val="007E5231"/>
    <w:rsid w:val="007E5DD7"/>
    <w:rsid w:val="007E7139"/>
    <w:rsid w:val="007E7366"/>
    <w:rsid w:val="007E7DA8"/>
    <w:rsid w:val="007E7EA1"/>
    <w:rsid w:val="007E7EA4"/>
    <w:rsid w:val="007F03CE"/>
    <w:rsid w:val="007F04D3"/>
    <w:rsid w:val="007F111D"/>
    <w:rsid w:val="007F137D"/>
    <w:rsid w:val="007F2D8D"/>
    <w:rsid w:val="007F2EBF"/>
    <w:rsid w:val="007F3044"/>
    <w:rsid w:val="007F3249"/>
    <w:rsid w:val="007F4657"/>
    <w:rsid w:val="007F5609"/>
    <w:rsid w:val="007F5625"/>
    <w:rsid w:val="007F568A"/>
    <w:rsid w:val="007F59F7"/>
    <w:rsid w:val="007F5E21"/>
    <w:rsid w:val="007F6413"/>
    <w:rsid w:val="007F676E"/>
    <w:rsid w:val="007F6B11"/>
    <w:rsid w:val="007F6E2B"/>
    <w:rsid w:val="007F7D12"/>
    <w:rsid w:val="007F7F02"/>
    <w:rsid w:val="00800258"/>
    <w:rsid w:val="008006D2"/>
    <w:rsid w:val="00800C97"/>
    <w:rsid w:val="00801306"/>
    <w:rsid w:val="008016F2"/>
    <w:rsid w:val="00802047"/>
    <w:rsid w:val="0080220F"/>
    <w:rsid w:val="00802735"/>
    <w:rsid w:val="008028C2"/>
    <w:rsid w:val="00802DDB"/>
    <w:rsid w:val="0080301F"/>
    <w:rsid w:val="00803503"/>
    <w:rsid w:val="008037D8"/>
    <w:rsid w:val="0080398F"/>
    <w:rsid w:val="00803B7E"/>
    <w:rsid w:val="00803DA6"/>
    <w:rsid w:val="008040D9"/>
    <w:rsid w:val="0080436E"/>
    <w:rsid w:val="00804937"/>
    <w:rsid w:val="00804E1E"/>
    <w:rsid w:val="00804E43"/>
    <w:rsid w:val="008050F5"/>
    <w:rsid w:val="0080519C"/>
    <w:rsid w:val="00810BC2"/>
    <w:rsid w:val="00810EA4"/>
    <w:rsid w:val="00811683"/>
    <w:rsid w:val="00811AFF"/>
    <w:rsid w:val="00812373"/>
    <w:rsid w:val="00812BB5"/>
    <w:rsid w:val="00813F3A"/>
    <w:rsid w:val="008140E8"/>
    <w:rsid w:val="00814941"/>
    <w:rsid w:val="00814A65"/>
    <w:rsid w:val="00814BD9"/>
    <w:rsid w:val="008158AC"/>
    <w:rsid w:val="008160AA"/>
    <w:rsid w:val="00816805"/>
    <w:rsid w:val="00816BE8"/>
    <w:rsid w:val="00816CD5"/>
    <w:rsid w:val="00816DBD"/>
    <w:rsid w:val="00816FE2"/>
    <w:rsid w:val="00817062"/>
    <w:rsid w:val="00817978"/>
    <w:rsid w:val="00817991"/>
    <w:rsid w:val="00817F58"/>
    <w:rsid w:val="008203C5"/>
    <w:rsid w:val="00820B84"/>
    <w:rsid w:val="0082145C"/>
    <w:rsid w:val="0082199B"/>
    <w:rsid w:val="00821C2A"/>
    <w:rsid w:val="008227B7"/>
    <w:rsid w:val="00823B31"/>
    <w:rsid w:val="00824124"/>
    <w:rsid w:val="008243A8"/>
    <w:rsid w:val="00824925"/>
    <w:rsid w:val="00824C8B"/>
    <w:rsid w:val="008252E8"/>
    <w:rsid w:val="00825913"/>
    <w:rsid w:val="00825BA8"/>
    <w:rsid w:val="00825C14"/>
    <w:rsid w:val="0082641D"/>
    <w:rsid w:val="008267CA"/>
    <w:rsid w:val="0082722B"/>
    <w:rsid w:val="00827BEE"/>
    <w:rsid w:val="00827C1B"/>
    <w:rsid w:val="0083016B"/>
    <w:rsid w:val="008301F1"/>
    <w:rsid w:val="00830A84"/>
    <w:rsid w:val="00830C0E"/>
    <w:rsid w:val="008313E0"/>
    <w:rsid w:val="008317EC"/>
    <w:rsid w:val="0083195D"/>
    <w:rsid w:val="00831B7B"/>
    <w:rsid w:val="00831D90"/>
    <w:rsid w:val="008324F3"/>
    <w:rsid w:val="00832691"/>
    <w:rsid w:val="008326D3"/>
    <w:rsid w:val="0083296B"/>
    <w:rsid w:val="00833547"/>
    <w:rsid w:val="00833852"/>
    <w:rsid w:val="008339B3"/>
    <w:rsid w:val="00833AB9"/>
    <w:rsid w:val="00834820"/>
    <w:rsid w:val="00834C82"/>
    <w:rsid w:val="00834DB6"/>
    <w:rsid w:val="00834F93"/>
    <w:rsid w:val="00835518"/>
    <w:rsid w:val="00840C4A"/>
    <w:rsid w:val="008411B9"/>
    <w:rsid w:val="00841228"/>
    <w:rsid w:val="0084122F"/>
    <w:rsid w:val="00841573"/>
    <w:rsid w:val="00841D08"/>
    <w:rsid w:val="00842D43"/>
    <w:rsid w:val="0084323E"/>
    <w:rsid w:val="008439E6"/>
    <w:rsid w:val="00843D50"/>
    <w:rsid w:val="0084464E"/>
    <w:rsid w:val="00844C0A"/>
    <w:rsid w:val="008458BF"/>
    <w:rsid w:val="00845D95"/>
    <w:rsid w:val="00846262"/>
    <w:rsid w:val="00846370"/>
    <w:rsid w:val="008463E8"/>
    <w:rsid w:val="00847665"/>
    <w:rsid w:val="00847BC5"/>
    <w:rsid w:val="00847F11"/>
    <w:rsid w:val="00850010"/>
    <w:rsid w:val="008503F4"/>
    <w:rsid w:val="008504A0"/>
    <w:rsid w:val="00850AC1"/>
    <w:rsid w:val="00850C2A"/>
    <w:rsid w:val="00850DFA"/>
    <w:rsid w:val="00851331"/>
    <w:rsid w:val="008516D1"/>
    <w:rsid w:val="00852003"/>
    <w:rsid w:val="0085212C"/>
    <w:rsid w:val="00852B60"/>
    <w:rsid w:val="00852F9E"/>
    <w:rsid w:val="008533F2"/>
    <w:rsid w:val="00854053"/>
    <w:rsid w:val="008543AC"/>
    <w:rsid w:val="008548B8"/>
    <w:rsid w:val="00854965"/>
    <w:rsid w:val="008554D1"/>
    <w:rsid w:val="008558E0"/>
    <w:rsid w:val="00855B64"/>
    <w:rsid w:val="00857AF7"/>
    <w:rsid w:val="00860109"/>
    <w:rsid w:val="008601BD"/>
    <w:rsid w:val="00860359"/>
    <w:rsid w:val="00860E43"/>
    <w:rsid w:val="00861252"/>
    <w:rsid w:val="0086171A"/>
    <w:rsid w:val="0086226C"/>
    <w:rsid w:val="00863C07"/>
    <w:rsid w:val="008644A4"/>
    <w:rsid w:val="00864779"/>
    <w:rsid w:val="00864A6C"/>
    <w:rsid w:val="00864BB1"/>
    <w:rsid w:val="00864DF7"/>
    <w:rsid w:val="00865278"/>
    <w:rsid w:val="008654F9"/>
    <w:rsid w:val="008658C0"/>
    <w:rsid w:val="00866388"/>
    <w:rsid w:val="00866FE3"/>
    <w:rsid w:val="0086722D"/>
    <w:rsid w:val="00867936"/>
    <w:rsid w:val="00867D56"/>
    <w:rsid w:val="00870646"/>
    <w:rsid w:val="00870BAA"/>
    <w:rsid w:val="00870D91"/>
    <w:rsid w:val="008716D1"/>
    <w:rsid w:val="008716ED"/>
    <w:rsid w:val="008718AD"/>
    <w:rsid w:val="0087193F"/>
    <w:rsid w:val="008724E6"/>
    <w:rsid w:val="008728C8"/>
    <w:rsid w:val="00872E1E"/>
    <w:rsid w:val="00873205"/>
    <w:rsid w:val="008735E8"/>
    <w:rsid w:val="008736AF"/>
    <w:rsid w:val="0087377E"/>
    <w:rsid w:val="008744AF"/>
    <w:rsid w:val="00874594"/>
    <w:rsid w:val="00874776"/>
    <w:rsid w:val="0087487C"/>
    <w:rsid w:val="00874A07"/>
    <w:rsid w:val="00874B75"/>
    <w:rsid w:val="00875007"/>
    <w:rsid w:val="008750DB"/>
    <w:rsid w:val="008751B4"/>
    <w:rsid w:val="0087527F"/>
    <w:rsid w:val="008754B5"/>
    <w:rsid w:val="0087572D"/>
    <w:rsid w:val="00875AF3"/>
    <w:rsid w:val="008765E9"/>
    <w:rsid w:val="00876605"/>
    <w:rsid w:val="00876B13"/>
    <w:rsid w:val="0087780A"/>
    <w:rsid w:val="00877C22"/>
    <w:rsid w:val="00880017"/>
    <w:rsid w:val="00880305"/>
    <w:rsid w:val="00880324"/>
    <w:rsid w:val="0088088A"/>
    <w:rsid w:val="00880A3F"/>
    <w:rsid w:val="00880EE2"/>
    <w:rsid w:val="0088115F"/>
    <w:rsid w:val="00881732"/>
    <w:rsid w:val="008818A2"/>
    <w:rsid w:val="008818B2"/>
    <w:rsid w:val="00881FF9"/>
    <w:rsid w:val="0088213D"/>
    <w:rsid w:val="008821C6"/>
    <w:rsid w:val="0088243D"/>
    <w:rsid w:val="0088251A"/>
    <w:rsid w:val="00882D28"/>
    <w:rsid w:val="00883A67"/>
    <w:rsid w:val="008848E9"/>
    <w:rsid w:val="00884FD8"/>
    <w:rsid w:val="00885244"/>
    <w:rsid w:val="008857C7"/>
    <w:rsid w:val="008858B3"/>
    <w:rsid w:val="00885BF6"/>
    <w:rsid w:val="00886183"/>
    <w:rsid w:val="008866CF"/>
    <w:rsid w:val="00886782"/>
    <w:rsid w:val="008869A1"/>
    <w:rsid w:val="00886B3F"/>
    <w:rsid w:val="008872D8"/>
    <w:rsid w:val="0089015D"/>
    <w:rsid w:val="0089021A"/>
    <w:rsid w:val="0089022E"/>
    <w:rsid w:val="00890264"/>
    <w:rsid w:val="00890475"/>
    <w:rsid w:val="00890A7C"/>
    <w:rsid w:val="00890D11"/>
    <w:rsid w:val="008910EE"/>
    <w:rsid w:val="00891A26"/>
    <w:rsid w:val="008923F8"/>
    <w:rsid w:val="008928F1"/>
    <w:rsid w:val="00892BBF"/>
    <w:rsid w:val="00892DB5"/>
    <w:rsid w:val="008942BD"/>
    <w:rsid w:val="0089478A"/>
    <w:rsid w:val="0089480A"/>
    <w:rsid w:val="00894FE5"/>
    <w:rsid w:val="00895658"/>
    <w:rsid w:val="008956DA"/>
    <w:rsid w:val="00895BA9"/>
    <w:rsid w:val="00895D79"/>
    <w:rsid w:val="0089601B"/>
    <w:rsid w:val="0089655D"/>
    <w:rsid w:val="00896784"/>
    <w:rsid w:val="00897824"/>
    <w:rsid w:val="00897BCB"/>
    <w:rsid w:val="00897C07"/>
    <w:rsid w:val="00897DBA"/>
    <w:rsid w:val="008A02FA"/>
    <w:rsid w:val="008A06A8"/>
    <w:rsid w:val="008A0FCF"/>
    <w:rsid w:val="008A1163"/>
    <w:rsid w:val="008A1AAC"/>
    <w:rsid w:val="008A20CA"/>
    <w:rsid w:val="008A239B"/>
    <w:rsid w:val="008A2956"/>
    <w:rsid w:val="008A2EA1"/>
    <w:rsid w:val="008A2EF6"/>
    <w:rsid w:val="008A3480"/>
    <w:rsid w:val="008A362B"/>
    <w:rsid w:val="008A384E"/>
    <w:rsid w:val="008A45EA"/>
    <w:rsid w:val="008A4F3C"/>
    <w:rsid w:val="008A51AD"/>
    <w:rsid w:val="008A53BA"/>
    <w:rsid w:val="008A54A2"/>
    <w:rsid w:val="008A551D"/>
    <w:rsid w:val="008A56BA"/>
    <w:rsid w:val="008A570A"/>
    <w:rsid w:val="008A58E4"/>
    <w:rsid w:val="008A58E7"/>
    <w:rsid w:val="008A5C1D"/>
    <w:rsid w:val="008A615A"/>
    <w:rsid w:val="008A61C0"/>
    <w:rsid w:val="008A650C"/>
    <w:rsid w:val="008A6A36"/>
    <w:rsid w:val="008A6CB9"/>
    <w:rsid w:val="008A6DC1"/>
    <w:rsid w:val="008A7100"/>
    <w:rsid w:val="008A7139"/>
    <w:rsid w:val="008A776D"/>
    <w:rsid w:val="008A7C74"/>
    <w:rsid w:val="008A7C80"/>
    <w:rsid w:val="008B04C0"/>
    <w:rsid w:val="008B09E1"/>
    <w:rsid w:val="008B0A83"/>
    <w:rsid w:val="008B0C0C"/>
    <w:rsid w:val="008B0E93"/>
    <w:rsid w:val="008B17DA"/>
    <w:rsid w:val="008B198D"/>
    <w:rsid w:val="008B23A8"/>
    <w:rsid w:val="008B264A"/>
    <w:rsid w:val="008B29A4"/>
    <w:rsid w:val="008B2BB4"/>
    <w:rsid w:val="008B2C30"/>
    <w:rsid w:val="008B3C2B"/>
    <w:rsid w:val="008B4679"/>
    <w:rsid w:val="008B4D00"/>
    <w:rsid w:val="008B4D13"/>
    <w:rsid w:val="008B4E78"/>
    <w:rsid w:val="008B4FE2"/>
    <w:rsid w:val="008B6033"/>
    <w:rsid w:val="008B61A1"/>
    <w:rsid w:val="008B66DC"/>
    <w:rsid w:val="008B66EE"/>
    <w:rsid w:val="008B6793"/>
    <w:rsid w:val="008B6E87"/>
    <w:rsid w:val="008B71FA"/>
    <w:rsid w:val="008B75C2"/>
    <w:rsid w:val="008B787A"/>
    <w:rsid w:val="008C0706"/>
    <w:rsid w:val="008C0A89"/>
    <w:rsid w:val="008C0E71"/>
    <w:rsid w:val="008C1852"/>
    <w:rsid w:val="008C2157"/>
    <w:rsid w:val="008C2B92"/>
    <w:rsid w:val="008C2CFF"/>
    <w:rsid w:val="008C2E1E"/>
    <w:rsid w:val="008C2E1F"/>
    <w:rsid w:val="008C2E22"/>
    <w:rsid w:val="008C2ED2"/>
    <w:rsid w:val="008C3558"/>
    <w:rsid w:val="008C3D4D"/>
    <w:rsid w:val="008C4026"/>
    <w:rsid w:val="008C417E"/>
    <w:rsid w:val="008C5B51"/>
    <w:rsid w:val="008C5F0A"/>
    <w:rsid w:val="008C6105"/>
    <w:rsid w:val="008C6124"/>
    <w:rsid w:val="008C6334"/>
    <w:rsid w:val="008C6347"/>
    <w:rsid w:val="008C66BD"/>
    <w:rsid w:val="008C6968"/>
    <w:rsid w:val="008C6C61"/>
    <w:rsid w:val="008C7323"/>
    <w:rsid w:val="008C742A"/>
    <w:rsid w:val="008C74C7"/>
    <w:rsid w:val="008C7714"/>
    <w:rsid w:val="008C7F4F"/>
    <w:rsid w:val="008D00F3"/>
    <w:rsid w:val="008D0666"/>
    <w:rsid w:val="008D0F27"/>
    <w:rsid w:val="008D0FDC"/>
    <w:rsid w:val="008D11F0"/>
    <w:rsid w:val="008D15A2"/>
    <w:rsid w:val="008D18CD"/>
    <w:rsid w:val="008D1F86"/>
    <w:rsid w:val="008D20E0"/>
    <w:rsid w:val="008D2491"/>
    <w:rsid w:val="008D2B6E"/>
    <w:rsid w:val="008D335C"/>
    <w:rsid w:val="008D35B7"/>
    <w:rsid w:val="008D4007"/>
    <w:rsid w:val="008D436A"/>
    <w:rsid w:val="008D4883"/>
    <w:rsid w:val="008D4C72"/>
    <w:rsid w:val="008D519C"/>
    <w:rsid w:val="008D5368"/>
    <w:rsid w:val="008D561B"/>
    <w:rsid w:val="008D582B"/>
    <w:rsid w:val="008D5CF9"/>
    <w:rsid w:val="008D5D0A"/>
    <w:rsid w:val="008D6794"/>
    <w:rsid w:val="008D7BFC"/>
    <w:rsid w:val="008D7F65"/>
    <w:rsid w:val="008E0178"/>
    <w:rsid w:val="008E02F8"/>
    <w:rsid w:val="008E12AF"/>
    <w:rsid w:val="008E12EE"/>
    <w:rsid w:val="008E1DC9"/>
    <w:rsid w:val="008E211C"/>
    <w:rsid w:val="008E22E6"/>
    <w:rsid w:val="008E258E"/>
    <w:rsid w:val="008E2BB3"/>
    <w:rsid w:val="008E2BC5"/>
    <w:rsid w:val="008E2C79"/>
    <w:rsid w:val="008E3176"/>
    <w:rsid w:val="008E3564"/>
    <w:rsid w:val="008E3A0B"/>
    <w:rsid w:val="008E3A90"/>
    <w:rsid w:val="008E3AAB"/>
    <w:rsid w:val="008E4043"/>
    <w:rsid w:val="008E4520"/>
    <w:rsid w:val="008E546C"/>
    <w:rsid w:val="008E54E8"/>
    <w:rsid w:val="008E5740"/>
    <w:rsid w:val="008E5868"/>
    <w:rsid w:val="008E5DC8"/>
    <w:rsid w:val="008E6465"/>
    <w:rsid w:val="008E6C57"/>
    <w:rsid w:val="008E705B"/>
    <w:rsid w:val="008E7082"/>
    <w:rsid w:val="008E72AF"/>
    <w:rsid w:val="008F0952"/>
    <w:rsid w:val="008F0D30"/>
    <w:rsid w:val="008F0F4C"/>
    <w:rsid w:val="008F0F98"/>
    <w:rsid w:val="008F1154"/>
    <w:rsid w:val="008F1B84"/>
    <w:rsid w:val="008F1B9D"/>
    <w:rsid w:val="008F1DB6"/>
    <w:rsid w:val="008F39C0"/>
    <w:rsid w:val="008F57CD"/>
    <w:rsid w:val="008F5960"/>
    <w:rsid w:val="008F5C87"/>
    <w:rsid w:val="008F5CD0"/>
    <w:rsid w:val="008F6155"/>
    <w:rsid w:val="008F629A"/>
    <w:rsid w:val="008F6A9B"/>
    <w:rsid w:val="008F6F03"/>
    <w:rsid w:val="008F7070"/>
    <w:rsid w:val="008F7603"/>
    <w:rsid w:val="008F769D"/>
    <w:rsid w:val="008F76DC"/>
    <w:rsid w:val="008F7D2F"/>
    <w:rsid w:val="009013C5"/>
    <w:rsid w:val="0090147B"/>
    <w:rsid w:val="00901649"/>
    <w:rsid w:val="009019BB"/>
    <w:rsid w:val="00901CBA"/>
    <w:rsid w:val="00901DC6"/>
    <w:rsid w:val="009021D4"/>
    <w:rsid w:val="009021DC"/>
    <w:rsid w:val="00902867"/>
    <w:rsid w:val="00903026"/>
    <w:rsid w:val="0090357B"/>
    <w:rsid w:val="00903832"/>
    <w:rsid w:val="009044BE"/>
    <w:rsid w:val="009048EB"/>
    <w:rsid w:val="00904913"/>
    <w:rsid w:val="009050B3"/>
    <w:rsid w:val="00905945"/>
    <w:rsid w:val="00905FEB"/>
    <w:rsid w:val="00906252"/>
    <w:rsid w:val="0090672E"/>
    <w:rsid w:val="00906A4F"/>
    <w:rsid w:val="00906BD6"/>
    <w:rsid w:val="00907074"/>
    <w:rsid w:val="009073C7"/>
    <w:rsid w:val="009078BA"/>
    <w:rsid w:val="009079C7"/>
    <w:rsid w:val="009079F7"/>
    <w:rsid w:val="00907B44"/>
    <w:rsid w:val="00907C33"/>
    <w:rsid w:val="00910566"/>
    <w:rsid w:val="009108D2"/>
    <w:rsid w:val="00910C20"/>
    <w:rsid w:val="00910FE1"/>
    <w:rsid w:val="0091106A"/>
    <w:rsid w:val="00911D1C"/>
    <w:rsid w:val="00912F38"/>
    <w:rsid w:val="00913C58"/>
    <w:rsid w:val="009140B4"/>
    <w:rsid w:val="00914174"/>
    <w:rsid w:val="0091428A"/>
    <w:rsid w:val="00914733"/>
    <w:rsid w:val="00914AA5"/>
    <w:rsid w:val="00914ACF"/>
    <w:rsid w:val="00914DFC"/>
    <w:rsid w:val="009157E9"/>
    <w:rsid w:val="009162DD"/>
    <w:rsid w:val="009163E7"/>
    <w:rsid w:val="0091671A"/>
    <w:rsid w:val="009169F6"/>
    <w:rsid w:val="0091719D"/>
    <w:rsid w:val="00917903"/>
    <w:rsid w:val="00917EC6"/>
    <w:rsid w:val="00920189"/>
    <w:rsid w:val="0092073F"/>
    <w:rsid w:val="00920997"/>
    <w:rsid w:val="00920B1E"/>
    <w:rsid w:val="00920DD5"/>
    <w:rsid w:val="00921161"/>
    <w:rsid w:val="009214DB"/>
    <w:rsid w:val="00922492"/>
    <w:rsid w:val="009224EB"/>
    <w:rsid w:val="0092272F"/>
    <w:rsid w:val="00922BE2"/>
    <w:rsid w:val="00922EDE"/>
    <w:rsid w:val="009237D9"/>
    <w:rsid w:val="0092406C"/>
    <w:rsid w:val="00924096"/>
    <w:rsid w:val="009243BC"/>
    <w:rsid w:val="009244D5"/>
    <w:rsid w:val="009252F1"/>
    <w:rsid w:val="00925588"/>
    <w:rsid w:val="00925AF5"/>
    <w:rsid w:val="00926268"/>
    <w:rsid w:val="009264A2"/>
    <w:rsid w:val="0092715D"/>
    <w:rsid w:val="00930632"/>
    <w:rsid w:val="009310BC"/>
    <w:rsid w:val="00931D3F"/>
    <w:rsid w:val="00931EB7"/>
    <w:rsid w:val="009324C4"/>
    <w:rsid w:val="00932671"/>
    <w:rsid w:val="00932A7A"/>
    <w:rsid w:val="009330BF"/>
    <w:rsid w:val="00933817"/>
    <w:rsid w:val="00934510"/>
    <w:rsid w:val="0093476C"/>
    <w:rsid w:val="009354B0"/>
    <w:rsid w:val="00935A1E"/>
    <w:rsid w:val="00935AA3"/>
    <w:rsid w:val="00935B7C"/>
    <w:rsid w:val="00935E3A"/>
    <w:rsid w:val="00936005"/>
    <w:rsid w:val="0093607C"/>
    <w:rsid w:val="00940008"/>
    <w:rsid w:val="00940FFA"/>
    <w:rsid w:val="00941503"/>
    <w:rsid w:val="0094187D"/>
    <w:rsid w:val="009423ED"/>
    <w:rsid w:val="00942C90"/>
    <w:rsid w:val="00942F29"/>
    <w:rsid w:val="00942FB6"/>
    <w:rsid w:val="009434EB"/>
    <w:rsid w:val="009436A2"/>
    <w:rsid w:val="00943EA6"/>
    <w:rsid w:val="009448F2"/>
    <w:rsid w:val="0094524B"/>
    <w:rsid w:val="009456E3"/>
    <w:rsid w:val="00945759"/>
    <w:rsid w:val="009466E9"/>
    <w:rsid w:val="00946CB3"/>
    <w:rsid w:val="00946D20"/>
    <w:rsid w:val="00946E51"/>
    <w:rsid w:val="00946EC7"/>
    <w:rsid w:val="009473F4"/>
    <w:rsid w:val="0094767D"/>
    <w:rsid w:val="00947E10"/>
    <w:rsid w:val="00950231"/>
    <w:rsid w:val="00950794"/>
    <w:rsid w:val="009507AA"/>
    <w:rsid w:val="009509EF"/>
    <w:rsid w:val="009515CA"/>
    <w:rsid w:val="00951691"/>
    <w:rsid w:val="0095195C"/>
    <w:rsid w:val="00951FCE"/>
    <w:rsid w:val="009521CC"/>
    <w:rsid w:val="0095226C"/>
    <w:rsid w:val="00952ADF"/>
    <w:rsid w:val="00952C05"/>
    <w:rsid w:val="00952D52"/>
    <w:rsid w:val="009540B7"/>
    <w:rsid w:val="009543D0"/>
    <w:rsid w:val="00954AF9"/>
    <w:rsid w:val="00954DAE"/>
    <w:rsid w:val="00955410"/>
    <w:rsid w:val="009558EE"/>
    <w:rsid w:val="009559D5"/>
    <w:rsid w:val="00955C17"/>
    <w:rsid w:val="00955FFA"/>
    <w:rsid w:val="00956170"/>
    <w:rsid w:val="00956BA1"/>
    <w:rsid w:val="00956D42"/>
    <w:rsid w:val="00956F0F"/>
    <w:rsid w:val="0095727F"/>
    <w:rsid w:val="009572AF"/>
    <w:rsid w:val="00957E41"/>
    <w:rsid w:val="00960117"/>
    <w:rsid w:val="0096023A"/>
    <w:rsid w:val="009607AB"/>
    <w:rsid w:val="009615DB"/>
    <w:rsid w:val="00962683"/>
    <w:rsid w:val="00962E23"/>
    <w:rsid w:val="00962F0C"/>
    <w:rsid w:val="0096487C"/>
    <w:rsid w:val="00964BC2"/>
    <w:rsid w:val="00964D43"/>
    <w:rsid w:val="00964D4A"/>
    <w:rsid w:val="00964EAE"/>
    <w:rsid w:val="00965023"/>
    <w:rsid w:val="009650B7"/>
    <w:rsid w:val="0096514A"/>
    <w:rsid w:val="0096515D"/>
    <w:rsid w:val="009651AA"/>
    <w:rsid w:val="00965841"/>
    <w:rsid w:val="00965F77"/>
    <w:rsid w:val="00966623"/>
    <w:rsid w:val="00967301"/>
    <w:rsid w:val="009678DB"/>
    <w:rsid w:val="0097019D"/>
    <w:rsid w:val="00970728"/>
    <w:rsid w:val="009707C9"/>
    <w:rsid w:val="009710DF"/>
    <w:rsid w:val="00971E0B"/>
    <w:rsid w:val="00972101"/>
    <w:rsid w:val="00972FB5"/>
    <w:rsid w:val="009736FE"/>
    <w:rsid w:val="009737F5"/>
    <w:rsid w:val="00973B96"/>
    <w:rsid w:val="00973E3C"/>
    <w:rsid w:val="00974763"/>
    <w:rsid w:val="00974ACF"/>
    <w:rsid w:val="009757CA"/>
    <w:rsid w:val="0097586D"/>
    <w:rsid w:val="00976E76"/>
    <w:rsid w:val="00977A14"/>
    <w:rsid w:val="00977B14"/>
    <w:rsid w:val="00977E9B"/>
    <w:rsid w:val="009807BF"/>
    <w:rsid w:val="009809CE"/>
    <w:rsid w:val="0098131F"/>
    <w:rsid w:val="00981479"/>
    <w:rsid w:val="00981F74"/>
    <w:rsid w:val="009829B3"/>
    <w:rsid w:val="00982C31"/>
    <w:rsid w:val="00982D45"/>
    <w:rsid w:val="00983165"/>
    <w:rsid w:val="00983343"/>
    <w:rsid w:val="009833C4"/>
    <w:rsid w:val="009834E0"/>
    <w:rsid w:val="009838FF"/>
    <w:rsid w:val="00983EA9"/>
    <w:rsid w:val="00984149"/>
    <w:rsid w:val="00984788"/>
    <w:rsid w:val="00984909"/>
    <w:rsid w:val="00984FF3"/>
    <w:rsid w:val="00984FF9"/>
    <w:rsid w:val="009850C5"/>
    <w:rsid w:val="00985F63"/>
    <w:rsid w:val="00986326"/>
    <w:rsid w:val="00986849"/>
    <w:rsid w:val="00986BB7"/>
    <w:rsid w:val="00986C77"/>
    <w:rsid w:val="00986D4B"/>
    <w:rsid w:val="00986F6D"/>
    <w:rsid w:val="0098727C"/>
    <w:rsid w:val="00987708"/>
    <w:rsid w:val="00987DF0"/>
    <w:rsid w:val="00987E2E"/>
    <w:rsid w:val="0099008B"/>
    <w:rsid w:val="0099177B"/>
    <w:rsid w:val="00991B8C"/>
    <w:rsid w:val="00991C34"/>
    <w:rsid w:val="00991F48"/>
    <w:rsid w:val="0099367E"/>
    <w:rsid w:val="00993FE4"/>
    <w:rsid w:val="0099425E"/>
    <w:rsid w:val="00994CDC"/>
    <w:rsid w:val="00994DFE"/>
    <w:rsid w:val="00995B05"/>
    <w:rsid w:val="009969CD"/>
    <w:rsid w:val="0099770A"/>
    <w:rsid w:val="00997769"/>
    <w:rsid w:val="00997A2E"/>
    <w:rsid w:val="009A048E"/>
    <w:rsid w:val="009A07CF"/>
    <w:rsid w:val="009A119F"/>
    <w:rsid w:val="009A1609"/>
    <w:rsid w:val="009A16A3"/>
    <w:rsid w:val="009A1A7E"/>
    <w:rsid w:val="009A3480"/>
    <w:rsid w:val="009A3DB8"/>
    <w:rsid w:val="009A43B3"/>
    <w:rsid w:val="009A464D"/>
    <w:rsid w:val="009A496F"/>
    <w:rsid w:val="009A4AEC"/>
    <w:rsid w:val="009A4B78"/>
    <w:rsid w:val="009A4D73"/>
    <w:rsid w:val="009A4E41"/>
    <w:rsid w:val="009A5297"/>
    <w:rsid w:val="009A52C5"/>
    <w:rsid w:val="009A5851"/>
    <w:rsid w:val="009A5D40"/>
    <w:rsid w:val="009A5E10"/>
    <w:rsid w:val="009A632E"/>
    <w:rsid w:val="009A6665"/>
    <w:rsid w:val="009A743F"/>
    <w:rsid w:val="009A74F7"/>
    <w:rsid w:val="009B00F2"/>
    <w:rsid w:val="009B06E9"/>
    <w:rsid w:val="009B0FB2"/>
    <w:rsid w:val="009B1113"/>
    <w:rsid w:val="009B139B"/>
    <w:rsid w:val="009B1C34"/>
    <w:rsid w:val="009B1D22"/>
    <w:rsid w:val="009B1E86"/>
    <w:rsid w:val="009B27C4"/>
    <w:rsid w:val="009B2D92"/>
    <w:rsid w:val="009B3181"/>
    <w:rsid w:val="009B31DE"/>
    <w:rsid w:val="009B3250"/>
    <w:rsid w:val="009B3F14"/>
    <w:rsid w:val="009B42D2"/>
    <w:rsid w:val="009B4A06"/>
    <w:rsid w:val="009B5458"/>
    <w:rsid w:val="009B578D"/>
    <w:rsid w:val="009B5C9A"/>
    <w:rsid w:val="009B60EA"/>
    <w:rsid w:val="009B70C8"/>
    <w:rsid w:val="009B737C"/>
    <w:rsid w:val="009B742E"/>
    <w:rsid w:val="009B76BE"/>
    <w:rsid w:val="009C0AC6"/>
    <w:rsid w:val="009C11B2"/>
    <w:rsid w:val="009C1405"/>
    <w:rsid w:val="009C1456"/>
    <w:rsid w:val="009C164F"/>
    <w:rsid w:val="009C1C30"/>
    <w:rsid w:val="009C22DD"/>
    <w:rsid w:val="009C29D5"/>
    <w:rsid w:val="009C30A0"/>
    <w:rsid w:val="009C310E"/>
    <w:rsid w:val="009C359E"/>
    <w:rsid w:val="009C37FE"/>
    <w:rsid w:val="009C4082"/>
    <w:rsid w:val="009C4A38"/>
    <w:rsid w:val="009C4A72"/>
    <w:rsid w:val="009C4AD8"/>
    <w:rsid w:val="009C4D3D"/>
    <w:rsid w:val="009C4E1C"/>
    <w:rsid w:val="009C55E2"/>
    <w:rsid w:val="009C5A4E"/>
    <w:rsid w:val="009C5EE5"/>
    <w:rsid w:val="009C61E3"/>
    <w:rsid w:val="009C6B56"/>
    <w:rsid w:val="009C6C15"/>
    <w:rsid w:val="009C7DB8"/>
    <w:rsid w:val="009C7FF0"/>
    <w:rsid w:val="009D010D"/>
    <w:rsid w:val="009D0244"/>
    <w:rsid w:val="009D089D"/>
    <w:rsid w:val="009D0CE2"/>
    <w:rsid w:val="009D0F71"/>
    <w:rsid w:val="009D111C"/>
    <w:rsid w:val="009D17A0"/>
    <w:rsid w:val="009D1F7A"/>
    <w:rsid w:val="009D204E"/>
    <w:rsid w:val="009D2873"/>
    <w:rsid w:val="009D2942"/>
    <w:rsid w:val="009D3A1A"/>
    <w:rsid w:val="009D426A"/>
    <w:rsid w:val="009D4F30"/>
    <w:rsid w:val="009D5BDB"/>
    <w:rsid w:val="009D6B03"/>
    <w:rsid w:val="009D6B3D"/>
    <w:rsid w:val="009D7422"/>
    <w:rsid w:val="009D76D0"/>
    <w:rsid w:val="009D78E7"/>
    <w:rsid w:val="009E0742"/>
    <w:rsid w:val="009E1291"/>
    <w:rsid w:val="009E12BC"/>
    <w:rsid w:val="009E1F7D"/>
    <w:rsid w:val="009E224D"/>
    <w:rsid w:val="009E26D5"/>
    <w:rsid w:val="009E2A07"/>
    <w:rsid w:val="009E3398"/>
    <w:rsid w:val="009E3577"/>
    <w:rsid w:val="009E3D2B"/>
    <w:rsid w:val="009E3D6F"/>
    <w:rsid w:val="009E3E84"/>
    <w:rsid w:val="009E4097"/>
    <w:rsid w:val="009E4664"/>
    <w:rsid w:val="009E4D8E"/>
    <w:rsid w:val="009E4E90"/>
    <w:rsid w:val="009E4EB7"/>
    <w:rsid w:val="009E57C1"/>
    <w:rsid w:val="009E624A"/>
    <w:rsid w:val="009E6B32"/>
    <w:rsid w:val="009E70F3"/>
    <w:rsid w:val="009E7293"/>
    <w:rsid w:val="009E7DB7"/>
    <w:rsid w:val="009E7E98"/>
    <w:rsid w:val="009F00EE"/>
    <w:rsid w:val="009F0247"/>
    <w:rsid w:val="009F0827"/>
    <w:rsid w:val="009F0BED"/>
    <w:rsid w:val="009F1673"/>
    <w:rsid w:val="009F3255"/>
    <w:rsid w:val="009F34AA"/>
    <w:rsid w:val="009F3DCE"/>
    <w:rsid w:val="009F44FF"/>
    <w:rsid w:val="009F46E8"/>
    <w:rsid w:val="009F472D"/>
    <w:rsid w:val="009F4CF0"/>
    <w:rsid w:val="009F4E88"/>
    <w:rsid w:val="009F4FD5"/>
    <w:rsid w:val="009F50D1"/>
    <w:rsid w:val="009F573B"/>
    <w:rsid w:val="009F5918"/>
    <w:rsid w:val="009F596D"/>
    <w:rsid w:val="009F637C"/>
    <w:rsid w:val="009F6A91"/>
    <w:rsid w:val="009F71A6"/>
    <w:rsid w:val="009F71AA"/>
    <w:rsid w:val="009F754A"/>
    <w:rsid w:val="009F791F"/>
    <w:rsid w:val="009F7F86"/>
    <w:rsid w:val="00A0034D"/>
    <w:rsid w:val="00A00BFB"/>
    <w:rsid w:val="00A00DCF"/>
    <w:rsid w:val="00A0126C"/>
    <w:rsid w:val="00A012DA"/>
    <w:rsid w:val="00A0187E"/>
    <w:rsid w:val="00A026F0"/>
    <w:rsid w:val="00A02F2D"/>
    <w:rsid w:val="00A02F61"/>
    <w:rsid w:val="00A03E0E"/>
    <w:rsid w:val="00A040D1"/>
    <w:rsid w:val="00A04A0A"/>
    <w:rsid w:val="00A050A8"/>
    <w:rsid w:val="00A056A3"/>
    <w:rsid w:val="00A05B51"/>
    <w:rsid w:val="00A05CE9"/>
    <w:rsid w:val="00A06286"/>
    <w:rsid w:val="00A06318"/>
    <w:rsid w:val="00A063BC"/>
    <w:rsid w:val="00A068E1"/>
    <w:rsid w:val="00A06A80"/>
    <w:rsid w:val="00A06D8A"/>
    <w:rsid w:val="00A0711F"/>
    <w:rsid w:val="00A07B0B"/>
    <w:rsid w:val="00A1005B"/>
    <w:rsid w:val="00A102A0"/>
    <w:rsid w:val="00A10860"/>
    <w:rsid w:val="00A114FA"/>
    <w:rsid w:val="00A11AF3"/>
    <w:rsid w:val="00A12C09"/>
    <w:rsid w:val="00A13084"/>
    <w:rsid w:val="00A1327F"/>
    <w:rsid w:val="00A13817"/>
    <w:rsid w:val="00A138D3"/>
    <w:rsid w:val="00A13E0F"/>
    <w:rsid w:val="00A1448C"/>
    <w:rsid w:val="00A144B7"/>
    <w:rsid w:val="00A149B4"/>
    <w:rsid w:val="00A150D1"/>
    <w:rsid w:val="00A158AB"/>
    <w:rsid w:val="00A15F4F"/>
    <w:rsid w:val="00A160AB"/>
    <w:rsid w:val="00A16745"/>
    <w:rsid w:val="00A16747"/>
    <w:rsid w:val="00A17E93"/>
    <w:rsid w:val="00A20013"/>
    <w:rsid w:val="00A20582"/>
    <w:rsid w:val="00A20C65"/>
    <w:rsid w:val="00A21293"/>
    <w:rsid w:val="00A21767"/>
    <w:rsid w:val="00A21FD5"/>
    <w:rsid w:val="00A22751"/>
    <w:rsid w:val="00A22940"/>
    <w:rsid w:val="00A23102"/>
    <w:rsid w:val="00A2343F"/>
    <w:rsid w:val="00A23505"/>
    <w:rsid w:val="00A23C4B"/>
    <w:rsid w:val="00A2428B"/>
    <w:rsid w:val="00A24626"/>
    <w:rsid w:val="00A247E5"/>
    <w:rsid w:val="00A248BD"/>
    <w:rsid w:val="00A24D81"/>
    <w:rsid w:val="00A24EA5"/>
    <w:rsid w:val="00A24F88"/>
    <w:rsid w:val="00A25173"/>
    <w:rsid w:val="00A252F0"/>
    <w:rsid w:val="00A259F2"/>
    <w:rsid w:val="00A26463"/>
    <w:rsid w:val="00A2660E"/>
    <w:rsid w:val="00A26916"/>
    <w:rsid w:val="00A26B47"/>
    <w:rsid w:val="00A26FF1"/>
    <w:rsid w:val="00A27806"/>
    <w:rsid w:val="00A27986"/>
    <w:rsid w:val="00A3068C"/>
    <w:rsid w:val="00A3114C"/>
    <w:rsid w:val="00A3127F"/>
    <w:rsid w:val="00A31922"/>
    <w:rsid w:val="00A31BCC"/>
    <w:rsid w:val="00A31C70"/>
    <w:rsid w:val="00A325BB"/>
    <w:rsid w:val="00A3297A"/>
    <w:rsid w:val="00A32A58"/>
    <w:rsid w:val="00A32EEC"/>
    <w:rsid w:val="00A333FC"/>
    <w:rsid w:val="00A336C5"/>
    <w:rsid w:val="00A3510A"/>
    <w:rsid w:val="00A3515F"/>
    <w:rsid w:val="00A35751"/>
    <w:rsid w:val="00A3577F"/>
    <w:rsid w:val="00A35BBC"/>
    <w:rsid w:val="00A35DAB"/>
    <w:rsid w:val="00A36724"/>
    <w:rsid w:val="00A367AF"/>
    <w:rsid w:val="00A36C13"/>
    <w:rsid w:val="00A36DF5"/>
    <w:rsid w:val="00A377C2"/>
    <w:rsid w:val="00A37A31"/>
    <w:rsid w:val="00A37FAB"/>
    <w:rsid w:val="00A40B1F"/>
    <w:rsid w:val="00A40B4D"/>
    <w:rsid w:val="00A411E2"/>
    <w:rsid w:val="00A41355"/>
    <w:rsid w:val="00A41373"/>
    <w:rsid w:val="00A41638"/>
    <w:rsid w:val="00A41B15"/>
    <w:rsid w:val="00A4224E"/>
    <w:rsid w:val="00A4229F"/>
    <w:rsid w:val="00A428A9"/>
    <w:rsid w:val="00A42ACA"/>
    <w:rsid w:val="00A430EB"/>
    <w:rsid w:val="00A43AAB"/>
    <w:rsid w:val="00A43AFE"/>
    <w:rsid w:val="00A447E3"/>
    <w:rsid w:val="00A44AAD"/>
    <w:rsid w:val="00A44D3B"/>
    <w:rsid w:val="00A45280"/>
    <w:rsid w:val="00A458F2"/>
    <w:rsid w:val="00A45BF7"/>
    <w:rsid w:val="00A463B5"/>
    <w:rsid w:val="00A463BA"/>
    <w:rsid w:val="00A463F4"/>
    <w:rsid w:val="00A46675"/>
    <w:rsid w:val="00A471A3"/>
    <w:rsid w:val="00A47597"/>
    <w:rsid w:val="00A47E44"/>
    <w:rsid w:val="00A47F91"/>
    <w:rsid w:val="00A507D7"/>
    <w:rsid w:val="00A50A5C"/>
    <w:rsid w:val="00A50BE2"/>
    <w:rsid w:val="00A50CC6"/>
    <w:rsid w:val="00A50E40"/>
    <w:rsid w:val="00A51462"/>
    <w:rsid w:val="00A51946"/>
    <w:rsid w:val="00A51FF7"/>
    <w:rsid w:val="00A52058"/>
    <w:rsid w:val="00A52079"/>
    <w:rsid w:val="00A52143"/>
    <w:rsid w:val="00A521E9"/>
    <w:rsid w:val="00A5298E"/>
    <w:rsid w:val="00A52B3E"/>
    <w:rsid w:val="00A5313B"/>
    <w:rsid w:val="00A5320E"/>
    <w:rsid w:val="00A53EF9"/>
    <w:rsid w:val="00A53F7B"/>
    <w:rsid w:val="00A54090"/>
    <w:rsid w:val="00A54282"/>
    <w:rsid w:val="00A5449A"/>
    <w:rsid w:val="00A549D3"/>
    <w:rsid w:val="00A54DF0"/>
    <w:rsid w:val="00A55351"/>
    <w:rsid w:val="00A57E98"/>
    <w:rsid w:val="00A60849"/>
    <w:rsid w:val="00A60FF8"/>
    <w:rsid w:val="00A6105B"/>
    <w:rsid w:val="00A61355"/>
    <w:rsid w:val="00A61668"/>
    <w:rsid w:val="00A61DDC"/>
    <w:rsid w:val="00A621D3"/>
    <w:rsid w:val="00A628F8"/>
    <w:rsid w:val="00A62B7A"/>
    <w:rsid w:val="00A632EA"/>
    <w:rsid w:val="00A634BE"/>
    <w:rsid w:val="00A63AD7"/>
    <w:rsid w:val="00A63BFD"/>
    <w:rsid w:val="00A6491F"/>
    <w:rsid w:val="00A64C72"/>
    <w:rsid w:val="00A64D1A"/>
    <w:rsid w:val="00A65320"/>
    <w:rsid w:val="00A65BA5"/>
    <w:rsid w:val="00A66354"/>
    <w:rsid w:val="00A66C02"/>
    <w:rsid w:val="00A66E37"/>
    <w:rsid w:val="00A66ECF"/>
    <w:rsid w:val="00A67E38"/>
    <w:rsid w:val="00A703E4"/>
    <w:rsid w:val="00A70461"/>
    <w:rsid w:val="00A704C9"/>
    <w:rsid w:val="00A70B2B"/>
    <w:rsid w:val="00A70DC6"/>
    <w:rsid w:val="00A71080"/>
    <w:rsid w:val="00A71986"/>
    <w:rsid w:val="00A71E73"/>
    <w:rsid w:val="00A72740"/>
    <w:rsid w:val="00A72F9A"/>
    <w:rsid w:val="00A733B9"/>
    <w:rsid w:val="00A73A64"/>
    <w:rsid w:val="00A742AD"/>
    <w:rsid w:val="00A746D7"/>
    <w:rsid w:val="00A74AB2"/>
    <w:rsid w:val="00A75A27"/>
    <w:rsid w:val="00A75A46"/>
    <w:rsid w:val="00A75B36"/>
    <w:rsid w:val="00A75F7A"/>
    <w:rsid w:val="00A7663A"/>
    <w:rsid w:val="00A7696B"/>
    <w:rsid w:val="00A769D4"/>
    <w:rsid w:val="00A804C7"/>
    <w:rsid w:val="00A80857"/>
    <w:rsid w:val="00A80A39"/>
    <w:rsid w:val="00A80DF0"/>
    <w:rsid w:val="00A80E64"/>
    <w:rsid w:val="00A81A16"/>
    <w:rsid w:val="00A8215F"/>
    <w:rsid w:val="00A823A7"/>
    <w:rsid w:val="00A825C8"/>
    <w:rsid w:val="00A82742"/>
    <w:rsid w:val="00A83984"/>
    <w:rsid w:val="00A83A1E"/>
    <w:rsid w:val="00A84198"/>
    <w:rsid w:val="00A841AB"/>
    <w:rsid w:val="00A84FFD"/>
    <w:rsid w:val="00A86104"/>
    <w:rsid w:val="00A8655A"/>
    <w:rsid w:val="00A87203"/>
    <w:rsid w:val="00A87744"/>
    <w:rsid w:val="00A87AE6"/>
    <w:rsid w:val="00A87B09"/>
    <w:rsid w:val="00A87C22"/>
    <w:rsid w:val="00A90590"/>
    <w:rsid w:val="00A90A97"/>
    <w:rsid w:val="00A90CB4"/>
    <w:rsid w:val="00A910DA"/>
    <w:rsid w:val="00A920E1"/>
    <w:rsid w:val="00A92291"/>
    <w:rsid w:val="00A933AE"/>
    <w:rsid w:val="00A93863"/>
    <w:rsid w:val="00A9415E"/>
    <w:rsid w:val="00A9423F"/>
    <w:rsid w:val="00A94EBD"/>
    <w:rsid w:val="00A9510D"/>
    <w:rsid w:val="00A956AC"/>
    <w:rsid w:val="00A95D2A"/>
    <w:rsid w:val="00A96060"/>
    <w:rsid w:val="00A96214"/>
    <w:rsid w:val="00A9637E"/>
    <w:rsid w:val="00A967E8"/>
    <w:rsid w:val="00A97F4B"/>
    <w:rsid w:val="00AA04C5"/>
    <w:rsid w:val="00AA0728"/>
    <w:rsid w:val="00AA0E42"/>
    <w:rsid w:val="00AA10B1"/>
    <w:rsid w:val="00AA2803"/>
    <w:rsid w:val="00AA2BF2"/>
    <w:rsid w:val="00AA2D68"/>
    <w:rsid w:val="00AA2D6F"/>
    <w:rsid w:val="00AA2E4E"/>
    <w:rsid w:val="00AA3987"/>
    <w:rsid w:val="00AA3B68"/>
    <w:rsid w:val="00AA3E79"/>
    <w:rsid w:val="00AA4FB4"/>
    <w:rsid w:val="00AA5586"/>
    <w:rsid w:val="00AA5C0B"/>
    <w:rsid w:val="00AA5E3B"/>
    <w:rsid w:val="00AA63AD"/>
    <w:rsid w:val="00AA63B8"/>
    <w:rsid w:val="00AA65B4"/>
    <w:rsid w:val="00AA68CD"/>
    <w:rsid w:val="00AA745E"/>
    <w:rsid w:val="00AB04AB"/>
    <w:rsid w:val="00AB0733"/>
    <w:rsid w:val="00AB09D2"/>
    <w:rsid w:val="00AB0B64"/>
    <w:rsid w:val="00AB0C30"/>
    <w:rsid w:val="00AB176B"/>
    <w:rsid w:val="00AB37E6"/>
    <w:rsid w:val="00AB3DBA"/>
    <w:rsid w:val="00AB431C"/>
    <w:rsid w:val="00AB470E"/>
    <w:rsid w:val="00AB5A7E"/>
    <w:rsid w:val="00AB7538"/>
    <w:rsid w:val="00AB77F3"/>
    <w:rsid w:val="00AB7CD3"/>
    <w:rsid w:val="00AC0256"/>
    <w:rsid w:val="00AC0AAD"/>
    <w:rsid w:val="00AC0EEC"/>
    <w:rsid w:val="00AC1231"/>
    <w:rsid w:val="00AC1254"/>
    <w:rsid w:val="00AC1992"/>
    <w:rsid w:val="00AC1E14"/>
    <w:rsid w:val="00AC2CFA"/>
    <w:rsid w:val="00AC3263"/>
    <w:rsid w:val="00AC3E12"/>
    <w:rsid w:val="00AC406E"/>
    <w:rsid w:val="00AC430C"/>
    <w:rsid w:val="00AC4A6B"/>
    <w:rsid w:val="00AC5C19"/>
    <w:rsid w:val="00AC60F0"/>
    <w:rsid w:val="00AC6657"/>
    <w:rsid w:val="00AC6D7A"/>
    <w:rsid w:val="00AC7363"/>
    <w:rsid w:val="00AC7401"/>
    <w:rsid w:val="00AC7901"/>
    <w:rsid w:val="00AC79F3"/>
    <w:rsid w:val="00AC7FDD"/>
    <w:rsid w:val="00AD08A5"/>
    <w:rsid w:val="00AD0949"/>
    <w:rsid w:val="00AD0F1D"/>
    <w:rsid w:val="00AD1179"/>
    <w:rsid w:val="00AD1359"/>
    <w:rsid w:val="00AD19F0"/>
    <w:rsid w:val="00AD1FCE"/>
    <w:rsid w:val="00AD26E1"/>
    <w:rsid w:val="00AD29CC"/>
    <w:rsid w:val="00AD3268"/>
    <w:rsid w:val="00AD3DE2"/>
    <w:rsid w:val="00AD3E46"/>
    <w:rsid w:val="00AD4261"/>
    <w:rsid w:val="00AD46F5"/>
    <w:rsid w:val="00AD51A3"/>
    <w:rsid w:val="00AD598B"/>
    <w:rsid w:val="00AD6013"/>
    <w:rsid w:val="00AD6C9B"/>
    <w:rsid w:val="00AD7154"/>
    <w:rsid w:val="00AD797D"/>
    <w:rsid w:val="00AD7A19"/>
    <w:rsid w:val="00AD7E02"/>
    <w:rsid w:val="00AE0483"/>
    <w:rsid w:val="00AE08DD"/>
    <w:rsid w:val="00AE1269"/>
    <w:rsid w:val="00AE13BD"/>
    <w:rsid w:val="00AE1AF9"/>
    <w:rsid w:val="00AE1E60"/>
    <w:rsid w:val="00AE2068"/>
    <w:rsid w:val="00AE2258"/>
    <w:rsid w:val="00AE277E"/>
    <w:rsid w:val="00AE2A36"/>
    <w:rsid w:val="00AE2BC6"/>
    <w:rsid w:val="00AE3251"/>
    <w:rsid w:val="00AE3FE0"/>
    <w:rsid w:val="00AE5058"/>
    <w:rsid w:val="00AE51CD"/>
    <w:rsid w:val="00AE5471"/>
    <w:rsid w:val="00AE54AA"/>
    <w:rsid w:val="00AE60E4"/>
    <w:rsid w:val="00AE6872"/>
    <w:rsid w:val="00AE6C58"/>
    <w:rsid w:val="00AE72C4"/>
    <w:rsid w:val="00AE7F05"/>
    <w:rsid w:val="00AE7F38"/>
    <w:rsid w:val="00AF008C"/>
    <w:rsid w:val="00AF054D"/>
    <w:rsid w:val="00AF0939"/>
    <w:rsid w:val="00AF17E8"/>
    <w:rsid w:val="00AF24E7"/>
    <w:rsid w:val="00AF272B"/>
    <w:rsid w:val="00AF291B"/>
    <w:rsid w:val="00AF2DAA"/>
    <w:rsid w:val="00AF2EBD"/>
    <w:rsid w:val="00AF2FF0"/>
    <w:rsid w:val="00AF33AE"/>
    <w:rsid w:val="00AF37F6"/>
    <w:rsid w:val="00AF44B1"/>
    <w:rsid w:val="00AF4EE0"/>
    <w:rsid w:val="00AF5800"/>
    <w:rsid w:val="00AF63F5"/>
    <w:rsid w:val="00AF6986"/>
    <w:rsid w:val="00AF69FE"/>
    <w:rsid w:val="00AF6D1B"/>
    <w:rsid w:val="00AF73ED"/>
    <w:rsid w:val="00AF7D69"/>
    <w:rsid w:val="00AF7ED2"/>
    <w:rsid w:val="00B004D8"/>
    <w:rsid w:val="00B00830"/>
    <w:rsid w:val="00B00CC5"/>
    <w:rsid w:val="00B016D2"/>
    <w:rsid w:val="00B02091"/>
    <w:rsid w:val="00B02328"/>
    <w:rsid w:val="00B02594"/>
    <w:rsid w:val="00B02B43"/>
    <w:rsid w:val="00B03D36"/>
    <w:rsid w:val="00B04540"/>
    <w:rsid w:val="00B05116"/>
    <w:rsid w:val="00B051A7"/>
    <w:rsid w:val="00B05F1A"/>
    <w:rsid w:val="00B07B33"/>
    <w:rsid w:val="00B07FA2"/>
    <w:rsid w:val="00B100CF"/>
    <w:rsid w:val="00B10E82"/>
    <w:rsid w:val="00B111A6"/>
    <w:rsid w:val="00B115E5"/>
    <w:rsid w:val="00B118EE"/>
    <w:rsid w:val="00B11B03"/>
    <w:rsid w:val="00B11C5B"/>
    <w:rsid w:val="00B121CD"/>
    <w:rsid w:val="00B12343"/>
    <w:rsid w:val="00B12403"/>
    <w:rsid w:val="00B12529"/>
    <w:rsid w:val="00B128C5"/>
    <w:rsid w:val="00B12B11"/>
    <w:rsid w:val="00B12C94"/>
    <w:rsid w:val="00B12D36"/>
    <w:rsid w:val="00B135AB"/>
    <w:rsid w:val="00B137BF"/>
    <w:rsid w:val="00B13A1B"/>
    <w:rsid w:val="00B13A76"/>
    <w:rsid w:val="00B13F4C"/>
    <w:rsid w:val="00B142D9"/>
    <w:rsid w:val="00B14BC4"/>
    <w:rsid w:val="00B14BD8"/>
    <w:rsid w:val="00B14C1C"/>
    <w:rsid w:val="00B14E8C"/>
    <w:rsid w:val="00B1519B"/>
    <w:rsid w:val="00B158A3"/>
    <w:rsid w:val="00B15B25"/>
    <w:rsid w:val="00B15C36"/>
    <w:rsid w:val="00B15EA0"/>
    <w:rsid w:val="00B168B1"/>
    <w:rsid w:val="00B17A4E"/>
    <w:rsid w:val="00B17B30"/>
    <w:rsid w:val="00B17C2F"/>
    <w:rsid w:val="00B20033"/>
    <w:rsid w:val="00B2153E"/>
    <w:rsid w:val="00B21FA7"/>
    <w:rsid w:val="00B22022"/>
    <w:rsid w:val="00B223C9"/>
    <w:rsid w:val="00B225E4"/>
    <w:rsid w:val="00B23F7A"/>
    <w:rsid w:val="00B240B1"/>
    <w:rsid w:val="00B24208"/>
    <w:rsid w:val="00B24728"/>
    <w:rsid w:val="00B248A9"/>
    <w:rsid w:val="00B24D28"/>
    <w:rsid w:val="00B24F1C"/>
    <w:rsid w:val="00B25443"/>
    <w:rsid w:val="00B25D76"/>
    <w:rsid w:val="00B27032"/>
    <w:rsid w:val="00B27441"/>
    <w:rsid w:val="00B30003"/>
    <w:rsid w:val="00B31201"/>
    <w:rsid w:val="00B31B4B"/>
    <w:rsid w:val="00B31E36"/>
    <w:rsid w:val="00B31F31"/>
    <w:rsid w:val="00B3241F"/>
    <w:rsid w:val="00B32E26"/>
    <w:rsid w:val="00B32E32"/>
    <w:rsid w:val="00B338B7"/>
    <w:rsid w:val="00B34061"/>
    <w:rsid w:val="00B34376"/>
    <w:rsid w:val="00B3440A"/>
    <w:rsid w:val="00B34441"/>
    <w:rsid w:val="00B35534"/>
    <w:rsid w:val="00B35A87"/>
    <w:rsid w:val="00B35AFD"/>
    <w:rsid w:val="00B35F9A"/>
    <w:rsid w:val="00B36236"/>
    <w:rsid w:val="00B3662E"/>
    <w:rsid w:val="00B366D2"/>
    <w:rsid w:val="00B366FA"/>
    <w:rsid w:val="00B36E86"/>
    <w:rsid w:val="00B379BA"/>
    <w:rsid w:val="00B37DF6"/>
    <w:rsid w:val="00B37EF6"/>
    <w:rsid w:val="00B412FD"/>
    <w:rsid w:val="00B41457"/>
    <w:rsid w:val="00B422BE"/>
    <w:rsid w:val="00B42343"/>
    <w:rsid w:val="00B4241D"/>
    <w:rsid w:val="00B426BB"/>
    <w:rsid w:val="00B42A76"/>
    <w:rsid w:val="00B42EB9"/>
    <w:rsid w:val="00B441FE"/>
    <w:rsid w:val="00B44821"/>
    <w:rsid w:val="00B44AD3"/>
    <w:rsid w:val="00B45152"/>
    <w:rsid w:val="00B45E54"/>
    <w:rsid w:val="00B464E4"/>
    <w:rsid w:val="00B4689A"/>
    <w:rsid w:val="00B46D5F"/>
    <w:rsid w:val="00B46E7B"/>
    <w:rsid w:val="00B47DC5"/>
    <w:rsid w:val="00B505B3"/>
    <w:rsid w:val="00B50882"/>
    <w:rsid w:val="00B50A74"/>
    <w:rsid w:val="00B51AE3"/>
    <w:rsid w:val="00B520A0"/>
    <w:rsid w:val="00B5257E"/>
    <w:rsid w:val="00B525CE"/>
    <w:rsid w:val="00B52CFD"/>
    <w:rsid w:val="00B53353"/>
    <w:rsid w:val="00B545A8"/>
    <w:rsid w:val="00B56527"/>
    <w:rsid w:val="00B576DA"/>
    <w:rsid w:val="00B57710"/>
    <w:rsid w:val="00B601C9"/>
    <w:rsid w:val="00B60856"/>
    <w:rsid w:val="00B60D04"/>
    <w:rsid w:val="00B61EE8"/>
    <w:rsid w:val="00B632A3"/>
    <w:rsid w:val="00B633A3"/>
    <w:rsid w:val="00B63533"/>
    <w:rsid w:val="00B635AF"/>
    <w:rsid w:val="00B63BDB"/>
    <w:rsid w:val="00B64A0E"/>
    <w:rsid w:val="00B64DDF"/>
    <w:rsid w:val="00B6567A"/>
    <w:rsid w:val="00B6601E"/>
    <w:rsid w:val="00B663AA"/>
    <w:rsid w:val="00B66DD5"/>
    <w:rsid w:val="00B67722"/>
    <w:rsid w:val="00B67B97"/>
    <w:rsid w:val="00B67F01"/>
    <w:rsid w:val="00B711AB"/>
    <w:rsid w:val="00B714F0"/>
    <w:rsid w:val="00B7193A"/>
    <w:rsid w:val="00B71A40"/>
    <w:rsid w:val="00B71C8C"/>
    <w:rsid w:val="00B71CB4"/>
    <w:rsid w:val="00B71FD7"/>
    <w:rsid w:val="00B725E7"/>
    <w:rsid w:val="00B72C07"/>
    <w:rsid w:val="00B72DF7"/>
    <w:rsid w:val="00B72F42"/>
    <w:rsid w:val="00B732B6"/>
    <w:rsid w:val="00B73E44"/>
    <w:rsid w:val="00B74290"/>
    <w:rsid w:val="00B74510"/>
    <w:rsid w:val="00B74BD4"/>
    <w:rsid w:val="00B74BF7"/>
    <w:rsid w:val="00B74CE1"/>
    <w:rsid w:val="00B751C0"/>
    <w:rsid w:val="00B75B54"/>
    <w:rsid w:val="00B76185"/>
    <w:rsid w:val="00B76714"/>
    <w:rsid w:val="00B76BCD"/>
    <w:rsid w:val="00B779E6"/>
    <w:rsid w:val="00B77D16"/>
    <w:rsid w:val="00B804E2"/>
    <w:rsid w:val="00B80D6C"/>
    <w:rsid w:val="00B811B2"/>
    <w:rsid w:val="00B8276E"/>
    <w:rsid w:val="00B83A62"/>
    <w:rsid w:val="00B83B59"/>
    <w:rsid w:val="00B84252"/>
    <w:rsid w:val="00B8468F"/>
    <w:rsid w:val="00B84FC6"/>
    <w:rsid w:val="00B857F5"/>
    <w:rsid w:val="00B86D6C"/>
    <w:rsid w:val="00B86F47"/>
    <w:rsid w:val="00B874B4"/>
    <w:rsid w:val="00B8787A"/>
    <w:rsid w:val="00B87887"/>
    <w:rsid w:val="00B87E4A"/>
    <w:rsid w:val="00B90123"/>
    <w:rsid w:val="00B90196"/>
    <w:rsid w:val="00B911C1"/>
    <w:rsid w:val="00B922C3"/>
    <w:rsid w:val="00B9272E"/>
    <w:rsid w:val="00B927A7"/>
    <w:rsid w:val="00B92B9E"/>
    <w:rsid w:val="00B92E61"/>
    <w:rsid w:val="00B93311"/>
    <w:rsid w:val="00B93315"/>
    <w:rsid w:val="00B93519"/>
    <w:rsid w:val="00B9372A"/>
    <w:rsid w:val="00B9425C"/>
    <w:rsid w:val="00B94AAF"/>
    <w:rsid w:val="00B953FF"/>
    <w:rsid w:val="00B9622D"/>
    <w:rsid w:val="00B96263"/>
    <w:rsid w:val="00B968A5"/>
    <w:rsid w:val="00B972CD"/>
    <w:rsid w:val="00B973D6"/>
    <w:rsid w:val="00B97999"/>
    <w:rsid w:val="00B97D02"/>
    <w:rsid w:val="00BA01BE"/>
    <w:rsid w:val="00BA0304"/>
    <w:rsid w:val="00BA0557"/>
    <w:rsid w:val="00BA1640"/>
    <w:rsid w:val="00BA1A87"/>
    <w:rsid w:val="00BA3038"/>
    <w:rsid w:val="00BA370A"/>
    <w:rsid w:val="00BA3D61"/>
    <w:rsid w:val="00BA4043"/>
    <w:rsid w:val="00BA4375"/>
    <w:rsid w:val="00BA43CA"/>
    <w:rsid w:val="00BA48BC"/>
    <w:rsid w:val="00BA4A29"/>
    <w:rsid w:val="00BA4BE7"/>
    <w:rsid w:val="00BA50AE"/>
    <w:rsid w:val="00BA5F20"/>
    <w:rsid w:val="00BA68D9"/>
    <w:rsid w:val="00BA7172"/>
    <w:rsid w:val="00BA7B01"/>
    <w:rsid w:val="00BB02D7"/>
    <w:rsid w:val="00BB0D9F"/>
    <w:rsid w:val="00BB0DEE"/>
    <w:rsid w:val="00BB1031"/>
    <w:rsid w:val="00BB19C9"/>
    <w:rsid w:val="00BB1B33"/>
    <w:rsid w:val="00BB2480"/>
    <w:rsid w:val="00BB2C4E"/>
    <w:rsid w:val="00BB2E29"/>
    <w:rsid w:val="00BB2F74"/>
    <w:rsid w:val="00BB3206"/>
    <w:rsid w:val="00BB32C2"/>
    <w:rsid w:val="00BB3B0D"/>
    <w:rsid w:val="00BB4B3E"/>
    <w:rsid w:val="00BB524C"/>
    <w:rsid w:val="00BB5DAB"/>
    <w:rsid w:val="00BB60EB"/>
    <w:rsid w:val="00BB6195"/>
    <w:rsid w:val="00BB61A3"/>
    <w:rsid w:val="00BB707E"/>
    <w:rsid w:val="00BB7568"/>
    <w:rsid w:val="00BC007C"/>
    <w:rsid w:val="00BC0986"/>
    <w:rsid w:val="00BC0AB2"/>
    <w:rsid w:val="00BC1308"/>
    <w:rsid w:val="00BC1BF4"/>
    <w:rsid w:val="00BC2600"/>
    <w:rsid w:val="00BC2F24"/>
    <w:rsid w:val="00BC33BE"/>
    <w:rsid w:val="00BC3745"/>
    <w:rsid w:val="00BC3A47"/>
    <w:rsid w:val="00BC3EEB"/>
    <w:rsid w:val="00BC4780"/>
    <w:rsid w:val="00BC52C8"/>
    <w:rsid w:val="00BC5485"/>
    <w:rsid w:val="00BC549C"/>
    <w:rsid w:val="00BC570E"/>
    <w:rsid w:val="00BC5A6C"/>
    <w:rsid w:val="00BC5AF6"/>
    <w:rsid w:val="00BC5B4B"/>
    <w:rsid w:val="00BC5EDB"/>
    <w:rsid w:val="00BC6914"/>
    <w:rsid w:val="00BC69A2"/>
    <w:rsid w:val="00BC6ED6"/>
    <w:rsid w:val="00BC6F03"/>
    <w:rsid w:val="00BC6FA1"/>
    <w:rsid w:val="00BC7487"/>
    <w:rsid w:val="00BC7C5D"/>
    <w:rsid w:val="00BD0570"/>
    <w:rsid w:val="00BD0853"/>
    <w:rsid w:val="00BD09AC"/>
    <w:rsid w:val="00BD112D"/>
    <w:rsid w:val="00BD214E"/>
    <w:rsid w:val="00BD2236"/>
    <w:rsid w:val="00BD2395"/>
    <w:rsid w:val="00BD25B8"/>
    <w:rsid w:val="00BD2842"/>
    <w:rsid w:val="00BD28CB"/>
    <w:rsid w:val="00BD3120"/>
    <w:rsid w:val="00BD3354"/>
    <w:rsid w:val="00BD384E"/>
    <w:rsid w:val="00BD3E76"/>
    <w:rsid w:val="00BD3EE2"/>
    <w:rsid w:val="00BD3FCF"/>
    <w:rsid w:val="00BD42D2"/>
    <w:rsid w:val="00BD43B4"/>
    <w:rsid w:val="00BD47D7"/>
    <w:rsid w:val="00BD4EFB"/>
    <w:rsid w:val="00BD5076"/>
    <w:rsid w:val="00BD5551"/>
    <w:rsid w:val="00BD6D43"/>
    <w:rsid w:val="00BD6F75"/>
    <w:rsid w:val="00BD7090"/>
    <w:rsid w:val="00BD7490"/>
    <w:rsid w:val="00BD767F"/>
    <w:rsid w:val="00BE09C3"/>
    <w:rsid w:val="00BE0C27"/>
    <w:rsid w:val="00BE15BB"/>
    <w:rsid w:val="00BE198F"/>
    <w:rsid w:val="00BE5078"/>
    <w:rsid w:val="00BE5964"/>
    <w:rsid w:val="00BE660B"/>
    <w:rsid w:val="00BE6AFE"/>
    <w:rsid w:val="00BE6BBE"/>
    <w:rsid w:val="00BE7021"/>
    <w:rsid w:val="00BE7300"/>
    <w:rsid w:val="00BE784F"/>
    <w:rsid w:val="00BF0238"/>
    <w:rsid w:val="00BF0717"/>
    <w:rsid w:val="00BF0727"/>
    <w:rsid w:val="00BF1750"/>
    <w:rsid w:val="00BF178E"/>
    <w:rsid w:val="00BF189F"/>
    <w:rsid w:val="00BF1B44"/>
    <w:rsid w:val="00BF1E83"/>
    <w:rsid w:val="00BF1F01"/>
    <w:rsid w:val="00BF23CC"/>
    <w:rsid w:val="00BF243F"/>
    <w:rsid w:val="00BF2713"/>
    <w:rsid w:val="00BF4C2B"/>
    <w:rsid w:val="00BF507A"/>
    <w:rsid w:val="00BF53F1"/>
    <w:rsid w:val="00BF5717"/>
    <w:rsid w:val="00BF5B9D"/>
    <w:rsid w:val="00BF5FA3"/>
    <w:rsid w:val="00BF62F2"/>
    <w:rsid w:val="00BF63A5"/>
    <w:rsid w:val="00BF72A7"/>
    <w:rsid w:val="00BF7558"/>
    <w:rsid w:val="00C005FA"/>
    <w:rsid w:val="00C0111E"/>
    <w:rsid w:val="00C01F11"/>
    <w:rsid w:val="00C02676"/>
    <w:rsid w:val="00C029AB"/>
    <w:rsid w:val="00C03BD5"/>
    <w:rsid w:val="00C03C8B"/>
    <w:rsid w:val="00C03F3C"/>
    <w:rsid w:val="00C049BE"/>
    <w:rsid w:val="00C04A71"/>
    <w:rsid w:val="00C04DF0"/>
    <w:rsid w:val="00C050EF"/>
    <w:rsid w:val="00C05A4C"/>
    <w:rsid w:val="00C05A67"/>
    <w:rsid w:val="00C0766B"/>
    <w:rsid w:val="00C07E8E"/>
    <w:rsid w:val="00C11113"/>
    <w:rsid w:val="00C111C3"/>
    <w:rsid w:val="00C11687"/>
    <w:rsid w:val="00C1175E"/>
    <w:rsid w:val="00C11E28"/>
    <w:rsid w:val="00C1225B"/>
    <w:rsid w:val="00C122F9"/>
    <w:rsid w:val="00C1253A"/>
    <w:rsid w:val="00C128C9"/>
    <w:rsid w:val="00C12CF3"/>
    <w:rsid w:val="00C12F88"/>
    <w:rsid w:val="00C131A8"/>
    <w:rsid w:val="00C1322D"/>
    <w:rsid w:val="00C135A3"/>
    <w:rsid w:val="00C1477A"/>
    <w:rsid w:val="00C14A62"/>
    <w:rsid w:val="00C14F25"/>
    <w:rsid w:val="00C150DA"/>
    <w:rsid w:val="00C1516F"/>
    <w:rsid w:val="00C154A1"/>
    <w:rsid w:val="00C158EB"/>
    <w:rsid w:val="00C159B1"/>
    <w:rsid w:val="00C15FE5"/>
    <w:rsid w:val="00C161F5"/>
    <w:rsid w:val="00C16C92"/>
    <w:rsid w:val="00C1706B"/>
    <w:rsid w:val="00C17DB7"/>
    <w:rsid w:val="00C17E48"/>
    <w:rsid w:val="00C17F0B"/>
    <w:rsid w:val="00C20136"/>
    <w:rsid w:val="00C201E7"/>
    <w:rsid w:val="00C20AA2"/>
    <w:rsid w:val="00C20B91"/>
    <w:rsid w:val="00C21155"/>
    <w:rsid w:val="00C2146C"/>
    <w:rsid w:val="00C214D7"/>
    <w:rsid w:val="00C21561"/>
    <w:rsid w:val="00C217EE"/>
    <w:rsid w:val="00C22784"/>
    <w:rsid w:val="00C230AB"/>
    <w:rsid w:val="00C23A4C"/>
    <w:rsid w:val="00C23E81"/>
    <w:rsid w:val="00C2419D"/>
    <w:rsid w:val="00C243A4"/>
    <w:rsid w:val="00C24416"/>
    <w:rsid w:val="00C248DB"/>
    <w:rsid w:val="00C25173"/>
    <w:rsid w:val="00C26170"/>
    <w:rsid w:val="00C26B5A"/>
    <w:rsid w:val="00C26D52"/>
    <w:rsid w:val="00C300D1"/>
    <w:rsid w:val="00C303E4"/>
    <w:rsid w:val="00C30775"/>
    <w:rsid w:val="00C30B8D"/>
    <w:rsid w:val="00C3134E"/>
    <w:rsid w:val="00C315D8"/>
    <w:rsid w:val="00C3191B"/>
    <w:rsid w:val="00C31C4A"/>
    <w:rsid w:val="00C31D2D"/>
    <w:rsid w:val="00C32639"/>
    <w:rsid w:val="00C32808"/>
    <w:rsid w:val="00C32AD2"/>
    <w:rsid w:val="00C32B42"/>
    <w:rsid w:val="00C33114"/>
    <w:rsid w:val="00C34193"/>
    <w:rsid w:val="00C347FD"/>
    <w:rsid w:val="00C34DAE"/>
    <w:rsid w:val="00C34E1E"/>
    <w:rsid w:val="00C34E5A"/>
    <w:rsid w:val="00C36219"/>
    <w:rsid w:val="00C363AB"/>
    <w:rsid w:val="00C3698E"/>
    <w:rsid w:val="00C36CCA"/>
    <w:rsid w:val="00C36E1C"/>
    <w:rsid w:val="00C36F42"/>
    <w:rsid w:val="00C3718A"/>
    <w:rsid w:val="00C379C5"/>
    <w:rsid w:val="00C37EEE"/>
    <w:rsid w:val="00C40453"/>
    <w:rsid w:val="00C40E71"/>
    <w:rsid w:val="00C41879"/>
    <w:rsid w:val="00C41A7C"/>
    <w:rsid w:val="00C41D5C"/>
    <w:rsid w:val="00C420A0"/>
    <w:rsid w:val="00C42CEF"/>
    <w:rsid w:val="00C42D55"/>
    <w:rsid w:val="00C43080"/>
    <w:rsid w:val="00C4370E"/>
    <w:rsid w:val="00C43823"/>
    <w:rsid w:val="00C4384B"/>
    <w:rsid w:val="00C4393C"/>
    <w:rsid w:val="00C44068"/>
    <w:rsid w:val="00C442AE"/>
    <w:rsid w:val="00C4501D"/>
    <w:rsid w:val="00C4518B"/>
    <w:rsid w:val="00C45780"/>
    <w:rsid w:val="00C458D6"/>
    <w:rsid w:val="00C4594D"/>
    <w:rsid w:val="00C4655A"/>
    <w:rsid w:val="00C466BF"/>
    <w:rsid w:val="00C46716"/>
    <w:rsid w:val="00C47385"/>
    <w:rsid w:val="00C47555"/>
    <w:rsid w:val="00C476AC"/>
    <w:rsid w:val="00C47E67"/>
    <w:rsid w:val="00C47FD9"/>
    <w:rsid w:val="00C50B6E"/>
    <w:rsid w:val="00C50C1A"/>
    <w:rsid w:val="00C50E1E"/>
    <w:rsid w:val="00C513C6"/>
    <w:rsid w:val="00C51508"/>
    <w:rsid w:val="00C51868"/>
    <w:rsid w:val="00C51D73"/>
    <w:rsid w:val="00C5288F"/>
    <w:rsid w:val="00C52A05"/>
    <w:rsid w:val="00C52E97"/>
    <w:rsid w:val="00C52EAF"/>
    <w:rsid w:val="00C53189"/>
    <w:rsid w:val="00C534E5"/>
    <w:rsid w:val="00C534F4"/>
    <w:rsid w:val="00C53688"/>
    <w:rsid w:val="00C5375B"/>
    <w:rsid w:val="00C5385D"/>
    <w:rsid w:val="00C53B15"/>
    <w:rsid w:val="00C53DA9"/>
    <w:rsid w:val="00C53EF7"/>
    <w:rsid w:val="00C54280"/>
    <w:rsid w:val="00C54929"/>
    <w:rsid w:val="00C54D0B"/>
    <w:rsid w:val="00C551C6"/>
    <w:rsid w:val="00C556B1"/>
    <w:rsid w:val="00C55A05"/>
    <w:rsid w:val="00C55E8C"/>
    <w:rsid w:val="00C56101"/>
    <w:rsid w:val="00C565F2"/>
    <w:rsid w:val="00C567E3"/>
    <w:rsid w:val="00C56C45"/>
    <w:rsid w:val="00C573CC"/>
    <w:rsid w:val="00C57B81"/>
    <w:rsid w:val="00C57FB9"/>
    <w:rsid w:val="00C6077B"/>
    <w:rsid w:val="00C60950"/>
    <w:rsid w:val="00C60DD1"/>
    <w:rsid w:val="00C61565"/>
    <w:rsid w:val="00C61574"/>
    <w:rsid w:val="00C615B4"/>
    <w:rsid w:val="00C61ACF"/>
    <w:rsid w:val="00C6211D"/>
    <w:rsid w:val="00C62B32"/>
    <w:rsid w:val="00C63DED"/>
    <w:rsid w:val="00C63E88"/>
    <w:rsid w:val="00C64F97"/>
    <w:rsid w:val="00C65585"/>
    <w:rsid w:val="00C656EB"/>
    <w:rsid w:val="00C65DF4"/>
    <w:rsid w:val="00C67246"/>
    <w:rsid w:val="00C67B49"/>
    <w:rsid w:val="00C704A2"/>
    <w:rsid w:val="00C70EE6"/>
    <w:rsid w:val="00C711F5"/>
    <w:rsid w:val="00C713A1"/>
    <w:rsid w:val="00C71828"/>
    <w:rsid w:val="00C71857"/>
    <w:rsid w:val="00C72105"/>
    <w:rsid w:val="00C73AC0"/>
    <w:rsid w:val="00C74409"/>
    <w:rsid w:val="00C74520"/>
    <w:rsid w:val="00C74954"/>
    <w:rsid w:val="00C76028"/>
    <w:rsid w:val="00C76184"/>
    <w:rsid w:val="00C7673D"/>
    <w:rsid w:val="00C76A80"/>
    <w:rsid w:val="00C76C27"/>
    <w:rsid w:val="00C76F07"/>
    <w:rsid w:val="00C77EF6"/>
    <w:rsid w:val="00C80B4B"/>
    <w:rsid w:val="00C80D63"/>
    <w:rsid w:val="00C812D5"/>
    <w:rsid w:val="00C81BEA"/>
    <w:rsid w:val="00C81DF5"/>
    <w:rsid w:val="00C82188"/>
    <w:rsid w:val="00C8242B"/>
    <w:rsid w:val="00C827DF"/>
    <w:rsid w:val="00C82A50"/>
    <w:rsid w:val="00C82C20"/>
    <w:rsid w:val="00C82DBF"/>
    <w:rsid w:val="00C83240"/>
    <w:rsid w:val="00C83381"/>
    <w:rsid w:val="00C83607"/>
    <w:rsid w:val="00C83768"/>
    <w:rsid w:val="00C83B18"/>
    <w:rsid w:val="00C840C3"/>
    <w:rsid w:val="00C841B4"/>
    <w:rsid w:val="00C84266"/>
    <w:rsid w:val="00C849E0"/>
    <w:rsid w:val="00C84B74"/>
    <w:rsid w:val="00C8512A"/>
    <w:rsid w:val="00C85970"/>
    <w:rsid w:val="00C85E9B"/>
    <w:rsid w:val="00C85F74"/>
    <w:rsid w:val="00C874C8"/>
    <w:rsid w:val="00C877E6"/>
    <w:rsid w:val="00C87B25"/>
    <w:rsid w:val="00C90165"/>
    <w:rsid w:val="00C90733"/>
    <w:rsid w:val="00C921C4"/>
    <w:rsid w:val="00C9235F"/>
    <w:rsid w:val="00C9257F"/>
    <w:rsid w:val="00C9319C"/>
    <w:rsid w:val="00C934F6"/>
    <w:rsid w:val="00C93874"/>
    <w:rsid w:val="00C93A4C"/>
    <w:rsid w:val="00C944EB"/>
    <w:rsid w:val="00C94FD2"/>
    <w:rsid w:val="00C95341"/>
    <w:rsid w:val="00C95B76"/>
    <w:rsid w:val="00C96190"/>
    <w:rsid w:val="00C96324"/>
    <w:rsid w:val="00C964C3"/>
    <w:rsid w:val="00C96635"/>
    <w:rsid w:val="00C966B7"/>
    <w:rsid w:val="00C969DB"/>
    <w:rsid w:val="00C97A4A"/>
    <w:rsid w:val="00C97DC9"/>
    <w:rsid w:val="00C97EE3"/>
    <w:rsid w:val="00CA042A"/>
    <w:rsid w:val="00CA0DA1"/>
    <w:rsid w:val="00CA12BA"/>
    <w:rsid w:val="00CA165C"/>
    <w:rsid w:val="00CA1C0D"/>
    <w:rsid w:val="00CA1DAE"/>
    <w:rsid w:val="00CA2267"/>
    <w:rsid w:val="00CA2433"/>
    <w:rsid w:val="00CA34D6"/>
    <w:rsid w:val="00CA38AD"/>
    <w:rsid w:val="00CA3EEE"/>
    <w:rsid w:val="00CA42AF"/>
    <w:rsid w:val="00CA5098"/>
    <w:rsid w:val="00CA5369"/>
    <w:rsid w:val="00CA5503"/>
    <w:rsid w:val="00CA66C3"/>
    <w:rsid w:val="00CA6CAD"/>
    <w:rsid w:val="00CA70A8"/>
    <w:rsid w:val="00CA70D0"/>
    <w:rsid w:val="00CA74A4"/>
    <w:rsid w:val="00CA7683"/>
    <w:rsid w:val="00CA7EA1"/>
    <w:rsid w:val="00CA7EEB"/>
    <w:rsid w:val="00CB002A"/>
    <w:rsid w:val="00CB009B"/>
    <w:rsid w:val="00CB0231"/>
    <w:rsid w:val="00CB0838"/>
    <w:rsid w:val="00CB1282"/>
    <w:rsid w:val="00CB1AFD"/>
    <w:rsid w:val="00CB1EB3"/>
    <w:rsid w:val="00CB2126"/>
    <w:rsid w:val="00CB24AD"/>
    <w:rsid w:val="00CB2C59"/>
    <w:rsid w:val="00CB2D9C"/>
    <w:rsid w:val="00CB34AB"/>
    <w:rsid w:val="00CB3529"/>
    <w:rsid w:val="00CB38A9"/>
    <w:rsid w:val="00CB4728"/>
    <w:rsid w:val="00CB5890"/>
    <w:rsid w:val="00CB59E7"/>
    <w:rsid w:val="00CB5D27"/>
    <w:rsid w:val="00CB5E4A"/>
    <w:rsid w:val="00CB5E7B"/>
    <w:rsid w:val="00CB6FCA"/>
    <w:rsid w:val="00CB7026"/>
    <w:rsid w:val="00CB724D"/>
    <w:rsid w:val="00CB73EA"/>
    <w:rsid w:val="00CB7D4E"/>
    <w:rsid w:val="00CC002B"/>
    <w:rsid w:val="00CC04BF"/>
    <w:rsid w:val="00CC07E5"/>
    <w:rsid w:val="00CC08E6"/>
    <w:rsid w:val="00CC09F0"/>
    <w:rsid w:val="00CC0C11"/>
    <w:rsid w:val="00CC1F52"/>
    <w:rsid w:val="00CC233F"/>
    <w:rsid w:val="00CC27FD"/>
    <w:rsid w:val="00CC31E8"/>
    <w:rsid w:val="00CC321A"/>
    <w:rsid w:val="00CC3AB9"/>
    <w:rsid w:val="00CC3C9E"/>
    <w:rsid w:val="00CC45E0"/>
    <w:rsid w:val="00CC4BBE"/>
    <w:rsid w:val="00CC4BC3"/>
    <w:rsid w:val="00CC50C7"/>
    <w:rsid w:val="00CC55AC"/>
    <w:rsid w:val="00CC5859"/>
    <w:rsid w:val="00CC5DF3"/>
    <w:rsid w:val="00CC6D1C"/>
    <w:rsid w:val="00CC71DD"/>
    <w:rsid w:val="00CC71F3"/>
    <w:rsid w:val="00CC72C0"/>
    <w:rsid w:val="00CC757D"/>
    <w:rsid w:val="00CC7C74"/>
    <w:rsid w:val="00CD00DB"/>
    <w:rsid w:val="00CD0119"/>
    <w:rsid w:val="00CD07FD"/>
    <w:rsid w:val="00CD0866"/>
    <w:rsid w:val="00CD1169"/>
    <w:rsid w:val="00CD16C7"/>
    <w:rsid w:val="00CD1A40"/>
    <w:rsid w:val="00CD1B33"/>
    <w:rsid w:val="00CD25CD"/>
    <w:rsid w:val="00CD25F3"/>
    <w:rsid w:val="00CD27FF"/>
    <w:rsid w:val="00CD305C"/>
    <w:rsid w:val="00CD3A6D"/>
    <w:rsid w:val="00CD3E5A"/>
    <w:rsid w:val="00CD3E63"/>
    <w:rsid w:val="00CD40A3"/>
    <w:rsid w:val="00CD4CD3"/>
    <w:rsid w:val="00CD589F"/>
    <w:rsid w:val="00CD60C9"/>
    <w:rsid w:val="00CD6345"/>
    <w:rsid w:val="00CD6BBB"/>
    <w:rsid w:val="00CD7482"/>
    <w:rsid w:val="00CE07C1"/>
    <w:rsid w:val="00CE1567"/>
    <w:rsid w:val="00CE186F"/>
    <w:rsid w:val="00CE2056"/>
    <w:rsid w:val="00CE20E3"/>
    <w:rsid w:val="00CE2141"/>
    <w:rsid w:val="00CE273A"/>
    <w:rsid w:val="00CE321C"/>
    <w:rsid w:val="00CE32E8"/>
    <w:rsid w:val="00CE3700"/>
    <w:rsid w:val="00CE3B69"/>
    <w:rsid w:val="00CE4559"/>
    <w:rsid w:val="00CE5118"/>
    <w:rsid w:val="00CE5487"/>
    <w:rsid w:val="00CE59B5"/>
    <w:rsid w:val="00CE59DB"/>
    <w:rsid w:val="00CE5D3A"/>
    <w:rsid w:val="00CE67D8"/>
    <w:rsid w:val="00CE7381"/>
    <w:rsid w:val="00CE7447"/>
    <w:rsid w:val="00CE74CE"/>
    <w:rsid w:val="00CE7B4B"/>
    <w:rsid w:val="00CF0829"/>
    <w:rsid w:val="00CF0E74"/>
    <w:rsid w:val="00CF1357"/>
    <w:rsid w:val="00CF1833"/>
    <w:rsid w:val="00CF1AEA"/>
    <w:rsid w:val="00CF2091"/>
    <w:rsid w:val="00CF21F6"/>
    <w:rsid w:val="00CF2278"/>
    <w:rsid w:val="00CF2C62"/>
    <w:rsid w:val="00CF2F66"/>
    <w:rsid w:val="00CF317C"/>
    <w:rsid w:val="00CF337B"/>
    <w:rsid w:val="00CF3FE7"/>
    <w:rsid w:val="00CF4416"/>
    <w:rsid w:val="00CF45F2"/>
    <w:rsid w:val="00CF50B8"/>
    <w:rsid w:val="00CF5762"/>
    <w:rsid w:val="00CF5EF9"/>
    <w:rsid w:val="00CF65B4"/>
    <w:rsid w:val="00CF69B0"/>
    <w:rsid w:val="00CF6C05"/>
    <w:rsid w:val="00CF7420"/>
    <w:rsid w:val="00CF7485"/>
    <w:rsid w:val="00CF7B61"/>
    <w:rsid w:val="00CF7E56"/>
    <w:rsid w:val="00D01744"/>
    <w:rsid w:val="00D01C03"/>
    <w:rsid w:val="00D01DE7"/>
    <w:rsid w:val="00D025CE"/>
    <w:rsid w:val="00D02A0F"/>
    <w:rsid w:val="00D02CA6"/>
    <w:rsid w:val="00D02DF3"/>
    <w:rsid w:val="00D03181"/>
    <w:rsid w:val="00D037DC"/>
    <w:rsid w:val="00D0383B"/>
    <w:rsid w:val="00D03A8A"/>
    <w:rsid w:val="00D03AEF"/>
    <w:rsid w:val="00D03DA5"/>
    <w:rsid w:val="00D03F27"/>
    <w:rsid w:val="00D043EE"/>
    <w:rsid w:val="00D0470D"/>
    <w:rsid w:val="00D05249"/>
    <w:rsid w:val="00D055CA"/>
    <w:rsid w:val="00D059FC"/>
    <w:rsid w:val="00D05DEF"/>
    <w:rsid w:val="00D06861"/>
    <w:rsid w:val="00D0688A"/>
    <w:rsid w:val="00D06F22"/>
    <w:rsid w:val="00D075A7"/>
    <w:rsid w:val="00D07A9C"/>
    <w:rsid w:val="00D10076"/>
    <w:rsid w:val="00D1033B"/>
    <w:rsid w:val="00D10477"/>
    <w:rsid w:val="00D107E2"/>
    <w:rsid w:val="00D1095E"/>
    <w:rsid w:val="00D11D76"/>
    <w:rsid w:val="00D121F5"/>
    <w:rsid w:val="00D126E4"/>
    <w:rsid w:val="00D131BF"/>
    <w:rsid w:val="00D13A90"/>
    <w:rsid w:val="00D140E6"/>
    <w:rsid w:val="00D142F6"/>
    <w:rsid w:val="00D158EF"/>
    <w:rsid w:val="00D15C14"/>
    <w:rsid w:val="00D15E74"/>
    <w:rsid w:val="00D15FAA"/>
    <w:rsid w:val="00D16B69"/>
    <w:rsid w:val="00D16ECB"/>
    <w:rsid w:val="00D16EEE"/>
    <w:rsid w:val="00D17167"/>
    <w:rsid w:val="00D17755"/>
    <w:rsid w:val="00D17BA5"/>
    <w:rsid w:val="00D2058D"/>
    <w:rsid w:val="00D2176E"/>
    <w:rsid w:val="00D2182A"/>
    <w:rsid w:val="00D2193D"/>
    <w:rsid w:val="00D22105"/>
    <w:rsid w:val="00D2211C"/>
    <w:rsid w:val="00D22B55"/>
    <w:rsid w:val="00D22E8B"/>
    <w:rsid w:val="00D22F07"/>
    <w:rsid w:val="00D23055"/>
    <w:rsid w:val="00D230AD"/>
    <w:rsid w:val="00D2320E"/>
    <w:rsid w:val="00D23BD4"/>
    <w:rsid w:val="00D251AB"/>
    <w:rsid w:val="00D25239"/>
    <w:rsid w:val="00D25AC6"/>
    <w:rsid w:val="00D261D3"/>
    <w:rsid w:val="00D27B53"/>
    <w:rsid w:val="00D319DF"/>
    <w:rsid w:val="00D31C02"/>
    <w:rsid w:val="00D3225E"/>
    <w:rsid w:val="00D3238E"/>
    <w:rsid w:val="00D324BC"/>
    <w:rsid w:val="00D32625"/>
    <w:rsid w:val="00D33565"/>
    <w:rsid w:val="00D33762"/>
    <w:rsid w:val="00D34BD1"/>
    <w:rsid w:val="00D35177"/>
    <w:rsid w:val="00D356E1"/>
    <w:rsid w:val="00D40609"/>
    <w:rsid w:val="00D40983"/>
    <w:rsid w:val="00D41188"/>
    <w:rsid w:val="00D417D3"/>
    <w:rsid w:val="00D418D5"/>
    <w:rsid w:val="00D41DB1"/>
    <w:rsid w:val="00D4276D"/>
    <w:rsid w:val="00D42798"/>
    <w:rsid w:val="00D42970"/>
    <w:rsid w:val="00D43AED"/>
    <w:rsid w:val="00D44916"/>
    <w:rsid w:val="00D44DD5"/>
    <w:rsid w:val="00D45CA4"/>
    <w:rsid w:val="00D45EA7"/>
    <w:rsid w:val="00D45F22"/>
    <w:rsid w:val="00D47178"/>
    <w:rsid w:val="00D4752E"/>
    <w:rsid w:val="00D47842"/>
    <w:rsid w:val="00D47BEF"/>
    <w:rsid w:val="00D50826"/>
    <w:rsid w:val="00D51675"/>
    <w:rsid w:val="00D51E17"/>
    <w:rsid w:val="00D51F73"/>
    <w:rsid w:val="00D52827"/>
    <w:rsid w:val="00D529BE"/>
    <w:rsid w:val="00D52CF6"/>
    <w:rsid w:val="00D53D3E"/>
    <w:rsid w:val="00D547E0"/>
    <w:rsid w:val="00D54992"/>
    <w:rsid w:val="00D55291"/>
    <w:rsid w:val="00D55C48"/>
    <w:rsid w:val="00D55DE4"/>
    <w:rsid w:val="00D55E47"/>
    <w:rsid w:val="00D56997"/>
    <w:rsid w:val="00D570E6"/>
    <w:rsid w:val="00D5730F"/>
    <w:rsid w:val="00D5774F"/>
    <w:rsid w:val="00D60809"/>
    <w:rsid w:val="00D60D7F"/>
    <w:rsid w:val="00D615CB"/>
    <w:rsid w:val="00D61C9C"/>
    <w:rsid w:val="00D62111"/>
    <w:rsid w:val="00D62229"/>
    <w:rsid w:val="00D625B8"/>
    <w:rsid w:val="00D626F8"/>
    <w:rsid w:val="00D62C3B"/>
    <w:rsid w:val="00D636DC"/>
    <w:rsid w:val="00D63F4C"/>
    <w:rsid w:val="00D64613"/>
    <w:rsid w:val="00D64621"/>
    <w:rsid w:val="00D64702"/>
    <w:rsid w:val="00D66BFD"/>
    <w:rsid w:val="00D66C91"/>
    <w:rsid w:val="00D674EE"/>
    <w:rsid w:val="00D67535"/>
    <w:rsid w:val="00D6782F"/>
    <w:rsid w:val="00D67BC9"/>
    <w:rsid w:val="00D67DBC"/>
    <w:rsid w:val="00D704D9"/>
    <w:rsid w:val="00D70BD2"/>
    <w:rsid w:val="00D713F2"/>
    <w:rsid w:val="00D72705"/>
    <w:rsid w:val="00D729B8"/>
    <w:rsid w:val="00D738BF"/>
    <w:rsid w:val="00D73B93"/>
    <w:rsid w:val="00D73C95"/>
    <w:rsid w:val="00D7427D"/>
    <w:rsid w:val="00D745C1"/>
    <w:rsid w:val="00D756F6"/>
    <w:rsid w:val="00D75731"/>
    <w:rsid w:val="00D75B45"/>
    <w:rsid w:val="00D75B5C"/>
    <w:rsid w:val="00D75F8C"/>
    <w:rsid w:val="00D76050"/>
    <w:rsid w:val="00D76309"/>
    <w:rsid w:val="00D76423"/>
    <w:rsid w:val="00D76710"/>
    <w:rsid w:val="00D767BF"/>
    <w:rsid w:val="00D77278"/>
    <w:rsid w:val="00D775B5"/>
    <w:rsid w:val="00D77961"/>
    <w:rsid w:val="00D77B20"/>
    <w:rsid w:val="00D77B3B"/>
    <w:rsid w:val="00D8007C"/>
    <w:rsid w:val="00D8079F"/>
    <w:rsid w:val="00D8103B"/>
    <w:rsid w:val="00D8110A"/>
    <w:rsid w:val="00D8111B"/>
    <w:rsid w:val="00D81242"/>
    <w:rsid w:val="00D812D2"/>
    <w:rsid w:val="00D82D02"/>
    <w:rsid w:val="00D82D0F"/>
    <w:rsid w:val="00D83A5A"/>
    <w:rsid w:val="00D84157"/>
    <w:rsid w:val="00D84BD7"/>
    <w:rsid w:val="00D84DCA"/>
    <w:rsid w:val="00D85114"/>
    <w:rsid w:val="00D857BC"/>
    <w:rsid w:val="00D85CC6"/>
    <w:rsid w:val="00D86A92"/>
    <w:rsid w:val="00D871B6"/>
    <w:rsid w:val="00D875E1"/>
    <w:rsid w:val="00D87888"/>
    <w:rsid w:val="00D90275"/>
    <w:rsid w:val="00D902F5"/>
    <w:rsid w:val="00D9075D"/>
    <w:rsid w:val="00D90959"/>
    <w:rsid w:val="00D91410"/>
    <w:rsid w:val="00D91438"/>
    <w:rsid w:val="00D91594"/>
    <w:rsid w:val="00D91ABE"/>
    <w:rsid w:val="00D91DFB"/>
    <w:rsid w:val="00D921DA"/>
    <w:rsid w:val="00D92C2F"/>
    <w:rsid w:val="00D92F7F"/>
    <w:rsid w:val="00D9443A"/>
    <w:rsid w:val="00D9459D"/>
    <w:rsid w:val="00D94730"/>
    <w:rsid w:val="00D94858"/>
    <w:rsid w:val="00D94972"/>
    <w:rsid w:val="00D954A1"/>
    <w:rsid w:val="00D95519"/>
    <w:rsid w:val="00D95744"/>
    <w:rsid w:val="00D958FC"/>
    <w:rsid w:val="00D959AE"/>
    <w:rsid w:val="00D95DC2"/>
    <w:rsid w:val="00D96678"/>
    <w:rsid w:val="00D96C73"/>
    <w:rsid w:val="00D96D46"/>
    <w:rsid w:val="00D97C27"/>
    <w:rsid w:val="00DA032C"/>
    <w:rsid w:val="00DA0526"/>
    <w:rsid w:val="00DA0639"/>
    <w:rsid w:val="00DA0CF7"/>
    <w:rsid w:val="00DA0E96"/>
    <w:rsid w:val="00DA1203"/>
    <w:rsid w:val="00DA18DA"/>
    <w:rsid w:val="00DA1F0C"/>
    <w:rsid w:val="00DA3565"/>
    <w:rsid w:val="00DA3A5B"/>
    <w:rsid w:val="00DA3D0B"/>
    <w:rsid w:val="00DA3F51"/>
    <w:rsid w:val="00DA45DB"/>
    <w:rsid w:val="00DA48D9"/>
    <w:rsid w:val="00DA49F8"/>
    <w:rsid w:val="00DA4AAE"/>
    <w:rsid w:val="00DA5512"/>
    <w:rsid w:val="00DA5572"/>
    <w:rsid w:val="00DA6A15"/>
    <w:rsid w:val="00DA6C80"/>
    <w:rsid w:val="00DA6CC2"/>
    <w:rsid w:val="00DA7029"/>
    <w:rsid w:val="00DA72E7"/>
    <w:rsid w:val="00DA77A0"/>
    <w:rsid w:val="00DB09A2"/>
    <w:rsid w:val="00DB103D"/>
    <w:rsid w:val="00DB1448"/>
    <w:rsid w:val="00DB1998"/>
    <w:rsid w:val="00DB1FC4"/>
    <w:rsid w:val="00DB21F0"/>
    <w:rsid w:val="00DB2C5F"/>
    <w:rsid w:val="00DB3A58"/>
    <w:rsid w:val="00DB3BDF"/>
    <w:rsid w:val="00DB3C58"/>
    <w:rsid w:val="00DB3D46"/>
    <w:rsid w:val="00DB401C"/>
    <w:rsid w:val="00DB4289"/>
    <w:rsid w:val="00DB46C8"/>
    <w:rsid w:val="00DB4F3E"/>
    <w:rsid w:val="00DB540E"/>
    <w:rsid w:val="00DB5969"/>
    <w:rsid w:val="00DB5A63"/>
    <w:rsid w:val="00DB6166"/>
    <w:rsid w:val="00DB656B"/>
    <w:rsid w:val="00DB691E"/>
    <w:rsid w:val="00DB75A3"/>
    <w:rsid w:val="00DC0574"/>
    <w:rsid w:val="00DC0C65"/>
    <w:rsid w:val="00DC1202"/>
    <w:rsid w:val="00DC16BF"/>
    <w:rsid w:val="00DC16E1"/>
    <w:rsid w:val="00DC16FC"/>
    <w:rsid w:val="00DC1881"/>
    <w:rsid w:val="00DC1ED7"/>
    <w:rsid w:val="00DC371B"/>
    <w:rsid w:val="00DC3A6F"/>
    <w:rsid w:val="00DC3D1C"/>
    <w:rsid w:val="00DC43E1"/>
    <w:rsid w:val="00DC5199"/>
    <w:rsid w:val="00DC5A32"/>
    <w:rsid w:val="00DC5E4E"/>
    <w:rsid w:val="00DC651B"/>
    <w:rsid w:val="00DC662F"/>
    <w:rsid w:val="00DC6E78"/>
    <w:rsid w:val="00DC729A"/>
    <w:rsid w:val="00DC73B1"/>
    <w:rsid w:val="00DC7519"/>
    <w:rsid w:val="00DC7630"/>
    <w:rsid w:val="00DC777A"/>
    <w:rsid w:val="00DC77FC"/>
    <w:rsid w:val="00DC7EB5"/>
    <w:rsid w:val="00DD04AC"/>
    <w:rsid w:val="00DD04DD"/>
    <w:rsid w:val="00DD0891"/>
    <w:rsid w:val="00DD0B35"/>
    <w:rsid w:val="00DD0C4D"/>
    <w:rsid w:val="00DD0F9F"/>
    <w:rsid w:val="00DD11A7"/>
    <w:rsid w:val="00DD1298"/>
    <w:rsid w:val="00DD1778"/>
    <w:rsid w:val="00DD2300"/>
    <w:rsid w:val="00DD2309"/>
    <w:rsid w:val="00DD28B3"/>
    <w:rsid w:val="00DD2DE3"/>
    <w:rsid w:val="00DD2DE8"/>
    <w:rsid w:val="00DD316F"/>
    <w:rsid w:val="00DD357C"/>
    <w:rsid w:val="00DD37CA"/>
    <w:rsid w:val="00DD3D55"/>
    <w:rsid w:val="00DD3DF7"/>
    <w:rsid w:val="00DD49B1"/>
    <w:rsid w:val="00DD4AE2"/>
    <w:rsid w:val="00DD4BFA"/>
    <w:rsid w:val="00DD51F8"/>
    <w:rsid w:val="00DD6388"/>
    <w:rsid w:val="00DD65F1"/>
    <w:rsid w:val="00DD6B6D"/>
    <w:rsid w:val="00DD6C53"/>
    <w:rsid w:val="00DD7198"/>
    <w:rsid w:val="00DD7CB6"/>
    <w:rsid w:val="00DE0077"/>
    <w:rsid w:val="00DE0137"/>
    <w:rsid w:val="00DE01BA"/>
    <w:rsid w:val="00DE04A5"/>
    <w:rsid w:val="00DE0DCF"/>
    <w:rsid w:val="00DE137B"/>
    <w:rsid w:val="00DE19D9"/>
    <w:rsid w:val="00DE1DC6"/>
    <w:rsid w:val="00DE1F77"/>
    <w:rsid w:val="00DE21C6"/>
    <w:rsid w:val="00DE22AA"/>
    <w:rsid w:val="00DE288F"/>
    <w:rsid w:val="00DE2D49"/>
    <w:rsid w:val="00DE3536"/>
    <w:rsid w:val="00DE3E66"/>
    <w:rsid w:val="00DE3F75"/>
    <w:rsid w:val="00DE41FC"/>
    <w:rsid w:val="00DE45F5"/>
    <w:rsid w:val="00DE4AAD"/>
    <w:rsid w:val="00DE4C0C"/>
    <w:rsid w:val="00DE4FC8"/>
    <w:rsid w:val="00DE53B5"/>
    <w:rsid w:val="00DE5A50"/>
    <w:rsid w:val="00DE60C5"/>
    <w:rsid w:val="00DE7323"/>
    <w:rsid w:val="00DE75E6"/>
    <w:rsid w:val="00DE75F0"/>
    <w:rsid w:val="00DE77CB"/>
    <w:rsid w:val="00DE7C12"/>
    <w:rsid w:val="00DE7EBA"/>
    <w:rsid w:val="00DF04BD"/>
    <w:rsid w:val="00DF068D"/>
    <w:rsid w:val="00DF0CF7"/>
    <w:rsid w:val="00DF0D3A"/>
    <w:rsid w:val="00DF18FD"/>
    <w:rsid w:val="00DF1A9A"/>
    <w:rsid w:val="00DF1C2D"/>
    <w:rsid w:val="00DF1F8A"/>
    <w:rsid w:val="00DF2302"/>
    <w:rsid w:val="00DF248E"/>
    <w:rsid w:val="00DF2557"/>
    <w:rsid w:val="00DF3577"/>
    <w:rsid w:val="00DF3AA8"/>
    <w:rsid w:val="00DF4063"/>
    <w:rsid w:val="00DF5935"/>
    <w:rsid w:val="00DF5F13"/>
    <w:rsid w:val="00DF63DD"/>
    <w:rsid w:val="00DF6B62"/>
    <w:rsid w:val="00DF7BD0"/>
    <w:rsid w:val="00DF7BDF"/>
    <w:rsid w:val="00E00303"/>
    <w:rsid w:val="00E00A62"/>
    <w:rsid w:val="00E010A0"/>
    <w:rsid w:val="00E0125E"/>
    <w:rsid w:val="00E01668"/>
    <w:rsid w:val="00E0173A"/>
    <w:rsid w:val="00E01849"/>
    <w:rsid w:val="00E020D1"/>
    <w:rsid w:val="00E02B64"/>
    <w:rsid w:val="00E02EAD"/>
    <w:rsid w:val="00E03D3F"/>
    <w:rsid w:val="00E03DED"/>
    <w:rsid w:val="00E0437C"/>
    <w:rsid w:val="00E0452C"/>
    <w:rsid w:val="00E04D61"/>
    <w:rsid w:val="00E0504C"/>
    <w:rsid w:val="00E05074"/>
    <w:rsid w:val="00E05489"/>
    <w:rsid w:val="00E05741"/>
    <w:rsid w:val="00E05F7F"/>
    <w:rsid w:val="00E06549"/>
    <w:rsid w:val="00E06930"/>
    <w:rsid w:val="00E06971"/>
    <w:rsid w:val="00E105B3"/>
    <w:rsid w:val="00E10846"/>
    <w:rsid w:val="00E108F4"/>
    <w:rsid w:val="00E10D4E"/>
    <w:rsid w:val="00E1100C"/>
    <w:rsid w:val="00E11489"/>
    <w:rsid w:val="00E11711"/>
    <w:rsid w:val="00E11E63"/>
    <w:rsid w:val="00E12696"/>
    <w:rsid w:val="00E1310D"/>
    <w:rsid w:val="00E13359"/>
    <w:rsid w:val="00E133DC"/>
    <w:rsid w:val="00E13655"/>
    <w:rsid w:val="00E138BF"/>
    <w:rsid w:val="00E14EFA"/>
    <w:rsid w:val="00E151B9"/>
    <w:rsid w:val="00E158C4"/>
    <w:rsid w:val="00E161E6"/>
    <w:rsid w:val="00E164A1"/>
    <w:rsid w:val="00E167C9"/>
    <w:rsid w:val="00E1698C"/>
    <w:rsid w:val="00E16BDB"/>
    <w:rsid w:val="00E172BE"/>
    <w:rsid w:val="00E175F8"/>
    <w:rsid w:val="00E17CF7"/>
    <w:rsid w:val="00E205D6"/>
    <w:rsid w:val="00E216EC"/>
    <w:rsid w:val="00E2189A"/>
    <w:rsid w:val="00E22B5A"/>
    <w:rsid w:val="00E22B68"/>
    <w:rsid w:val="00E231C9"/>
    <w:rsid w:val="00E23252"/>
    <w:rsid w:val="00E23EBF"/>
    <w:rsid w:val="00E23FD5"/>
    <w:rsid w:val="00E24669"/>
    <w:rsid w:val="00E24C48"/>
    <w:rsid w:val="00E25981"/>
    <w:rsid w:val="00E25F4A"/>
    <w:rsid w:val="00E26141"/>
    <w:rsid w:val="00E266F5"/>
    <w:rsid w:val="00E270D3"/>
    <w:rsid w:val="00E27479"/>
    <w:rsid w:val="00E27A6A"/>
    <w:rsid w:val="00E27D78"/>
    <w:rsid w:val="00E27FC7"/>
    <w:rsid w:val="00E30700"/>
    <w:rsid w:val="00E31360"/>
    <w:rsid w:val="00E31D28"/>
    <w:rsid w:val="00E31EC2"/>
    <w:rsid w:val="00E325FF"/>
    <w:rsid w:val="00E328AD"/>
    <w:rsid w:val="00E32CB8"/>
    <w:rsid w:val="00E3440F"/>
    <w:rsid w:val="00E34F3A"/>
    <w:rsid w:val="00E35F99"/>
    <w:rsid w:val="00E35F9A"/>
    <w:rsid w:val="00E3637F"/>
    <w:rsid w:val="00E364B6"/>
    <w:rsid w:val="00E36723"/>
    <w:rsid w:val="00E36A3C"/>
    <w:rsid w:val="00E3713C"/>
    <w:rsid w:val="00E3767B"/>
    <w:rsid w:val="00E37A85"/>
    <w:rsid w:val="00E37E1C"/>
    <w:rsid w:val="00E37FE3"/>
    <w:rsid w:val="00E40126"/>
    <w:rsid w:val="00E4079B"/>
    <w:rsid w:val="00E40CBF"/>
    <w:rsid w:val="00E40E7D"/>
    <w:rsid w:val="00E40EE4"/>
    <w:rsid w:val="00E413C6"/>
    <w:rsid w:val="00E41AC9"/>
    <w:rsid w:val="00E420D5"/>
    <w:rsid w:val="00E42517"/>
    <w:rsid w:val="00E426DF"/>
    <w:rsid w:val="00E42D55"/>
    <w:rsid w:val="00E42FFE"/>
    <w:rsid w:val="00E4316E"/>
    <w:rsid w:val="00E4337D"/>
    <w:rsid w:val="00E435AB"/>
    <w:rsid w:val="00E44275"/>
    <w:rsid w:val="00E44705"/>
    <w:rsid w:val="00E44777"/>
    <w:rsid w:val="00E44C51"/>
    <w:rsid w:val="00E4535F"/>
    <w:rsid w:val="00E463CC"/>
    <w:rsid w:val="00E466BC"/>
    <w:rsid w:val="00E4684D"/>
    <w:rsid w:val="00E4686A"/>
    <w:rsid w:val="00E479FD"/>
    <w:rsid w:val="00E504D6"/>
    <w:rsid w:val="00E50B6F"/>
    <w:rsid w:val="00E50EBE"/>
    <w:rsid w:val="00E50F69"/>
    <w:rsid w:val="00E50FC6"/>
    <w:rsid w:val="00E52372"/>
    <w:rsid w:val="00E52786"/>
    <w:rsid w:val="00E52F05"/>
    <w:rsid w:val="00E540CA"/>
    <w:rsid w:val="00E54F0C"/>
    <w:rsid w:val="00E55B28"/>
    <w:rsid w:val="00E56194"/>
    <w:rsid w:val="00E563EF"/>
    <w:rsid w:val="00E564B7"/>
    <w:rsid w:val="00E56D4A"/>
    <w:rsid w:val="00E57119"/>
    <w:rsid w:val="00E5719E"/>
    <w:rsid w:val="00E57D7B"/>
    <w:rsid w:val="00E57F4B"/>
    <w:rsid w:val="00E602E5"/>
    <w:rsid w:val="00E602F8"/>
    <w:rsid w:val="00E6085B"/>
    <w:rsid w:val="00E60FBA"/>
    <w:rsid w:val="00E60FBF"/>
    <w:rsid w:val="00E611AE"/>
    <w:rsid w:val="00E6159C"/>
    <w:rsid w:val="00E616F9"/>
    <w:rsid w:val="00E61852"/>
    <w:rsid w:val="00E61A0C"/>
    <w:rsid w:val="00E61D22"/>
    <w:rsid w:val="00E61D96"/>
    <w:rsid w:val="00E61E4B"/>
    <w:rsid w:val="00E62201"/>
    <w:rsid w:val="00E63DA2"/>
    <w:rsid w:val="00E642AF"/>
    <w:rsid w:val="00E644C6"/>
    <w:rsid w:val="00E64555"/>
    <w:rsid w:val="00E64595"/>
    <w:rsid w:val="00E646BB"/>
    <w:rsid w:val="00E64D24"/>
    <w:rsid w:val="00E653A6"/>
    <w:rsid w:val="00E6549C"/>
    <w:rsid w:val="00E654B9"/>
    <w:rsid w:val="00E6589D"/>
    <w:rsid w:val="00E65E8C"/>
    <w:rsid w:val="00E665E7"/>
    <w:rsid w:val="00E66C96"/>
    <w:rsid w:val="00E70130"/>
    <w:rsid w:val="00E7065A"/>
    <w:rsid w:val="00E71063"/>
    <w:rsid w:val="00E715FC"/>
    <w:rsid w:val="00E71A45"/>
    <w:rsid w:val="00E71C21"/>
    <w:rsid w:val="00E72F23"/>
    <w:rsid w:val="00E730FC"/>
    <w:rsid w:val="00E7385A"/>
    <w:rsid w:val="00E73CE6"/>
    <w:rsid w:val="00E74105"/>
    <w:rsid w:val="00E74780"/>
    <w:rsid w:val="00E74956"/>
    <w:rsid w:val="00E752F7"/>
    <w:rsid w:val="00E75848"/>
    <w:rsid w:val="00E759D4"/>
    <w:rsid w:val="00E75B09"/>
    <w:rsid w:val="00E75B68"/>
    <w:rsid w:val="00E761D0"/>
    <w:rsid w:val="00E7624B"/>
    <w:rsid w:val="00E76A3C"/>
    <w:rsid w:val="00E76C5B"/>
    <w:rsid w:val="00E76F9B"/>
    <w:rsid w:val="00E771FC"/>
    <w:rsid w:val="00E773E5"/>
    <w:rsid w:val="00E77478"/>
    <w:rsid w:val="00E77A47"/>
    <w:rsid w:val="00E77BDD"/>
    <w:rsid w:val="00E806D3"/>
    <w:rsid w:val="00E81C34"/>
    <w:rsid w:val="00E81D83"/>
    <w:rsid w:val="00E821BB"/>
    <w:rsid w:val="00E822E9"/>
    <w:rsid w:val="00E826FE"/>
    <w:rsid w:val="00E8275E"/>
    <w:rsid w:val="00E827AF"/>
    <w:rsid w:val="00E82DE9"/>
    <w:rsid w:val="00E83253"/>
    <w:rsid w:val="00E844AB"/>
    <w:rsid w:val="00E84C97"/>
    <w:rsid w:val="00E85005"/>
    <w:rsid w:val="00E85296"/>
    <w:rsid w:val="00E8533B"/>
    <w:rsid w:val="00E85E4E"/>
    <w:rsid w:val="00E86327"/>
    <w:rsid w:val="00E86DF0"/>
    <w:rsid w:val="00E87BD2"/>
    <w:rsid w:val="00E87CDC"/>
    <w:rsid w:val="00E90B33"/>
    <w:rsid w:val="00E911E0"/>
    <w:rsid w:val="00E918BD"/>
    <w:rsid w:val="00E93407"/>
    <w:rsid w:val="00E93877"/>
    <w:rsid w:val="00E940A8"/>
    <w:rsid w:val="00E947E8"/>
    <w:rsid w:val="00E94AB0"/>
    <w:rsid w:val="00E94B0F"/>
    <w:rsid w:val="00E9503F"/>
    <w:rsid w:val="00E95377"/>
    <w:rsid w:val="00E96E68"/>
    <w:rsid w:val="00E97EA1"/>
    <w:rsid w:val="00EA0BBE"/>
    <w:rsid w:val="00EA1FBC"/>
    <w:rsid w:val="00EA20A1"/>
    <w:rsid w:val="00EA212B"/>
    <w:rsid w:val="00EA2A88"/>
    <w:rsid w:val="00EA2D44"/>
    <w:rsid w:val="00EA2F5F"/>
    <w:rsid w:val="00EA3A1D"/>
    <w:rsid w:val="00EA3CD7"/>
    <w:rsid w:val="00EA3E2D"/>
    <w:rsid w:val="00EA429D"/>
    <w:rsid w:val="00EA43AF"/>
    <w:rsid w:val="00EA4676"/>
    <w:rsid w:val="00EA4C7C"/>
    <w:rsid w:val="00EA4D4C"/>
    <w:rsid w:val="00EA554F"/>
    <w:rsid w:val="00EA6250"/>
    <w:rsid w:val="00EA66A4"/>
    <w:rsid w:val="00EA6819"/>
    <w:rsid w:val="00EA6A1E"/>
    <w:rsid w:val="00EA7412"/>
    <w:rsid w:val="00EA75BD"/>
    <w:rsid w:val="00EA7C47"/>
    <w:rsid w:val="00EB0F0F"/>
    <w:rsid w:val="00EB12A5"/>
    <w:rsid w:val="00EB133D"/>
    <w:rsid w:val="00EB24D8"/>
    <w:rsid w:val="00EB277B"/>
    <w:rsid w:val="00EB2F20"/>
    <w:rsid w:val="00EB2F35"/>
    <w:rsid w:val="00EB31DB"/>
    <w:rsid w:val="00EB3422"/>
    <w:rsid w:val="00EB3A31"/>
    <w:rsid w:val="00EB4EAF"/>
    <w:rsid w:val="00EB51AD"/>
    <w:rsid w:val="00EB548E"/>
    <w:rsid w:val="00EB5C41"/>
    <w:rsid w:val="00EB5F5A"/>
    <w:rsid w:val="00EB657E"/>
    <w:rsid w:val="00EB695E"/>
    <w:rsid w:val="00EB69D1"/>
    <w:rsid w:val="00EB69D4"/>
    <w:rsid w:val="00EB6FE9"/>
    <w:rsid w:val="00EB72FF"/>
    <w:rsid w:val="00EB756F"/>
    <w:rsid w:val="00EB75C1"/>
    <w:rsid w:val="00EB79C8"/>
    <w:rsid w:val="00EB7E78"/>
    <w:rsid w:val="00EC0301"/>
    <w:rsid w:val="00EC09C6"/>
    <w:rsid w:val="00EC0EA5"/>
    <w:rsid w:val="00EC1056"/>
    <w:rsid w:val="00EC1470"/>
    <w:rsid w:val="00EC19B2"/>
    <w:rsid w:val="00EC1D53"/>
    <w:rsid w:val="00EC222E"/>
    <w:rsid w:val="00EC2716"/>
    <w:rsid w:val="00EC2DBB"/>
    <w:rsid w:val="00EC358E"/>
    <w:rsid w:val="00EC3FD2"/>
    <w:rsid w:val="00EC4095"/>
    <w:rsid w:val="00EC43B5"/>
    <w:rsid w:val="00EC4537"/>
    <w:rsid w:val="00EC4960"/>
    <w:rsid w:val="00EC4AE3"/>
    <w:rsid w:val="00EC4F46"/>
    <w:rsid w:val="00EC54EE"/>
    <w:rsid w:val="00EC59B2"/>
    <w:rsid w:val="00EC5A3B"/>
    <w:rsid w:val="00EC786C"/>
    <w:rsid w:val="00EC7ADD"/>
    <w:rsid w:val="00ED04FE"/>
    <w:rsid w:val="00ED07D3"/>
    <w:rsid w:val="00ED0DD0"/>
    <w:rsid w:val="00ED1240"/>
    <w:rsid w:val="00ED1989"/>
    <w:rsid w:val="00ED219A"/>
    <w:rsid w:val="00ED28F2"/>
    <w:rsid w:val="00ED3145"/>
    <w:rsid w:val="00ED3309"/>
    <w:rsid w:val="00ED356E"/>
    <w:rsid w:val="00ED3BDA"/>
    <w:rsid w:val="00ED5A3B"/>
    <w:rsid w:val="00ED5C30"/>
    <w:rsid w:val="00ED5C4F"/>
    <w:rsid w:val="00ED5E02"/>
    <w:rsid w:val="00ED5EED"/>
    <w:rsid w:val="00ED612A"/>
    <w:rsid w:val="00ED6B1C"/>
    <w:rsid w:val="00ED6CF7"/>
    <w:rsid w:val="00ED6F33"/>
    <w:rsid w:val="00ED7716"/>
    <w:rsid w:val="00ED7737"/>
    <w:rsid w:val="00ED7747"/>
    <w:rsid w:val="00ED78CD"/>
    <w:rsid w:val="00ED7CF4"/>
    <w:rsid w:val="00EE1B0E"/>
    <w:rsid w:val="00EE22FB"/>
    <w:rsid w:val="00EE2407"/>
    <w:rsid w:val="00EE26AE"/>
    <w:rsid w:val="00EE29C8"/>
    <w:rsid w:val="00EE2A54"/>
    <w:rsid w:val="00EE2FC2"/>
    <w:rsid w:val="00EE3B88"/>
    <w:rsid w:val="00EE3D01"/>
    <w:rsid w:val="00EE4B75"/>
    <w:rsid w:val="00EE4DBD"/>
    <w:rsid w:val="00EE6AC6"/>
    <w:rsid w:val="00EE6E26"/>
    <w:rsid w:val="00EE784F"/>
    <w:rsid w:val="00EE7A1D"/>
    <w:rsid w:val="00EF0500"/>
    <w:rsid w:val="00EF1002"/>
    <w:rsid w:val="00EF143F"/>
    <w:rsid w:val="00EF1D3B"/>
    <w:rsid w:val="00EF23D8"/>
    <w:rsid w:val="00EF2A5A"/>
    <w:rsid w:val="00EF2A87"/>
    <w:rsid w:val="00EF3A74"/>
    <w:rsid w:val="00EF3AE9"/>
    <w:rsid w:val="00EF3EA5"/>
    <w:rsid w:val="00EF47A0"/>
    <w:rsid w:val="00EF49FB"/>
    <w:rsid w:val="00EF55D6"/>
    <w:rsid w:val="00EF644D"/>
    <w:rsid w:val="00EF6D29"/>
    <w:rsid w:val="00EF6FEC"/>
    <w:rsid w:val="00EF7138"/>
    <w:rsid w:val="00EF7E0B"/>
    <w:rsid w:val="00F00881"/>
    <w:rsid w:val="00F00917"/>
    <w:rsid w:val="00F010BB"/>
    <w:rsid w:val="00F012C1"/>
    <w:rsid w:val="00F0175F"/>
    <w:rsid w:val="00F01BBA"/>
    <w:rsid w:val="00F03280"/>
    <w:rsid w:val="00F0362A"/>
    <w:rsid w:val="00F0385C"/>
    <w:rsid w:val="00F03ABE"/>
    <w:rsid w:val="00F04345"/>
    <w:rsid w:val="00F047A4"/>
    <w:rsid w:val="00F04F52"/>
    <w:rsid w:val="00F0510F"/>
    <w:rsid w:val="00F0563F"/>
    <w:rsid w:val="00F064EF"/>
    <w:rsid w:val="00F06558"/>
    <w:rsid w:val="00F06F42"/>
    <w:rsid w:val="00F07122"/>
    <w:rsid w:val="00F074C9"/>
    <w:rsid w:val="00F07C82"/>
    <w:rsid w:val="00F07F5E"/>
    <w:rsid w:val="00F1001E"/>
    <w:rsid w:val="00F10553"/>
    <w:rsid w:val="00F106BB"/>
    <w:rsid w:val="00F11027"/>
    <w:rsid w:val="00F111BA"/>
    <w:rsid w:val="00F116DD"/>
    <w:rsid w:val="00F11D9F"/>
    <w:rsid w:val="00F11E31"/>
    <w:rsid w:val="00F12584"/>
    <w:rsid w:val="00F12FD9"/>
    <w:rsid w:val="00F13AA1"/>
    <w:rsid w:val="00F13E84"/>
    <w:rsid w:val="00F13F2A"/>
    <w:rsid w:val="00F15097"/>
    <w:rsid w:val="00F15671"/>
    <w:rsid w:val="00F16695"/>
    <w:rsid w:val="00F202E3"/>
    <w:rsid w:val="00F20C6E"/>
    <w:rsid w:val="00F20D6C"/>
    <w:rsid w:val="00F2255F"/>
    <w:rsid w:val="00F225CF"/>
    <w:rsid w:val="00F2285B"/>
    <w:rsid w:val="00F22882"/>
    <w:rsid w:val="00F22985"/>
    <w:rsid w:val="00F229AF"/>
    <w:rsid w:val="00F22AEF"/>
    <w:rsid w:val="00F22F7A"/>
    <w:rsid w:val="00F2343C"/>
    <w:rsid w:val="00F23CFC"/>
    <w:rsid w:val="00F23DB5"/>
    <w:rsid w:val="00F24076"/>
    <w:rsid w:val="00F240CB"/>
    <w:rsid w:val="00F2492F"/>
    <w:rsid w:val="00F2500D"/>
    <w:rsid w:val="00F2596D"/>
    <w:rsid w:val="00F25CAA"/>
    <w:rsid w:val="00F26AD6"/>
    <w:rsid w:val="00F2711C"/>
    <w:rsid w:val="00F277E8"/>
    <w:rsid w:val="00F27B04"/>
    <w:rsid w:val="00F27E3D"/>
    <w:rsid w:val="00F301D0"/>
    <w:rsid w:val="00F305D4"/>
    <w:rsid w:val="00F3069F"/>
    <w:rsid w:val="00F30C3F"/>
    <w:rsid w:val="00F30C60"/>
    <w:rsid w:val="00F30F38"/>
    <w:rsid w:val="00F311D1"/>
    <w:rsid w:val="00F3158A"/>
    <w:rsid w:val="00F318DB"/>
    <w:rsid w:val="00F3199C"/>
    <w:rsid w:val="00F31F7D"/>
    <w:rsid w:val="00F32AFF"/>
    <w:rsid w:val="00F33825"/>
    <w:rsid w:val="00F33A32"/>
    <w:rsid w:val="00F33A8B"/>
    <w:rsid w:val="00F33D3B"/>
    <w:rsid w:val="00F34585"/>
    <w:rsid w:val="00F34A96"/>
    <w:rsid w:val="00F34EBF"/>
    <w:rsid w:val="00F34F05"/>
    <w:rsid w:val="00F356D5"/>
    <w:rsid w:val="00F361AE"/>
    <w:rsid w:val="00F36240"/>
    <w:rsid w:val="00F363EB"/>
    <w:rsid w:val="00F365DE"/>
    <w:rsid w:val="00F367CF"/>
    <w:rsid w:val="00F36D37"/>
    <w:rsid w:val="00F3719A"/>
    <w:rsid w:val="00F374CB"/>
    <w:rsid w:val="00F379BF"/>
    <w:rsid w:val="00F37EA7"/>
    <w:rsid w:val="00F40805"/>
    <w:rsid w:val="00F40C5E"/>
    <w:rsid w:val="00F40E3E"/>
    <w:rsid w:val="00F41590"/>
    <w:rsid w:val="00F4163A"/>
    <w:rsid w:val="00F41873"/>
    <w:rsid w:val="00F419C3"/>
    <w:rsid w:val="00F41D91"/>
    <w:rsid w:val="00F41E2B"/>
    <w:rsid w:val="00F423BE"/>
    <w:rsid w:val="00F424A5"/>
    <w:rsid w:val="00F425EF"/>
    <w:rsid w:val="00F428AC"/>
    <w:rsid w:val="00F42EE3"/>
    <w:rsid w:val="00F43149"/>
    <w:rsid w:val="00F43660"/>
    <w:rsid w:val="00F43859"/>
    <w:rsid w:val="00F44212"/>
    <w:rsid w:val="00F44542"/>
    <w:rsid w:val="00F448DD"/>
    <w:rsid w:val="00F44D6A"/>
    <w:rsid w:val="00F44DB8"/>
    <w:rsid w:val="00F45760"/>
    <w:rsid w:val="00F45925"/>
    <w:rsid w:val="00F45D7D"/>
    <w:rsid w:val="00F46BA6"/>
    <w:rsid w:val="00F46C97"/>
    <w:rsid w:val="00F4703E"/>
    <w:rsid w:val="00F501B0"/>
    <w:rsid w:val="00F50781"/>
    <w:rsid w:val="00F50CA3"/>
    <w:rsid w:val="00F51767"/>
    <w:rsid w:val="00F517ED"/>
    <w:rsid w:val="00F51F3F"/>
    <w:rsid w:val="00F52857"/>
    <w:rsid w:val="00F528B5"/>
    <w:rsid w:val="00F528E7"/>
    <w:rsid w:val="00F52C8A"/>
    <w:rsid w:val="00F5352D"/>
    <w:rsid w:val="00F53615"/>
    <w:rsid w:val="00F53A91"/>
    <w:rsid w:val="00F54783"/>
    <w:rsid w:val="00F547E9"/>
    <w:rsid w:val="00F5494E"/>
    <w:rsid w:val="00F54ABE"/>
    <w:rsid w:val="00F55804"/>
    <w:rsid w:val="00F55F1A"/>
    <w:rsid w:val="00F56310"/>
    <w:rsid w:val="00F563B2"/>
    <w:rsid w:val="00F567A4"/>
    <w:rsid w:val="00F5684C"/>
    <w:rsid w:val="00F57210"/>
    <w:rsid w:val="00F574C8"/>
    <w:rsid w:val="00F577FC"/>
    <w:rsid w:val="00F57E7D"/>
    <w:rsid w:val="00F602F0"/>
    <w:rsid w:val="00F60BEE"/>
    <w:rsid w:val="00F60C90"/>
    <w:rsid w:val="00F619EE"/>
    <w:rsid w:val="00F61CF5"/>
    <w:rsid w:val="00F61FF9"/>
    <w:rsid w:val="00F62069"/>
    <w:rsid w:val="00F62159"/>
    <w:rsid w:val="00F62A7C"/>
    <w:rsid w:val="00F62B93"/>
    <w:rsid w:val="00F6324C"/>
    <w:rsid w:val="00F633E5"/>
    <w:rsid w:val="00F63C89"/>
    <w:rsid w:val="00F6440E"/>
    <w:rsid w:val="00F647EC"/>
    <w:rsid w:val="00F64FAB"/>
    <w:rsid w:val="00F657B8"/>
    <w:rsid w:val="00F65CEA"/>
    <w:rsid w:val="00F65F15"/>
    <w:rsid w:val="00F66443"/>
    <w:rsid w:val="00F66D7B"/>
    <w:rsid w:val="00F675EA"/>
    <w:rsid w:val="00F7074A"/>
    <w:rsid w:val="00F70AD6"/>
    <w:rsid w:val="00F71687"/>
    <w:rsid w:val="00F71708"/>
    <w:rsid w:val="00F717C1"/>
    <w:rsid w:val="00F7186F"/>
    <w:rsid w:val="00F71CDB"/>
    <w:rsid w:val="00F725D3"/>
    <w:rsid w:val="00F72800"/>
    <w:rsid w:val="00F7281E"/>
    <w:rsid w:val="00F72B75"/>
    <w:rsid w:val="00F72C1A"/>
    <w:rsid w:val="00F72C3D"/>
    <w:rsid w:val="00F73006"/>
    <w:rsid w:val="00F730CA"/>
    <w:rsid w:val="00F737AB"/>
    <w:rsid w:val="00F74216"/>
    <w:rsid w:val="00F74F0F"/>
    <w:rsid w:val="00F75731"/>
    <w:rsid w:val="00F75841"/>
    <w:rsid w:val="00F76333"/>
    <w:rsid w:val="00F77100"/>
    <w:rsid w:val="00F8090F"/>
    <w:rsid w:val="00F81380"/>
    <w:rsid w:val="00F8139A"/>
    <w:rsid w:val="00F819EB"/>
    <w:rsid w:val="00F82AAE"/>
    <w:rsid w:val="00F834BE"/>
    <w:rsid w:val="00F838A9"/>
    <w:rsid w:val="00F849E3"/>
    <w:rsid w:val="00F84B4E"/>
    <w:rsid w:val="00F84C44"/>
    <w:rsid w:val="00F851B7"/>
    <w:rsid w:val="00F8566C"/>
    <w:rsid w:val="00F858D4"/>
    <w:rsid w:val="00F85C65"/>
    <w:rsid w:val="00F860EB"/>
    <w:rsid w:val="00F868B6"/>
    <w:rsid w:val="00F86968"/>
    <w:rsid w:val="00F86E42"/>
    <w:rsid w:val="00F876E6"/>
    <w:rsid w:val="00F87825"/>
    <w:rsid w:val="00F87838"/>
    <w:rsid w:val="00F879E8"/>
    <w:rsid w:val="00F87FCE"/>
    <w:rsid w:val="00F9008B"/>
    <w:rsid w:val="00F91669"/>
    <w:rsid w:val="00F916DE"/>
    <w:rsid w:val="00F9184F"/>
    <w:rsid w:val="00F91943"/>
    <w:rsid w:val="00F92A66"/>
    <w:rsid w:val="00F92DE9"/>
    <w:rsid w:val="00F931CF"/>
    <w:rsid w:val="00F93A31"/>
    <w:rsid w:val="00F93D6E"/>
    <w:rsid w:val="00F9423D"/>
    <w:rsid w:val="00F94609"/>
    <w:rsid w:val="00F95182"/>
    <w:rsid w:val="00F957D2"/>
    <w:rsid w:val="00F95D94"/>
    <w:rsid w:val="00F96F86"/>
    <w:rsid w:val="00FA02B8"/>
    <w:rsid w:val="00FA0980"/>
    <w:rsid w:val="00FA0BFE"/>
    <w:rsid w:val="00FA1028"/>
    <w:rsid w:val="00FA157E"/>
    <w:rsid w:val="00FA181F"/>
    <w:rsid w:val="00FA1C1F"/>
    <w:rsid w:val="00FA1E82"/>
    <w:rsid w:val="00FA2137"/>
    <w:rsid w:val="00FA272D"/>
    <w:rsid w:val="00FA338D"/>
    <w:rsid w:val="00FA34A2"/>
    <w:rsid w:val="00FA3742"/>
    <w:rsid w:val="00FA3837"/>
    <w:rsid w:val="00FA39FC"/>
    <w:rsid w:val="00FA3B6D"/>
    <w:rsid w:val="00FA44B4"/>
    <w:rsid w:val="00FA4538"/>
    <w:rsid w:val="00FA4998"/>
    <w:rsid w:val="00FA4AF9"/>
    <w:rsid w:val="00FA4DC2"/>
    <w:rsid w:val="00FA67E3"/>
    <w:rsid w:val="00FA687F"/>
    <w:rsid w:val="00FA7157"/>
    <w:rsid w:val="00FA73A6"/>
    <w:rsid w:val="00FA7698"/>
    <w:rsid w:val="00FA78C2"/>
    <w:rsid w:val="00FA7A2D"/>
    <w:rsid w:val="00FA7B4F"/>
    <w:rsid w:val="00FA7DA6"/>
    <w:rsid w:val="00FB06E7"/>
    <w:rsid w:val="00FB0822"/>
    <w:rsid w:val="00FB1093"/>
    <w:rsid w:val="00FB13A0"/>
    <w:rsid w:val="00FB227E"/>
    <w:rsid w:val="00FB254E"/>
    <w:rsid w:val="00FB267D"/>
    <w:rsid w:val="00FB2A18"/>
    <w:rsid w:val="00FB2BF4"/>
    <w:rsid w:val="00FB2C8D"/>
    <w:rsid w:val="00FB2DC6"/>
    <w:rsid w:val="00FB2E0C"/>
    <w:rsid w:val="00FB30CA"/>
    <w:rsid w:val="00FB3C08"/>
    <w:rsid w:val="00FB5E81"/>
    <w:rsid w:val="00FB6E6C"/>
    <w:rsid w:val="00FB71B0"/>
    <w:rsid w:val="00FB7ABA"/>
    <w:rsid w:val="00FB7BF9"/>
    <w:rsid w:val="00FB7C21"/>
    <w:rsid w:val="00FB7C46"/>
    <w:rsid w:val="00FC00A0"/>
    <w:rsid w:val="00FC04E0"/>
    <w:rsid w:val="00FC0D98"/>
    <w:rsid w:val="00FC1042"/>
    <w:rsid w:val="00FC11C6"/>
    <w:rsid w:val="00FC1616"/>
    <w:rsid w:val="00FC166F"/>
    <w:rsid w:val="00FC17D8"/>
    <w:rsid w:val="00FC279A"/>
    <w:rsid w:val="00FC324D"/>
    <w:rsid w:val="00FC39A1"/>
    <w:rsid w:val="00FC3BC3"/>
    <w:rsid w:val="00FC3E47"/>
    <w:rsid w:val="00FC4B53"/>
    <w:rsid w:val="00FC4BAE"/>
    <w:rsid w:val="00FC5160"/>
    <w:rsid w:val="00FC5A36"/>
    <w:rsid w:val="00FC69CF"/>
    <w:rsid w:val="00FC6B0B"/>
    <w:rsid w:val="00FC713B"/>
    <w:rsid w:val="00FC7862"/>
    <w:rsid w:val="00FC79D5"/>
    <w:rsid w:val="00FC7B35"/>
    <w:rsid w:val="00FC7B53"/>
    <w:rsid w:val="00FD0177"/>
    <w:rsid w:val="00FD0AE7"/>
    <w:rsid w:val="00FD0B44"/>
    <w:rsid w:val="00FD0F70"/>
    <w:rsid w:val="00FD1D4D"/>
    <w:rsid w:val="00FD2315"/>
    <w:rsid w:val="00FD29A7"/>
    <w:rsid w:val="00FD2B15"/>
    <w:rsid w:val="00FD3092"/>
    <w:rsid w:val="00FD334E"/>
    <w:rsid w:val="00FD412E"/>
    <w:rsid w:val="00FD420F"/>
    <w:rsid w:val="00FD4F2F"/>
    <w:rsid w:val="00FD51F7"/>
    <w:rsid w:val="00FD5258"/>
    <w:rsid w:val="00FD5602"/>
    <w:rsid w:val="00FD5661"/>
    <w:rsid w:val="00FD5A2A"/>
    <w:rsid w:val="00FD5AE2"/>
    <w:rsid w:val="00FD62B4"/>
    <w:rsid w:val="00FD69F5"/>
    <w:rsid w:val="00FD7142"/>
    <w:rsid w:val="00FD7186"/>
    <w:rsid w:val="00FD750F"/>
    <w:rsid w:val="00FE011C"/>
    <w:rsid w:val="00FE07DC"/>
    <w:rsid w:val="00FE1116"/>
    <w:rsid w:val="00FE2075"/>
    <w:rsid w:val="00FE2080"/>
    <w:rsid w:val="00FE27B9"/>
    <w:rsid w:val="00FE2E37"/>
    <w:rsid w:val="00FE3640"/>
    <w:rsid w:val="00FE36EE"/>
    <w:rsid w:val="00FE3780"/>
    <w:rsid w:val="00FE3954"/>
    <w:rsid w:val="00FE3CF7"/>
    <w:rsid w:val="00FE4071"/>
    <w:rsid w:val="00FE42E3"/>
    <w:rsid w:val="00FE4ECD"/>
    <w:rsid w:val="00FE52B7"/>
    <w:rsid w:val="00FE53C5"/>
    <w:rsid w:val="00FE56A8"/>
    <w:rsid w:val="00FE5807"/>
    <w:rsid w:val="00FE5C39"/>
    <w:rsid w:val="00FE5C57"/>
    <w:rsid w:val="00FE5ECF"/>
    <w:rsid w:val="00FE5F8B"/>
    <w:rsid w:val="00FE624E"/>
    <w:rsid w:val="00FE6291"/>
    <w:rsid w:val="00FE6415"/>
    <w:rsid w:val="00FE69E7"/>
    <w:rsid w:val="00FE6BB8"/>
    <w:rsid w:val="00FE6E76"/>
    <w:rsid w:val="00FE7E3E"/>
    <w:rsid w:val="00FF027B"/>
    <w:rsid w:val="00FF1174"/>
    <w:rsid w:val="00FF165A"/>
    <w:rsid w:val="00FF1B72"/>
    <w:rsid w:val="00FF1CF1"/>
    <w:rsid w:val="00FF1F4C"/>
    <w:rsid w:val="00FF35DC"/>
    <w:rsid w:val="00FF3A6A"/>
    <w:rsid w:val="00FF3C7A"/>
    <w:rsid w:val="00FF3E09"/>
    <w:rsid w:val="00FF411C"/>
    <w:rsid w:val="00FF44C6"/>
    <w:rsid w:val="00FF4572"/>
    <w:rsid w:val="00FF4B2E"/>
    <w:rsid w:val="00FF4E4B"/>
    <w:rsid w:val="00FF4E4E"/>
    <w:rsid w:val="00FF5049"/>
    <w:rsid w:val="00FF5D1F"/>
    <w:rsid w:val="00FF5F95"/>
    <w:rsid w:val="00FF6126"/>
    <w:rsid w:val="00FF61F5"/>
    <w:rsid w:val="00FF6264"/>
    <w:rsid w:val="00FF62AA"/>
    <w:rsid w:val="00FF64D7"/>
    <w:rsid w:val="00FF6B6C"/>
    <w:rsid w:val="00FF6DD4"/>
    <w:rsid w:val="01095EED"/>
    <w:rsid w:val="015679D0"/>
    <w:rsid w:val="01AA2C10"/>
    <w:rsid w:val="021763C7"/>
    <w:rsid w:val="024C0DD3"/>
    <w:rsid w:val="03190CB5"/>
    <w:rsid w:val="031C7E13"/>
    <w:rsid w:val="037738D8"/>
    <w:rsid w:val="038921D4"/>
    <w:rsid w:val="03C350C4"/>
    <w:rsid w:val="03FA5A2E"/>
    <w:rsid w:val="040A2CF3"/>
    <w:rsid w:val="041E6C29"/>
    <w:rsid w:val="04781A0B"/>
    <w:rsid w:val="0512315E"/>
    <w:rsid w:val="05776ABA"/>
    <w:rsid w:val="066E598D"/>
    <w:rsid w:val="06EE52F4"/>
    <w:rsid w:val="070E123F"/>
    <w:rsid w:val="075F0692"/>
    <w:rsid w:val="07CA4C73"/>
    <w:rsid w:val="08442B90"/>
    <w:rsid w:val="08F53B23"/>
    <w:rsid w:val="093323A4"/>
    <w:rsid w:val="098B3F8E"/>
    <w:rsid w:val="09A45050"/>
    <w:rsid w:val="0A070656"/>
    <w:rsid w:val="0A3D1CF3"/>
    <w:rsid w:val="0A7028CB"/>
    <w:rsid w:val="0A913ED8"/>
    <w:rsid w:val="0A9F0AA2"/>
    <w:rsid w:val="0B24171E"/>
    <w:rsid w:val="0C466B45"/>
    <w:rsid w:val="0D584403"/>
    <w:rsid w:val="0DEE7765"/>
    <w:rsid w:val="0E7201B5"/>
    <w:rsid w:val="0EAC0C2F"/>
    <w:rsid w:val="0F3118B2"/>
    <w:rsid w:val="0F333B21"/>
    <w:rsid w:val="0F9E6D6F"/>
    <w:rsid w:val="101C0A97"/>
    <w:rsid w:val="10385BF1"/>
    <w:rsid w:val="108C4825"/>
    <w:rsid w:val="10AF0EAA"/>
    <w:rsid w:val="10D52020"/>
    <w:rsid w:val="10F67974"/>
    <w:rsid w:val="11F711F9"/>
    <w:rsid w:val="12445622"/>
    <w:rsid w:val="125E38F1"/>
    <w:rsid w:val="12685FCD"/>
    <w:rsid w:val="12974719"/>
    <w:rsid w:val="13B51478"/>
    <w:rsid w:val="13BF31B2"/>
    <w:rsid w:val="13D562BE"/>
    <w:rsid w:val="142B5285"/>
    <w:rsid w:val="146F2C7A"/>
    <w:rsid w:val="1494463F"/>
    <w:rsid w:val="149E4992"/>
    <w:rsid w:val="150A3459"/>
    <w:rsid w:val="16D85436"/>
    <w:rsid w:val="170E5D26"/>
    <w:rsid w:val="17EC4792"/>
    <w:rsid w:val="18C31B16"/>
    <w:rsid w:val="1A1A101B"/>
    <w:rsid w:val="1A3D7527"/>
    <w:rsid w:val="1A400DC5"/>
    <w:rsid w:val="1A442DE9"/>
    <w:rsid w:val="1A8C1721"/>
    <w:rsid w:val="1AE814A8"/>
    <w:rsid w:val="1B75304D"/>
    <w:rsid w:val="1C071B9A"/>
    <w:rsid w:val="1C8806F1"/>
    <w:rsid w:val="1CD75683"/>
    <w:rsid w:val="1D321E13"/>
    <w:rsid w:val="1D5E4DDE"/>
    <w:rsid w:val="1D7325C2"/>
    <w:rsid w:val="1D9751A0"/>
    <w:rsid w:val="1F4849CA"/>
    <w:rsid w:val="1F5350F7"/>
    <w:rsid w:val="1F7E6617"/>
    <w:rsid w:val="1F873477"/>
    <w:rsid w:val="201D3C40"/>
    <w:rsid w:val="20971013"/>
    <w:rsid w:val="209D4E99"/>
    <w:rsid w:val="21455F84"/>
    <w:rsid w:val="2202618F"/>
    <w:rsid w:val="230140D4"/>
    <w:rsid w:val="2303624D"/>
    <w:rsid w:val="23324844"/>
    <w:rsid w:val="23C27318"/>
    <w:rsid w:val="240D3AC6"/>
    <w:rsid w:val="244871F4"/>
    <w:rsid w:val="24805EA3"/>
    <w:rsid w:val="24977600"/>
    <w:rsid w:val="249E5066"/>
    <w:rsid w:val="24B831E2"/>
    <w:rsid w:val="259255D7"/>
    <w:rsid w:val="261D2F91"/>
    <w:rsid w:val="26445799"/>
    <w:rsid w:val="26A50560"/>
    <w:rsid w:val="270F55EE"/>
    <w:rsid w:val="272F1A96"/>
    <w:rsid w:val="27F52753"/>
    <w:rsid w:val="28265A10"/>
    <w:rsid w:val="2849353B"/>
    <w:rsid w:val="292E4C0A"/>
    <w:rsid w:val="295943F7"/>
    <w:rsid w:val="297B0CF7"/>
    <w:rsid w:val="299F78B6"/>
    <w:rsid w:val="2B822DA1"/>
    <w:rsid w:val="2C230E3E"/>
    <w:rsid w:val="2C5F7A30"/>
    <w:rsid w:val="2C9D5C03"/>
    <w:rsid w:val="2DA336ED"/>
    <w:rsid w:val="2DF63230"/>
    <w:rsid w:val="2ED6100A"/>
    <w:rsid w:val="2EDD2DD9"/>
    <w:rsid w:val="2F723467"/>
    <w:rsid w:val="307C26FF"/>
    <w:rsid w:val="314F16CB"/>
    <w:rsid w:val="31600A43"/>
    <w:rsid w:val="31603DCF"/>
    <w:rsid w:val="317653A0"/>
    <w:rsid w:val="32191899"/>
    <w:rsid w:val="32A0292F"/>
    <w:rsid w:val="32A02B99"/>
    <w:rsid w:val="32AF5C16"/>
    <w:rsid w:val="32FC70BF"/>
    <w:rsid w:val="331F7EA8"/>
    <w:rsid w:val="33323549"/>
    <w:rsid w:val="33D414D0"/>
    <w:rsid w:val="33E505BB"/>
    <w:rsid w:val="33F94067"/>
    <w:rsid w:val="34A51AF9"/>
    <w:rsid w:val="35156C7E"/>
    <w:rsid w:val="352D3C74"/>
    <w:rsid w:val="35352F93"/>
    <w:rsid w:val="35392FAE"/>
    <w:rsid w:val="35574C2D"/>
    <w:rsid w:val="356741EA"/>
    <w:rsid w:val="35CD358A"/>
    <w:rsid w:val="36C73025"/>
    <w:rsid w:val="376A1AE2"/>
    <w:rsid w:val="385F359C"/>
    <w:rsid w:val="38C60642"/>
    <w:rsid w:val="38F512A1"/>
    <w:rsid w:val="39205BBB"/>
    <w:rsid w:val="39292CF8"/>
    <w:rsid w:val="39D0586A"/>
    <w:rsid w:val="3A730980"/>
    <w:rsid w:val="3A7E5753"/>
    <w:rsid w:val="3ABC08BF"/>
    <w:rsid w:val="3BA80B19"/>
    <w:rsid w:val="3C4240EC"/>
    <w:rsid w:val="3CC316B2"/>
    <w:rsid w:val="3D2B1355"/>
    <w:rsid w:val="3D585C9C"/>
    <w:rsid w:val="3D711B40"/>
    <w:rsid w:val="3E36074A"/>
    <w:rsid w:val="3E800AA6"/>
    <w:rsid w:val="3EB75130"/>
    <w:rsid w:val="3EC6723B"/>
    <w:rsid w:val="3EF9069B"/>
    <w:rsid w:val="3F3A1FEB"/>
    <w:rsid w:val="3F7B6278"/>
    <w:rsid w:val="3FA532F5"/>
    <w:rsid w:val="40A67243"/>
    <w:rsid w:val="41636F97"/>
    <w:rsid w:val="41856F3A"/>
    <w:rsid w:val="41AA3791"/>
    <w:rsid w:val="41AF3FB7"/>
    <w:rsid w:val="42116A20"/>
    <w:rsid w:val="42253D73"/>
    <w:rsid w:val="42A21897"/>
    <w:rsid w:val="42A81579"/>
    <w:rsid w:val="42B32B7F"/>
    <w:rsid w:val="430829A2"/>
    <w:rsid w:val="4322598C"/>
    <w:rsid w:val="432B34EB"/>
    <w:rsid w:val="43E837B0"/>
    <w:rsid w:val="444C01E3"/>
    <w:rsid w:val="445C0F91"/>
    <w:rsid w:val="44807E8F"/>
    <w:rsid w:val="44D75141"/>
    <w:rsid w:val="44DA46CB"/>
    <w:rsid w:val="44E4602A"/>
    <w:rsid w:val="45CF4FB9"/>
    <w:rsid w:val="45EC538A"/>
    <w:rsid w:val="46D6435F"/>
    <w:rsid w:val="4763099B"/>
    <w:rsid w:val="4839628A"/>
    <w:rsid w:val="49957F36"/>
    <w:rsid w:val="4A201EF6"/>
    <w:rsid w:val="4A3715F3"/>
    <w:rsid w:val="4AF60567"/>
    <w:rsid w:val="4BF76C86"/>
    <w:rsid w:val="4C2304F9"/>
    <w:rsid w:val="4C76404F"/>
    <w:rsid w:val="4D4F574C"/>
    <w:rsid w:val="4E571C5E"/>
    <w:rsid w:val="4E9D30FA"/>
    <w:rsid w:val="4EAC5711"/>
    <w:rsid w:val="50503827"/>
    <w:rsid w:val="51B2004B"/>
    <w:rsid w:val="5245699D"/>
    <w:rsid w:val="5342703B"/>
    <w:rsid w:val="53BA53BF"/>
    <w:rsid w:val="54556AEA"/>
    <w:rsid w:val="54B95421"/>
    <w:rsid w:val="54C0055D"/>
    <w:rsid w:val="54E22563"/>
    <w:rsid w:val="55442D10"/>
    <w:rsid w:val="55622629"/>
    <w:rsid w:val="55C650D5"/>
    <w:rsid w:val="571903F8"/>
    <w:rsid w:val="577C4984"/>
    <w:rsid w:val="5A103370"/>
    <w:rsid w:val="5A3A2DDD"/>
    <w:rsid w:val="5A5906EE"/>
    <w:rsid w:val="5AAE2C06"/>
    <w:rsid w:val="5B9E391C"/>
    <w:rsid w:val="5C454EA7"/>
    <w:rsid w:val="5CB5624E"/>
    <w:rsid w:val="5CB6089A"/>
    <w:rsid w:val="5D1B642F"/>
    <w:rsid w:val="5DFE0DD9"/>
    <w:rsid w:val="5E3A7DE3"/>
    <w:rsid w:val="5E5E1DC1"/>
    <w:rsid w:val="5EA93430"/>
    <w:rsid w:val="5F04373C"/>
    <w:rsid w:val="5FA016B7"/>
    <w:rsid w:val="5FF217E7"/>
    <w:rsid w:val="5FFB2E85"/>
    <w:rsid w:val="60416DE9"/>
    <w:rsid w:val="60BF0027"/>
    <w:rsid w:val="613F280A"/>
    <w:rsid w:val="61D513DC"/>
    <w:rsid w:val="621570F7"/>
    <w:rsid w:val="62330011"/>
    <w:rsid w:val="62333E75"/>
    <w:rsid w:val="62AC0373"/>
    <w:rsid w:val="62AC7AF3"/>
    <w:rsid w:val="62B37D16"/>
    <w:rsid w:val="62B8336A"/>
    <w:rsid w:val="63163A3E"/>
    <w:rsid w:val="634102C3"/>
    <w:rsid w:val="638B442C"/>
    <w:rsid w:val="639B1F33"/>
    <w:rsid w:val="63AC1FBF"/>
    <w:rsid w:val="64441196"/>
    <w:rsid w:val="648D5F82"/>
    <w:rsid w:val="65091B75"/>
    <w:rsid w:val="650D2C1F"/>
    <w:rsid w:val="65D21A26"/>
    <w:rsid w:val="662D3578"/>
    <w:rsid w:val="67096ADC"/>
    <w:rsid w:val="67D97C5F"/>
    <w:rsid w:val="68C17608"/>
    <w:rsid w:val="696A6892"/>
    <w:rsid w:val="6ABF4343"/>
    <w:rsid w:val="6B0D180F"/>
    <w:rsid w:val="6B241A17"/>
    <w:rsid w:val="6CAE6DC1"/>
    <w:rsid w:val="6CED1CB3"/>
    <w:rsid w:val="6D203E37"/>
    <w:rsid w:val="6D42458D"/>
    <w:rsid w:val="6DD30EA9"/>
    <w:rsid w:val="6DF41007"/>
    <w:rsid w:val="6E5F071D"/>
    <w:rsid w:val="6E914282"/>
    <w:rsid w:val="6E9C0F6F"/>
    <w:rsid w:val="6EEB1B89"/>
    <w:rsid w:val="6EEC5881"/>
    <w:rsid w:val="6F15104E"/>
    <w:rsid w:val="6F296CF1"/>
    <w:rsid w:val="6F3F3F3D"/>
    <w:rsid w:val="6F6A1399"/>
    <w:rsid w:val="6FB67AB5"/>
    <w:rsid w:val="6FE0340A"/>
    <w:rsid w:val="6FE16435"/>
    <w:rsid w:val="6FEA2628"/>
    <w:rsid w:val="702C2AF3"/>
    <w:rsid w:val="70ED66C7"/>
    <w:rsid w:val="717F6C52"/>
    <w:rsid w:val="719345FD"/>
    <w:rsid w:val="71A67D2D"/>
    <w:rsid w:val="71AD7318"/>
    <w:rsid w:val="722A5D11"/>
    <w:rsid w:val="726D70E7"/>
    <w:rsid w:val="72DF172F"/>
    <w:rsid w:val="72FF004B"/>
    <w:rsid w:val="730C692D"/>
    <w:rsid w:val="736C07CC"/>
    <w:rsid w:val="73DD166E"/>
    <w:rsid w:val="74341F76"/>
    <w:rsid w:val="748738BC"/>
    <w:rsid w:val="749B2AEE"/>
    <w:rsid w:val="74B14416"/>
    <w:rsid w:val="750000AA"/>
    <w:rsid w:val="75742F72"/>
    <w:rsid w:val="75880318"/>
    <w:rsid w:val="758D31B2"/>
    <w:rsid w:val="75AF5D58"/>
    <w:rsid w:val="762D4ECF"/>
    <w:rsid w:val="7726227B"/>
    <w:rsid w:val="7783180A"/>
    <w:rsid w:val="780305DD"/>
    <w:rsid w:val="78265E2F"/>
    <w:rsid w:val="78B96C93"/>
    <w:rsid w:val="78EA354B"/>
    <w:rsid w:val="79426EE3"/>
    <w:rsid w:val="79B86070"/>
    <w:rsid w:val="79C9582B"/>
    <w:rsid w:val="7A440A39"/>
    <w:rsid w:val="7B67672B"/>
    <w:rsid w:val="7B7E2945"/>
    <w:rsid w:val="7BC73B55"/>
    <w:rsid w:val="7C145CBC"/>
    <w:rsid w:val="7C425692"/>
    <w:rsid w:val="7C725D31"/>
    <w:rsid w:val="7C9C4E59"/>
    <w:rsid w:val="7CF44B80"/>
    <w:rsid w:val="7DBD3A84"/>
    <w:rsid w:val="7DC1734A"/>
    <w:rsid w:val="7FFD3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semiHidden="0" w:name="footnote reference"/>
    <w:lsdException w:qFormat="1" w:uiPriority="0"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5"/>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56"/>
    <w:qFormat/>
    <w:uiPriority w:val="0"/>
    <w:pPr>
      <w:keepNext/>
      <w:keepLines/>
      <w:spacing w:before="260" w:after="260" w:line="416" w:lineRule="auto"/>
      <w:outlineLvl w:val="2"/>
    </w:pPr>
    <w:rPr>
      <w:b/>
      <w:bCs/>
      <w:kern w:val="0"/>
      <w:sz w:val="32"/>
      <w:szCs w:val="32"/>
    </w:rPr>
  </w:style>
  <w:style w:type="paragraph" w:styleId="5">
    <w:name w:val="heading 5"/>
    <w:basedOn w:val="1"/>
    <w:next w:val="6"/>
    <w:link w:val="57"/>
    <w:qFormat/>
    <w:uiPriority w:val="0"/>
    <w:pPr>
      <w:keepNext/>
      <w:keepLines/>
      <w:numPr>
        <w:ilvl w:val="4"/>
        <w:numId w:val="1"/>
      </w:numPr>
      <w:spacing w:before="280" w:after="290" w:line="376" w:lineRule="auto"/>
      <w:outlineLvl w:val="4"/>
    </w:pPr>
    <w:rPr>
      <w:b/>
      <w:sz w:val="28"/>
    </w:rPr>
  </w:style>
  <w:style w:type="paragraph" w:styleId="7">
    <w:name w:val="heading 6"/>
    <w:basedOn w:val="1"/>
    <w:next w:val="6"/>
    <w:link w:val="58"/>
    <w:qFormat/>
    <w:uiPriority w:val="0"/>
    <w:pPr>
      <w:keepNext/>
      <w:keepLines/>
      <w:numPr>
        <w:ilvl w:val="5"/>
        <w:numId w:val="1"/>
      </w:numPr>
      <w:spacing w:before="240" w:after="64" w:line="320" w:lineRule="auto"/>
      <w:outlineLvl w:val="5"/>
    </w:pPr>
    <w:rPr>
      <w:rFonts w:ascii="Arial" w:hAnsi="Arial" w:eastAsia="黑体"/>
      <w:b/>
      <w:sz w:val="24"/>
    </w:rPr>
  </w:style>
  <w:style w:type="paragraph" w:styleId="8">
    <w:name w:val="heading 7"/>
    <w:basedOn w:val="1"/>
    <w:next w:val="6"/>
    <w:link w:val="59"/>
    <w:qFormat/>
    <w:uiPriority w:val="0"/>
    <w:pPr>
      <w:keepNext/>
      <w:keepLines/>
      <w:numPr>
        <w:ilvl w:val="6"/>
        <w:numId w:val="1"/>
      </w:numPr>
      <w:spacing w:before="240" w:after="64" w:line="320" w:lineRule="auto"/>
      <w:outlineLvl w:val="6"/>
    </w:pPr>
    <w:rPr>
      <w:b/>
      <w:sz w:val="24"/>
    </w:rPr>
  </w:style>
  <w:style w:type="paragraph" w:styleId="9">
    <w:name w:val="heading 8"/>
    <w:basedOn w:val="1"/>
    <w:next w:val="6"/>
    <w:link w:val="60"/>
    <w:qFormat/>
    <w:uiPriority w:val="0"/>
    <w:pPr>
      <w:keepNext/>
      <w:keepLines/>
      <w:numPr>
        <w:ilvl w:val="7"/>
        <w:numId w:val="1"/>
      </w:numPr>
      <w:spacing w:before="240" w:after="64" w:line="320" w:lineRule="auto"/>
      <w:outlineLvl w:val="7"/>
    </w:pPr>
    <w:rPr>
      <w:rFonts w:ascii="Arial" w:hAnsi="Arial" w:eastAsia="黑体"/>
      <w:sz w:val="24"/>
    </w:rPr>
  </w:style>
  <w:style w:type="paragraph" w:styleId="10">
    <w:name w:val="heading 9"/>
    <w:basedOn w:val="1"/>
    <w:next w:val="6"/>
    <w:link w:val="61"/>
    <w:qFormat/>
    <w:uiPriority w:val="0"/>
    <w:pPr>
      <w:keepNext/>
      <w:keepLines/>
      <w:numPr>
        <w:ilvl w:val="8"/>
        <w:numId w:val="1"/>
      </w:numPr>
      <w:spacing w:before="240" w:after="64" w:line="320" w:lineRule="auto"/>
      <w:outlineLvl w:val="8"/>
    </w:pPr>
    <w:rPr>
      <w:rFonts w:ascii="Arial" w:hAnsi="Arial" w:eastAsia="黑体"/>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11">
    <w:name w:val="toc 7"/>
    <w:basedOn w:val="1"/>
    <w:next w:val="1"/>
    <w:unhideWhenUsed/>
    <w:qFormat/>
    <w:uiPriority w:val="39"/>
    <w:pPr>
      <w:ind w:left="2520" w:leftChars="1200"/>
    </w:pPr>
    <w:rPr>
      <w:rFonts w:ascii="Calibri" w:hAnsi="Calibri"/>
      <w:szCs w:val="22"/>
    </w:rPr>
  </w:style>
  <w:style w:type="paragraph" w:styleId="12">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3">
    <w:name w:val="caption"/>
    <w:basedOn w:val="1"/>
    <w:next w:val="1"/>
    <w:qFormat/>
    <w:uiPriority w:val="0"/>
    <w:pPr>
      <w:spacing w:before="152" w:after="160"/>
    </w:pPr>
    <w:rPr>
      <w:rFonts w:ascii="Arial" w:hAnsi="Arial" w:eastAsia="黑体" w:cs="Arial"/>
      <w:sz w:val="20"/>
      <w:szCs w:val="20"/>
    </w:rPr>
  </w:style>
  <w:style w:type="paragraph" w:styleId="14">
    <w:name w:val="annotation text"/>
    <w:basedOn w:val="1"/>
    <w:link w:val="62"/>
    <w:unhideWhenUsed/>
    <w:qFormat/>
    <w:uiPriority w:val="0"/>
    <w:pPr>
      <w:jc w:val="left"/>
    </w:pPr>
  </w:style>
  <w:style w:type="paragraph" w:styleId="15">
    <w:name w:val="Body Text 3"/>
    <w:basedOn w:val="1"/>
    <w:link w:val="63"/>
    <w:qFormat/>
    <w:uiPriority w:val="0"/>
    <w:pPr>
      <w:spacing w:line="500" w:lineRule="exact"/>
    </w:pPr>
    <w:rPr>
      <w:b/>
      <w:bCs/>
      <w:kern w:val="0"/>
      <w:sz w:val="24"/>
    </w:rPr>
  </w:style>
  <w:style w:type="paragraph" w:styleId="16">
    <w:name w:val="Body Text"/>
    <w:basedOn w:val="1"/>
    <w:link w:val="64"/>
    <w:qFormat/>
    <w:uiPriority w:val="99"/>
    <w:pPr>
      <w:spacing w:line="380" w:lineRule="exact"/>
    </w:pPr>
    <w:rPr>
      <w:kern w:val="0"/>
      <w:sz w:val="24"/>
    </w:rPr>
  </w:style>
  <w:style w:type="paragraph" w:styleId="17">
    <w:name w:val="Body Text Indent"/>
    <w:basedOn w:val="1"/>
    <w:next w:val="18"/>
    <w:link w:val="65"/>
    <w:qFormat/>
    <w:uiPriority w:val="0"/>
    <w:pPr>
      <w:ind w:firstLine="830" w:firstLineChars="352"/>
    </w:pPr>
    <w:rPr>
      <w:rFonts w:ascii="仿宋_GB2312" w:eastAsia="仿宋_GB2312"/>
      <w:kern w:val="0"/>
      <w:sz w:val="32"/>
      <w:szCs w:val="20"/>
    </w:rPr>
  </w:style>
  <w:style w:type="paragraph" w:customStyle="1" w:styleId="18">
    <w:name w:val="标准正文 Char Char Char Char"/>
    <w:basedOn w:val="1"/>
    <w:next w:val="1"/>
    <w:qFormat/>
    <w:uiPriority w:val="0"/>
    <w:pPr>
      <w:spacing w:after="60"/>
      <w:ind w:firstLine="482"/>
    </w:pPr>
    <w:rPr>
      <w:kern w:val="0"/>
      <w:sz w:val="20"/>
      <w:szCs w:val="20"/>
    </w:rPr>
  </w:style>
  <w:style w:type="paragraph" w:styleId="19">
    <w:name w:val="List Number 3"/>
    <w:basedOn w:val="1"/>
    <w:qFormat/>
    <w:uiPriority w:val="0"/>
    <w:pPr>
      <w:numPr>
        <w:ilvl w:val="0"/>
        <w:numId w:val="2"/>
      </w:numPr>
    </w:pPr>
  </w:style>
  <w:style w:type="paragraph" w:styleId="20">
    <w:name w:val="List 2"/>
    <w:basedOn w:val="1"/>
    <w:qFormat/>
    <w:uiPriority w:val="0"/>
    <w:pPr>
      <w:ind w:left="100" w:leftChars="200" w:hanging="200" w:hangingChars="200"/>
    </w:pPr>
    <w:rPr>
      <w:sz w:val="28"/>
    </w:rPr>
  </w:style>
  <w:style w:type="paragraph" w:styleId="21">
    <w:name w:val="toc 5"/>
    <w:basedOn w:val="1"/>
    <w:next w:val="1"/>
    <w:unhideWhenUsed/>
    <w:qFormat/>
    <w:uiPriority w:val="39"/>
    <w:pPr>
      <w:ind w:left="1680" w:leftChars="800"/>
    </w:pPr>
    <w:rPr>
      <w:rFonts w:ascii="Calibri" w:hAnsi="Calibri"/>
      <w:szCs w:val="22"/>
    </w:rPr>
  </w:style>
  <w:style w:type="paragraph" w:styleId="22">
    <w:name w:val="toc 3"/>
    <w:basedOn w:val="1"/>
    <w:next w:val="1"/>
    <w:unhideWhenUsed/>
    <w:qFormat/>
    <w:uiPriority w:val="39"/>
    <w:pPr>
      <w:ind w:left="840" w:leftChars="400"/>
    </w:pPr>
    <w:rPr>
      <w:rFonts w:ascii="Calibri" w:hAnsi="Calibri"/>
      <w:szCs w:val="22"/>
    </w:rPr>
  </w:style>
  <w:style w:type="paragraph" w:styleId="23">
    <w:name w:val="Plain Text"/>
    <w:basedOn w:val="1"/>
    <w:next w:val="1"/>
    <w:link w:val="66"/>
    <w:qFormat/>
    <w:uiPriority w:val="0"/>
    <w:rPr>
      <w:rFonts w:ascii="宋体" w:hAnsi="Courier New"/>
      <w:kern w:val="0"/>
      <w:sz w:val="20"/>
      <w:szCs w:val="21"/>
    </w:rPr>
  </w:style>
  <w:style w:type="paragraph" w:styleId="24">
    <w:name w:val="toc 8"/>
    <w:basedOn w:val="1"/>
    <w:next w:val="1"/>
    <w:unhideWhenUsed/>
    <w:qFormat/>
    <w:uiPriority w:val="39"/>
    <w:pPr>
      <w:ind w:left="2940" w:leftChars="1400"/>
    </w:pPr>
    <w:rPr>
      <w:rFonts w:ascii="Calibri" w:hAnsi="Calibri"/>
      <w:szCs w:val="22"/>
    </w:rPr>
  </w:style>
  <w:style w:type="paragraph" w:styleId="25">
    <w:name w:val="Date"/>
    <w:basedOn w:val="1"/>
    <w:next w:val="1"/>
    <w:link w:val="67"/>
    <w:qFormat/>
    <w:uiPriority w:val="0"/>
    <w:pPr>
      <w:ind w:left="100" w:leftChars="2500"/>
    </w:pPr>
    <w:rPr>
      <w:rFonts w:ascii="宋体" w:hAnsi="Courier New"/>
      <w:kern w:val="0"/>
      <w:sz w:val="20"/>
      <w:szCs w:val="21"/>
    </w:rPr>
  </w:style>
  <w:style w:type="paragraph" w:styleId="26">
    <w:name w:val="Body Text Indent 2"/>
    <w:basedOn w:val="1"/>
    <w:link w:val="68"/>
    <w:qFormat/>
    <w:uiPriority w:val="0"/>
    <w:pPr>
      <w:ind w:firstLine="630"/>
    </w:pPr>
    <w:rPr>
      <w:kern w:val="0"/>
      <w:sz w:val="32"/>
      <w:szCs w:val="20"/>
    </w:rPr>
  </w:style>
  <w:style w:type="paragraph" w:styleId="27">
    <w:name w:val="endnote text"/>
    <w:basedOn w:val="1"/>
    <w:link w:val="69"/>
    <w:unhideWhenUsed/>
    <w:qFormat/>
    <w:uiPriority w:val="99"/>
    <w:pPr>
      <w:snapToGrid w:val="0"/>
      <w:jc w:val="left"/>
    </w:pPr>
  </w:style>
  <w:style w:type="paragraph" w:styleId="28">
    <w:name w:val="Balloon Text"/>
    <w:basedOn w:val="1"/>
    <w:link w:val="70"/>
    <w:semiHidden/>
    <w:qFormat/>
    <w:uiPriority w:val="0"/>
    <w:rPr>
      <w:kern w:val="0"/>
      <w:sz w:val="18"/>
      <w:szCs w:val="18"/>
    </w:rPr>
  </w:style>
  <w:style w:type="paragraph" w:styleId="29">
    <w:name w:val="footer"/>
    <w:basedOn w:val="1"/>
    <w:link w:val="71"/>
    <w:unhideWhenUsed/>
    <w:qFormat/>
    <w:uiPriority w:val="99"/>
    <w:pPr>
      <w:tabs>
        <w:tab w:val="center" w:pos="4153"/>
        <w:tab w:val="right" w:pos="8306"/>
      </w:tabs>
      <w:snapToGrid w:val="0"/>
      <w:jc w:val="left"/>
    </w:pPr>
    <w:rPr>
      <w:kern w:val="0"/>
      <w:sz w:val="18"/>
      <w:szCs w:val="18"/>
    </w:rPr>
  </w:style>
  <w:style w:type="paragraph" w:styleId="30">
    <w:name w:val="header"/>
    <w:basedOn w:val="1"/>
    <w:link w:val="72"/>
    <w:unhideWhenUsed/>
    <w:qFormat/>
    <w:uiPriority w:val="99"/>
    <w:pPr>
      <w:pBdr>
        <w:bottom w:val="single" w:color="auto" w:sz="6" w:space="1"/>
      </w:pBdr>
      <w:tabs>
        <w:tab w:val="center" w:pos="0"/>
        <w:tab w:val="left" w:pos="8306"/>
      </w:tabs>
      <w:snapToGrid w:val="0"/>
      <w:jc w:val="center"/>
    </w:pPr>
    <w:rPr>
      <w:sz w:val="18"/>
      <w:szCs w:val="18"/>
    </w:rPr>
  </w:style>
  <w:style w:type="paragraph" w:styleId="31">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2">
    <w:name w:val="toc 4"/>
    <w:basedOn w:val="1"/>
    <w:next w:val="1"/>
    <w:unhideWhenUsed/>
    <w:qFormat/>
    <w:uiPriority w:val="39"/>
    <w:pPr>
      <w:ind w:left="1260" w:leftChars="600"/>
    </w:pPr>
    <w:rPr>
      <w:rFonts w:ascii="Calibri" w:hAnsi="Calibri"/>
      <w:szCs w:val="22"/>
    </w:rPr>
  </w:style>
  <w:style w:type="paragraph" w:styleId="33">
    <w:name w:val="List"/>
    <w:basedOn w:val="1"/>
    <w:qFormat/>
    <w:uiPriority w:val="0"/>
    <w:pPr>
      <w:ind w:left="200" w:hanging="200" w:hangingChars="200"/>
    </w:pPr>
    <w:rPr>
      <w:sz w:val="28"/>
    </w:rPr>
  </w:style>
  <w:style w:type="paragraph" w:styleId="34">
    <w:name w:val="footnote text"/>
    <w:basedOn w:val="1"/>
    <w:link w:val="73"/>
    <w:unhideWhenUsed/>
    <w:qFormat/>
    <w:uiPriority w:val="99"/>
    <w:pPr>
      <w:snapToGrid w:val="0"/>
      <w:jc w:val="left"/>
    </w:pPr>
    <w:rPr>
      <w:sz w:val="18"/>
      <w:szCs w:val="18"/>
    </w:rPr>
  </w:style>
  <w:style w:type="paragraph" w:styleId="35">
    <w:name w:val="toc 6"/>
    <w:basedOn w:val="1"/>
    <w:next w:val="1"/>
    <w:unhideWhenUsed/>
    <w:qFormat/>
    <w:uiPriority w:val="39"/>
    <w:pPr>
      <w:ind w:left="2100" w:leftChars="1000"/>
    </w:pPr>
    <w:rPr>
      <w:rFonts w:ascii="Calibri" w:hAnsi="Calibri"/>
      <w:szCs w:val="22"/>
    </w:rPr>
  </w:style>
  <w:style w:type="paragraph" w:styleId="36">
    <w:name w:val="Body Text Indent 3"/>
    <w:basedOn w:val="1"/>
    <w:link w:val="74"/>
    <w:qFormat/>
    <w:uiPriority w:val="0"/>
    <w:pPr>
      <w:spacing w:after="120"/>
      <w:ind w:left="420" w:leftChars="200"/>
    </w:pPr>
    <w:rPr>
      <w:kern w:val="0"/>
      <w:sz w:val="16"/>
      <w:szCs w:val="16"/>
    </w:rPr>
  </w:style>
  <w:style w:type="paragraph" w:styleId="37">
    <w:name w:val="toc 2"/>
    <w:basedOn w:val="1"/>
    <w:next w:val="1"/>
    <w:unhideWhenUsed/>
    <w:qFormat/>
    <w:uiPriority w:val="39"/>
    <w:pPr>
      <w:ind w:left="420" w:leftChars="200"/>
    </w:pPr>
  </w:style>
  <w:style w:type="paragraph" w:styleId="38">
    <w:name w:val="toc 9"/>
    <w:basedOn w:val="1"/>
    <w:next w:val="1"/>
    <w:unhideWhenUsed/>
    <w:qFormat/>
    <w:uiPriority w:val="39"/>
    <w:pPr>
      <w:ind w:left="3360" w:leftChars="1600"/>
    </w:pPr>
    <w:rPr>
      <w:rFonts w:ascii="Calibri" w:hAnsi="Calibri"/>
      <w:szCs w:val="22"/>
    </w:rPr>
  </w:style>
  <w:style w:type="paragraph" w:styleId="39">
    <w:name w:val="Body Text 2"/>
    <w:basedOn w:val="1"/>
    <w:link w:val="75"/>
    <w:qFormat/>
    <w:uiPriority w:val="0"/>
    <w:pPr>
      <w:spacing w:after="120" w:line="480" w:lineRule="auto"/>
    </w:pPr>
    <w:rPr>
      <w:kern w:val="0"/>
      <w:sz w:val="20"/>
    </w:rPr>
  </w:style>
  <w:style w:type="paragraph" w:styleId="40">
    <w:name w:val="Normal (Web)"/>
    <w:basedOn w:val="1"/>
    <w:qFormat/>
    <w:uiPriority w:val="99"/>
    <w:pPr>
      <w:widowControl/>
      <w:spacing w:before="100" w:beforeAutospacing="1" w:after="100" w:afterAutospacing="1"/>
      <w:jc w:val="left"/>
    </w:pPr>
    <w:rPr>
      <w:rFonts w:ascii="宋体" w:hAnsi="宋体"/>
      <w:kern w:val="0"/>
      <w:sz w:val="24"/>
    </w:rPr>
  </w:style>
  <w:style w:type="paragraph" w:styleId="41">
    <w:name w:val="index 1"/>
    <w:basedOn w:val="1"/>
    <w:next w:val="1"/>
    <w:semiHidden/>
    <w:qFormat/>
    <w:uiPriority w:val="0"/>
    <w:pPr>
      <w:spacing w:line="400" w:lineRule="exact"/>
      <w:ind w:firstLine="420" w:firstLineChars="200"/>
    </w:pPr>
    <w:rPr>
      <w:rFonts w:ascii="宋体" w:hAnsi="Courier New"/>
      <w:b/>
      <w:szCs w:val="20"/>
    </w:rPr>
  </w:style>
  <w:style w:type="paragraph" w:styleId="42">
    <w:name w:val="Title"/>
    <w:basedOn w:val="1"/>
    <w:next w:val="1"/>
    <w:link w:val="76"/>
    <w:qFormat/>
    <w:uiPriority w:val="10"/>
    <w:pPr>
      <w:spacing w:before="240" w:after="60"/>
      <w:jc w:val="center"/>
      <w:outlineLvl w:val="0"/>
    </w:pPr>
    <w:rPr>
      <w:rFonts w:ascii="Cambria" w:hAnsi="Cambria"/>
      <w:b/>
      <w:bCs/>
      <w:sz w:val="32"/>
      <w:szCs w:val="32"/>
    </w:rPr>
  </w:style>
  <w:style w:type="paragraph" w:styleId="43">
    <w:name w:val="annotation subject"/>
    <w:basedOn w:val="14"/>
    <w:next w:val="14"/>
    <w:link w:val="77"/>
    <w:unhideWhenUsed/>
    <w:qFormat/>
    <w:uiPriority w:val="99"/>
    <w:rPr>
      <w:b/>
      <w:bCs/>
    </w:rPr>
  </w:style>
  <w:style w:type="paragraph" w:styleId="44">
    <w:name w:val="Body Text First Indent 2"/>
    <w:basedOn w:val="17"/>
    <w:qFormat/>
    <w:uiPriority w:val="0"/>
    <w:pPr>
      <w:ind w:firstLine="420" w:firstLineChars="200"/>
    </w:p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endnote reference"/>
    <w:unhideWhenUsed/>
    <w:qFormat/>
    <w:uiPriority w:val="99"/>
    <w:rPr>
      <w:vertAlign w:val="superscript"/>
    </w:rPr>
  </w:style>
  <w:style w:type="character" w:styleId="49">
    <w:name w:val="page number"/>
    <w:qFormat/>
    <w:uiPriority w:val="0"/>
  </w:style>
  <w:style w:type="character" w:styleId="50">
    <w:name w:val="FollowedHyperlink"/>
    <w:qFormat/>
    <w:uiPriority w:val="0"/>
    <w:rPr>
      <w:color w:val="800080"/>
      <w:u w:val="single"/>
    </w:rPr>
  </w:style>
  <w:style w:type="character" w:styleId="51">
    <w:name w:val="Hyperlink"/>
    <w:qFormat/>
    <w:uiPriority w:val="99"/>
    <w:rPr>
      <w:color w:val="0000FF"/>
      <w:u w:val="single"/>
    </w:rPr>
  </w:style>
  <w:style w:type="character" w:styleId="52">
    <w:name w:val="annotation reference"/>
    <w:unhideWhenUsed/>
    <w:qFormat/>
    <w:uiPriority w:val="0"/>
    <w:rPr>
      <w:sz w:val="21"/>
      <w:szCs w:val="21"/>
    </w:rPr>
  </w:style>
  <w:style w:type="character" w:styleId="53">
    <w:name w:val="footnote reference"/>
    <w:unhideWhenUsed/>
    <w:qFormat/>
    <w:uiPriority w:val="99"/>
    <w:rPr>
      <w:vertAlign w:val="superscript"/>
    </w:rPr>
  </w:style>
  <w:style w:type="character" w:customStyle="1" w:styleId="54">
    <w:name w:val="标题 1 字符1"/>
    <w:link w:val="2"/>
    <w:qFormat/>
    <w:uiPriority w:val="0"/>
    <w:rPr>
      <w:rFonts w:ascii="Times New Roman" w:hAnsi="Times New Roman" w:eastAsia="宋体" w:cs="Times New Roman"/>
      <w:b/>
      <w:bCs/>
      <w:kern w:val="44"/>
      <w:sz w:val="44"/>
      <w:szCs w:val="44"/>
    </w:rPr>
  </w:style>
  <w:style w:type="character" w:customStyle="1" w:styleId="55">
    <w:name w:val="标题 2 字符"/>
    <w:link w:val="3"/>
    <w:qFormat/>
    <w:uiPriority w:val="0"/>
    <w:rPr>
      <w:rFonts w:ascii="Arial" w:hAnsi="Arial" w:eastAsia="黑体" w:cs="Times New Roman"/>
      <w:b/>
      <w:bCs/>
      <w:sz w:val="32"/>
      <w:szCs w:val="32"/>
    </w:rPr>
  </w:style>
  <w:style w:type="character" w:customStyle="1" w:styleId="56">
    <w:name w:val="标题 3 字符1"/>
    <w:link w:val="4"/>
    <w:qFormat/>
    <w:uiPriority w:val="0"/>
    <w:rPr>
      <w:rFonts w:ascii="Times New Roman" w:hAnsi="Times New Roman" w:eastAsia="宋体" w:cs="Times New Roman"/>
      <w:b/>
      <w:bCs/>
      <w:sz w:val="32"/>
      <w:szCs w:val="32"/>
    </w:rPr>
  </w:style>
  <w:style w:type="character" w:customStyle="1" w:styleId="57">
    <w:name w:val="标题 5 字符1"/>
    <w:link w:val="5"/>
    <w:qFormat/>
    <w:uiPriority w:val="0"/>
    <w:rPr>
      <w:b/>
      <w:kern w:val="2"/>
      <w:sz w:val="28"/>
      <w:szCs w:val="24"/>
    </w:rPr>
  </w:style>
  <w:style w:type="character" w:customStyle="1" w:styleId="58">
    <w:name w:val="标题 6 字符"/>
    <w:link w:val="7"/>
    <w:qFormat/>
    <w:uiPriority w:val="0"/>
    <w:rPr>
      <w:rFonts w:ascii="Arial" w:hAnsi="Arial" w:eastAsia="黑体"/>
      <w:b/>
      <w:kern w:val="2"/>
      <w:sz w:val="24"/>
      <w:szCs w:val="24"/>
    </w:rPr>
  </w:style>
  <w:style w:type="character" w:customStyle="1" w:styleId="59">
    <w:name w:val="标题 7 字符"/>
    <w:link w:val="8"/>
    <w:qFormat/>
    <w:uiPriority w:val="0"/>
    <w:rPr>
      <w:rFonts w:ascii="Times New Roman" w:hAnsi="Times New Roman"/>
      <w:b/>
      <w:kern w:val="2"/>
      <w:sz w:val="24"/>
      <w:szCs w:val="24"/>
    </w:rPr>
  </w:style>
  <w:style w:type="character" w:customStyle="1" w:styleId="60">
    <w:name w:val="标题 8 字符"/>
    <w:link w:val="9"/>
    <w:qFormat/>
    <w:uiPriority w:val="0"/>
    <w:rPr>
      <w:rFonts w:ascii="Arial" w:hAnsi="Arial" w:eastAsia="黑体"/>
      <w:kern w:val="2"/>
      <w:sz w:val="24"/>
      <w:szCs w:val="24"/>
    </w:rPr>
  </w:style>
  <w:style w:type="character" w:customStyle="1" w:styleId="61">
    <w:name w:val="标题 9 字符"/>
    <w:link w:val="10"/>
    <w:qFormat/>
    <w:uiPriority w:val="0"/>
    <w:rPr>
      <w:rFonts w:ascii="Arial" w:hAnsi="Arial" w:eastAsia="黑体"/>
      <w:kern w:val="2"/>
      <w:sz w:val="21"/>
      <w:szCs w:val="24"/>
    </w:rPr>
  </w:style>
  <w:style w:type="character" w:customStyle="1" w:styleId="62">
    <w:name w:val="批注文字 字符4"/>
    <w:link w:val="14"/>
    <w:qFormat/>
    <w:uiPriority w:val="0"/>
    <w:rPr>
      <w:rFonts w:ascii="Times New Roman" w:hAnsi="Times New Roman"/>
      <w:kern w:val="2"/>
      <w:sz w:val="21"/>
      <w:szCs w:val="24"/>
    </w:rPr>
  </w:style>
  <w:style w:type="character" w:customStyle="1" w:styleId="63">
    <w:name w:val="正文文本 3 字符"/>
    <w:link w:val="15"/>
    <w:qFormat/>
    <w:uiPriority w:val="0"/>
    <w:rPr>
      <w:rFonts w:ascii="Times New Roman" w:hAnsi="Times New Roman" w:eastAsia="宋体" w:cs="Times New Roman"/>
      <w:b/>
      <w:bCs/>
      <w:sz w:val="24"/>
      <w:szCs w:val="24"/>
    </w:rPr>
  </w:style>
  <w:style w:type="character" w:customStyle="1" w:styleId="64">
    <w:name w:val="正文文本 字符1"/>
    <w:link w:val="16"/>
    <w:qFormat/>
    <w:uiPriority w:val="99"/>
    <w:rPr>
      <w:rFonts w:ascii="Times New Roman" w:hAnsi="Times New Roman" w:eastAsia="宋体" w:cs="Times New Roman"/>
      <w:sz w:val="24"/>
      <w:szCs w:val="24"/>
    </w:rPr>
  </w:style>
  <w:style w:type="character" w:customStyle="1" w:styleId="65">
    <w:name w:val="正文文本缩进 字符2"/>
    <w:link w:val="17"/>
    <w:qFormat/>
    <w:uiPriority w:val="0"/>
    <w:rPr>
      <w:rFonts w:ascii="仿宋_GB2312" w:hAnsi="Times New Roman" w:eastAsia="仿宋_GB2312" w:cs="Times New Roman"/>
      <w:sz w:val="32"/>
      <w:szCs w:val="20"/>
    </w:rPr>
  </w:style>
  <w:style w:type="character" w:customStyle="1" w:styleId="66">
    <w:name w:val="纯文本 字符3"/>
    <w:link w:val="23"/>
    <w:qFormat/>
    <w:uiPriority w:val="0"/>
    <w:rPr>
      <w:rFonts w:ascii="宋体" w:hAnsi="Courier New" w:eastAsia="宋体" w:cs="Courier New"/>
      <w:szCs w:val="21"/>
    </w:rPr>
  </w:style>
  <w:style w:type="character" w:customStyle="1" w:styleId="67">
    <w:name w:val="日期 字符"/>
    <w:link w:val="25"/>
    <w:qFormat/>
    <w:uiPriority w:val="0"/>
    <w:rPr>
      <w:rFonts w:ascii="宋体" w:hAnsi="Courier New" w:eastAsia="宋体" w:cs="Courier New"/>
      <w:szCs w:val="21"/>
    </w:rPr>
  </w:style>
  <w:style w:type="character" w:customStyle="1" w:styleId="68">
    <w:name w:val="正文文本缩进 2 字符"/>
    <w:link w:val="26"/>
    <w:qFormat/>
    <w:uiPriority w:val="0"/>
    <w:rPr>
      <w:rFonts w:ascii="Times New Roman" w:hAnsi="Times New Roman" w:eastAsia="宋体" w:cs="Times New Roman"/>
      <w:sz w:val="32"/>
      <w:szCs w:val="20"/>
    </w:rPr>
  </w:style>
  <w:style w:type="character" w:customStyle="1" w:styleId="69">
    <w:name w:val="尾注文本 字符"/>
    <w:link w:val="27"/>
    <w:semiHidden/>
    <w:qFormat/>
    <w:uiPriority w:val="99"/>
    <w:rPr>
      <w:rFonts w:ascii="Times New Roman" w:hAnsi="Times New Roman"/>
      <w:kern w:val="2"/>
      <w:sz w:val="21"/>
      <w:szCs w:val="24"/>
    </w:rPr>
  </w:style>
  <w:style w:type="character" w:customStyle="1" w:styleId="70">
    <w:name w:val="批注框文本 字符"/>
    <w:link w:val="28"/>
    <w:semiHidden/>
    <w:qFormat/>
    <w:uiPriority w:val="0"/>
    <w:rPr>
      <w:rFonts w:ascii="Times New Roman" w:hAnsi="Times New Roman" w:eastAsia="宋体" w:cs="Times New Roman"/>
      <w:sz w:val="18"/>
      <w:szCs w:val="18"/>
    </w:rPr>
  </w:style>
  <w:style w:type="character" w:customStyle="1" w:styleId="71">
    <w:name w:val="页脚 字符1"/>
    <w:link w:val="29"/>
    <w:qFormat/>
    <w:uiPriority w:val="99"/>
    <w:rPr>
      <w:sz w:val="18"/>
      <w:szCs w:val="18"/>
    </w:rPr>
  </w:style>
  <w:style w:type="character" w:customStyle="1" w:styleId="72">
    <w:name w:val="页眉 字符"/>
    <w:link w:val="30"/>
    <w:qFormat/>
    <w:uiPriority w:val="99"/>
    <w:rPr>
      <w:rFonts w:ascii="Times New Roman" w:hAnsi="Times New Roman"/>
      <w:kern w:val="2"/>
      <w:sz w:val="18"/>
      <w:szCs w:val="18"/>
    </w:rPr>
  </w:style>
  <w:style w:type="character" w:customStyle="1" w:styleId="73">
    <w:name w:val="脚注文本 字符"/>
    <w:link w:val="34"/>
    <w:semiHidden/>
    <w:qFormat/>
    <w:uiPriority w:val="99"/>
    <w:rPr>
      <w:rFonts w:ascii="Times New Roman" w:hAnsi="Times New Roman"/>
      <w:kern w:val="2"/>
      <w:sz w:val="18"/>
      <w:szCs w:val="18"/>
    </w:rPr>
  </w:style>
  <w:style w:type="character" w:customStyle="1" w:styleId="74">
    <w:name w:val="正文文本缩进 3 字符"/>
    <w:link w:val="36"/>
    <w:qFormat/>
    <w:uiPriority w:val="0"/>
    <w:rPr>
      <w:rFonts w:ascii="Times New Roman" w:hAnsi="Times New Roman" w:eastAsia="宋体" w:cs="Times New Roman"/>
      <w:sz w:val="16"/>
      <w:szCs w:val="16"/>
    </w:rPr>
  </w:style>
  <w:style w:type="character" w:customStyle="1" w:styleId="75">
    <w:name w:val="正文文本 2 字符"/>
    <w:link w:val="39"/>
    <w:qFormat/>
    <w:uiPriority w:val="0"/>
    <w:rPr>
      <w:rFonts w:ascii="Times New Roman" w:hAnsi="Times New Roman" w:eastAsia="宋体" w:cs="Times New Roman"/>
      <w:szCs w:val="24"/>
    </w:rPr>
  </w:style>
  <w:style w:type="character" w:customStyle="1" w:styleId="76">
    <w:name w:val="标题 字符"/>
    <w:link w:val="42"/>
    <w:qFormat/>
    <w:uiPriority w:val="10"/>
    <w:rPr>
      <w:rFonts w:ascii="Cambria" w:hAnsi="Cambria" w:cs="Times New Roman"/>
      <w:b/>
      <w:bCs/>
      <w:kern w:val="2"/>
      <w:sz w:val="32"/>
      <w:szCs w:val="32"/>
    </w:rPr>
  </w:style>
  <w:style w:type="character" w:customStyle="1" w:styleId="77">
    <w:name w:val="批注主题 字符"/>
    <w:link w:val="43"/>
    <w:semiHidden/>
    <w:qFormat/>
    <w:uiPriority w:val="99"/>
    <w:rPr>
      <w:rFonts w:ascii="Times New Roman" w:hAnsi="Times New Roman"/>
      <w:b/>
      <w:bCs/>
      <w:kern w:val="2"/>
      <w:sz w:val="21"/>
      <w:szCs w:val="24"/>
    </w:rPr>
  </w:style>
  <w:style w:type="character" w:customStyle="1" w:styleId="78">
    <w:name w:val="标题 1 字符"/>
    <w:qFormat/>
    <w:uiPriority w:val="9"/>
    <w:rPr>
      <w:rFonts w:ascii="Times New Roman" w:hAnsi="Times New Roman" w:eastAsia="宋体" w:cs="Times New Roman"/>
      <w:b/>
      <w:bCs/>
      <w:kern w:val="44"/>
      <w:sz w:val="44"/>
      <w:szCs w:val="44"/>
    </w:rPr>
  </w:style>
  <w:style w:type="character" w:customStyle="1" w:styleId="79">
    <w:name w:val="纯文本 Char"/>
    <w:qFormat/>
    <w:uiPriority w:val="99"/>
    <w:rPr>
      <w:rFonts w:ascii="宋体" w:hAnsi="Courier New" w:eastAsia="宋体"/>
      <w:kern w:val="2"/>
      <w:sz w:val="21"/>
      <w:lang w:val="en-US" w:eastAsia="zh-CN" w:bidi="ar-SA"/>
    </w:rPr>
  </w:style>
  <w:style w:type="character" w:customStyle="1" w:styleId="80">
    <w:name w:val="纯文本 字符1"/>
    <w:qFormat/>
    <w:uiPriority w:val="0"/>
    <w:rPr>
      <w:rFonts w:ascii="宋体" w:hAnsi="Courier New"/>
    </w:rPr>
  </w:style>
  <w:style w:type="character" w:customStyle="1" w:styleId="81">
    <w:name w:val="批注文字 字符"/>
    <w:qFormat/>
    <w:uiPriority w:val="0"/>
    <w:rPr>
      <w:rFonts w:ascii="Times New Roman" w:hAnsi="Times New Roman"/>
      <w:kern w:val="2"/>
      <w:sz w:val="21"/>
      <w:szCs w:val="24"/>
    </w:rPr>
  </w:style>
  <w:style w:type="character" w:customStyle="1" w:styleId="82">
    <w:name w:val="textcontents"/>
    <w:qFormat/>
    <w:uiPriority w:val="0"/>
  </w:style>
  <w:style w:type="character" w:customStyle="1" w:styleId="83">
    <w:name w:val="case31"/>
    <w:qFormat/>
    <w:uiPriority w:val="0"/>
    <w:rPr>
      <w:rFonts w:hint="default" w:ascii="_x000B__x000C_" w:hAnsi="_x000B__x000C_"/>
      <w:sz w:val="21"/>
      <w:szCs w:val="21"/>
    </w:rPr>
  </w:style>
  <w:style w:type="character" w:customStyle="1" w:styleId="84">
    <w:name w:val="批注文字 Char1"/>
    <w:semiHidden/>
    <w:qFormat/>
    <w:locked/>
    <w:uiPriority w:val="0"/>
    <w:rPr>
      <w:rFonts w:ascii="Times New Roman" w:hAnsi="Times New Roman"/>
      <w:kern w:val="2"/>
      <w:sz w:val="21"/>
      <w:szCs w:val="24"/>
    </w:rPr>
  </w:style>
  <w:style w:type="character" w:customStyle="1" w:styleId="85">
    <w:name w:val="apple-style-span"/>
    <w:qFormat/>
    <w:uiPriority w:val="0"/>
  </w:style>
  <w:style w:type="character" w:customStyle="1" w:styleId="86">
    <w:name w:val="纯文本 字符"/>
    <w:qFormat/>
    <w:uiPriority w:val="0"/>
    <w:rPr>
      <w:rFonts w:ascii="宋体" w:hAnsi="Courier New" w:eastAsia="宋体" w:cs="Courier New"/>
      <w:szCs w:val="21"/>
    </w:rPr>
  </w:style>
  <w:style w:type="character" w:customStyle="1" w:styleId="87">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88">
    <w:name w:val="普通文字 Char Char2"/>
    <w:qFormat/>
    <w:uiPriority w:val="0"/>
    <w:rPr>
      <w:rFonts w:ascii="宋体" w:hAnsi="Courier New" w:eastAsia="宋体"/>
      <w:kern w:val="2"/>
      <w:sz w:val="21"/>
      <w:lang w:val="en-US" w:eastAsia="zh-CN" w:bidi="ar-SA"/>
    </w:rPr>
  </w:style>
  <w:style w:type="character" w:customStyle="1" w:styleId="89">
    <w:name w:val="正文文本缩进 字符"/>
    <w:qFormat/>
    <w:uiPriority w:val="0"/>
    <w:rPr>
      <w:rFonts w:ascii="仿宋_GB2312" w:hAnsi="Times New Roman" w:eastAsia="仿宋_GB2312" w:cs="Times New Roman"/>
      <w:sz w:val="32"/>
      <w:szCs w:val="20"/>
    </w:rPr>
  </w:style>
  <w:style w:type="character" w:customStyle="1" w:styleId="90">
    <w:name w:val="headline-content4"/>
    <w:qFormat/>
    <w:uiPriority w:val="0"/>
  </w:style>
  <w:style w:type="paragraph" w:customStyle="1" w:styleId="91">
    <w:name w:val="表格"/>
    <w:basedOn w:val="1"/>
    <w:qFormat/>
    <w:uiPriority w:val="0"/>
    <w:pPr>
      <w:spacing w:line="400" w:lineRule="exact"/>
    </w:pPr>
    <w:rPr>
      <w:sz w:val="24"/>
    </w:rPr>
  </w:style>
  <w:style w:type="paragraph" w:customStyle="1" w:styleId="92">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93">
    <w:name w:val="默认段落字体 Para Char Char Char Char Char Char Char Char Char1 Char Char Char Char"/>
    <w:basedOn w:val="1"/>
    <w:qFormat/>
    <w:uiPriority w:val="0"/>
    <w:rPr>
      <w:rFonts w:ascii="Tahoma" w:hAnsi="Tahoma"/>
      <w:sz w:val="24"/>
      <w:szCs w:val="20"/>
    </w:rPr>
  </w:style>
  <w:style w:type="paragraph" w:customStyle="1" w:styleId="94">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95">
    <w:name w:val="正文首行缩进两字符"/>
    <w:basedOn w:val="1"/>
    <w:qFormat/>
    <w:uiPriority w:val="0"/>
    <w:pPr>
      <w:spacing w:line="360" w:lineRule="auto"/>
      <w:ind w:firstLine="200" w:firstLineChars="200"/>
    </w:pPr>
  </w:style>
  <w:style w:type="paragraph" w:customStyle="1" w:styleId="96">
    <w:name w:val="样式 首行缩进:  2 字符"/>
    <w:basedOn w:val="1"/>
    <w:qFormat/>
    <w:uiPriority w:val="0"/>
    <w:pPr>
      <w:spacing w:line="400" w:lineRule="exact"/>
      <w:ind w:firstLine="200" w:firstLineChars="200"/>
    </w:pPr>
    <w:rPr>
      <w:rFonts w:cs="宋体"/>
      <w:sz w:val="24"/>
    </w:rPr>
  </w:style>
  <w:style w:type="paragraph" w:customStyle="1" w:styleId="97">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98">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99">
    <w:name w:val="正文段"/>
    <w:basedOn w:val="1"/>
    <w:qFormat/>
    <w:uiPriority w:val="0"/>
    <w:pPr>
      <w:widowControl/>
      <w:snapToGrid w:val="0"/>
      <w:spacing w:after="50" w:afterLines="50"/>
      <w:ind w:firstLine="200" w:firstLineChars="200"/>
    </w:pPr>
    <w:rPr>
      <w:kern w:val="0"/>
      <w:sz w:val="24"/>
      <w:szCs w:val="20"/>
    </w:rPr>
  </w:style>
  <w:style w:type="paragraph" w:customStyle="1" w:styleId="100">
    <w:name w:val="纯文本1"/>
    <w:basedOn w:val="1"/>
    <w:qFormat/>
    <w:uiPriority w:val="0"/>
    <w:rPr>
      <w:rFonts w:ascii="宋体" w:hAnsi="Courier New" w:cs="Century"/>
      <w:szCs w:val="21"/>
    </w:rPr>
  </w:style>
  <w:style w:type="paragraph" w:styleId="101">
    <w:name w:val="List Paragraph"/>
    <w:basedOn w:val="1"/>
    <w:qFormat/>
    <w:uiPriority w:val="34"/>
    <w:pPr>
      <w:ind w:firstLine="420" w:firstLineChars="200"/>
    </w:pPr>
  </w:style>
  <w:style w:type="paragraph" w:customStyle="1" w:styleId="102">
    <w:name w:val="样式"/>
    <w:qFormat/>
    <w:uiPriority w:val="0"/>
    <w:pPr>
      <w:widowControl w:val="0"/>
      <w:autoSpaceDE w:val="0"/>
      <w:autoSpaceDN w:val="0"/>
      <w:adjustRightInd w:val="0"/>
      <w:jc w:val="center"/>
    </w:pPr>
    <w:rPr>
      <w:rFonts w:ascii="宋体" w:hAnsi="宋体" w:eastAsia="宋体" w:cs="宋体"/>
      <w:sz w:val="24"/>
      <w:szCs w:val="24"/>
      <w:lang w:val="en-US" w:eastAsia="zh-CN" w:bidi="ar-SA"/>
    </w:rPr>
  </w:style>
  <w:style w:type="paragraph" w:customStyle="1" w:styleId="103">
    <w:name w:val="Char1"/>
    <w:basedOn w:val="1"/>
    <w:qFormat/>
    <w:uiPriority w:val="0"/>
    <w:rPr>
      <w:szCs w:val="21"/>
    </w:rPr>
  </w:style>
  <w:style w:type="character" w:customStyle="1" w:styleId="104">
    <w:name w:val="批注文字 字符1"/>
    <w:qFormat/>
    <w:uiPriority w:val="0"/>
    <w:rPr>
      <w:rFonts w:ascii="Times New Roman" w:hAnsi="Times New Roman"/>
      <w:kern w:val="2"/>
      <w:sz w:val="21"/>
      <w:szCs w:val="24"/>
    </w:rPr>
  </w:style>
  <w:style w:type="character" w:customStyle="1" w:styleId="105">
    <w:name w:val="批注文字 字符2"/>
    <w:qFormat/>
    <w:uiPriority w:val="99"/>
    <w:rPr>
      <w:kern w:val="2"/>
      <w:sz w:val="21"/>
      <w:szCs w:val="24"/>
    </w:rPr>
  </w:style>
  <w:style w:type="paragraph" w:customStyle="1" w:styleId="106">
    <w:name w:val="_Style 200"/>
    <w:basedOn w:val="1"/>
    <w:next w:val="101"/>
    <w:qFormat/>
    <w:uiPriority w:val="34"/>
    <w:pPr>
      <w:ind w:firstLine="420" w:firstLineChars="200"/>
    </w:pPr>
  </w:style>
  <w:style w:type="character" w:customStyle="1" w:styleId="107">
    <w:name w:val="标题 3 字符"/>
    <w:qFormat/>
    <w:uiPriority w:val="0"/>
    <w:rPr>
      <w:rFonts w:ascii="Times New Roman" w:hAnsi="Times New Roman" w:eastAsia="宋体" w:cs="Times New Roman"/>
      <w:b/>
      <w:bCs/>
      <w:sz w:val="32"/>
      <w:szCs w:val="32"/>
    </w:rPr>
  </w:style>
  <w:style w:type="character" w:customStyle="1" w:styleId="108">
    <w:name w:val="标题 5 字符"/>
    <w:qFormat/>
    <w:uiPriority w:val="0"/>
    <w:rPr>
      <w:b/>
      <w:kern w:val="2"/>
      <w:sz w:val="28"/>
      <w:szCs w:val="24"/>
    </w:rPr>
  </w:style>
  <w:style w:type="character" w:customStyle="1" w:styleId="109">
    <w:name w:val="正文文本 字符"/>
    <w:qFormat/>
    <w:uiPriority w:val="99"/>
    <w:rPr>
      <w:rFonts w:ascii="Times New Roman" w:hAnsi="Times New Roman" w:eastAsia="宋体" w:cs="Times New Roman"/>
      <w:sz w:val="24"/>
      <w:szCs w:val="24"/>
    </w:rPr>
  </w:style>
  <w:style w:type="character" w:customStyle="1" w:styleId="110">
    <w:name w:val="纯文本 字符2"/>
    <w:qFormat/>
    <w:uiPriority w:val="0"/>
    <w:rPr>
      <w:rFonts w:ascii="宋体" w:hAnsi="Courier New" w:eastAsia="宋体" w:cs="Courier New"/>
      <w:szCs w:val="21"/>
    </w:rPr>
  </w:style>
  <w:style w:type="character" w:customStyle="1" w:styleId="111">
    <w:name w:val="页脚 字符"/>
    <w:qFormat/>
    <w:uiPriority w:val="99"/>
    <w:rPr>
      <w:sz w:val="18"/>
      <w:szCs w:val="18"/>
    </w:rPr>
  </w:style>
  <w:style w:type="character" w:customStyle="1" w:styleId="112">
    <w:name w:val="正文文本缩进 字符1"/>
    <w:qFormat/>
    <w:uiPriority w:val="0"/>
    <w:rPr>
      <w:rFonts w:ascii="仿宋_GB2312" w:hAnsi="Times New Roman" w:eastAsia="仿宋_GB2312" w:cs="Times New Roman"/>
      <w:sz w:val="32"/>
      <w:szCs w:val="20"/>
    </w:rPr>
  </w:style>
  <w:style w:type="paragraph" w:customStyle="1" w:styleId="113">
    <w:name w:val="_Style 110"/>
    <w:unhideWhenUsed/>
    <w:qFormat/>
    <w:uiPriority w:val="99"/>
    <w:rPr>
      <w:rFonts w:ascii="Times New Roman" w:hAnsi="Times New Roman" w:eastAsia="宋体" w:cs="Times New Roman"/>
      <w:kern w:val="2"/>
      <w:sz w:val="21"/>
      <w:szCs w:val="24"/>
      <w:lang w:val="en-US" w:eastAsia="zh-CN" w:bidi="ar-SA"/>
    </w:rPr>
  </w:style>
  <w:style w:type="character" w:customStyle="1" w:styleId="114">
    <w:name w:val="ref"/>
    <w:qFormat/>
    <w:uiPriority w:val="0"/>
  </w:style>
  <w:style w:type="character" w:customStyle="1" w:styleId="115">
    <w:name w:val="批注文字 字符3"/>
    <w:qFormat/>
    <w:uiPriority w:val="99"/>
    <w:rPr>
      <w:rFonts w:ascii="Times New Roman" w:hAnsi="Times New Roman"/>
      <w:kern w:val="2"/>
      <w:sz w:val="21"/>
      <w:szCs w:val="24"/>
    </w:rPr>
  </w:style>
  <w:style w:type="paragraph" w:customStyle="1" w:styleId="116">
    <w:name w:val="表格文字"/>
    <w:basedOn w:val="1"/>
    <w:next w:val="16"/>
    <w:qFormat/>
    <w:uiPriority w:val="99"/>
    <w:pPr>
      <w:spacing w:before="25" w:after="25"/>
      <w:jc w:val="left"/>
    </w:pPr>
    <w:rPr>
      <w:bCs/>
      <w:spacing w:val="10"/>
      <w:kern w:val="0"/>
      <w:sz w:val="24"/>
    </w:rPr>
  </w:style>
  <w:style w:type="character" w:customStyle="1" w:styleId="117">
    <w:name w:val="纯文本 Char3"/>
    <w:qFormat/>
    <w:uiPriority w:val="0"/>
    <w:rPr>
      <w:rFonts w:ascii="宋体" w:hAnsi="Courier New" w:eastAsia="宋体" w:cs="Courier New"/>
      <w:szCs w:val="21"/>
    </w:rPr>
  </w:style>
  <w:style w:type="character" w:customStyle="1" w:styleId="118">
    <w:name w:val="标题 5 Char2"/>
    <w:qFormat/>
    <w:uiPriority w:val="0"/>
    <w:rPr>
      <w:b/>
      <w:kern w:val="2"/>
      <w:sz w:val="28"/>
      <w:szCs w:val="24"/>
    </w:rPr>
  </w:style>
  <w:style w:type="character" w:customStyle="1" w:styleId="119">
    <w:name w:val="cf01"/>
    <w:qFormat/>
    <w:uiPriority w:val="0"/>
    <w:rPr>
      <w:rFonts w:hint="eastAsia" w:ascii="Microsoft YaHei UI" w:hAnsi="Microsoft YaHei UI" w:eastAsia="Microsoft YaHei UI"/>
      <w:sz w:val="18"/>
      <w:szCs w:val="18"/>
    </w:rPr>
  </w:style>
  <w:style w:type="character" w:customStyle="1" w:styleId="120">
    <w:name w:val="批注文字 Char3"/>
    <w:qFormat/>
    <w:uiPriority w:val="0"/>
    <w:rPr>
      <w:rFonts w:ascii="Times New Roman" w:hAnsi="Times New Roman"/>
      <w:kern w:val="2"/>
      <w:sz w:val="21"/>
      <w:szCs w:val="24"/>
    </w:rPr>
  </w:style>
  <w:style w:type="character" w:customStyle="1" w:styleId="121">
    <w:name w:val="font101"/>
    <w:qFormat/>
    <w:uiPriority w:val="0"/>
    <w:rPr>
      <w:rFonts w:hint="default" w:ascii="Arial" w:hAnsi="Arial" w:cs="Arial"/>
      <w:color w:val="000000"/>
      <w:sz w:val="22"/>
      <w:szCs w:val="22"/>
      <w:u w:val="none"/>
    </w:rPr>
  </w:style>
  <w:style w:type="character" w:customStyle="1" w:styleId="122">
    <w:name w:val="font81"/>
    <w:qFormat/>
    <w:uiPriority w:val="0"/>
    <w:rPr>
      <w:rFonts w:hint="eastAsia" w:ascii="宋体" w:hAnsi="宋体" w:eastAsia="宋体" w:cs="宋体"/>
      <w:color w:val="000000"/>
      <w:sz w:val="22"/>
      <w:szCs w:val="22"/>
      <w:u w:val="none"/>
    </w:rPr>
  </w:style>
  <w:style w:type="character" w:customStyle="1" w:styleId="123">
    <w:name w:val="font71"/>
    <w:qFormat/>
    <w:uiPriority w:val="0"/>
    <w:rPr>
      <w:rFonts w:hint="default" w:ascii="Arial" w:hAnsi="Arial" w:cs="Arial"/>
      <w:color w:val="000000"/>
      <w:sz w:val="22"/>
      <w:szCs w:val="22"/>
      <w:u w:val="none"/>
    </w:rPr>
  </w:style>
  <w:style w:type="character" w:customStyle="1" w:styleId="124">
    <w:name w:val="font51"/>
    <w:qFormat/>
    <w:uiPriority w:val="0"/>
    <w:rPr>
      <w:rFonts w:hint="eastAsia" w:ascii="宋体" w:hAnsi="宋体" w:eastAsia="宋体" w:cs="宋体"/>
      <w:color w:val="000000"/>
      <w:sz w:val="22"/>
      <w:szCs w:val="22"/>
      <w:u w:val="none"/>
    </w:rPr>
  </w:style>
  <w:style w:type="paragraph" w:customStyle="1" w:styleId="125">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126">
    <w:name w:val="Unresolved Mention"/>
    <w:basedOn w:val="47"/>
    <w:semiHidden/>
    <w:unhideWhenUsed/>
    <w:qFormat/>
    <w:uiPriority w:val="99"/>
    <w:rPr>
      <w:color w:val="605E5C"/>
      <w:shd w:val="clear" w:color="auto" w:fill="E1DFDD"/>
    </w:rPr>
  </w:style>
  <w:style w:type="paragraph" w:customStyle="1" w:styleId="127">
    <w:name w:val="Default"/>
    <w:basedOn w:val="42"/>
    <w:next w:val="2"/>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3.png"/><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94</Pages>
  <Words>7650</Words>
  <Characters>8866</Characters>
  <Lines>1844</Lines>
  <Paragraphs>1757</Paragraphs>
  <TotalTime>5</TotalTime>
  <ScaleCrop>false</ScaleCrop>
  <LinksUpToDate>false</LinksUpToDate>
  <CharactersWithSpaces>9268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2024-07-04T01:28:00Z</dcterms:created>
  <dc:creator>番茄花园</dc:creator>
  <cp:lastModifiedBy>WPS_1618307932</cp:lastModifiedBy>
  <cp:lastPrinted>2025-07-01T06:52:00Z</cp:lastPrinted>
  <dcterms:modified xsi:type="dcterms:W3CDTF">2025-11-03T05:21:33Z</dcterms:modified>
  <dc:title>公开招标采购文件范本</dc:title>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5A2D8D005F454FC3B175FCF428C619F7_13</vt:lpwstr>
  </property>
  <property fmtid="{D5CDD505-2E9C-101B-9397-08002B2CF9AE}" pid="4" name="KSOTemplateDocerSaveRecord">
    <vt:lpwstr>eyJoZGlkIjoiNjc4OGIyODg1Mzc1OTQ1MTMyNWE3ZWU5NTc4MmNjZTQiLCJ1c2VySWQiOiIxMTk3NjE2MzUwIn0=</vt:lpwstr>
  </property>
</Properties>
</file>