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E0CD4">
      <w:pPr>
        <w:spacing w:line="480" w:lineRule="auto"/>
        <w:jc w:val="center"/>
        <w:rPr>
          <w:rFonts w:hint="eastAsia" w:ascii="仿宋" w:hAnsi="仿宋" w:eastAsia="仿宋" w:cs="仿宋"/>
          <w:b/>
          <w:color w:val="000000" w:themeColor="text1"/>
          <w:sz w:val="52"/>
          <w:szCs w:val="52"/>
          <w14:textFill>
            <w14:solidFill>
              <w14:schemeClr w14:val="tx1"/>
            </w14:solidFill>
          </w14:textFill>
        </w:rPr>
      </w:pPr>
      <w:r>
        <w:rPr>
          <w:rFonts w:hint="eastAsia" w:ascii="宋体" w:hAnsi="宋体" w:cs="宋体"/>
          <w:color w:val="auto"/>
          <w:highlight w:val="none"/>
        </w:rPr>
        <w:drawing>
          <wp:inline distT="0" distB="0" distL="114300" distR="114300">
            <wp:extent cx="892810" cy="932815"/>
            <wp:effectExtent l="0" t="0" r="2540" b="635"/>
            <wp:docPr id="1"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科文名片"/>
                    <pic:cNvPicPr>
                      <a:picLocks noChangeAspect="1"/>
                    </pic:cNvPicPr>
                  </pic:nvPicPr>
                  <pic:blipFill>
                    <a:blip r:embed="rId6"/>
                    <a:stretch>
                      <a:fillRect/>
                    </a:stretch>
                  </pic:blipFill>
                  <pic:spPr>
                    <a:xfrm>
                      <a:off x="0" y="0"/>
                      <a:ext cx="892810" cy="932815"/>
                    </a:xfrm>
                    <a:prstGeom prst="rect">
                      <a:avLst/>
                    </a:prstGeom>
                    <a:noFill/>
                    <a:ln>
                      <a:noFill/>
                    </a:ln>
                  </pic:spPr>
                </pic:pic>
              </a:graphicData>
            </a:graphic>
          </wp:inline>
        </w:drawing>
      </w:r>
    </w:p>
    <w:p w14:paraId="241A91A0">
      <w:pPr>
        <w:pStyle w:val="22"/>
        <w:jc w:val="center"/>
        <w:rPr>
          <w:rFonts w:hint="eastAsia" w:ascii="仿宋" w:hAnsi="仿宋" w:eastAsia="仿宋" w:cs="仿宋"/>
          <w:color w:val="auto"/>
          <w:sz w:val="52"/>
          <w:highlight w:val="none"/>
        </w:rPr>
      </w:pPr>
      <w:r>
        <w:rPr>
          <w:rFonts w:hint="eastAsia" w:ascii="仿宋" w:hAnsi="仿宋" w:eastAsia="仿宋" w:cs="仿宋"/>
          <w:color w:val="auto"/>
          <w:sz w:val="52"/>
          <w:highlight w:val="none"/>
        </w:rPr>
        <w:t>广 西 科 文 招 标 有 限 公 司</w:t>
      </w:r>
    </w:p>
    <w:p w14:paraId="3A639B89">
      <w:pPr>
        <w:spacing w:line="480" w:lineRule="auto"/>
        <w:jc w:val="center"/>
        <w:rPr>
          <w:rFonts w:hint="eastAsia"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auto"/>
          <w:spacing w:val="-18"/>
          <w:sz w:val="64"/>
          <w:szCs w:val="64"/>
          <w:highlight w:val="none"/>
        </w:rPr>
        <mc:AlternateContent>
          <mc:Choice Requires="wps">
            <w:drawing>
              <wp:anchor distT="0" distB="0" distL="114300" distR="114300" simplePos="0" relativeHeight="251660288" behindDoc="0" locked="0" layoutInCell="1" allowOverlap="1">
                <wp:simplePos x="0" y="0"/>
                <wp:positionH relativeFrom="column">
                  <wp:posOffset>217170</wp:posOffset>
                </wp:positionH>
                <wp:positionV relativeFrom="paragraph">
                  <wp:posOffset>49530</wp:posOffset>
                </wp:positionV>
                <wp:extent cx="548640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3.9pt;height:0pt;width:432pt;z-index:251660288;mso-width-relative:page;mso-height-relative:page;" filled="f" stroked="t" coordsize="21600,21600" o:gfxdata="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zuuDfUAAAABgEAAA8AAAAAAAAAAQAgAAAAIgAAAGRycy9kb3ducmV2LnhtbFBLAQIUABQA&#10;AAAIAIdO4kC9tOUf9AEAAOUDAAAOAAAAAAAAAAEAIAAAACMBAABkcnMvZTJvRG9jLnhtbFBLBQYA&#10;AAAABgAGAFkBAACJBQAAAAA=&#10;">
                <v:fill on="f" focussize="0,0"/>
                <v:stroke weight="1pt" color="#000000" joinstyle="round"/>
                <v:imagedata o:title=""/>
                <o:lock v:ext="edit" aspectratio="f"/>
              </v:line>
            </w:pict>
          </mc:Fallback>
        </mc:AlternateContent>
      </w:r>
    </w:p>
    <w:p w14:paraId="0D32AF10">
      <w:pPr>
        <w:spacing w:line="480" w:lineRule="auto"/>
        <w:jc w:val="center"/>
        <w:rPr>
          <w:rFonts w:hint="eastAsia" w:ascii="仿宋" w:hAnsi="仿宋" w:eastAsia="仿宋" w:cs="仿宋"/>
          <w:b/>
          <w:color w:val="000000" w:themeColor="text1"/>
          <w:sz w:val="84"/>
          <w:szCs w:val="84"/>
          <w14:textFill>
            <w14:solidFill>
              <w14:schemeClr w14:val="tx1"/>
            </w14:solidFill>
          </w14:textFill>
        </w:rPr>
      </w:pPr>
      <w:r>
        <w:rPr>
          <w:rFonts w:hint="eastAsia" w:ascii="仿宋" w:hAnsi="仿宋" w:eastAsia="仿宋" w:cs="仿宋"/>
          <w:b/>
          <w:color w:val="000000" w:themeColor="text1"/>
          <w:sz w:val="84"/>
          <w:szCs w:val="84"/>
          <w14:textFill>
            <w14:solidFill>
              <w14:schemeClr w14:val="tx1"/>
            </w14:solidFill>
          </w14:textFill>
        </w:rPr>
        <w:t>竞争性谈判文件</w:t>
      </w:r>
    </w:p>
    <w:p w14:paraId="16C7B24F">
      <w:pPr>
        <w:spacing w:line="480" w:lineRule="auto"/>
        <w:jc w:val="center"/>
        <w:rPr>
          <w:rFonts w:hint="eastAsia"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（工程类）</w:t>
      </w:r>
    </w:p>
    <w:p w14:paraId="3167FC2D">
      <w:pPr>
        <w:spacing w:line="480" w:lineRule="auto"/>
        <w:jc w:val="center"/>
        <w:rPr>
          <w:rFonts w:hint="eastAsia" w:ascii="仿宋" w:hAnsi="仿宋" w:eastAsia="仿宋" w:cs="仿宋"/>
          <w:b/>
          <w:color w:val="000000" w:themeColor="text1"/>
          <w:sz w:val="52"/>
          <w:szCs w:val="52"/>
          <w14:textFill>
            <w14:solidFill>
              <w14:schemeClr w14:val="tx1"/>
            </w14:solidFill>
          </w14:textFill>
        </w:rPr>
      </w:pPr>
    </w:p>
    <w:p w14:paraId="383B9C75">
      <w:pPr>
        <w:spacing w:line="48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（全流程电子化采购）</w:t>
      </w:r>
    </w:p>
    <w:p w14:paraId="2C5FB42E">
      <w:pPr>
        <w:spacing w:line="480" w:lineRule="auto"/>
        <w:jc w:val="center"/>
        <w:rPr>
          <w:rFonts w:hint="eastAsia" w:ascii="仿宋" w:hAnsi="仿宋" w:eastAsia="仿宋" w:cs="仿宋"/>
          <w:b/>
          <w:color w:val="000000" w:themeColor="text1"/>
          <w:szCs w:val="21"/>
          <w14:textFill>
            <w14:solidFill>
              <w14:schemeClr w14:val="tx1"/>
            </w14:solidFill>
          </w14:textFill>
        </w:rPr>
      </w:pPr>
    </w:p>
    <w:p w14:paraId="5E6FE6D8">
      <w:pPr>
        <w:spacing w:line="480" w:lineRule="auto"/>
        <w:jc w:val="center"/>
        <w:rPr>
          <w:rFonts w:hint="eastAsia" w:ascii="仿宋" w:hAnsi="仿宋" w:eastAsia="仿宋" w:cs="仿宋"/>
          <w:b/>
          <w:color w:val="000000" w:themeColor="text1"/>
          <w:szCs w:val="21"/>
          <w14:textFill>
            <w14:solidFill>
              <w14:schemeClr w14:val="tx1"/>
            </w14:solidFill>
          </w14:textFill>
        </w:rPr>
      </w:pPr>
    </w:p>
    <w:p w14:paraId="6383C332">
      <w:pPr>
        <w:spacing w:line="480" w:lineRule="auto"/>
        <w:jc w:val="center"/>
        <w:rPr>
          <w:rFonts w:hint="eastAsia" w:ascii="仿宋" w:hAnsi="仿宋" w:eastAsia="仿宋" w:cs="仿宋"/>
          <w:b/>
          <w:color w:val="000000" w:themeColor="text1"/>
          <w:szCs w:val="21"/>
          <w14:textFill>
            <w14:solidFill>
              <w14:schemeClr w14:val="tx1"/>
            </w14:solidFill>
          </w14:textFill>
        </w:rPr>
      </w:pPr>
    </w:p>
    <w:p w14:paraId="440546E0">
      <w:pPr>
        <w:spacing w:line="480" w:lineRule="auto"/>
        <w:jc w:val="center"/>
        <w:rPr>
          <w:rFonts w:hint="eastAsia" w:ascii="仿宋" w:hAnsi="仿宋" w:eastAsia="仿宋" w:cs="仿宋"/>
          <w:b/>
          <w:color w:val="000000" w:themeColor="text1"/>
          <w:szCs w:val="21"/>
          <w14:textFill>
            <w14:solidFill>
              <w14:schemeClr w14:val="tx1"/>
            </w14:solidFill>
          </w14:textFill>
        </w:rPr>
      </w:pPr>
    </w:p>
    <w:p w14:paraId="1EF3DF7B">
      <w:pPr>
        <w:spacing w:line="480" w:lineRule="auto"/>
        <w:ind w:firstLine="1205" w:firstLineChars="4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项目名称：</w:t>
      </w:r>
      <w:r>
        <w:rPr>
          <w:rFonts w:hint="eastAsia" w:ascii="仿宋" w:hAnsi="仿宋" w:eastAsia="仿宋" w:cs="仿宋"/>
          <w:b/>
          <w:color w:val="000000" w:themeColor="text1"/>
          <w:sz w:val="30"/>
          <w:szCs w:val="30"/>
          <w:lang w:eastAsia="zh-CN"/>
          <w14:textFill>
            <w14:solidFill>
              <w14:schemeClr w14:val="tx1"/>
            </w14:solidFill>
          </w14:textFill>
        </w:rPr>
        <w:t>广西壮族自治区第五强制隔离戒毒所</w:t>
      </w:r>
    </w:p>
    <w:p w14:paraId="5D042E83">
      <w:pPr>
        <w:spacing w:line="480" w:lineRule="auto"/>
        <w:ind w:firstLine="2711" w:firstLineChars="9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管理区排洪渠改造</w:t>
      </w:r>
    </w:p>
    <w:p w14:paraId="79FC85B9">
      <w:pPr>
        <w:spacing w:line="480" w:lineRule="auto"/>
        <w:ind w:firstLine="1205" w:firstLineChars="4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项目编号：</w:t>
      </w:r>
      <w:r>
        <w:rPr>
          <w:rFonts w:hint="eastAsia" w:ascii="仿宋" w:hAnsi="仿宋" w:eastAsia="仿宋" w:cs="仿宋"/>
          <w:b/>
          <w:color w:val="000000" w:themeColor="text1"/>
          <w:sz w:val="30"/>
          <w:szCs w:val="30"/>
          <w:lang w:eastAsia="zh-CN"/>
          <w14:textFill>
            <w14:solidFill>
              <w14:schemeClr w14:val="tx1"/>
            </w14:solidFill>
          </w14:textFill>
        </w:rPr>
        <w:t>GXZC2025-J2-001820-KWZB</w:t>
      </w:r>
    </w:p>
    <w:p w14:paraId="3CA99C9A">
      <w:pPr>
        <w:spacing w:line="480" w:lineRule="auto"/>
        <w:ind w:firstLine="1205" w:firstLineChars="4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采购人：</w:t>
      </w:r>
      <w:r>
        <w:rPr>
          <w:rFonts w:hint="eastAsia" w:ascii="仿宋" w:hAnsi="仿宋" w:eastAsia="仿宋" w:cs="仿宋"/>
          <w:b/>
          <w:color w:val="000000" w:themeColor="text1"/>
          <w:sz w:val="30"/>
          <w:szCs w:val="30"/>
          <w:lang w:eastAsia="zh-CN"/>
          <w14:textFill>
            <w14:solidFill>
              <w14:schemeClr w14:val="tx1"/>
            </w14:solidFill>
          </w14:textFill>
        </w:rPr>
        <w:t>广西壮族自治区第五强制隔离戒毒所</w:t>
      </w:r>
    </w:p>
    <w:p w14:paraId="72E6BBF8">
      <w:pPr>
        <w:spacing w:line="480" w:lineRule="auto"/>
        <w:ind w:firstLine="1205" w:firstLineChars="4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采购代理机构：广西科文招标有限公司</w:t>
      </w:r>
    </w:p>
    <w:p w14:paraId="26A4E166">
      <w:pPr>
        <w:spacing w:line="480" w:lineRule="auto"/>
        <w:jc w:val="center"/>
        <w:rPr>
          <w:rFonts w:hint="eastAsia" w:ascii="仿宋" w:hAnsi="仿宋" w:eastAsia="仿宋" w:cs="仿宋"/>
          <w:b/>
          <w:color w:val="000000" w:themeColor="text1"/>
          <w:sz w:val="30"/>
          <w:szCs w:val="30"/>
          <w14:textFill>
            <w14:solidFill>
              <w14:schemeClr w14:val="tx1"/>
            </w14:solidFill>
          </w14:textFill>
        </w:rPr>
      </w:pPr>
    </w:p>
    <w:p w14:paraId="71174AFA">
      <w:pPr>
        <w:spacing w:line="480" w:lineRule="auto"/>
        <w:jc w:val="center"/>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2025年</w:t>
      </w:r>
      <w:r>
        <w:rPr>
          <w:rFonts w:hint="eastAsia" w:ascii="仿宋" w:hAnsi="仿宋" w:eastAsia="仿宋" w:cs="仿宋"/>
          <w:b/>
          <w:color w:val="000000" w:themeColor="text1"/>
          <w:sz w:val="30"/>
          <w:szCs w:val="30"/>
          <w:lang w:eastAsia="zh-CN"/>
          <w14:textFill>
            <w14:solidFill>
              <w14:schemeClr w14:val="tx1"/>
            </w14:solidFill>
          </w14:textFill>
        </w:rPr>
        <w:t>6</w:t>
      </w:r>
      <w:r>
        <w:rPr>
          <w:rFonts w:hint="eastAsia" w:ascii="仿宋" w:hAnsi="仿宋" w:eastAsia="仿宋" w:cs="仿宋"/>
          <w:b/>
          <w:color w:val="000000" w:themeColor="text1"/>
          <w:sz w:val="30"/>
          <w:szCs w:val="30"/>
          <w14:textFill>
            <w14:solidFill>
              <w14:schemeClr w14:val="tx1"/>
            </w14:solidFill>
          </w14:textFill>
        </w:rPr>
        <w:t>月</w:t>
      </w:r>
      <w:r>
        <w:rPr>
          <w:rFonts w:hint="eastAsia" w:ascii="仿宋" w:hAnsi="仿宋" w:eastAsia="仿宋" w:cs="仿宋"/>
          <w:b/>
          <w:color w:val="000000" w:themeColor="text1"/>
          <w:sz w:val="30"/>
          <w:szCs w:val="30"/>
          <w:lang w:eastAsia="zh-CN"/>
          <w14:textFill>
            <w14:solidFill>
              <w14:schemeClr w14:val="tx1"/>
            </w14:solidFill>
          </w14:textFill>
        </w:rPr>
        <w:t xml:space="preserve"> </w:t>
      </w:r>
      <w:r>
        <w:rPr>
          <w:rFonts w:hint="eastAsia" w:ascii="仿宋" w:hAnsi="仿宋" w:eastAsia="仿宋" w:cs="仿宋"/>
          <w:b/>
          <w:color w:val="000000" w:themeColor="text1"/>
          <w:sz w:val="30"/>
          <w:szCs w:val="30"/>
          <w:lang w:val="en-US" w:eastAsia="zh-CN"/>
          <w14:textFill>
            <w14:solidFill>
              <w14:schemeClr w14:val="tx1"/>
            </w14:solidFill>
          </w14:textFill>
        </w:rPr>
        <w:t xml:space="preserve"> </w:t>
      </w:r>
      <w:r>
        <w:rPr>
          <w:rFonts w:hint="eastAsia" w:ascii="仿宋" w:hAnsi="仿宋" w:eastAsia="仿宋" w:cs="仿宋"/>
          <w:b/>
          <w:color w:val="000000" w:themeColor="text1"/>
          <w:sz w:val="30"/>
          <w:szCs w:val="30"/>
          <w14:textFill>
            <w14:solidFill>
              <w14:schemeClr w14:val="tx1"/>
            </w14:solidFill>
          </w14:textFill>
        </w:rPr>
        <w:t>日</w:t>
      </w:r>
    </w:p>
    <w:p w14:paraId="6AD0619B">
      <w:pPr>
        <w:spacing w:line="480" w:lineRule="auto"/>
        <w:jc w:val="center"/>
        <w:rPr>
          <w:rFonts w:hint="eastAsia" w:ascii="仿宋" w:hAnsi="仿宋" w:eastAsia="仿宋" w:cs="仿宋"/>
          <w:b/>
          <w:color w:val="000000" w:themeColor="text1"/>
          <w:sz w:val="52"/>
          <w:szCs w:val="52"/>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307D5D76">
      <w:pPr>
        <w:spacing w:line="30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目录</w:t>
      </w:r>
    </w:p>
    <w:p w14:paraId="140CE27D">
      <w:pPr>
        <w:spacing w:line="300" w:lineRule="auto"/>
        <w:rPr>
          <w:rFonts w:hint="eastAsia" w:ascii="仿宋" w:hAnsi="仿宋" w:eastAsia="仿宋" w:cs="仿宋"/>
          <w:color w:val="000000" w:themeColor="text1"/>
          <w:szCs w:val="21"/>
          <w14:textFill>
            <w14:solidFill>
              <w14:schemeClr w14:val="tx1"/>
            </w14:solidFill>
          </w14:textFill>
        </w:rPr>
      </w:pPr>
    </w:p>
    <w:p w14:paraId="0237CB4E">
      <w:pPr>
        <w:pStyle w:val="29"/>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fldChar w:fldCharType="begin"/>
      </w:r>
      <w:r>
        <w:rPr>
          <w:rFonts w:hint="eastAsia" w:ascii="仿宋" w:hAnsi="仿宋" w:eastAsia="仿宋" w:cs="仿宋"/>
          <w:color w:val="000000" w:themeColor="text1"/>
          <w:szCs w:val="21"/>
          <w14:textFill>
            <w14:solidFill>
              <w14:schemeClr w14:val="tx1"/>
            </w14:solidFill>
          </w14:textFill>
        </w:rPr>
        <w:instrText xml:space="preserve"> TOC \o "1-3" \u </w:instrText>
      </w:r>
      <w:r>
        <w:rPr>
          <w:rFonts w:hint="eastAsia"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第一</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竞争性谈判公告</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_Toc193815603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fldChar w:fldCharType="end"/>
      </w:r>
    </w:p>
    <w:p w14:paraId="23E7D339">
      <w:pPr>
        <w:pStyle w:val="29"/>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第二</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供应商须知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_Toc193815604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14:textFill>
            <w14:solidFill>
              <w14:schemeClr w14:val="tx1"/>
            </w14:solidFill>
          </w14:textFill>
        </w:rPr>
        <w:fldChar w:fldCharType="end"/>
      </w:r>
    </w:p>
    <w:p w14:paraId="277E160D">
      <w:pPr>
        <w:pStyle w:val="34"/>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一、供应商须知前附表</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_Toc193815605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14:textFill>
            <w14:solidFill>
              <w14:schemeClr w14:val="tx1"/>
            </w14:solidFill>
          </w14:textFill>
        </w:rPr>
        <w:fldChar w:fldCharType="end"/>
      </w:r>
    </w:p>
    <w:p w14:paraId="79ADD74E">
      <w:pPr>
        <w:pStyle w:val="34"/>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二、供应商须知正文</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_Toc193815606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15</w:t>
      </w:r>
      <w:r>
        <w:rPr>
          <w:rFonts w:hint="eastAsia" w:ascii="仿宋" w:hAnsi="仿宋" w:eastAsia="仿宋" w:cs="仿宋"/>
          <w:color w:val="000000" w:themeColor="text1"/>
          <w14:textFill>
            <w14:solidFill>
              <w14:schemeClr w14:val="tx1"/>
            </w14:solidFill>
          </w14:textFill>
        </w:rPr>
        <w:fldChar w:fldCharType="end"/>
      </w:r>
    </w:p>
    <w:p w14:paraId="43EFF593">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（一）总则</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_Toc193815607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15</w:t>
      </w:r>
      <w:r>
        <w:rPr>
          <w:rFonts w:hint="eastAsia" w:ascii="仿宋" w:hAnsi="仿宋" w:eastAsia="仿宋" w:cs="仿宋"/>
          <w:color w:val="000000" w:themeColor="text1"/>
          <w14:textFill>
            <w14:solidFill>
              <w14:schemeClr w14:val="tx1"/>
            </w14:solidFill>
          </w14:textFill>
        </w:rPr>
        <w:fldChar w:fldCharType="end"/>
      </w:r>
    </w:p>
    <w:p w14:paraId="7E2ED80C">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（二）谈判文件</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_Toc193815608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fldChar w:fldCharType="end"/>
      </w:r>
    </w:p>
    <w:p w14:paraId="2E51BFA6">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（三）响应文件的编制</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_Toc193815609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fldChar w:fldCharType="end"/>
      </w:r>
    </w:p>
    <w:p w14:paraId="27CCBC77">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（四）评审及谈判</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_Toc193815610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21</w:t>
      </w:r>
      <w:r>
        <w:rPr>
          <w:rFonts w:hint="eastAsia" w:ascii="仿宋" w:hAnsi="仿宋" w:eastAsia="仿宋" w:cs="仿宋"/>
          <w:color w:val="000000" w:themeColor="text1"/>
          <w14:textFill>
            <w14:solidFill>
              <w14:schemeClr w14:val="tx1"/>
            </w14:solidFill>
          </w14:textFill>
        </w:rPr>
        <w:fldChar w:fldCharType="end"/>
      </w:r>
    </w:p>
    <w:p w14:paraId="00BB4934">
      <w:pPr>
        <w:pStyle w:val="29"/>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第三</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采购需求</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_Toc193815611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27</w:t>
      </w:r>
      <w:r>
        <w:rPr>
          <w:rFonts w:hint="eastAsia" w:ascii="仿宋" w:hAnsi="仿宋" w:eastAsia="仿宋" w:cs="仿宋"/>
          <w:color w:val="000000" w:themeColor="text1"/>
          <w14:textFill>
            <w14:solidFill>
              <w14:schemeClr w14:val="tx1"/>
            </w14:solidFill>
          </w14:textFill>
        </w:rPr>
        <w:fldChar w:fldCharType="end"/>
      </w:r>
    </w:p>
    <w:p w14:paraId="25052D8F">
      <w:pPr>
        <w:pStyle w:val="29"/>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第四</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评审程序和评定成交的标准</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_Toc193815612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31</w:t>
      </w:r>
      <w:r>
        <w:rPr>
          <w:rFonts w:hint="eastAsia" w:ascii="仿宋" w:hAnsi="仿宋" w:eastAsia="仿宋" w:cs="仿宋"/>
          <w:color w:val="000000" w:themeColor="text1"/>
          <w14:textFill>
            <w14:solidFill>
              <w14:schemeClr w14:val="tx1"/>
            </w14:solidFill>
          </w14:textFill>
        </w:rPr>
        <w:fldChar w:fldCharType="end"/>
      </w:r>
    </w:p>
    <w:p w14:paraId="0B2224D4">
      <w:pPr>
        <w:pStyle w:val="34"/>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一、评审程序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_Toc193815613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31</w:t>
      </w:r>
      <w:r>
        <w:rPr>
          <w:rFonts w:hint="eastAsia" w:ascii="仿宋" w:hAnsi="仿宋" w:eastAsia="仿宋" w:cs="仿宋"/>
          <w:color w:val="000000" w:themeColor="text1"/>
          <w14:textFill>
            <w14:solidFill>
              <w14:schemeClr w14:val="tx1"/>
            </w14:solidFill>
          </w14:textFill>
        </w:rPr>
        <w:fldChar w:fldCharType="end"/>
      </w:r>
    </w:p>
    <w:p w14:paraId="1D94850D">
      <w:pPr>
        <w:pStyle w:val="34"/>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二、评审原则</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_Toc193815614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36</w:t>
      </w:r>
      <w:r>
        <w:rPr>
          <w:rFonts w:hint="eastAsia" w:ascii="仿宋" w:hAnsi="仿宋" w:eastAsia="仿宋" w:cs="仿宋"/>
          <w:color w:val="000000" w:themeColor="text1"/>
          <w14:textFill>
            <w14:solidFill>
              <w14:schemeClr w14:val="tx1"/>
            </w14:solidFill>
          </w14:textFill>
        </w:rPr>
        <w:fldChar w:fldCharType="end"/>
      </w:r>
    </w:p>
    <w:p w14:paraId="27D46BBD">
      <w:pPr>
        <w:pStyle w:val="34"/>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三、评审报告</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_Toc193815615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37</w:t>
      </w:r>
      <w:r>
        <w:rPr>
          <w:rFonts w:hint="eastAsia" w:ascii="仿宋" w:hAnsi="仿宋" w:eastAsia="仿宋" w:cs="仿宋"/>
          <w:color w:val="000000" w:themeColor="text1"/>
          <w14:textFill>
            <w14:solidFill>
              <w14:schemeClr w14:val="tx1"/>
            </w14:solidFill>
          </w14:textFill>
        </w:rPr>
        <w:fldChar w:fldCharType="end"/>
      </w:r>
    </w:p>
    <w:p w14:paraId="783D5FF8">
      <w:pPr>
        <w:pStyle w:val="34"/>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四、评审过程的保密与录像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_Toc193815616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37</w:t>
      </w:r>
      <w:r>
        <w:rPr>
          <w:rFonts w:hint="eastAsia" w:ascii="仿宋" w:hAnsi="仿宋" w:eastAsia="仿宋" w:cs="仿宋"/>
          <w:color w:val="000000" w:themeColor="text1"/>
          <w14:textFill>
            <w14:solidFill>
              <w14:schemeClr w14:val="tx1"/>
            </w14:solidFill>
          </w14:textFill>
        </w:rPr>
        <w:fldChar w:fldCharType="end"/>
      </w:r>
    </w:p>
    <w:p w14:paraId="15AB19C0">
      <w:pPr>
        <w:pStyle w:val="29"/>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第五</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响应文件格式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_Toc193815617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39</w:t>
      </w:r>
      <w:r>
        <w:rPr>
          <w:rFonts w:hint="eastAsia" w:ascii="仿宋" w:hAnsi="仿宋" w:eastAsia="仿宋" w:cs="仿宋"/>
          <w:color w:val="000000" w:themeColor="text1"/>
          <w14:textFill>
            <w14:solidFill>
              <w14:schemeClr w14:val="tx1"/>
            </w14:solidFill>
          </w14:textFill>
        </w:rPr>
        <w:fldChar w:fldCharType="end"/>
      </w:r>
    </w:p>
    <w:p w14:paraId="04BE96BF">
      <w:pPr>
        <w:pStyle w:val="34"/>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一、资格证明文件格式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_Toc193815618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39</w:t>
      </w:r>
      <w:r>
        <w:rPr>
          <w:rFonts w:hint="eastAsia" w:ascii="仿宋" w:hAnsi="仿宋" w:eastAsia="仿宋" w:cs="仿宋"/>
          <w:color w:val="000000" w:themeColor="text1"/>
          <w14:textFill>
            <w14:solidFill>
              <w14:schemeClr w14:val="tx1"/>
            </w14:solidFill>
          </w14:textFill>
        </w:rPr>
        <w:fldChar w:fldCharType="end"/>
      </w:r>
    </w:p>
    <w:p w14:paraId="08DCFB30">
      <w:pPr>
        <w:pStyle w:val="34"/>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二、商务技术文件格式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_Toc193815619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53</w:t>
      </w:r>
      <w:r>
        <w:rPr>
          <w:rFonts w:hint="eastAsia" w:ascii="仿宋" w:hAnsi="仿宋" w:eastAsia="仿宋" w:cs="仿宋"/>
          <w:color w:val="000000" w:themeColor="text1"/>
          <w14:textFill>
            <w14:solidFill>
              <w14:schemeClr w14:val="tx1"/>
            </w14:solidFill>
          </w14:textFill>
        </w:rPr>
        <w:fldChar w:fldCharType="end"/>
      </w:r>
    </w:p>
    <w:p w14:paraId="75E33E26">
      <w:pPr>
        <w:pStyle w:val="34"/>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三、首次报价文件格式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_Toc193815620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63</w:t>
      </w:r>
      <w:r>
        <w:rPr>
          <w:rFonts w:hint="eastAsia" w:ascii="仿宋" w:hAnsi="仿宋" w:eastAsia="仿宋" w:cs="仿宋"/>
          <w:color w:val="000000" w:themeColor="text1"/>
          <w14:textFill>
            <w14:solidFill>
              <w14:schemeClr w14:val="tx1"/>
            </w14:solidFill>
          </w14:textFill>
        </w:rPr>
        <w:fldChar w:fldCharType="end"/>
      </w:r>
    </w:p>
    <w:p w14:paraId="46AEF635">
      <w:pPr>
        <w:pStyle w:val="34"/>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四、其他文书、文件格式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_Toc193815621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68</w:t>
      </w:r>
      <w:r>
        <w:rPr>
          <w:rFonts w:hint="eastAsia" w:ascii="仿宋" w:hAnsi="仿宋" w:eastAsia="仿宋" w:cs="仿宋"/>
          <w:color w:val="000000" w:themeColor="text1"/>
          <w14:textFill>
            <w14:solidFill>
              <w14:schemeClr w14:val="tx1"/>
            </w14:solidFill>
          </w14:textFill>
        </w:rPr>
        <w:fldChar w:fldCharType="end"/>
      </w:r>
    </w:p>
    <w:p w14:paraId="041A4281">
      <w:pPr>
        <w:pStyle w:val="29"/>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第六</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合同文本</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_Toc193815622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69</w:t>
      </w:r>
      <w:r>
        <w:rPr>
          <w:rFonts w:hint="eastAsia" w:ascii="仿宋" w:hAnsi="仿宋" w:eastAsia="仿宋" w:cs="仿宋"/>
          <w:color w:val="000000" w:themeColor="text1"/>
          <w14:textFill>
            <w14:solidFill>
              <w14:schemeClr w14:val="tx1"/>
            </w14:solidFill>
          </w14:textFill>
        </w:rPr>
        <w:fldChar w:fldCharType="end"/>
      </w:r>
    </w:p>
    <w:p w14:paraId="279B21A0">
      <w:pPr>
        <w:pStyle w:val="34"/>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第一部</w:t>
      </w:r>
      <w:r>
        <w:rPr>
          <w:rFonts w:hint="eastAsia" w:ascii="仿宋" w:hAnsi="仿宋" w:eastAsia="仿宋" w:cs="仿宋"/>
          <w:color w:val="000000" w:themeColor="text1"/>
          <w:spacing w:val="100"/>
          <w14:textFill>
            <w14:solidFill>
              <w14:schemeClr w14:val="tx1"/>
            </w14:solidFill>
          </w14:textFill>
        </w:rPr>
        <w:t>分</w:t>
      </w:r>
      <w:r>
        <w:rPr>
          <w:rFonts w:hint="eastAsia" w:ascii="仿宋" w:hAnsi="仿宋" w:eastAsia="仿宋" w:cs="仿宋"/>
          <w:color w:val="000000" w:themeColor="text1"/>
          <w14:textFill>
            <w14:solidFill>
              <w14:schemeClr w14:val="tx1"/>
            </w14:solidFill>
          </w14:textFill>
        </w:rPr>
        <w:t>合同协议书</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_Toc193815623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70</w:t>
      </w:r>
      <w:r>
        <w:rPr>
          <w:rFonts w:hint="eastAsia" w:ascii="仿宋" w:hAnsi="仿宋" w:eastAsia="仿宋" w:cs="仿宋"/>
          <w:color w:val="000000" w:themeColor="text1"/>
          <w14:textFill>
            <w14:solidFill>
              <w14:schemeClr w14:val="tx1"/>
            </w14:solidFill>
          </w14:textFill>
        </w:rPr>
        <w:fldChar w:fldCharType="end"/>
      </w:r>
    </w:p>
    <w:p w14:paraId="1192E394">
      <w:pPr>
        <w:pStyle w:val="34"/>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第二部</w:t>
      </w:r>
      <w:r>
        <w:rPr>
          <w:rFonts w:hint="eastAsia" w:ascii="仿宋" w:hAnsi="仿宋" w:eastAsia="仿宋" w:cs="仿宋"/>
          <w:color w:val="000000" w:themeColor="text1"/>
          <w:spacing w:val="100"/>
          <w14:textFill>
            <w14:solidFill>
              <w14:schemeClr w14:val="tx1"/>
            </w14:solidFill>
          </w14:textFill>
        </w:rPr>
        <w:t>分</w:t>
      </w:r>
      <w:r>
        <w:rPr>
          <w:rFonts w:hint="eastAsia" w:ascii="仿宋" w:hAnsi="仿宋" w:eastAsia="仿宋" w:cs="仿宋"/>
          <w:color w:val="000000" w:themeColor="text1"/>
          <w14:textFill>
            <w14:solidFill>
              <w14:schemeClr w14:val="tx1"/>
            </w14:solidFill>
          </w14:textFill>
        </w:rPr>
        <w:t>通用合同条款</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_Toc193815624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74</w:t>
      </w:r>
      <w:r>
        <w:rPr>
          <w:rFonts w:hint="eastAsia" w:ascii="仿宋" w:hAnsi="仿宋" w:eastAsia="仿宋" w:cs="仿宋"/>
          <w:color w:val="000000" w:themeColor="text1"/>
          <w14:textFill>
            <w14:solidFill>
              <w14:schemeClr w14:val="tx1"/>
            </w14:solidFill>
          </w14:textFill>
        </w:rPr>
        <w:fldChar w:fldCharType="end"/>
      </w:r>
    </w:p>
    <w:p w14:paraId="260915E6">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1.一般约定</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_Toc193815625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74</w:t>
      </w:r>
      <w:r>
        <w:rPr>
          <w:rFonts w:hint="eastAsia" w:ascii="仿宋" w:hAnsi="仿宋" w:eastAsia="仿宋" w:cs="仿宋"/>
          <w:color w:val="000000" w:themeColor="text1"/>
          <w14:textFill>
            <w14:solidFill>
              <w14:schemeClr w14:val="tx1"/>
            </w14:solidFill>
          </w14:textFill>
        </w:rPr>
        <w:fldChar w:fldCharType="end"/>
      </w:r>
    </w:p>
    <w:p w14:paraId="209B66DF">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2.发包人</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_Toc193815626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82</w:t>
      </w:r>
      <w:r>
        <w:rPr>
          <w:rFonts w:hint="eastAsia" w:ascii="仿宋" w:hAnsi="仿宋" w:eastAsia="仿宋" w:cs="仿宋"/>
          <w:color w:val="000000" w:themeColor="text1"/>
          <w14:textFill>
            <w14:solidFill>
              <w14:schemeClr w14:val="tx1"/>
            </w14:solidFill>
          </w14:textFill>
        </w:rPr>
        <w:fldChar w:fldCharType="end"/>
      </w:r>
    </w:p>
    <w:p w14:paraId="061F2074">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3.承包人</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_Toc193815627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85</w:t>
      </w:r>
      <w:r>
        <w:rPr>
          <w:rFonts w:hint="eastAsia" w:ascii="仿宋" w:hAnsi="仿宋" w:eastAsia="仿宋" w:cs="仿宋"/>
          <w:color w:val="000000" w:themeColor="text1"/>
          <w14:textFill>
            <w14:solidFill>
              <w14:schemeClr w14:val="tx1"/>
            </w14:solidFill>
          </w14:textFill>
        </w:rPr>
        <w:fldChar w:fldCharType="end"/>
      </w:r>
    </w:p>
    <w:p w14:paraId="2F0E2873">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4.监理人</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_Toc193815628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90</w:t>
      </w:r>
      <w:r>
        <w:rPr>
          <w:rFonts w:hint="eastAsia" w:ascii="仿宋" w:hAnsi="仿宋" w:eastAsia="仿宋" w:cs="仿宋"/>
          <w:color w:val="000000" w:themeColor="text1"/>
          <w14:textFill>
            <w14:solidFill>
              <w14:schemeClr w14:val="tx1"/>
            </w14:solidFill>
          </w14:textFill>
        </w:rPr>
        <w:fldChar w:fldCharType="end"/>
      </w:r>
    </w:p>
    <w:p w14:paraId="4BF88207">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5.工程质量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_Toc193815629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91</w:t>
      </w:r>
      <w:r>
        <w:rPr>
          <w:rFonts w:hint="eastAsia" w:ascii="仿宋" w:hAnsi="仿宋" w:eastAsia="仿宋" w:cs="仿宋"/>
          <w:color w:val="000000" w:themeColor="text1"/>
          <w14:textFill>
            <w14:solidFill>
              <w14:schemeClr w14:val="tx1"/>
            </w14:solidFill>
          </w14:textFill>
        </w:rPr>
        <w:fldChar w:fldCharType="end"/>
      </w:r>
    </w:p>
    <w:p w14:paraId="3FDC8678">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6.安全文明施工与环境保护</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_Toc193815630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94</w:t>
      </w:r>
      <w:r>
        <w:rPr>
          <w:rFonts w:hint="eastAsia" w:ascii="仿宋" w:hAnsi="仿宋" w:eastAsia="仿宋" w:cs="仿宋"/>
          <w:color w:val="000000" w:themeColor="text1"/>
          <w14:textFill>
            <w14:solidFill>
              <w14:schemeClr w14:val="tx1"/>
            </w14:solidFill>
          </w14:textFill>
        </w:rPr>
        <w:fldChar w:fldCharType="end"/>
      </w:r>
    </w:p>
    <w:p w14:paraId="13EC004E">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7.工期和进度</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_Toc193815631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97</w:t>
      </w:r>
      <w:r>
        <w:rPr>
          <w:rFonts w:hint="eastAsia" w:ascii="仿宋" w:hAnsi="仿宋" w:eastAsia="仿宋" w:cs="仿宋"/>
          <w:color w:val="000000" w:themeColor="text1"/>
          <w14:textFill>
            <w14:solidFill>
              <w14:schemeClr w14:val="tx1"/>
            </w14:solidFill>
          </w14:textFill>
        </w:rPr>
        <w:fldChar w:fldCharType="end"/>
      </w:r>
    </w:p>
    <w:p w14:paraId="63886AF4">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8.材料与设备</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_Toc193815632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103</w:t>
      </w:r>
      <w:r>
        <w:rPr>
          <w:rFonts w:hint="eastAsia" w:ascii="仿宋" w:hAnsi="仿宋" w:eastAsia="仿宋" w:cs="仿宋"/>
          <w:color w:val="000000" w:themeColor="text1"/>
          <w14:textFill>
            <w14:solidFill>
              <w14:schemeClr w14:val="tx1"/>
            </w14:solidFill>
          </w14:textFill>
        </w:rPr>
        <w:fldChar w:fldCharType="end"/>
      </w:r>
    </w:p>
    <w:p w14:paraId="25B1FDA6">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9.试验与检验</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_Toc193815633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107</w:t>
      </w:r>
      <w:r>
        <w:rPr>
          <w:rFonts w:hint="eastAsia" w:ascii="仿宋" w:hAnsi="仿宋" w:eastAsia="仿宋" w:cs="仿宋"/>
          <w:color w:val="000000" w:themeColor="text1"/>
          <w14:textFill>
            <w14:solidFill>
              <w14:schemeClr w14:val="tx1"/>
            </w14:solidFill>
          </w14:textFill>
        </w:rPr>
        <w:fldChar w:fldCharType="end"/>
      </w:r>
    </w:p>
    <w:p w14:paraId="3A5D63D2">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10.变更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_Toc193815634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108</w:t>
      </w:r>
      <w:r>
        <w:rPr>
          <w:rFonts w:hint="eastAsia" w:ascii="仿宋" w:hAnsi="仿宋" w:eastAsia="仿宋" w:cs="仿宋"/>
          <w:color w:val="000000" w:themeColor="text1"/>
          <w14:textFill>
            <w14:solidFill>
              <w14:schemeClr w14:val="tx1"/>
            </w14:solidFill>
          </w14:textFill>
        </w:rPr>
        <w:fldChar w:fldCharType="end"/>
      </w:r>
    </w:p>
    <w:p w14:paraId="350E7128">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11.价格调整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_Toc193815635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113</w:t>
      </w:r>
      <w:r>
        <w:rPr>
          <w:rFonts w:hint="eastAsia" w:ascii="仿宋" w:hAnsi="仿宋" w:eastAsia="仿宋" w:cs="仿宋"/>
          <w:color w:val="000000" w:themeColor="text1"/>
          <w14:textFill>
            <w14:solidFill>
              <w14:schemeClr w14:val="tx1"/>
            </w14:solidFill>
          </w14:textFill>
        </w:rPr>
        <w:fldChar w:fldCharType="end"/>
      </w:r>
    </w:p>
    <w:p w14:paraId="145A7A6C">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12.合同价格、计量与支付</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_Toc193815636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115</w:t>
      </w:r>
      <w:r>
        <w:rPr>
          <w:rFonts w:hint="eastAsia" w:ascii="仿宋" w:hAnsi="仿宋" w:eastAsia="仿宋" w:cs="仿宋"/>
          <w:color w:val="000000" w:themeColor="text1"/>
          <w14:textFill>
            <w14:solidFill>
              <w14:schemeClr w14:val="tx1"/>
            </w14:solidFill>
          </w14:textFill>
        </w:rPr>
        <w:fldChar w:fldCharType="end"/>
      </w:r>
    </w:p>
    <w:p w14:paraId="475581D3">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13.验收和工程试车</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_Toc193815637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120</w:t>
      </w:r>
      <w:r>
        <w:rPr>
          <w:rFonts w:hint="eastAsia" w:ascii="仿宋" w:hAnsi="仿宋" w:eastAsia="仿宋" w:cs="仿宋"/>
          <w:color w:val="000000" w:themeColor="text1"/>
          <w14:textFill>
            <w14:solidFill>
              <w14:schemeClr w14:val="tx1"/>
            </w14:solidFill>
          </w14:textFill>
        </w:rPr>
        <w:fldChar w:fldCharType="end"/>
      </w:r>
    </w:p>
    <w:p w14:paraId="21A75741">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14.竣工结算</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_Toc193815638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125</w:t>
      </w:r>
      <w:r>
        <w:rPr>
          <w:rFonts w:hint="eastAsia" w:ascii="仿宋" w:hAnsi="仿宋" w:eastAsia="仿宋" w:cs="仿宋"/>
          <w:color w:val="000000" w:themeColor="text1"/>
          <w14:textFill>
            <w14:solidFill>
              <w14:schemeClr w14:val="tx1"/>
            </w14:solidFill>
          </w14:textFill>
        </w:rPr>
        <w:fldChar w:fldCharType="end"/>
      </w:r>
    </w:p>
    <w:p w14:paraId="25E27C76">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15.缺陷责任与保修</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_Toc193815639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127</w:t>
      </w:r>
      <w:r>
        <w:rPr>
          <w:rFonts w:hint="eastAsia" w:ascii="仿宋" w:hAnsi="仿宋" w:eastAsia="仿宋" w:cs="仿宋"/>
          <w:color w:val="000000" w:themeColor="text1"/>
          <w14:textFill>
            <w14:solidFill>
              <w14:schemeClr w14:val="tx1"/>
            </w14:solidFill>
          </w14:textFill>
        </w:rPr>
        <w:fldChar w:fldCharType="end"/>
      </w:r>
    </w:p>
    <w:p w14:paraId="704FF53C">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16.违约</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_Toc193815640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130</w:t>
      </w:r>
      <w:r>
        <w:rPr>
          <w:rFonts w:hint="eastAsia" w:ascii="仿宋" w:hAnsi="仿宋" w:eastAsia="仿宋" w:cs="仿宋"/>
          <w:color w:val="000000" w:themeColor="text1"/>
          <w14:textFill>
            <w14:solidFill>
              <w14:schemeClr w14:val="tx1"/>
            </w14:solidFill>
          </w14:textFill>
        </w:rPr>
        <w:fldChar w:fldCharType="end"/>
      </w:r>
    </w:p>
    <w:p w14:paraId="10C1C97B">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17.不可抗力</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_Toc193815641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133</w:t>
      </w:r>
      <w:r>
        <w:rPr>
          <w:rFonts w:hint="eastAsia" w:ascii="仿宋" w:hAnsi="仿宋" w:eastAsia="仿宋" w:cs="仿宋"/>
          <w:color w:val="000000" w:themeColor="text1"/>
          <w14:textFill>
            <w14:solidFill>
              <w14:schemeClr w14:val="tx1"/>
            </w14:solidFill>
          </w14:textFill>
        </w:rPr>
        <w:fldChar w:fldCharType="end"/>
      </w:r>
    </w:p>
    <w:p w14:paraId="06C6CA73">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18.保险</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_Toc193815642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135</w:t>
      </w:r>
      <w:r>
        <w:rPr>
          <w:rFonts w:hint="eastAsia" w:ascii="仿宋" w:hAnsi="仿宋" w:eastAsia="仿宋" w:cs="仿宋"/>
          <w:color w:val="000000" w:themeColor="text1"/>
          <w14:textFill>
            <w14:solidFill>
              <w14:schemeClr w14:val="tx1"/>
            </w14:solidFill>
          </w14:textFill>
        </w:rPr>
        <w:fldChar w:fldCharType="end"/>
      </w:r>
    </w:p>
    <w:p w14:paraId="15AE4227">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19.索赔</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_Toc193815643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136</w:t>
      </w:r>
      <w:r>
        <w:rPr>
          <w:rFonts w:hint="eastAsia" w:ascii="仿宋" w:hAnsi="仿宋" w:eastAsia="仿宋" w:cs="仿宋"/>
          <w:color w:val="000000" w:themeColor="text1"/>
          <w14:textFill>
            <w14:solidFill>
              <w14:schemeClr w14:val="tx1"/>
            </w14:solidFill>
          </w14:textFill>
        </w:rPr>
        <w:fldChar w:fldCharType="end"/>
      </w:r>
    </w:p>
    <w:p w14:paraId="0E82A706">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20.争议解决</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_Toc193815644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138</w:t>
      </w:r>
      <w:r>
        <w:rPr>
          <w:rFonts w:hint="eastAsia" w:ascii="仿宋" w:hAnsi="仿宋" w:eastAsia="仿宋" w:cs="仿宋"/>
          <w:color w:val="000000" w:themeColor="text1"/>
          <w14:textFill>
            <w14:solidFill>
              <w14:schemeClr w14:val="tx1"/>
            </w14:solidFill>
          </w14:textFill>
        </w:rPr>
        <w:fldChar w:fldCharType="end"/>
      </w:r>
    </w:p>
    <w:p w14:paraId="5336AB1D">
      <w:pPr>
        <w:pStyle w:val="34"/>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第三部</w:t>
      </w:r>
      <w:r>
        <w:rPr>
          <w:rFonts w:hint="eastAsia" w:ascii="仿宋" w:hAnsi="仿宋" w:eastAsia="仿宋" w:cs="仿宋"/>
          <w:color w:val="000000" w:themeColor="text1"/>
          <w:spacing w:val="100"/>
          <w14:textFill>
            <w14:solidFill>
              <w14:schemeClr w14:val="tx1"/>
            </w14:solidFill>
          </w14:textFill>
        </w:rPr>
        <w:t>分</w:t>
      </w:r>
      <w:r>
        <w:rPr>
          <w:rFonts w:hint="eastAsia" w:ascii="仿宋" w:hAnsi="仿宋" w:eastAsia="仿宋" w:cs="仿宋"/>
          <w:color w:val="000000" w:themeColor="text1"/>
          <w14:textFill>
            <w14:solidFill>
              <w14:schemeClr w14:val="tx1"/>
            </w14:solidFill>
          </w14:textFill>
        </w:rPr>
        <w:t>专用合同条款</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_Toc193815645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141</w:t>
      </w:r>
      <w:r>
        <w:rPr>
          <w:rFonts w:hint="eastAsia" w:ascii="仿宋" w:hAnsi="仿宋" w:eastAsia="仿宋" w:cs="仿宋"/>
          <w:color w:val="000000" w:themeColor="text1"/>
          <w14:textFill>
            <w14:solidFill>
              <w14:schemeClr w14:val="tx1"/>
            </w14:solidFill>
          </w14:textFill>
        </w:rPr>
        <w:fldChar w:fldCharType="end"/>
      </w:r>
    </w:p>
    <w:p w14:paraId="082A475E">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1.一般约定</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_Toc193815646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141</w:t>
      </w:r>
      <w:r>
        <w:rPr>
          <w:rFonts w:hint="eastAsia" w:ascii="仿宋" w:hAnsi="仿宋" w:eastAsia="仿宋" w:cs="仿宋"/>
          <w:color w:val="000000" w:themeColor="text1"/>
          <w14:textFill>
            <w14:solidFill>
              <w14:schemeClr w14:val="tx1"/>
            </w14:solidFill>
          </w14:textFill>
        </w:rPr>
        <w:fldChar w:fldCharType="end"/>
      </w:r>
    </w:p>
    <w:p w14:paraId="720792A6">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2.发包人</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_Toc193815647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145</w:t>
      </w:r>
      <w:r>
        <w:rPr>
          <w:rFonts w:hint="eastAsia" w:ascii="仿宋" w:hAnsi="仿宋" w:eastAsia="仿宋" w:cs="仿宋"/>
          <w:color w:val="000000" w:themeColor="text1"/>
          <w14:textFill>
            <w14:solidFill>
              <w14:schemeClr w14:val="tx1"/>
            </w14:solidFill>
          </w14:textFill>
        </w:rPr>
        <w:fldChar w:fldCharType="end"/>
      </w:r>
    </w:p>
    <w:p w14:paraId="39D7E8BE">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3.承包人</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_Toc193815648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147</w:t>
      </w:r>
      <w:r>
        <w:rPr>
          <w:rFonts w:hint="eastAsia" w:ascii="仿宋" w:hAnsi="仿宋" w:eastAsia="仿宋" w:cs="仿宋"/>
          <w:color w:val="000000" w:themeColor="text1"/>
          <w14:textFill>
            <w14:solidFill>
              <w14:schemeClr w14:val="tx1"/>
            </w14:solidFill>
          </w14:textFill>
        </w:rPr>
        <w:fldChar w:fldCharType="end"/>
      </w:r>
    </w:p>
    <w:p w14:paraId="0CDA86D6">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4.监理人</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_Toc193815649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153</w:t>
      </w:r>
      <w:r>
        <w:rPr>
          <w:rFonts w:hint="eastAsia" w:ascii="仿宋" w:hAnsi="仿宋" w:eastAsia="仿宋" w:cs="仿宋"/>
          <w:color w:val="000000" w:themeColor="text1"/>
          <w14:textFill>
            <w14:solidFill>
              <w14:schemeClr w14:val="tx1"/>
            </w14:solidFill>
          </w14:textFill>
        </w:rPr>
        <w:fldChar w:fldCharType="end"/>
      </w:r>
    </w:p>
    <w:p w14:paraId="3B24D5C8">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5.工程质量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_Toc193815650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154</w:t>
      </w:r>
      <w:r>
        <w:rPr>
          <w:rFonts w:hint="eastAsia" w:ascii="仿宋" w:hAnsi="仿宋" w:eastAsia="仿宋" w:cs="仿宋"/>
          <w:color w:val="000000" w:themeColor="text1"/>
          <w14:textFill>
            <w14:solidFill>
              <w14:schemeClr w14:val="tx1"/>
            </w14:solidFill>
          </w14:textFill>
        </w:rPr>
        <w:fldChar w:fldCharType="end"/>
      </w:r>
    </w:p>
    <w:p w14:paraId="010C0074">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6.安全文明施工与环境保护</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_Toc193815651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155</w:t>
      </w:r>
      <w:r>
        <w:rPr>
          <w:rFonts w:hint="eastAsia" w:ascii="仿宋" w:hAnsi="仿宋" w:eastAsia="仿宋" w:cs="仿宋"/>
          <w:color w:val="000000" w:themeColor="text1"/>
          <w14:textFill>
            <w14:solidFill>
              <w14:schemeClr w14:val="tx1"/>
            </w14:solidFill>
          </w14:textFill>
        </w:rPr>
        <w:fldChar w:fldCharType="end"/>
      </w:r>
    </w:p>
    <w:p w14:paraId="4045A2B9">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7.工期和进度</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_Toc193815652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156</w:t>
      </w:r>
      <w:r>
        <w:rPr>
          <w:rFonts w:hint="eastAsia" w:ascii="仿宋" w:hAnsi="仿宋" w:eastAsia="仿宋" w:cs="仿宋"/>
          <w:color w:val="000000" w:themeColor="text1"/>
          <w14:textFill>
            <w14:solidFill>
              <w14:schemeClr w14:val="tx1"/>
            </w14:solidFill>
          </w14:textFill>
        </w:rPr>
        <w:fldChar w:fldCharType="end"/>
      </w:r>
    </w:p>
    <w:p w14:paraId="4015C928">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8.材料与设备</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_Toc193815653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159</w:t>
      </w:r>
      <w:r>
        <w:rPr>
          <w:rFonts w:hint="eastAsia" w:ascii="仿宋" w:hAnsi="仿宋" w:eastAsia="仿宋" w:cs="仿宋"/>
          <w:color w:val="000000" w:themeColor="text1"/>
          <w14:textFill>
            <w14:solidFill>
              <w14:schemeClr w14:val="tx1"/>
            </w14:solidFill>
          </w14:textFill>
        </w:rPr>
        <w:fldChar w:fldCharType="end"/>
      </w:r>
    </w:p>
    <w:p w14:paraId="63E8CA4B">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9.试验与检验</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_Toc193815654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160</w:t>
      </w:r>
      <w:r>
        <w:rPr>
          <w:rFonts w:hint="eastAsia" w:ascii="仿宋" w:hAnsi="仿宋" w:eastAsia="仿宋" w:cs="仿宋"/>
          <w:color w:val="000000" w:themeColor="text1"/>
          <w14:textFill>
            <w14:solidFill>
              <w14:schemeClr w14:val="tx1"/>
            </w14:solidFill>
          </w14:textFill>
        </w:rPr>
        <w:fldChar w:fldCharType="end"/>
      </w:r>
    </w:p>
    <w:p w14:paraId="1111FDB8">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10.变更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_Toc193815655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161</w:t>
      </w:r>
      <w:r>
        <w:rPr>
          <w:rFonts w:hint="eastAsia" w:ascii="仿宋" w:hAnsi="仿宋" w:eastAsia="仿宋" w:cs="仿宋"/>
          <w:color w:val="000000" w:themeColor="text1"/>
          <w14:textFill>
            <w14:solidFill>
              <w14:schemeClr w14:val="tx1"/>
            </w14:solidFill>
          </w14:textFill>
        </w:rPr>
        <w:fldChar w:fldCharType="end"/>
      </w:r>
    </w:p>
    <w:p w14:paraId="240367CD">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11.价格调整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_Toc193815656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164</w:t>
      </w:r>
      <w:r>
        <w:rPr>
          <w:rFonts w:hint="eastAsia" w:ascii="仿宋" w:hAnsi="仿宋" w:eastAsia="仿宋" w:cs="仿宋"/>
          <w:color w:val="000000" w:themeColor="text1"/>
          <w14:textFill>
            <w14:solidFill>
              <w14:schemeClr w14:val="tx1"/>
            </w14:solidFill>
          </w14:textFill>
        </w:rPr>
        <w:fldChar w:fldCharType="end"/>
      </w:r>
    </w:p>
    <w:p w14:paraId="341A50EC">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12.合同价格、计量与支付</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_Toc193815657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164</w:t>
      </w:r>
      <w:r>
        <w:rPr>
          <w:rFonts w:hint="eastAsia" w:ascii="仿宋" w:hAnsi="仿宋" w:eastAsia="仿宋" w:cs="仿宋"/>
          <w:color w:val="000000" w:themeColor="text1"/>
          <w14:textFill>
            <w14:solidFill>
              <w14:schemeClr w14:val="tx1"/>
            </w14:solidFill>
          </w14:textFill>
        </w:rPr>
        <w:fldChar w:fldCharType="end"/>
      </w:r>
    </w:p>
    <w:p w14:paraId="11F120A7">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13.工程验收</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_Toc193815658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170</w:t>
      </w:r>
      <w:r>
        <w:rPr>
          <w:rFonts w:hint="eastAsia" w:ascii="仿宋" w:hAnsi="仿宋" w:eastAsia="仿宋" w:cs="仿宋"/>
          <w:color w:val="000000" w:themeColor="text1"/>
          <w14:textFill>
            <w14:solidFill>
              <w14:schemeClr w14:val="tx1"/>
            </w14:solidFill>
          </w14:textFill>
        </w:rPr>
        <w:fldChar w:fldCharType="end"/>
      </w:r>
    </w:p>
    <w:p w14:paraId="67E8045A">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14.竣工结算</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_Toc193815659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171</w:t>
      </w:r>
      <w:r>
        <w:rPr>
          <w:rFonts w:hint="eastAsia" w:ascii="仿宋" w:hAnsi="仿宋" w:eastAsia="仿宋" w:cs="仿宋"/>
          <w:color w:val="000000" w:themeColor="text1"/>
          <w14:textFill>
            <w14:solidFill>
              <w14:schemeClr w14:val="tx1"/>
            </w14:solidFill>
          </w14:textFill>
        </w:rPr>
        <w:fldChar w:fldCharType="end"/>
      </w:r>
    </w:p>
    <w:p w14:paraId="3D85BE87">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15.缺陷责任期与保修</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_Toc193815660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174</w:t>
      </w:r>
      <w:r>
        <w:rPr>
          <w:rFonts w:hint="eastAsia" w:ascii="仿宋" w:hAnsi="仿宋" w:eastAsia="仿宋" w:cs="仿宋"/>
          <w:color w:val="000000" w:themeColor="text1"/>
          <w14:textFill>
            <w14:solidFill>
              <w14:schemeClr w14:val="tx1"/>
            </w14:solidFill>
          </w14:textFill>
        </w:rPr>
        <w:fldChar w:fldCharType="end"/>
      </w:r>
    </w:p>
    <w:p w14:paraId="46E53A2A">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16.违约</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_Toc193815661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175</w:t>
      </w:r>
      <w:r>
        <w:rPr>
          <w:rFonts w:hint="eastAsia" w:ascii="仿宋" w:hAnsi="仿宋" w:eastAsia="仿宋" w:cs="仿宋"/>
          <w:color w:val="000000" w:themeColor="text1"/>
          <w14:textFill>
            <w14:solidFill>
              <w14:schemeClr w14:val="tx1"/>
            </w14:solidFill>
          </w14:textFill>
        </w:rPr>
        <w:fldChar w:fldCharType="end"/>
      </w:r>
    </w:p>
    <w:p w14:paraId="3ACC81F5">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17.不可抗力</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_Toc193815662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180</w:t>
      </w:r>
      <w:r>
        <w:rPr>
          <w:rFonts w:hint="eastAsia" w:ascii="仿宋" w:hAnsi="仿宋" w:eastAsia="仿宋" w:cs="仿宋"/>
          <w:color w:val="000000" w:themeColor="text1"/>
          <w14:textFill>
            <w14:solidFill>
              <w14:schemeClr w14:val="tx1"/>
            </w14:solidFill>
          </w14:textFill>
        </w:rPr>
        <w:fldChar w:fldCharType="end"/>
      </w:r>
    </w:p>
    <w:p w14:paraId="2C98DFD0">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18.保险</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_Toc193815663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180</w:t>
      </w:r>
      <w:r>
        <w:rPr>
          <w:rFonts w:hint="eastAsia" w:ascii="仿宋" w:hAnsi="仿宋" w:eastAsia="仿宋" w:cs="仿宋"/>
          <w:color w:val="000000" w:themeColor="text1"/>
          <w14:textFill>
            <w14:solidFill>
              <w14:schemeClr w14:val="tx1"/>
            </w14:solidFill>
          </w14:textFill>
        </w:rPr>
        <w:fldChar w:fldCharType="end"/>
      </w:r>
    </w:p>
    <w:p w14:paraId="3788D251">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20.争议解决</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_Toc193815664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181</w:t>
      </w:r>
      <w:r>
        <w:rPr>
          <w:rFonts w:hint="eastAsia" w:ascii="仿宋" w:hAnsi="仿宋" w:eastAsia="仿宋" w:cs="仿宋"/>
          <w:color w:val="000000" w:themeColor="text1"/>
          <w14:textFill>
            <w14:solidFill>
              <w14:schemeClr w14:val="tx1"/>
            </w14:solidFill>
          </w14:textFill>
        </w:rPr>
        <w:fldChar w:fldCharType="end"/>
      </w:r>
    </w:p>
    <w:p w14:paraId="1CFBDA10">
      <w:pPr>
        <w:pStyle w:val="21"/>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21.补充条款</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_Toc193815665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182</w:t>
      </w:r>
      <w:r>
        <w:rPr>
          <w:rFonts w:hint="eastAsia" w:ascii="仿宋" w:hAnsi="仿宋" w:eastAsia="仿宋" w:cs="仿宋"/>
          <w:color w:val="000000" w:themeColor="text1"/>
          <w14:textFill>
            <w14:solidFill>
              <w14:schemeClr w14:val="tx1"/>
            </w14:solidFill>
          </w14:textFill>
        </w:rPr>
        <w:fldChar w:fldCharType="end"/>
      </w:r>
    </w:p>
    <w:p w14:paraId="7D7C975F">
      <w:pPr>
        <w:pStyle w:val="29"/>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第七</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工程量清单、图纸</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_Toc193815666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217</w:t>
      </w:r>
      <w:r>
        <w:rPr>
          <w:rFonts w:hint="eastAsia" w:ascii="仿宋" w:hAnsi="仿宋" w:eastAsia="仿宋" w:cs="仿宋"/>
          <w:color w:val="000000" w:themeColor="text1"/>
          <w14:textFill>
            <w14:solidFill>
              <w14:schemeClr w14:val="tx1"/>
            </w14:solidFill>
          </w14:textFill>
        </w:rPr>
        <w:fldChar w:fldCharType="end"/>
      </w:r>
    </w:p>
    <w:p w14:paraId="5432C905">
      <w:pPr>
        <w:pStyle w:val="29"/>
        <w:tabs>
          <w:tab w:val="right" w:leader="dot" w:pos="9344"/>
        </w:tabs>
        <w:spacing w:line="30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第八</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质疑、投诉材料格式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_Toc193815667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218</w:t>
      </w:r>
      <w:r>
        <w:rPr>
          <w:rFonts w:hint="eastAsia" w:ascii="仿宋" w:hAnsi="仿宋" w:eastAsia="仿宋" w:cs="仿宋"/>
          <w:color w:val="000000" w:themeColor="text1"/>
          <w14:textFill>
            <w14:solidFill>
              <w14:schemeClr w14:val="tx1"/>
            </w14:solidFill>
          </w14:textFill>
        </w:rPr>
        <w:fldChar w:fldCharType="end"/>
      </w:r>
    </w:p>
    <w:p w14:paraId="706E57E2">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fldChar w:fldCharType="end"/>
      </w:r>
    </w:p>
    <w:p w14:paraId="19A0A9AF">
      <w:pPr>
        <w:spacing w:line="300" w:lineRule="auto"/>
        <w:rPr>
          <w:rFonts w:hint="eastAsia" w:ascii="仿宋" w:hAnsi="仿宋" w:eastAsia="仿宋" w:cs="仿宋"/>
          <w:color w:val="000000" w:themeColor="text1"/>
          <w:szCs w:val="21"/>
          <w14:textFill>
            <w14:solidFill>
              <w14:schemeClr w14:val="tx1"/>
            </w14:solidFill>
          </w14:textFill>
        </w:rPr>
        <w:sectPr>
          <w:footerReference r:id="rId3" w:type="default"/>
          <w:pgSz w:w="11906" w:h="16838"/>
          <w:pgMar w:top="1440" w:right="1134" w:bottom="1440" w:left="1418" w:header="851" w:footer="992" w:gutter="0"/>
          <w:pgNumType w:start="1"/>
          <w:cols w:space="425" w:num="1"/>
          <w:docGrid w:type="lines" w:linePitch="312" w:charSpace="0"/>
        </w:sectPr>
      </w:pPr>
    </w:p>
    <w:p w14:paraId="5D499F88">
      <w:pPr>
        <w:pStyle w:val="3"/>
        <w:jc w:val="center"/>
        <w:rPr>
          <w:rFonts w:hint="eastAsia" w:ascii="仿宋" w:hAnsi="仿宋" w:eastAsia="仿宋" w:cs="仿宋"/>
          <w:color w:val="000000" w:themeColor="text1"/>
          <w14:textFill>
            <w14:solidFill>
              <w14:schemeClr w14:val="tx1"/>
            </w14:solidFill>
          </w14:textFill>
        </w:rPr>
      </w:pPr>
      <w:bookmarkStart w:id="0" w:name="_Toc193815603"/>
      <w:r>
        <w:rPr>
          <w:rFonts w:hint="eastAsia" w:ascii="仿宋" w:hAnsi="仿宋" w:eastAsia="仿宋" w:cs="仿宋"/>
          <w:color w:val="000000" w:themeColor="text1"/>
          <w14:textFill>
            <w14:solidFill>
              <w14:schemeClr w14:val="tx1"/>
            </w14:solidFill>
          </w14:textFill>
        </w:rPr>
        <w:t>第一</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竞争性谈判公告</w:t>
      </w:r>
      <w:bookmarkEnd w:id="0"/>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495B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tcPr>
          <w:p w14:paraId="01E975FC">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项目概况</w:t>
            </w:r>
          </w:p>
          <w:p w14:paraId="05D734D3">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lang w:eastAsia="zh-CN"/>
                <w14:textFill>
                  <w14:solidFill>
                    <w14:schemeClr w14:val="tx1"/>
                  </w14:solidFill>
                </w14:textFill>
              </w:rPr>
              <w:t>广西壮族自治区第五强制隔离戒毒所管理区排洪渠改造</w:t>
            </w:r>
            <w:r>
              <w:rPr>
                <w:rFonts w:hint="eastAsia" w:ascii="仿宋" w:hAnsi="仿宋" w:eastAsia="仿宋" w:cs="仿宋"/>
                <w:color w:val="000000" w:themeColor="text1"/>
                <w:sz w:val="24"/>
                <w:szCs w:val="24"/>
                <w14:textFill>
                  <w14:solidFill>
                    <w14:schemeClr w14:val="tx1"/>
                  </w14:solidFill>
                </w14:textFill>
              </w:rPr>
              <w:t>采购项目的潜在供应商应在广西政府采购云平台（https：//www.gcy.zfcg.gxzf.gov.cn/）线上获取（下载）竞争性谈判文件，并于2025年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日</w:t>
            </w: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00</w:t>
            </w:r>
            <w:r>
              <w:rPr>
                <w:rFonts w:hint="eastAsia" w:ascii="仿宋" w:hAnsi="仿宋" w:eastAsia="仿宋" w:cs="仿宋"/>
                <w:color w:val="000000" w:themeColor="text1"/>
                <w:sz w:val="24"/>
                <w:szCs w:val="24"/>
                <w14:textFill>
                  <w14:solidFill>
                    <w14:schemeClr w14:val="tx1"/>
                  </w14:solidFill>
                </w14:textFill>
              </w:rPr>
              <w:t>（北京时间）前提交（上传）响应文件。</w:t>
            </w:r>
          </w:p>
        </w:tc>
      </w:tr>
    </w:tbl>
    <w:p w14:paraId="493A296B">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一、项目基本情况</w:t>
      </w:r>
    </w:p>
    <w:p w14:paraId="629A689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r>
        <w:rPr>
          <w:rFonts w:hint="eastAsia" w:ascii="仿宋" w:hAnsi="仿宋" w:eastAsia="仿宋" w:cs="仿宋"/>
          <w:color w:val="000000" w:themeColor="text1"/>
          <w:sz w:val="24"/>
          <w:szCs w:val="24"/>
          <w:lang w:eastAsia="zh-CN"/>
          <w14:textFill>
            <w14:solidFill>
              <w14:schemeClr w14:val="tx1"/>
            </w14:solidFill>
          </w14:textFill>
        </w:rPr>
        <w:t>GXZC2025-J2-001820-KWZB</w:t>
      </w:r>
    </w:p>
    <w:p w14:paraId="72D2D40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r>
        <w:rPr>
          <w:rFonts w:hint="eastAsia" w:ascii="仿宋" w:hAnsi="仿宋" w:eastAsia="仿宋" w:cs="仿宋"/>
          <w:color w:val="000000" w:themeColor="text1"/>
          <w:sz w:val="24"/>
          <w:szCs w:val="24"/>
          <w:lang w:eastAsia="zh-CN"/>
          <w14:textFill>
            <w14:solidFill>
              <w14:schemeClr w14:val="tx1"/>
            </w14:solidFill>
          </w14:textFill>
        </w:rPr>
        <w:t>广西壮族自治区第五强制隔离戒毒所管理区排洪渠改造</w:t>
      </w:r>
    </w:p>
    <w:p w14:paraId="33561DE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采购方式：竞争性谈判</w:t>
      </w:r>
    </w:p>
    <w:p w14:paraId="49410F1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预算金额（元）：</w:t>
      </w:r>
      <w:r>
        <w:rPr>
          <w:rFonts w:hint="eastAsia" w:ascii="仿宋" w:hAnsi="仿宋" w:eastAsia="仿宋" w:cs="仿宋"/>
          <w:color w:val="000000" w:themeColor="text1"/>
          <w:sz w:val="24"/>
          <w:szCs w:val="24"/>
          <w:lang w:eastAsia="zh-CN"/>
          <w14:textFill>
            <w14:solidFill>
              <w14:schemeClr w14:val="tx1"/>
            </w14:solidFill>
          </w14:textFill>
        </w:rPr>
        <w:t>1132685.36</w:t>
      </w:r>
    </w:p>
    <w:p w14:paraId="7260E92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采购需求：</w:t>
      </w:r>
    </w:p>
    <w:p w14:paraId="7D8E1E5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标项名称：</w:t>
      </w:r>
      <w:r>
        <w:rPr>
          <w:rFonts w:hint="eastAsia" w:ascii="仿宋" w:hAnsi="仿宋" w:eastAsia="仿宋" w:cs="仿宋"/>
          <w:color w:val="000000" w:themeColor="text1"/>
          <w:sz w:val="24"/>
          <w:szCs w:val="24"/>
          <w:lang w:eastAsia="zh-CN"/>
          <w14:textFill>
            <w14:solidFill>
              <w14:schemeClr w14:val="tx1"/>
            </w14:solidFill>
          </w14:textFill>
        </w:rPr>
        <w:t>广西壮族自治区第五强制隔离戒毒所管理区排洪渠改造</w:t>
      </w:r>
    </w:p>
    <w:p w14:paraId="1B6D5D7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数量：1</w:t>
      </w:r>
    </w:p>
    <w:p w14:paraId="63659CC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预算金额（元）：</w:t>
      </w:r>
      <w:r>
        <w:rPr>
          <w:rFonts w:hint="eastAsia" w:ascii="仿宋" w:hAnsi="仿宋" w:eastAsia="仿宋" w:cs="仿宋"/>
          <w:color w:val="000000" w:themeColor="text1"/>
          <w:sz w:val="24"/>
          <w:szCs w:val="24"/>
          <w:lang w:eastAsia="zh-CN"/>
          <w14:textFill>
            <w14:solidFill>
              <w14:schemeClr w14:val="tx1"/>
            </w14:solidFill>
          </w14:textFill>
        </w:rPr>
        <w:t>1132685.36</w:t>
      </w:r>
    </w:p>
    <w:p w14:paraId="7381877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简要规格描述或项目基本概况介绍、用途：</w:t>
      </w:r>
      <w:r>
        <w:rPr>
          <w:rFonts w:hint="eastAsia" w:ascii="仿宋" w:hAnsi="仿宋" w:eastAsia="仿宋" w:cs="仿宋"/>
          <w:color w:val="000000" w:themeColor="text1"/>
          <w:sz w:val="24"/>
          <w:szCs w:val="24"/>
          <w:lang w:eastAsia="zh-CN"/>
          <w14:textFill>
            <w14:solidFill>
              <w14:schemeClr w14:val="tx1"/>
            </w14:solidFill>
          </w14:textFill>
        </w:rPr>
        <w:t>广西壮族自治区第五强制隔离戒毒所管理区排洪渠改造</w:t>
      </w:r>
      <w:r>
        <w:rPr>
          <w:rFonts w:hint="eastAsia" w:ascii="仿宋" w:hAnsi="仿宋" w:eastAsia="仿宋" w:cs="仿宋"/>
          <w:sz w:val="24"/>
          <w:szCs w:val="24"/>
        </w:rPr>
        <w:t>主要内容为新建挡土墙，毛石挡土墙、隔离网、混凝土垫层。</w:t>
      </w:r>
      <w:r>
        <w:rPr>
          <w:rFonts w:hint="eastAsia" w:ascii="仿宋" w:hAnsi="仿宋" w:eastAsia="仿宋" w:cs="仿宋"/>
          <w:color w:val="000000" w:themeColor="text1"/>
          <w:sz w:val="24"/>
          <w:szCs w:val="24"/>
          <w14:textFill>
            <w14:solidFill>
              <w14:schemeClr w14:val="tx1"/>
            </w14:solidFill>
          </w14:textFill>
        </w:rPr>
        <w:t>具体详见采购文件“第三章采购需求”技术要求。</w:t>
      </w:r>
    </w:p>
    <w:p w14:paraId="787BAD7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最高限价（如有）：</w:t>
      </w:r>
      <w:r>
        <w:rPr>
          <w:rFonts w:hint="eastAsia" w:ascii="仿宋" w:hAnsi="仿宋" w:eastAsia="仿宋" w:cs="仿宋"/>
          <w:color w:val="000000" w:themeColor="text1"/>
          <w:sz w:val="24"/>
          <w:szCs w:val="24"/>
          <w:lang w:eastAsia="zh-CN"/>
          <w14:textFill>
            <w14:solidFill>
              <w14:schemeClr w14:val="tx1"/>
            </w14:solidFill>
          </w14:textFill>
        </w:rPr>
        <w:t>1132685.36</w:t>
      </w:r>
    </w:p>
    <w:p w14:paraId="747C9D5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合同履约期限：具体详见采购文件“第三章采购需求”商务要求。</w:t>
      </w:r>
    </w:p>
    <w:p w14:paraId="2E1D9FD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本标项（否）接受联合体投标</w:t>
      </w:r>
    </w:p>
    <w:p w14:paraId="64DCAB2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p w14:paraId="7E9259B9">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二、申请人的资格条件</w:t>
      </w:r>
    </w:p>
    <w:p w14:paraId="6C2E8A1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1.满足《中华人民共和国政府采购法》第二十二条规定；</w:t>
      </w:r>
    </w:p>
    <w:p w14:paraId="27585FA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2.落实政府采购政策需满足的资格要求：本项目专门面向</w:t>
      </w:r>
      <w:r>
        <w:rPr>
          <w:rFonts w:hint="eastAsia" w:ascii="仿宋" w:hAnsi="仿宋" w:eastAsia="仿宋" w:cs="仿宋"/>
          <w:color w:val="000000" w:themeColor="text1"/>
          <w:sz w:val="24"/>
          <w:szCs w:val="24"/>
          <w:lang w:val="en-US" w:eastAsia="zh-CN"/>
          <w14:textFill>
            <w14:solidFill>
              <w14:schemeClr w14:val="tx1"/>
            </w14:solidFill>
          </w14:textFill>
        </w:rPr>
        <w:t>小微</w:t>
      </w:r>
      <w:r>
        <w:rPr>
          <w:rFonts w:hint="eastAsia" w:ascii="仿宋" w:hAnsi="仿宋" w:eastAsia="仿宋" w:cs="仿宋"/>
          <w:color w:val="000000" w:themeColor="text1"/>
          <w:sz w:val="24"/>
          <w:szCs w:val="24"/>
          <w14:textFill>
            <w14:solidFill>
              <w14:schemeClr w14:val="tx1"/>
            </w14:solidFill>
          </w14:textFill>
        </w:rPr>
        <w:t>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规定，监狱企业、残疾人福利性单位视同小型、微型企业；</w:t>
      </w:r>
    </w:p>
    <w:p w14:paraId="5A6B930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3.本项目的特定资格要求：</w:t>
      </w:r>
    </w:p>
    <w:p w14:paraId="3C49C2B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【分标1】</w:t>
      </w:r>
    </w:p>
    <w:p w14:paraId="3FF70A0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bookmarkStart w:id="1" w:name="OLE_LINK27"/>
      <w:bookmarkStart w:id="2" w:name="OLE_LINK26"/>
      <w:r>
        <w:rPr>
          <w:rFonts w:hint="eastAsia" w:ascii="仿宋" w:hAnsi="仿宋" w:eastAsia="仿宋" w:cs="仿宋"/>
          <w:color w:val="000000" w:themeColor="text1"/>
          <w:sz w:val="24"/>
          <w:szCs w:val="24"/>
          <w14:textFill>
            <w14:solidFill>
              <w14:schemeClr w14:val="tx1"/>
            </w14:solidFill>
          </w14:textFill>
        </w:rPr>
        <w:t>（1）国内注册（指按国家有关规定要求注册的），具备</w:t>
      </w:r>
      <w:r>
        <w:rPr>
          <w:rFonts w:hint="eastAsia" w:ascii="仿宋" w:hAnsi="仿宋" w:eastAsia="仿宋" w:cs="仿宋"/>
          <w:color w:val="000000" w:themeColor="text1"/>
          <w:sz w:val="24"/>
          <w:szCs w:val="24"/>
          <w:lang w:eastAsia="zh-CN"/>
          <w14:textFill>
            <w14:solidFill>
              <w14:schemeClr w14:val="tx1"/>
            </w14:solidFill>
          </w14:textFill>
        </w:rPr>
        <w:t>市政公用工程施工总承包叁级以上（含叁级）</w:t>
      </w:r>
      <w:r>
        <w:rPr>
          <w:rFonts w:hint="eastAsia" w:ascii="仿宋" w:hAnsi="仿宋" w:eastAsia="仿宋" w:cs="仿宋"/>
          <w:color w:val="000000" w:themeColor="text1"/>
          <w:sz w:val="24"/>
          <w:szCs w:val="24"/>
          <w14:textFill>
            <w14:solidFill>
              <w14:schemeClr w14:val="tx1"/>
            </w14:solidFill>
          </w14:textFill>
        </w:rPr>
        <w:t>资质，同时具备省级及以上建设行政主管部门颁发的安全生产许可证，并在人员、设备、资金等方面具有相应的施工能力的供应商。</w:t>
      </w:r>
    </w:p>
    <w:p w14:paraId="041180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拟派的项目经理须具备市政公用工程专业贰级(含)以上注册建造师执业资格及有效的安全生产考核合格证书（B类）。本项目不接受有在建、已中标未开工或已列为其他项目中标（成交）候选人第一名的建造师作为项目经理（符合《广西壮族自治区建筑市场诚信卡管理暂行办法》第十六条第一款及桂建管﹝2016﹞70号、桂建管〔2020〕11号文除外）。</w:t>
      </w:r>
    </w:p>
    <w:p w14:paraId="30918FF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）供应商拟派至少1名专职安全生产管理人员，专职安全生产管理人员须具备有效的安全生产考核合格证书（C类）。</w:t>
      </w:r>
    </w:p>
    <w:p w14:paraId="186F2BEE">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三、获取采购文件</w:t>
      </w:r>
    </w:p>
    <w:p w14:paraId="77D76D6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时间：2025年</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日至2025年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日，每天上午00：00至11：59，下午12：00至23：59（北京时间，法定节假日除外）</w:t>
      </w:r>
    </w:p>
    <w:bookmarkEnd w:id="1"/>
    <w:bookmarkEnd w:id="2"/>
    <w:p w14:paraId="1FFCDB2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地点（网址）：广西政府采购云平台（https：//www.gcy.zfcg.gxzf.gov.cn/）线上获取。</w:t>
      </w:r>
    </w:p>
    <w:p w14:paraId="10362BB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方式：网上下载。本项目不提供纸质文件，潜在供应商可自行在广西政府采购云平台（https：//www.gcy.zfcg.gxzf.gov.cn/）下载采购文件及附件（操作路径：登录广西政府采购云平台-项目采购-获取采购文件-找到本项目-点击“申请获取采购文件”），按系统操作获取采购文件。电子响应文件制作需要基于广西政府采购云平台获取的采购文件编制，通过其他方式获取采购文件的，将有可能导致供应商无法在广西政府采购云平台编制及上传响应文件。</w:t>
      </w:r>
    </w:p>
    <w:p w14:paraId="7C20736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售价：0元。</w:t>
      </w:r>
    </w:p>
    <w:p w14:paraId="1A4F5CB8">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四、响应文件提交</w:t>
      </w:r>
    </w:p>
    <w:p w14:paraId="1898117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截止时间：2025年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日</w:t>
      </w:r>
      <w:bookmarkStart w:id="3" w:name="OLE_LINK14"/>
      <w:bookmarkStart w:id="4" w:name="OLE_LINK13"/>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：00</w:t>
      </w:r>
      <w:bookmarkEnd w:id="3"/>
      <w:bookmarkEnd w:id="4"/>
      <w:r>
        <w:rPr>
          <w:rFonts w:hint="eastAsia" w:ascii="仿宋" w:hAnsi="仿宋" w:eastAsia="仿宋" w:cs="仿宋"/>
          <w:color w:val="000000" w:themeColor="text1"/>
          <w:sz w:val="24"/>
          <w:szCs w:val="24"/>
          <w14:textFill>
            <w14:solidFill>
              <w14:schemeClr w14:val="tx1"/>
            </w14:solidFill>
          </w14:textFill>
        </w:rPr>
        <w:t>（北京时间）</w:t>
      </w:r>
    </w:p>
    <w:p w14:paraId="741D8F0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地点（网址）：广西政府采购云平台（https：//www.gcy.zfcg.gxzf.gov.cn/）投标客户端</w:t>
      </w:r>
    </w:p>
    <w:p w14:paraId="787A1837">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五、响应文件开启</w:t>
      </w:r>
    </w:p>
    <w:p w14:paraId="06757C2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开启时间：2025年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日</w:t>
      </w: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：00（北京时间）</w:t>
      </w:r>
    </w:p>
    <w:p w14:paraId="714B715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地点：广西政府采购云平台（https：//www.gcy.zfcg.gxzf.gov.cn/）投标客户端</w:t>
      </w:r>
    </w:p>
    <w:p w14:paraId="04D84F2B">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六、公告期限</w:t>
      </w:r>
    </w:p>
    <w:p w14:paraId="3AD84AF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自本公告发布之日起3个工作日。</w:t>
      </w:r>
    </w:p>
    <w:p w14:paraId="29429DCB">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七、其他补充事宜</w:t>
      </w:r>
    </w:p>
    <w:p w14:paraId="0E9C2EE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1.谈判保证金：（大写）人民币壹万</w:t>
      </w:r>
      <w:r>
        <w:rPr>
          <w:rFonts w:hint="eastAsia" w:ascii="仿宋" w:hAnsi="仿宋" w:eastAsia="仿宋" w:cs="仿宋"/>
          <w:color w:val="000000" w:themeColor="text1"/>
          <w:sz w:val="24"/>
          <w:szCs w:val="24"/>
          <w:lang w:val="en-US" w:eastAsia="zh-CN"/>
          <w14:textFill>
            <w14:solidFill>
              <w14:schemeClr w14:val="tx1"/>
            </w14:solidFill>
          </w14:textFill>
        </w:rPr>
        <w:t>壹</w:t>
      </w:r>
      <w:r>
        <w:rPr>
          <w:rFonts w:hint="eastAsia" w:ascii="仿宋" w:hAnsi="仿宋" w:eastAsia="仿宋" w:cs="仿宋"/>
          <w:color w:val="000000" w:themeColor="text1"/>
          <w:sz w:val="24"/>
          <w:szCs w:val="24"/>
          <w14:textFill>
            <w14:solidFill>
              <w14:schemeClr w14:val="tx1"/>
            </w14:solidFill>
          </w14:textFill>
        </w:rPr>
        <w:t>仟元整（小写）¥1</w:t>
      </w: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000.00。</w:t>
      </w:r>
    </w:p>
    <w:p w14:paraId="62C167A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谈判保证金的缴纳方式：银行转账、支票、汇票、本票或者银行、保险机构出具的保函（包含电子保函），禁止采用现钞方式。采用银行转账方式的，在响应文件提交截止时间前交至指定账户并且到账（开户名称：广西科文招标有限公司，开户银行：</w:t>
      </w:r>
      <w:r>
        <w:rPr>
          <w:rFonts w:hint="eastAsia" w:ascii="仿宋" w:hAnsi="仿宋" w:eastAsia="仿宋" w:cs="仿宋"/>
          <w:color w:val="000000" w:themeColor="text1"/>
          <w:sz w:val="24"/>
          <w:szCs w:val="24"/>
          <w:lang w:eastAsia="zh-CN"/>
          <w14:textFill>
            <w14:solidFill>
              <w14:schemeClr w14:val="tx1"/>
            </w14:solidFill>
          </w14:textFill>
        </w:rPr>
        <w:t>中国工商银行桂林市桂湖支行</w:t>
      </w:r>
      <w:r>
        <w:rPr>
          <w:rFonts w:hint="eastAsia" w:ascii="仿宋" w:hAnsi="仿宋" w:eastAsia="仿宋" w:cs="仿宋"/>
          <w:color w:val="000000" w:themeColor="text1"/>
          <w:sz w:val="24"/>
          <w:szCs w:val="24"/>
          <w14:textFill>
            <w14:solidFill>
              <w14:schemeClr w14:val="tx1"/>
            </w14:solidFill>
          </w14:textFill>
        </w:rPr>
        <w:t>，银行账号：</w:t>
      </w:r>
      <w:r>
        <w:rPr>
          <w:rFonts w:hint="eastAsia" w:ascii="仿宋" w:hAnsi="仿宋" w:eastAsia="仿宋" w:cs="仿宋"/>
          <w:color w:val="000000" w:themeColor="text1"/>
          <w:sz w:val="24"/>
          <w:szCs w:val="24"/>
          <w:lang w:eastAsia="zh-CN"/>
          <w14:textFill>
            <w14:solidFill>
              <w14:schemeClr w14:val="tx1"/>
            </w14:solidFill>
          </w14:textFill>
        </w:rPr>
        <w:t>210 3200 2093 0000 2088</w:t>
      </w:r>
      <w:r>
        <w:rPr>
          <w:rFonts w:hint="eastAsia" w:ascii="仿宋" w:hAnsi="仿宋" w:eastAsia="仿宋" w:cs="仿宋"/>
          <w:color w:val="000000" w:themeColor="text1"/>
          <w:sz w:val="24"/>
          <w:szCs w:val="24"/>
          <w14:textFill>
            <w14:solidFill>
              <w14:schemeClr w14:val="tx1"/>
            </w14:solidFill>
          </w14:textFill>
        </w:rPr>
        <w:t>）；采用支票、汇票、本票或者保函等方式的，在响应文件提交截止时间前，供应商必须提交单独密封的支票、汇票、本票或者保函（电子保函除外）原件给采购代理机构。否则视为无效竞标保证金。</w:t>
      </w:r>
    </w:p>
    <w:p w14:paraId="644D4FC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.网上查询地址：中国政府采购网（http://www.ccgp.gov.cn/）、广西政府采购网（http：//zfcg.gxzf.gov.cn）。</w:t>
      </w:r>
    </w:p>
    <w:p w14:paraId="2A2F340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.本项目需要落实的政府采购政策</w:t>
      </w:r>
    </w:p>
    <w:p w14:paraId="6FC7A02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（1）政府采购促进中小企业发展的政策。</w:t>
      </w:r>
    </w:p>
    <w:p w14:paraId="6A82BD8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（2）政府采购支持采用本国产品</w:t>
      </w:r>
      <w:bookmarkStart w:id="5" w:name="OLE_LINK96"/>
      <w:bookmarkStart w:id="6" w:name="OLE_LINK95"/>
      <w:r>
        <w:rPr>
          <w:rFonts w:hint="eastAsia" w:ascii="仿宋" w:hAnsi="仿宋" w:eastAsia="仿宋" w:cs="仿宋"/>
          <w:color w:val="000000" w:themeColor="text1"/>
          <w:sz w:val="24"/>
          <w:szCs w:val="24"/>
          <w14:textFill>
            <w14:solidFill>
              <w14:schemeClr w14:val="tx1"/>
            </w14:solidFill>
          </w14:textFill>
        </w:rPr>
        <w:t>的政策</w:t>
      </w:r>
      <w:bookmarkEnd w:id="5"/>
      <w:bookmarkEnd w:id="6"/>
      <w:r>
        <w:rPr>
          <w:rFonts w:hint="eastAsia" w:ascii="仿宋" w:hAnsi="仿宋" w:eastAsia="仿宋" w:cs="仿宋"/>
          <w:color w:val="000000" w:themeColor="text1"/>
          <w:sz w:val="24"/>
          <w:szCs w:val="24"/>
          <w14:textFill>
            <w14:solidFill>
              <w14:schemeClr w14:val="tx1"/>
            </w14:solidFill>
          </w14:textFill>
        </w:rPr>
        <w:t>。</w:t>
      </w:r>
    </w:p>
    <w:p w14:paraId="5C955D2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（3）强制采购节能产品；优先采购节能产品、环境标志产品的政策。</w:t>
      </w:r>
    </w:p>
    <w:p w14:paraId="39A5FD2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（4）政府采购促进残疾人就业的政策。</w:t>
      </w:r>
    </w:p>
    <w:p w14:paraId="69ED9CA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（5）政府采购支持监狱企业发展的政策。</w:t>
      </w:r>
    </w:p>
    <w:p w14:paraId="627F145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.供应商没有处于被政府责令停业的状态。供应商没有被采购人列入供应商“黑名单”。</w:t>
      </w:r>
    </w:p>
    <w:p w14:paraId="4AC6CE4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.供应商在参加政府采购活动前三年内，履行与采购人或者与采购人存在管理关系的单位的采购合同时，发生过重大违约且未及时采取合理补救措施的，不得参与本次采购活动。</w:t>
      </w:r>
    </w:p>
    <w:p w14:paraId="3DCF35F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BF078C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根据财政部《关于在政府采购活动中查询及使用信用记录有关问题的通知》（财库〔2016〕125号）的规定，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B45029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.在线竞标的有关说明：</w:t>
      </w:r>
    </w:p>
    <w:p w14:paraId="7B84E67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51AFFE8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w:t>
      </w:r>
    </w:p>
    <w:p w14:paraId="2DA127A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（3）为确保网上操作合法、有效和安全，请供应商确保在电子响应过程中能够对相关数据电文进行加密和使用电子签章，妥善保管CA数字证书并使用有效的CA数字证书参与整个采购活动。</w:t>
      </w:r>
    </w:p>
    <w:p w14:paraId="74BD61E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76E4A11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（4）CA证书在线解密：首次响应文件开启时，需要供应商携带制作响应文件时用来加密的有效数字证书（CA认证）登录广西政府采购云平台电子开标大厅现场按规定时间对加密的响应文件进行解密。</w:t>
      </w:r>
    </w:p>
    <w:p w14:paraId="792CCFD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（5）供应商需要在具备有摄像头及语音功能且互联网网络状况良好的电脑登录广西</w:t>
      </w:r>
      <w:bookmarkStart w:id="274" w:name="_GoBack"/>
      <w:bookmarkEnd w:id="274"/>
      <w:r>
        <w:rPr>
          <w:rFonts w:hint="eastAsia" w:ascii="仿宋" w:hAnsi="仿宋" w:eastAsia="仿宋" w:cs="仿宋"/>
          <w:color w:val="000000" w:themeColor="text1"/>
          <w:sz w:val="24"/>
          <w:szCs w:val="24"/>
          <w14:textFill>
            <w14:solidFill>
              <w14:schemeClr w14:val="tx1"/>
            </w14:solidFill>
          </w14:textFill>
        </w:rPr>
        <w:t>政府采购云平台远程开标大厅参与本次谈判，否则后果自负。</w:t>
      </w:r>
    </w:p>
    <w:p w14:paraId="4266CB6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10.若对项目采购电子交易系统操作有疑问，可登录</w:t>
      </w:r>
      <w:bookmarkStart w:id="7" w:name="OLE_LINK98"/>
      <w:bookmarkStart w:id="8" w:name="OLE_LINK97"/>
      <w:r>
        <w:rPr>
          <w:rFonts w:hint="eastAsia" w:ascii="仿宋" w:hAnsi="仿宋" w:eastAsia="仿宋" w:cs="仿宋"/>
          <w:color w:val="000000" w:themeColor="text1"/>
          <w:sz w:val="24"/>
          <w:szCs w:val="24"/>
          <w14:textFill>
            <w14:solidFill>
              <w14:schemeClr w14:val="tx1"/>
            </w14:solidFill>
          </w14:textFill>
        </w:rPr>
        <w:t>广西政府采购云平台</w:t>
      </w:r>
      <w:bookmarkEnd w:id="7"/>
      <w:bookmarkEnd w:id="8"/>
      <w:r>
        <w:rPr>
          <w:rFonts w:hint="eastAsia" w:ascii="仿宋" w:hAnsi="仿宋" w:eastAsia="仿宋" w:cs="仿宋"/>
          <w:color w:val="000000" w:themeColor="text1"/>
          <w:sz w:val="24"/>
          <w:szCs w:val="24"/>
          <w14:textFill>
            <w14:solidFill>
              <w14:schemeClr w14:val="tx1"/>
            </w14:solidFill>
          </w14:textFill>
        </w:rPr>
        <w:t>（https：//www.gcy.zfcg.gxzf.gov.cn/），点击右侧咨询小采，获取采小蜜智能服务管家帮助，或拨打广西政府采购云平台服务热线95763获取热线服务帮助。</w:t>
      </w:r>
    </w:p>
    <w:p w14:paraId="22724687">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八、凡对本次采购提出询问，请按以下方式联系</w:t>
      </w:r>
    </w:p>
    <w:p w14:paraId="3B1BE75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1.采购人信息</w:t>
      </w:r>
    </w:p>
    <w:p w14:paraId="6C8AE25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r>
        <w:rPr>
          <w:rFonts w:hint="eastAsia" w:ascii="仿宋" w:hAnsi="仿宋" w:eastAsia="仿宋" w:cs="仿宋"/>
          <w:color w:val="000000" w:themeColor="text1"/>
          <w:sz w:val="24"/>
          <w:szCs w:val="24"/>
          <w:lang w:eastAsia="zh-CN"/>
          <w14:textFill>
            <w14:solidFill>
              <w14:schemeClr w14:val="tx1"/>
            </w14:solidFill>
          </w14:textFill>
        </w:rPr>
        <w:t>广西壮族自治区第五强制隔离戒毒所</w:t>
      </w:r>
    </w:p>
    <w:p w14:paraId="3B45E0B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w:t>
      </w:r>
      <w:bookmarkStart w:id="9" w:name="OLE_LINK176"/>
      <w:bookmarkStart w:id="10" w:name="OLE_LINK175"/>
      <w:bookmarkStart w:id="11" w:name="OLE_LINK53"/>
      <w:r>
        <w:rPr>
          <w:rFonts w:hint="eastAsia" w:ascii="仿宋" w:hAnsi="仿宋" w:eastAsia="仿宋" w:cs="仿宋"/>
          <w:color w:val="auto"/>
          <w:sz w:val="24"/>
          <w:szCs w:val="24"/>
          <w:highlight w:val="none"/>
          <w:lang w:val="en-US" w:eastAsia="zh-CN"/>
        </w:rPr>
        <w:t>桂林市七星区横塘路31号</w:t>
      </w:r>
      <w:bookmarkEnd w:id="9"/>
      <w:bookmarkEnd w:id="10"/>
      <w:bookmarkEnd w:id="11"/>
    </w:p>
    <w:p w14:paraId="7B7FB42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项目联系人：</w:t>
      </w:r>
      <w:r>
        <w:rPr>
          <w:rFonts w:hint="eastAsia" w:ascii="仿宋" w:hAnsi="仿宋" w:eastAsia="仿宋" w:cs="仿宋"/>
          <w:color w:val="auto"/>
          <w:sz w:val="24"/>
          <w:szCs w:val="24"/>
          <w:highlight w:val="none"/>
          <w:lang w:val="en-US" w:eastAsia="zh-CN"/>
        </w:rPr>
        <w:t>罗警官</w:t>
      </w:r>
    </w:p>
    <w:p w14:paraId="4F81063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项目联系方式：</w:t>
      </w:r>
      <w:r>
        <w:rPr>
          <w:rFonts w:hint="eastAsia" w:ascii="仿宋" w:hAnsi="仿宋" w:eastAsia="仿宋" w:cs="仿宋"/>
          <w:color w:val="auto"/>
          <w:sz w:val="24"/>
          <w:szCs w:val="24"/>
          <w:highlight w:val="none"/>
          <w:lang w:val="en-US" w:eastAsia="zh-CN"/>
        </w:rPr>
        <w:t>0773-2124825</w:t>
      </w:r>
    </w:p>
    <w:p w14:paraId="57F5B06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2.采购代理机构信息</w:t>
      </w:r>
    </w:p>
    <w:p w14:paraId="0AE2060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名称：广西科文招标有限公司</w:t>
      </w:r>
    </w:p>
    <w:p w14:paraId="2EF986B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w:t>
      </w:r>
      <w:r>
        <w:rPr>
          <w:rFonts w:hint="eastAsia" w:ascii="仿宋" w:hAnsi="仿宋" w:eastAsia="仿宋" w:cs="仿宋"/>
          <w:color w:val="auto"/>
          <w:sz w:val="24"/>
          <w:szCs w:val="24"/>
          <w:highlight w:val="none"/>
          <w:lang w:val="en-US" w:eastAsia="zh-CN"/>
        </w:rPr>
        <w:t>桂林市七星区穿山东路41号彰泰•天街V+国际中心1#楼八层802号</w:t>
      </w:r>
    </w:p>
    <w:p w14:paraId="5960B68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项目联系人：</w:t>
      </w:r>
      <w:r>
        <w:rPr>
          <w:rFonts w:hint="eastAsia" w:ascii="仿宋" w:hAnsi="仿宋" w:eastAsia="仿宋" w:cs="仿宋"/>
          <w:kern w:val="0"/>
          <w:sz w:val="24"/>
          <w:szCs w:val="24"/>
          <w:lang w:val="en-US" w:eastAsia="zh-CN"/>
        </w:rPr>
        <w:t>潘虹、刘巧云</w:t>
      </w:r>
    </w:p>
    <w:p w14:paraId="3570AB0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项目联系方式：</w:t>
      </w:r>
      <w:r>
        <w:rPr>
          <w:rFonts w:hint="eastAsia" w:ascii="仿宋" w:hAnsi="仿宋" w:eastAsia="仿宋" w:cs="仿宋"/>
          <w:kern w:val="0"/>
          <w:sz w:val="24"/>
          <w:szCs w:val="24"/>
          <w:lang w:val="en-US" w:eastAsia="zh-CN"/>
        </w:rPr>
        <w:t>0773-8998063</w:t>
      </w:r>
    </w:p>
    <w:p w14:paraId="037F5319">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代理机构名称：广西科文招标有限公司</w:t>
      </w:r>
    </w:p>
    <w:p w14:paraId="7318AC72">
      <w:pPr>
        <w:spacing w:line="360" w:lineRule="auto"/>
        <w:ind w:firstLine="48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日期：2025年</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日</w:t>
      </w:r>
    </w:p>
    <w:p w14:paraId="6229395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footerReference r:id="rId4" w:type="default"/>
          <w:pgSz w:w="11906" w:h="16838"/>
          <w:pgMar w:top="1440" w:right="1134" w:bottom="1440" w:left="1418" w:header="851" w:footer="992" w:gutter="0"/>
          <w:pgNumType w:fmt="decimal" w:start="1"/>
          <w:cols w:space="425" w:num="1"/>
          <w:docGrid w:type="lines" w:linePitch="312" w:charSpace="0"/>
        </w:sectPr>
      </w:pPr>
    </w:p>
    <w:p w14:paraId="4834A6FE">
      <w:pPr>
        <w:pStyle w:val="3"/>
        <w:jc w:val="center"/>
        <w:rPr>
          <w:rFonts w:hint="eastAsia" w:ascii="仿宋" w:hAnsi="仿宋" w:eastAsia="仿宋" w:cs="仿宋"/>
          <w:color w:val="000000" w:themeColor="text1"/>
          <w14:textFill>
            <w14:solidFill>
              <w14:schemeClr w14:val="tx1"/>
            </w14:solidFill>
          </w14:textFill>
        </w:rPr>
      </w:pPr>
      <w:bookmarkStart w:id="12" w:name="_Toc193815604"/>
      <w:r>
        <w:rPr>
          <w:rFonts w:hint="eastAsia" w:ascii="仿宋" w:hAnsi="仿宋" w:eastAsia="仿宋" w:cs="仿宋"/>
          <w:color w:val="000000" w:themeColor="text1"/>
          <w14:textFill>
            <w14:solidFill>
              <w14:schemeClr w14:val="tx1"/>
            </w14:solidFill>
          </w14:textFill>
        </w:rPr>
        <w:t>第二</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供应商须知</w:t>
      </w:r>
      <w:bookmarkEnd w:id="12"/>
    </w:p>
    <w:p w14:paraId="7E78710D">
      <w:pPr>
        <w:pStyle w:val="2"/>
        <w:jc w:val="center"/>
        <w:rPr>
          <w:rFonts w:hint="eastAsia" w:ascii="仿宋" w:hAnsi="仿宋" w:eastAsia="仿宋" w:cs="仿宋"/>
          <w:color w:val="000000" w:themeColor="text1"/>
          <w14:textFill>
            <w14:solidFill>
              <w14:schemeClr w14:val="tx1"/>
            </w14:solidFill>
          </w14:textFill>
        </w:rPr>
      </w:pPr>
      <w:bookmarkStart w:id="13" w:name="_Toc193815605"/>
      <w:r>
        <w:rPr>
          <w:rFonts w:hint="eastAsia" w:ascii="仿宋" w:hAnsi="仿宋" w:eastAsia="仿宋" w:cs="仿宋"/>
          <w:color w:val="000000" w:themeColor="text1"/>
          <w14:textFill>
            <w14:solidFill>
              <w14:schemeClr w14:val="tx1"/>
            </w14:solidFill>
          </w14:textFill>
        </w:rPr>
        <w:t>一、供应商须知前附表</w:t>
      </w:r>
      <w:bookmarkEnd w:id="13"/>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356"/>
      </w:tblGrid>
      <w:tr w14:paraId="2D7B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3BA0C941">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条款号</w:t>
            </w:r>
          </w:p>
        </w:tc>
        <w:tc>
          <w:tcPr>
            <w:tcW w:w="8356" w:type="dxa"/>
            <w:vAlign w:val="center"/>
          </w:tcPr>
          <w:p w14:paraId="17D0FE57">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内容</w:t>
            </w:r>
          </w:p>
        </w:tc>
      </w:tr>
      <w:tr w14:paraId="6042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3D2D3DE3">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8356" w:type="dxa"/>
            <w:vAlign w:val="center"/>
          </w:tcPr>
          <w:p w14:paraId="45839B26">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1.供应商的资格条件：详见竞争性谈判公告</w:t>
            </w:r>
          </w:p>
          <w:p w14:paraId="1505EA1D">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2.供应商出现下列情形之一的，不得参加政府采购活动：</w:t>
            </w:r>
          </w:p>
          <w:p w14:paraId="7F42AFCC">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A013738">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EAD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08276C18">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w:t>
            </w:r>
          </w:p>
        </w:tc>
        <w:tc>
          <w:tcPr>
            <w:tcW w:w="8356" w:type="dxa"/>
            <w:vAlign w:val="center"/>
          </w:tcPr>
          <w:p w14:paraId="5215D5B8">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是否接受联合体竞标：详见竞争性谈判公告。</w:t>
            </w:r>
          </w:p>
        </w:tc>
      </w:tr>
      <w:tr w14:paraId="2EFB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0205D0C1">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w:t>
            </w:r>
          </w:p>
        </w:tc>
        <w:tc>
          <w:tcPr>
            <w:tcW w:w="8356" w:type="dxa"/>
            <w:vAlign w:val="center"/>
          </w:tcPr>
          <w:p w14:paraId="2D47AB0B">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本项目不接受联合体竞标。</w:t>
            </w:r>
          </w:p>
        </w:tc>
      </w:tr>
      <w:tr w14:paraId="58FA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59FD431B">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w:t>
            </w:r>
          </w:p>
        </w:tc>
        <w:tc>
          <w:tcPr>
            <w:tcW w:w="8356" w:type="dxa"/>
            <w:vAlign w:val="center"/>
          </w:tcPr>
          <w:p w14:paraId="604940E8">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sym w:font="Wingdings 2" w:char="F052"/>
            </w:r>
            <w:r>
              <w:rPr>
                <w:rFonts w:hint="eastAsia" w:ascii="仿宋" w:hAnsi="仿宋" w:eastAsia="仿宋" w:cs="仿宋"/>
                <w:color w:val="000000" w:themeColor="text1"/>
                <w:sz w:val="24"/>
                <w:szCs w:val="24"/>
                <w14:textFill>
                  <w14:solidFill>
                    <w14:schemeClr w14:val="tx1"/>
                  </w14:solidFill>
                </w14:textFill>
              </w:rPr>
              <w:t>不允许分包</w:t>
            </w:r>
          </w:p>
          <w:p w14:paraId="6AA0C435">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□允许分包</w:t>
            </w:r>
          </w:p>
          <w:p w14:paraId="2AB245CF">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分包内容：________。</w:t>
            </w:r>
          </w:p>
          <w:p w14:paraId="14C221CB">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分包金额或者比例：________。</w:t>
            </w:r>
          </w:p>
          <w:p w14:paraId="5738D582">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分包供应商必须具备的资质：________。</w:t>
            </w:r>
          </w:p>
        </w:tc>
      </w:tr>
      <w:tr w14:paraId="2D26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46C25F71">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12.1.1</w:t>
            </w:r>
          </w:p>
        </w:tc>
        <w:tc>
          <w:tcPr>
            <w:tcW w:w="8356" w:type="dxa"/>
            <w:vAlign w:val="center"/>
          </w:tcPr>
          <w:p w14:paraId="0826795D">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资格证明文件</w:t>
            </w:r>
          </w:p>
          <w:p w14:paraId="63165D15">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1.供应商法人或者其他组织的提供其营业执照等证明文件复印件（如营业执照或者事业单位法人证书或者执业许可证等）；供应商为自然人的，证明文件为其身份证复印件；</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6EF98077">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2.供应商依法缴纳税收的相关材料（</w:t>
            </w:r>
            <w:bookmarkStart w:id="14" w:name="OLE_LINK10"/>
            <w:bookmarkStart w:id="15" w:name="OLE_LINK9"/>
            <w:r>
              <w:rPr>
                <w:rFonts w:hint="eastAsia" w:ascii="仿宋" w:hAnsi="仿宋" w:eastAsia="仿宋" w:cs="仿宋"/>
                <w:color w:val="000000" w:themeColor="text1"/>
                <w:sz w:val="24"/>
                <w:szCs w:val="24"/>
                <w14:textFill>
                  <w14:solidFill>
                    <w14:schemeClr w14:val="tx1"/>
                  </w14:solidFill>
                </w14:textFill>
              </w:rPr>
              <w:t>竞标截止日期前半年</w:t>
            </w:r>
            <w:bookmarkEnd w:id="14"/>
            <w:bookmarkEnd w:id="15"/>
            <w:r>
              <w:rPr>
                <w:rFonts w:hint="eastAsia" w:ascii="仿宋" w:hAnsi="仿宋" w:eastAsia="仿宋" w:cs="仿宋"/>
                <w:color w:val="000000" w:themeColor="text1"/>
                <w:sz w:val="24"/>
                <w:szCs w:val="24"/>
                <w14:textFill>
                  <w14:solidFill>
                    <w14:schemeClr w14:val="tx1"/>
                  </w14:solidFill>
                </w14:textFill>
              </w:rPr>
              <w:t>内任意连续三个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7BE4ACC7">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依法缴纳社会保障资金的相关材料[竞标截止日期前半年内任意连续三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5B8D019A">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4.供应商财务状况报告（</w:t>
            </w:r>
            <w:r>
              <w:rPr>
                <w:rFonts w:hint="eastAsia" w:ascii="仿宋" w:hAnsi="仿宋" w:eastAsia="仿宋" w:cs="仿宋"/>
                <w:color w:val="000000" w:themeColor="text1"/>
                <w:sz w:val="24"/>
                <w:szCs w:val="24"/>
                <w:lang w:eastAsia="zh-CN"/>
                <w14:textFill>
                  <w14:solidFill>
                    <w14:schemeClr w14:val="tx1"/>
                  </w14:solidFill>
                </w14:textFill>
              </w:rPr>
              <w:t>2024年度财务报表复</w:t>
            </w:r>
            <w:r>
              <w:rPr>
                <w:rFonts w:hint="eastAsia" w:ascii="仿宋" w:hAnsi="仿宋" w:eastAsia="仿宋" w:cs="仿宋"/>
                <w:color w:val="000000" w:themeColor="text1"/>
                <w:sz w:val="24"/>
                <w:szCs w:val="24"/>
                <w14:textFill>
                  <w14:solidFill>
                    <w14:schemeClr w14:val="tx1"/>
                  </w14:solidFill>
                </w14:textFill>
              </w:rPr>
              <w:t>印件，或者银行出具的资信证明，或者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得超过一年）；</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0CF78EE2">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5.供应商直接控股、管理关系信息表（格式后附）；</w:t>
            </w:r>
            <w:r>
              <w:rPr>
                <w:rFonts w:hint="eastAsia" w:ascii="仿宋" w:hAnsi="仿宋" w:eastAsia="仿宋" w:cs="仿宋"/>
                <w:b/>
                <w:color w:val="000000" w:themeColor="text1"/>
                <w:sz w:val="24"/>
                <w:szCs w:val="24"/>
                <w14:textFill>
                  <w14:solidFill>
                    <w14:schemeClr w14:val="tx1"/>
                  </w14:solidFill>
                </w14:textFill>
              </w:rPr>
              <w:t>（必须提供，否则响应文件按无效</w:t>
            </w:r>
            <w:bookmarkStart w:id="16" w:name="OLE_LINK25"/>
            <w:bookmarkStart w:id="17" w:name="OLE_LINK24"/>
            <w:r>
              <w:rPr>
                <w:rFonts w:hint="eastAsia" w:ascii="仿宋" w:hAnsi="仿宋" w:eastAsia="仿宋" w:cs="仿宋"/>
                <w:b/>
                <w:color w:val="000000" w:themeColor="text1"/>
                <w:sz w:val="24"/>
                <w:szCs w:val="24"/>
                <w14:textFill>
                  <w14:solidFill>
                    <w14:schemeClr w14:val="tx1"/>
                  </w14:solidFill>
                </w14:textFill>
              </w:rPr>
              <w:t>响应</w:t>
            </w:r>
            <w:bookmarkEnd w:id="16"/>
            <w:bookmarkEnd w:id="17"/>
            <w:r>
              <w:rPr>
                <w:rFonts w:hint="eastAsia" w:ascii="仿宋" w:hAnsi="仿宋" w:eastAsia="仿宋" w:cs="仿宋"/>
                <w:b/>
                <w:color w:val="000000" w:themeColor="text1"/>
                <w:sz w:val="24"/>
                <w:szCs w:val="24"/>
                <w14:textFill>
                  <w14:solidFill>
                    <w14:schemeClr w14:val="tx1"/>
                  </w14:solidFill>
                </w14:textFill>
              </w:rPr>
              <w:t>处理）</w:t>
            </w:r>
          </w:p>
          <w:p w14:paraId="397B2D31">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6.竞标声明（格式后附）；</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5126E469">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7.采购人或采购代理机构根据竞争性谈判公告对应的特定资格要求及特定条件设置供应商提供的资格证明材料：</w:t>
            </w:r>
          </w:p>
          <w:p w14:paraId="2869EF47">
            <w:pPr>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（1）国内注册（指按国家有关规定要求注册的），具备</w:t>
            </w:r>
            <w:r>
              <w:rPr>
                <w:rFonts w:hint="eastAsia" w:ascii="仿宋" w:hAnsi="仿宋" w:eastAsia="仿宋" w:cs="仿宋"/>
                <w:color w:val="000000" w:themeColor="text1"/>
                <w:sz w:val="24"/>
                <w:szCs w:val="24"/>
                <w:lang w:eastAsia="zh-CN"/>
                <w14:textFill>
                  <w14:solidFill>
                    <w14:schemeClr w14:val="tx1"/>
                  </w14:solidFill>
                </w14:textFill>
              </w:rPr>
              <w:t>市政公用工程施工总承包叁级以上（含叁级）</w:t>
            </w:r>
            <w:r>
              <w:rPr>
                <w:rFonts w:hint="eastAsia" w:ascii="仿宋" w:hAnsi="仿宋" w:eastAsia="仿宋" w:cs="仿宋"/>
                <w:color w:val="000000" w:themeColor="text1"/>
                <w:sz w:val="24"/>
                <w:szCs w:val="24"/>
                <w14:textFill>
                  <w14:solidFill>
                    <w14:schemeClr w14:val="tx1"/>
                  </w14:solidFill>
                </w14:textFill>
              </w:rPr>
              <w:t>资质，同时具备省级及以上建设行政主管部门颁发的安全生产许可证，并在人员、设备、资金等方面具有相应的施工能力的供应商。</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73563925">
            <w:pPr>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拟派的项目经理须具备市政公用工程专业贰级(含)以上注册建造师执业资格及有效的安全生产考核合格证书（B类）。本项目不接受有在建、已中标未开工或已列为其他项目中标（成交）候选人第一名的建造师作为项目经理（符合《广西壮族自治区建筑市场诚信卡管理暂行办法》第十六条第一款及桂建管﹝2016﹞70号、桂建管〔2020〕11号文除外）。</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0A393A40">
            <w:pPr>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lang w:val="en-US" w:eastAsia="zh-CN"/>
                <w14:textFill>
                  <w14:solidFill>
                    <w14:schemeClr w14:val="tx1"/>
                  </w14:solidFill>
                </w14:textFill>
              </w:rPr>
              <w:t>3</w:t>
            </w:r>
            <w:r>
              <w:rPr>
                <w:rFonts w:hint="eastAsia" w:ascii="仿宋" w:hAnsi="仿宋" w:eastAsia="仿宋" w:cs="仿宋"/>
                <w:b w:val="0"/>
                <w:bCs/>
                <w:color w:val="000000" w:themeColor="text1"/>
                <w:sz w:val="24"/>
                <w:szCs w:val="24"/>
                <w:lang w:eastAsia="zh-CN"/>
                <w14:textFill>
                  <w14:solidFill>
                    <w14:schemeClr w14:val="tx1"/>
                  </w14:solidFill>
                </w14:textFill>
              </w:rPr>
              <w:t>）供应商拟派至少1名专职安全生产管理人员，专职安全生产管理人员须具备有效的安全生产考核合格证书（C类）。</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1F0EE415">
            <w:pPr>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）中小企业声明函或残疾人福利性单位声明函或监狱企业证明（由省级以上监狱管理局、戒毒管理局（含新疆生产建设兵团）出具的属于监狱企业的证明文件）。</w:t>
            </w:r>
            <w:bookmarkStart w:id="18" w:name="OLE_LINK130"/>
            <w:bookmarkStart w:id="19" w:name="OLE_LINK131"/>
            <w:r>
              <w:rPr>
                <w:rFonts w:hint="eastAsia" w:ascii="仿宋" w:hAnsi="仿宋" w:eastAsia="仿宋" w:cs="仿宋"/>
                <w:b w:val="0"/>
                <w:bCs/>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r>
              <w:rPr>
                <w:rFonts w:hint="eastAsia" w:ascii="仿宋" w:hAnsi="仿宋" w:eastAsia="仿宋" w:cs="仿宋"/>
                <w:b w:val="0"/>
                <w:bCs/>
                <w:color w:val="000000" w:themeColor="text1"/>
                <w:sz w:val="24"/>
                <w:szCs w:val="24"/>
                <w14:textFill>
                  <w14:solidFill>
                    <w14:schemeClr w14:val="tx1"/>
                  </w14:solidFill>
                </w14:textFill>
              </w:rPr>
              <w:t>）</w:t>
            </w:r>
            <w:bookmarkEnd w:id="18"/>
            <w:bookmarkEnd w:id="19"/>
          </w:p>
          <w:p w14:paraId="282C31D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8.承诺书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44BD2E55">
            <w:pPr>
              <w:spacing w:line="360" w:lineRule="auto"/>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bookmarkStart w:id="20" w:name="OLE_LINK28"/>
            <w:bookmarkStart w:id="21" w:name="OLE_LINK32"/>
            <w:r>
              <w:rPr>
                <w:rFonts w:hint="eastAsia" w:ascii="仿宋" w:hAnsi="仿宋" w:eastAsia="仿宋" w:cs="仿宋"/>
                <w:color w:val="000000" w:themeColor="text1"/>
                <w:sz w:val="24"/>
                <w:szCs w:val="24"/>
                <w14:textFill>
                  <w14:solidFill>
                    <w14:schemeClr w14:val="tx1"/>
                  </w14:solidFill>
                </w14:textFill>
              </w:rPr>
              <w:t>除谈判文件规定必须提供以外，供应商认为需要提供的其他证明材料</w:t>
            </w:r>
            <w:bookmarkEnd w:id="20"/>
            <w:bookmarkEnd w:id="21"/>
            <w:r>
              <w:rPr>
                <w:rFonts w:hint="eastAsia" w:ascii="仿宋" w:hAnsi="仿宋" w:eastAsia="仿宋" w:cs="仿宋"/>
                <w:color w:val="000000" w:themeColor="text1"/>
                <w:sz w:val="24"/>
                <w:szCs w:val="24"/>
                <w:lang w:eastAsia="zh-CN"/>
                <w14:textFill>
                  <w14:solidFill>
                    <w14:schemeClr w14:val="tx1"/>
                  </w14:solidFill>
                </w14:textFill>
              </w:rPr>
              <w:t>。</w:t>
            </w:r>
          </w:p>
          <w:p w14:paraId="089A4437">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p w14:paraId="05D6320E">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1.以上标明“必须提供”的材料属于复印件的，必须加盖供应商公章，否则响应文件按无效响应处理。</w:t>
            </w:r>
          </w:p>
          <w:p w14:paraId="7040CB31">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2.竞标声明必须由法定代表人在规定签章处逐一签字并加盖供应商公章，否则响应文件按无效响应处理。</w:t>
            </w:r>
          </w:p>
          <w:p w14:paraId="727ABD3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3.供应商直接控股、管理关系信息表必须由法定代表人或者委托代理人在规定签章处逐一签字并加盖供应商公章，否则响应文件按无效响应处理。</w:t>
            </w:r>
          </w:p>
          <w:p w14:paraId="133DB59B">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4分公司参加竞标的，应当取得总公司授权，否则响应文件按无效响应处理。</w:t>
            </w:r>
          </w:p>
        </w:tc>
      </w:tr>
      <w:tr w14:paraId="400B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14:paraId="7E058B48">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12.1.2</w:t>
            </w:r>
          </w:p>
        </w:tc>
        <w:tc>
          <w:tcPr>
            <w:tcW w:w="8356" w:type="dxa"/>
            <w:vAlign w:val="center"/>
          </w:tcPr>
          <w:p w14:paraId="27E4BE6D">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商务文件组成</w:t>
            </w:r>
          </w:p>
          <w:p w14:paraId="6F207CF1">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1.无串通竞标行为的承诺函（格式后附）；</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776A4882">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2.法定代表人身份证明及法定代表人有效身份证正反面复印件（格式后附）；</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3AE1CB8F">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3.法定代表人授权委托书及委托代理人有效身份证正反面复印件（格式后附）；</w:t>
            </w:r>
            <w:r>
              <w:rPr>
                <w:rFonts w:hint="eastAsia" w:ascii="仿宋" w:hAnsi="仿宋" w:eastAsia="仿宋" w:cs="仿宋"/>
                <w:b/>
                <w:color w:val="000000" w:themeColor="text1"/>
                <w:sz w:val="24"/>
                <w:szCs w:val="24"/>
                <w14:textFill>
                  <w14:solidFill>
                    <w14:schemeClr w14:val="tx1"/>
                  </w14:solidFill>
                </w14:textFill>
              </w:rPr>
              <w:t>（委托时必须提供，否则响应文件按无效响应处理）</w:t>
            </w:r>
          </w:p>
          <w:p w14:paraId="46089B0F">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4.谈判保证金提交凭证；</w:t>
            </w:r>
            <w:r>
              <w:rPr>
                <w:rFonts w:hint="eastAsia" w:ascii="仿宋" w:hAnsi="仿宋" w:eastAsia="仿宋" w:cs="仿宋"/>
                <w:b/>
                <w:color w:val="000000" w:themeColor="text1"/>
                <w:sz w:val="24"/>
                <w:szCs w:val="24"/>
                <w14:textFill>
                  <w14:solidFill>
                    <w14:schemeClr w14:val="tx1"/>
                  </w14:solidFill>
                </w14:textFill>
              </w:rPr>
              <w:t>（如要求提交谈判保证金的则必须提供，否则响应文件按无效响应处理）</w:t>
            </w:r>
          </w:p>
          <w:p w14:paraId="2219BFDE">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5.商务条款偏离表（格式后附）；</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3EC28835">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bookmarkStart w:id="22" w:name="OLE_LINK132"/>
            <w:bookmarkStart w:id="23" w:name="OLE_LINK133"/>
            <w:r>
              <w:rPr>
                <w:rFonts w:hint="eastAsia" w:ascii="仿宋" w:hAnsi="仿宋" w:eastAsia="仿宋" w:cs="仿宋"/>
                <w:color w:val="000000" w:themeColor="text1"/>
                <w:sz w:val="24"/>
                <w:szCs w:val="24"/>
                <w14:textFill>
                  <w14:solidFill>
                    <w14:schemeClr w14:val="tx1"/>
                  </w14:solidFill>
                </w14:textFill>
              </w:rPr>
              <w:t>竞标人</w:t>
            </w:r>
            <w:bookmarkEnd w:id="22"/>
            <w:bookmarkEnd w:id="23"/>
            <w:r>
              <w:rPr>
                <w:rFonts w:hint="eastAsia" w:ascii="仿宋" w:hAnsi="仿宋" w:eastAsia="仿宋" w:cs="仿宋"/>
                <w:color w:val="000000" w:themeColor="text1"/>
                <w:sz w:val="24"/>
                <w:szCs w:val="24"/>
                <w14:textFill>
                  <w14:solidFill>
                    <w14:schemeClr w14:val="tx1"/>
                  </w14:solidFill>
                </w14:textFill>
              </w:rPr>
              <w:t>情况介绍（格式自拟）。</w:t>
            </w:r>
          </w:p>
          <w:p w14:paraId="07E33C6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7.供应商认为需要提供的其他有关资料（格式自拟）。</w:t>
            </w:r>
          </w:p>
          <w:p w14:paraId="21647EDB">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p w14:paraId="517302DB">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1.法定代表人授权委托书必须由法定代表人及委托代理人签字，并加盖供应商公章，否则响应文件按无效响应处理。</w:t>
            </w:r>
          </w:p>
          <w:p w14:paraId="2FD4B69D">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2.以上标明“必须提供”的材料属于复印件的扫描件的，必须加盖供应商电子公章，否则响应文件按无效响应处理。</w:t>
            </w:r>
          </w:p>
        </w:tc>
      </w:tr>
      <w:tr w14:paraId="6EDD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09BF3533">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8356" w:type="dxa"/>
            <w:vAlign w:val="center"/>
          </w:tcPr>
          <w:p w14:paraId="4998BD2C">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技术文件组成</w:t>
            </w:r>
          </w:p>
          <w:p w14:paraId="4F860DB0">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1.技术需求偏离表（格式后附）；</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62A0AE86">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2.施工组织设计</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bCs/>
                <w:color w:val="auto"/>
                <w:kern w:val="0"/>
                <w:sz w:val="24"/>
                <w:highlight w:val="none"/>
                <w:lang w:val="en-US" w:eastAsia="zh-CN"/>
              </w:rPr>
              <w:t>包括但不限于</w:t>
            </w:r>
            <w:r>
              <w:rPr>
                <w:rFonts w:hint="eastAsia" w:ascii="仿宋" w:hAnsi="仿宋" w:eastAsia="仿宋" w:cs="仿宋"/>
                <w:sz w:val="24"/>
                <w:szCs w:val="24"/>
              </w:rPr>
              <w:t>主要施工方法</w:t>
            </w:r>
            <w:r>
              <w:rPr>
                <w:rFonts w:hint="eastAsia" w:ascii="仿宋" w:hAnsi="仿宋" w:eastAsia="仿宋" w:cs="仿宋"/>
                <w:sz w:val="24"/>
                <w:szCs w:val="24"/>
                <w:lang w:eastAsia="zh-CN"/>
              </w:rPr>
              <w:t>、</w:t>
            </w:r>
            <w:r>
              <w:rPr>
                <w:rFonts w:hint="eastAsia" w:ascii="仿宋" w:hAnsi="仿宋" w:eastAsia="仿宋" w:cs="仿宋"/>
                <w:sz w:val="24"/>
                <w:szCs w:val="24"/>
              </w:rPr>
              <w:t>拟投入的主要物资计划</w:t>
            </w:r>
            <w:r>
              <w:rPr>
                <w:rFonts w:hint="eastAsia" w:ascii="仿宋" w:hAnsi="仿宋" w:eastAsia="仿宋" w:cs="仿宋"/>
                <w:sz w:val="24"/>
                <w:szCs w:val="24"/>
                <w:lang w:eastAsia="zh-CN"/>
              </w:rPr>
              <w:t>、</w:t>
            </w:r>
            <w:r>
              <w:rPr>
                <w:rFonts w:hint="eastAsia" w:ascii="仿宋" w:hAnsi="仿宋" w:eastAsia="仿宋" w:cs="仿宋"/>
                <w:sz w:val="24"/>
                <w:szCs w:val="24"/>
              </w:rPr>
              <w:t>确保工程安全、质量的技术组织措施</w:t>
            </w:r>
            <w:r>
              <w:rPr>
                <w:rFonts w:hint="eastAsia" w:ascii="仿宋" w:hAnsi="仿宋" w:eastAsia="仿宋" w:cs="仿宋"/>
                <w:sz w:val="24"/>
                <w:szCs w:val="24"/>
                <w:lang w:eastAsia="zh-CN"/>
              </w:rPr>
              <w:t>、</w:t>
            </w:r>
            <w:r>
              <w:rPr>
                <w:rFonts w:hint="eastAsia" w:ascii="仿宋" w:hAnsi="仿宋" w:eastAsia="仿宋" w:cs="仿宋"/>
                <w:sz w:val="24"/>
                <w:szCs w:val="24"/>
              </w:rPr>
              <w:t>确保工期的技术组织措施</w:t>
            </w:r>
            <w:r>
              <w:rPr>
                <w:rFonts w:hint="eastAsia" w:ascii="仿宋" w:hAnsi="仿宋" w:eastAsia="仿宋" w:cs="仿宋"/>
                <w:sz w:val="24"/>
                <w:szCs w:val="24"/>
                <w:lang w:eastAsia="zh-CN"/>
              </w:rPr>
              <w:t>、</w:t>
            </w:r>
            <w:r>
              <w:rPr>
                <w:rFonts w:hint="eastAsia" w:ascii="仿宋" w:hAnsi="仿宋" w:eastAsia="仿宋" w:cs="仿宋"/>
                <w:sz w:val="24"/>
                <w:szCs w:val="24"/>
              </w:rPr>
              <w:t>确保文明施工的技术组织措施</w:t>
            </w:r>
            <w:r>
              <w:rPr>
                <w:rFonts w:hint="eastAsia" w:ascii="仿宋" w:hAnsi="仿宋" w:eastAsia="仿宋" w:cs="仿宋"/>
                <w:sz w:val="24"/>
                <w:szCs w:val="24"/>
                <w:lang w:eastAsia="zh-CN"/>
              </w:rPr>
              <w:t>、</w:t>
            </w:r>
            <w:r>
              <w:rPr>
                <w:rFonts w:hint="eastAsia" w:ascii="仿宋" w:hAnsi="仿宋" w:eastAsia="仿宋" w:cs="仿宋"/>
                <w:sz w:val="24"/>
                <w:szCs w:val="24"/>
              </w:rPr>
              <w:t>工程施工的重点和难点</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22E4DB6E">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3.项目管理机构</w:t>
            </w:r>
            <w:r>
              <w:rPr>
                <w:rFonts w:hint="eastAsia" w:ascii="仿宋" w:hAnsi="仿宋" w:eastAsia="仿宋" w:cs="仿宋"/>
                <w:color w:val="000000" w:themeColor="text1"/>
                <w:sz w:val="24"/>
                <w:szCs w:val="24"/>
                <w:lang w:val="en-US" w:eastAsia="zh-CN"/>
                <w14:textFill>
                  <w14:solidFill>
                    <w14:schemeClr w14:val="tx1"/>
                  </w14:solidFill>
                </w14:textFill>
              </w:rPr>
              <w:t>[包括但不限于</w:t>
            </w:r>
            <w:r>
              <w:rPr>
                <w:rFonts w:hint="eastAsia" w:ascii="仿宋" w:hAnsi="仿宋" w:eastAsia="仿宋" w:cs="仿宋"/>
                <w:bCs/>
                <w:color w:val="auto"/>
                <w:kern w:val="0"/>
                <w:sz w:val="24"/>
                <w:highlight w:val="none"/>
                <w:lang w:val="en-US" w:eastAsia="zh-CN"/>
              </w:rPr>
              <w:t>拟投入</w:t>
            </w:r>
            <w:r>
              <w:rPr>
                <w:rFonts w:hint="eastAsia" w:ascii="仿宋" w:hAnsi="仿宋" w:eastAsia="仿宋" w:cs="仿宋"/>
                <w:bCs/>
                <w:color w:val="auto"/>
                <w:kern w:val="0"/>
                <w:sz w:val="24"/>
                <w:highlight w:val="none"/>
              </w:rPr>
              <w:t>本</w:t>
            </w:r>
            <w:r>
              <w:rPr>
                <w:rFonts w:hint="eastAsia" w:ascii="仿宋" w:hAnsi="仿宋" w:eastAsia="仿宋" w:cs="仿宋"/>
                <w:bCs/>
                <w:color w:val="auto"/>
                <w:kern w:val="0"/>
                <w:sz w:val="24"/>
                <w:highlight w:val="none"/>
                <w:lang w:val="en-US" w:eastAsia="zh-CN"/>
              </w:rPr>
              <w:t>项目</w:t>
            </w:r>
            <w:r>
              <w:rPr>
                <w:rFonts w:hint="eastAsia" w:ascii="仿宋" w:hAnsi="仿宋" w:eastAsia="仿宋" w:cs="仿宋"/>
                <w:bCs/>
                <w:color w:val="auto"/>
                <w:kern w:val="0"/>
                <w:sz w:val="24"/>
                <w:highlight w:val="none"/>
              </w:rPr>
              <w:t>的项目经理简历表</w:t>
            </w:r>
            <w:r>
              <w:rPr>
                <w:rFonts w:hint="eastAsia" w:ascii="仿宋" w:hAnsi="仿宋" w:eastAsia="仿宋" w:cs="仿宋"/>
                <w:bCs/>
                <w:color w:val="auto"/>
                <w:kern w:val="0"/>
                <w:sz w:val="24"/>
                <w:highlight w:val="none"/>
                <w:lang w:eastAsia="zh-CN"/>
              </w:rPr>
              <w:t>、</w:t>
            </w:r>
            <w:r>
              <w:rPr>
                <w:rFonts w:hint="eastAsia" w:ascii="仿宋" w:hAnsi="仿宋" w:eastAsia="仿宋" w:cs="仿宋"/>
                <w:color w:val="auto"/>
                <w:sz w:val="24"/>
                <w:highlight w:val="none"/>
              </w:rPr>
              <w:t>拟投入本</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主要施工管理人员表</w:t>
            </w:r>
            <w:r>
              <w:rPr>
                <w:rFonts w:hint="eastAsia" w:ascii="仿宋" w:hAnsi="仿宋" w:eastAsia="仿宋" w:cs="仿宋"/>
                <w:color w:val="auto"/>
                <w:sz w:val="24"/>
                <w:highlight w:val="none"/>
                <w:lang w:eastAsia="zh-CN"/>
              </w:rPr>
              <w:t>，</w:t>
            </w:r>
            <w:r>
              <w:rPr>
                <w:rFonts w:hint="eastAsia" w:ascii="仿宋" w:hAnsi="仿宋" w:eastAsia="仿宋" w:cs="仿宋"/>
                <w:bCs/>
                <w:color w:val="auto"/>
                <w:kern w:val="0"/>
                <w:sz w:val="24"/>
                <w:highlight w:val="none"/>
              </w:rPr>
              <w:t>拟投入管理人员在满足市建规[2006]270号文相应资质要求的基础上，</w:t>
            </w:r>
            <w:r>
              <w:rPr>
                <w:rFonts w:hint="eastAsia" w:ascii="仿宋" w:hAnsi="仿宋" w:eastAsia="仿宋" w:cs="仿宋"/>
                <w:bCs/>
                <w:color w:val="auto"/>
                <w:kern w:val="0"/>
                <w:sz w:val="24"/>
                <w:highlight w:val="none"/>
                <w:lang w:val="en-US" w:eastAsia="zh-CN"/>
              </w:rPr>
              <w:t>至少有</w:t>
            </w:r>
            <w:r>
              <w:rPr>
                <w:rFonts w:hint="eastAsia" w:ascii="仿宋" w:hAnsi="仿宋" w:eastAsia="仿宋" w:cs="仿宋"/>
                <w:bCs/>
                <w:color w:val="auto"/>
                <w:kern w:val="0"/>
                <w:sz w:val="24"/>
                <w:highlight w:val="none"/>
              </w:rPr>
              <w:t>1人具有工程师（或以上）职称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响应文件中须</w:t>
            </w:r>
            <w:r>
              <w:rPr>
                <w:rFonts w:hint="eastAsia" w:ascii="仿宋" w:hAnsi="仿宋" w:eastAsia="仿宋" w:cs="仿宋"/>
                <w:bCs/>
                <w:color w:val="auto"/>
                <w:kern w:val="0"/>
                <w:sz w:val="24"/>
                <w:highlight w:val="none"/>
                <w:lang w:val="en-US" w:eastAsia="zh-CN"/>
              </w:rPr>
              <w:t>同时提供拟投入本工程的项目经理、</w:t>
            </w:r>
            <w:r>
              <w:rPr>
                <w:rFonts w:hint="eastAsia" w:ascii="仿宋" w:hAnsi="仿宋" w:eastAsia="仿宋" w:cs="仿宋"/>
                <w:color w:val="auto"/>
                <w:sz w:val="24"/>
                <w:highlight w:val="none"/>
              </w:rPr>
              <w:t>主要施工管理人员</w:t>
            </w:r>
            <w:r>
              <w:rPr>
                <w:rFonts w:hint="eastAsia" w:ascii="仿宋" w:hAnsi="仿宋" w:eastAsia="仿宋" w:cs="仿宋"/>
                <w:color w:val="auto"/>
                <w:sz w:val="24"/>
                <w:highlight w:val="none"/>
                <w:lang w:val="en-US" w:eastAsia="zh-CN"/>
              </w:rPr>
              <w:t>的</w:t>
            </w:r>
            <w:r>
              <w:rPr>
                <w:rFonts w:hint="eastAsia" w:ascii="仿宋" w:hAnsi="仿宋" w:eastAsia="仿宋" w:cs="仿宋"/>
                <w:bCs/>
                <w:color w:val="auto"/>
                <w:kern w:val="0"/>
                <w:sz w:val="24"/>
                <w:highlight w:val="none"/>
              </w:rPr>
              <w:t>身份证</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职称证、其他相关证书及</w:t>
            </w:r>
            <w:r>
              <w:rPr>
                <w:rFonts w:hint="eastAsia" w:ascii="仿宋" w:hAnsi="仿宋" w:eastAsia="仿宋" w:cs="仿宋"/>
                <w:color w:val="auto"/>
                <w:sz w:val="24"/>
                <w:highlight w:val="none"/>
              </w:rPr>
              <w:t>由社会养老保险经办机构出具的供应商为</w:t>
            </w:r>
            <w:r>
              <w:rPr>
                <w:rFonts w:hint="eastAsia" w:ascii="仿宋" w:hAnsi="仿宋" w:eastAsia="仿宋" w:cs="仿宋"/>
                <w:color w:val="auto"/>
                <w:sz w:val="24"/>
                <w:highlight w:val="none"/>
                <w:lang w:val="en-US" w:eastAsia="zh-CN"/>
              </w:rPr>
              <w:t>以上人员</w:t>
            </w:r>
            <w:r>
              <w:rPr>
                <w:rFonts w:hint="eastAsia" w:ascii="仿宋" w:hAnsi="仿宋" w:eastAsia="仿宋" w:cs="仿宋"/>
                <w:color w:val="auto"/>
                <w:sz w:val="24"/>
                <w:highlight w:val="none"/>
              </w:rPr>
              <w:t>交纳的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递交截止时间前半年内任意连续三个月社保证明复印件</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bCs/>
                <w:color w:val="auto"/>
                <w:kern w:val="0"/>
                <w:sz w:val="24"/>
                <w:highlight w:val="none"/>
                <w:lang w:val="en-US" w:eastAsia="zh-CN"/>
              </w:rPr>
              <w:t>]</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49E94415">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4.供应商认为需要提供的其他有关资料（格式自拟）。</w:t>
            </w:r>
          </w:p>
          <w:p w14:paraId="6DF40B53">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注：以上标明“必须提供”材料复印件的，必须加盖供应商公章，否则响应文件按无效响应处理。</w:t>
            </w:r>
          </w:p>
        </w:tc>
      </w:tr>
      <w:tr w14:paraId="4871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7AA850DB">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12.1.3</w:t>
            </w:r>
          </w:p>
        </w:tc>
        <w:tc>
          <w:tcPr>
            <w:tcW w:w="8356" w:type="dxa"/>
            <w:vAlign w:val="center"/>
          </w:tcPr>
          <w:p w14:paraId="0074F790">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报价文件组成</w:t>
            </w:r>
          </w:p>
          <w:p w14:paraId="11611382">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1.响应函；</w:t>
            </w:r>
            <w:r>
              <w:rPr>
                <w:rFonts w:hint="eastAsia" w:ascii="仿宋" w:hAnsi="仿宋" w:eastAsia="仿宋" w:cs="仿宋"/>
                <w:b/>
                <w:color w:val="000000" w:themeColor="text1"/>
                <w:sz w:val="24"/>
                <w:szCs w:val="24"/>
                <w14:textFill>
                  <w14:solidFill>
                    <w14:schemeClr w14:val="tx1"/>
                  </w14:solidFill>
                </w14:textFill>
              </w:rPr>
              <w:t>（必须提供，否则响应文件作无效响应处理）</w:t>
            </w:r>
          </w:p>
          <w:p w14:paraId="2C549E81">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2.响应报价表；</w:t>
            </w:r>
            <w:r>
              <w:rPr>
                <w:rFonts w:hint="eastAsia" w:ascii="仿宋" w:hAnsi="仿宋" w:eastAsia="仿宋" w:cs="仿宋"/>
                <w:b/>
                <w:color w:val="000000" w:themeColor="text1"/>
                <w:sz w:val="24"/>
                <w:szCs w:val="24"/>
                <w14:textFill>
                  <w14:solidFill>
                    <w14:schemeClr w14:val="tx1"/>
                  </w14:solidFill>
                </w14:textFill>
              </w:rPr>
              <w:t>（必须提供，否则响应文件作无效响应处理）</w:t>
            </w:r>
          </w:p>
          <w:p w14:paraId="563669D8">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3.已标价工程量清单。</w:t>
            </w:r>
            <w:r>
              <w:rPr>
                <w:rFonts w:hint="eastAsia" w:ascii="仿宋" w:hAnsi="仿宋" w:eastAsia="仿宋" w:cs="仿宋"/>
                <w:b/>
                <w:color w:val="000000" w:themeColor="text1"/>
                <w:sz w:val="24"/>
                <w:szCs w:val="24"/>
                <w14:textFill>
                  <w14:solidFill>
                    <w14:schemeClr w14:val="tx1"/>
                  </w14:solidFill>
                </w14:textFill>
              </w:rPr>
              <w:t>（必须提供，否则响应文件按无效响应处理）</w:t>
            </w:r>
          </w:p>
          <w:p w14:paraId="32FECAE7">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4.供应商针对报价需要说明的其他文件和说明（格式自拟）。（如有，请提供）</w:t>
            </w:r>
          </w:p>
          <w:p w14:paraId="0986488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注：上述材料必须在规定盖章处加盖供应商电子公章，否则响应文件作无效响应处理。</w:t>
            </w:r>
          </w:p>
        </w:tc>
      </w:tr>
      <w:tr w14:paraId="659B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60B7BCCA">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12.2</w:t>
            </w:r>
          </w:p>
        </w:tc>
        <w:tc>
          <w:tcPr>
            <w:tcW w:w="8356" w:type="dxa"/>
            <w:vAlign w:val="center"/>
          </w:tcPr>
          <w:p w14:paraId="02E012FC">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响应文件电子版要求</w:t>
            </w:r>
          </w:p>
          <w:p w14:paraId="4E842933">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1.响应文件电子版要求：按照本采购文件“第五章响应文件格式”编写（第五章未附格式的，由供应商自行拟定），不可涂改并在规定加盖公章处加盖电子公章，否则响应文件按无效响应处理。</w:t>
            </w:r>
          </w:p>
          <w:p w14:paraId="3EBF3EC5">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2.响应文件电子版密封方式：电子响应文件通过平台有效CA加密后在“广西政府采购云平台（https：//www.gcy.zfcg.gxzf.gov.cn/）”平台投送。（操作方式见公告附件“电子响应文件制作与投送教程”）</w:t>
            </w:r>
          </w:p>
        </w:tc>
      </w:tr>
      <w:tr w14:paraId="107F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537BB1F9">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w:t>
            </w:r>
          </w:p>
        </w:tc>
        <w:tc>
          <w:tcPr>
            <w:tcW w:w="8356" w:type="dxa"/>
            <w:vAlign w:val="center"/>
          </w:tcPr>
          <w:p w14:paraId="598EA8AD">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报价必须包含满足本次竞标全部采购需求所应提供的内容，以及伴随的货物和工程的价格；包含竞标服务、货物、工程的成本、运输（含保险）、安装（如有）、调试、检验、验收、技术服务、培训、税费等所有费用。</w:t>
            </w:r>
            <w:r>
              <w:rPr>
                <w:rFonts w:hint="eastAsia" w:ascii="仿宋" w:hAnsi="仿宋" w:eastAsia="仿宋" w:cs="仿宋"/>
                <w:b/>
                <w:color w:val="000000" w:themeColor="text1"/>
                <w:sz w:val="24"/>
                <w:szCs w:val="24"/>
                <w14:textFill>
                  <w14:solidFill>
                    <w14:schemeClr w14:val="tx1"/>
                  </w14:solidFill>
                </w14:textFill>
              </w:rPr>
              <w:t>（采购需求另有约定的，从其约定。）</w:t>
            </w:r>
          </w:p>
        </w:tc>
      </w:tr>
      <w:tr w14:paraId="750D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454C80F7">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w:t>
            </w:r>
          </w:p>
        </w:tc>
        <w:tc>
          <w:tcPr>
            <w:tcW w:w="8356" w:type="dxa"/>
            <w:vAlign w:val="center"/>
          </w:tcPr>
          <w:p w14:paraId="6D22C0B0">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竞标有效期：首次响应文件提交截止之日起60日</w:t>
            </w:r>
          </w:p>
        </w:tc>
      </w:tr>
      <w:tr w14:paraId="6DEC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123B7BBD">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w:t>
            </w:r>
          </w:p>
        </w:tc>
        <w:tc>
          <w:tcPr>
            <w:tcW w:w="8356" w:type="dxa"/>
            <w:vAlign w:val="center"/>
          </w:tcPr>
          <w:p w14:paraId="35016ECB">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□本项目不收取竞标保证金。</w:t>
            </w:r>
          </w:p>
          <w:p w14:paraId="20142C4D">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☑本项目收取竞标保证金，具体规定如下：</w:t>
            </w:r>
          </w:p>
          <w:p w14:paraId="31729943">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人民币：1</w:t>
            </w: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000</w:t>
            </w:r>
            <w:r>
              <w:rPr>
                <w:rFonts w:hint="eastAsia" w:ascii="仿宋" w:hAnsi="仿宋" w:eastAsia="仿宋" w:cs="仿宋"/>
                <w:color w:val="000000" w:themeColor="text1"/>
                <w:sz w:val="24"/>
                <w:szCs w:val="24"/>
                <w:lang w:val="en-US" w:eastAsia="zh-CN"/>
                <w14:textFill>
                  <w14:solidFill>
                    <w14:schemeClr w14:val="tx1"/>
                  </w14:solidFill>
                </w14:textFill>
              </w:rPr>
              <w:t>.00</w:t>
            </w:r>
            <w:r>
              <w:rPr>
                <w:rFonts w:hint="eastAsia" w:ascii="仿宋" w:hAnsi="仿宋" w:eastAsia="仿宋" w:cs="仿宋"/>
                <w:color w:val="000000" w:themeColor="text1"/>
                <w:sz w:val="24"/>
                <w:szCs w:val="24"/>
                <w14:textFill>
                  <w14:solidFill>
                    <w14:schemeClr w14:val="tx1"/>
                  </w14:solidFill>
                </w14:textFill>
              </w:rPr>
              <w:t>元。</w:t>
            </w:r>
          </w:p>
          <w:p w14:paraId="1C520B82">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竞标保证金的</w:t>
            </w:r>
            <w:bookmarkStart w:id="24" w:name="OLE_LINK110"/>
            <w:bookmarkStart w:id="25" w:name="OLE_LINK111"/>
            <w:r>
              <w:rPr>
                <w:rFonts w:hint="eastAsia" w:ascii="仿宋" w:hAnsi="仿宋" w:eastAsia="仿宋" w:cs="仿宋"/>
                <w:color w:val="000000" w:themeColor="text1"/>
                <w:sz w:val="24"/>
                <w:szCs w:val="24"/>
                <w14:textFill>
                  <w14:solidFill>
                    <w14:schemeClr w14:val="tx1"/>
                  </w14:solidFill>
                </w14:textFill>
              </w:rPr>
              <w:t>缴纳</w:t>
            </w:r>
            <w:bookmarkEnd w:id="24"/>
            <w:bookmarkEnd w:id="25"/>
            <w:r>
              <w:rPr>
                <w:rFonts w:hint="eastAsia" w:ascii="仿宋" w:hAnsi="仿宋" w:eastAsia="仿宋" w:cs="仿宋"/>
                <w:color w:val="000000" w:themeColor="text1"/>
                <w:sz w:val="24"/>
                <w:szCs w:val="24"/>
                <w14:textFill>
                  <w14:solidFill>
                    <w14:schemeClr w14:val="tx1"/>
                  </w14:solidFill>
                </w14:textFill>
              </w:rPr>
              <w:t>方式：银行转账、支票、汇票、本票或者银行、保险机构出具的保函（包含电子保函），禁止采用现钞方式。采用银行转账方式的，在响应文件提交截止时间前交至指定账户并且到账（开户名称：</w:t>
            </w:r>
            <w:r>
              <w:rPr>
                <w:rFonts w:hint="eastAsia" w:ascii="仿宋" w:hAnsi="仿宋" w:eastAsia="仿宋" w:cs="仿宋"/>
                <w:color w:val="auto"/>
                <w:sz w:val="24"/>
                <w:highlight w:val="none"/>
                <w:lang w:bidi="ar"/>
              </w:rPr>
              <w:t>广西科文招标有限公司桂林分公司</w:t>
            </w:r>
            <w:r>
              <w:rPr>
                <w:rFonts w:hint="eastAsia" w:ascii="仿宋" w:hAnsi="仿宋" w:eastAsia="仿宋" w:cs="仿宋"/>
                <w:color w:val="000000" w:themeColor="text1"/>
                <w:sz w:val="24"/>
                <w:szCs w:val="24"/>
                <w14:textFill>
                  <w14:solidFill>
                    <w14:schemeClr w14:val="tx1"/>
                  </w14:solidFill>
                </w14:textFill>
              </w:rPr>
              <w:t>，开户银行：</w:t>
            </w:r>
            <w:r>
              <w:rPr>
                <w:rFonts w:hint="eastAsia" w:ascii="仿宋" w:hAnsi="仿宋" w:eastAsia="仿宋" w:cs="仿宋"/>
                <w:color w:val="000000" w:themeColor="text1"/>
                <w:sz w:val="24"/>
                <w:szCs w:val="24"/>
                <w:lang w:eastAsia="zh-CN"/>
                <w14:textFill>
                  <w14:solidFill>
                    <w14:schemeClr w14:val="tx1"/>
                  </w14:solidFill>
                </w14:textFill>
              </w:rPr>
              <w:t>中国工商银行桂林市桂湖支行</w:t>
            </w:r>
            <w:r>
              <w:rPr>
                <w:rFonts w:hint="eastAsia" w:ascii="仿宋" w:hAnsi="仿宋" w:eastAsia="仿宋" w:cs="仿宋"/>
                <w:color w:val="000000" w:themeColor="text1"/>
                <w:sz w:val="24"/>
                <w:szCs w:val="24"/>
                <w14:textFill>
                  <w14:solidFill>
                    <w14:schemeClr w14:val="tx1"/>
                  </w14:solidFill>
                </w14:textFill>
              </w:rPr>
              <w:t>，银行账号：</w:t>
            </w:r>
            <w:r>
              <w:rPr>
                <w:rFonts w:hint="eastAsia" w:ascii="仿宋" w:hAnsi="仿宋" w:eastAsia="仿宋" w:cs="仿宋"/>
                <w:color w:val="000000" w:themeColor="text1"/>
                <w:sz w:val="24"/>
                <w:szCs w:val="24"/>
                <w:lang w:eastAsia="zh-CN"/>
                <w14:textFill>
                  <w14:solidFill>
                    <w14:schemeClr w14:val="tx1"/>
                  </w14:solidFill>
                </w14:textFill>
              </w:rPr>
              <w:t>210 3200 2093 0000 2088</w:t>
            </w:r>
            <w:r>
              <w:rPr>
                <w:rFonts w:hint="eastAsia" w:ascii="仿宋" w:hAnsi="仿宋" w:eastAsia="仿宋" w:cs="仿宋"/>
                <w:color w:val="000000" w:themeColor="text1"/>
                <w:sz w:val="24"/>
                <w:szCs w:val="24"/>
                <w14:textFill>
                  <w14:solidFill>
                    <w14:schemeClr w14:val="tx1"/>
                  </w14:solidFill>
                </w14:textFill>
              </w:rPr>
              <w:t>）；采用支票、汇票、本票或者保函等方式的，在响应文件提交截止时间前，供应商必须提交单独密封的支票、汇票、本票或者保函（电子保函除外）原件给采购代理机构。否则视为无效竞标保证金。</w:t>
            </w:r>
          </w:p>
          <w:p w14:paraId="4530855D">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相关要求：</w:t>
            </w:r>
          </w:p>
          <w:p w14:paraId="789A063C">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1.竞标保证金采用银行转账</w:t>
            </w:r>
            <w:bookmarkStart w:id="26" w:name="OLE_LINK112"/>
            <w:bookmarkStart w:id="27" w:name="OLE_LINK113"/>
            <w:r>
              <w:rPr>
                <w:rFonts w:hint="eastAsia" w:ascii="仿宋" w:hAnsi="仿宋" w:eastAsia="仿宋" w:cs="仿宋"/>
                <w:color w:val="000000" w:themeColor="text1"/>
                <w:sz w:val="24"/>
                <w:szCs w:val="24"/>
                <w14:textFill>
                  <w14:solidFill>
                    <w14:schemeClr w14:val="tx1"/>
                  </w14:solidFill>
                </w14:textFill>
              </w:rPr>
              <w:t>缴纳</w:t>
            </w:r>
            <w:bookmarkEnd w:id="26"/>
            <w:bookmarkEnd w:id="27"/>
            <w:r>
              <w:rPr>
                <w:rFonts w:hint="eastAsia" w:ascii="仿宋" w:hAnsi="仿宋" w:eastAsia="仿宋" w:cs="仿宋"/>
                <w:color w:val="000000" w:themeColor="text1"/>
                <w:sz w:val="24"/>
                <w:szCs w:val="24"/>
                <w14:textFill>
                  <w14:solidFill>
                    <w14:schemeClr w14:val="tx1"/>
                  </w14:solidFill>
                </w14:textFill>
              </w:rPr>
              <w:t>方式的，在响应文件提交截止时间前交至指定账户并且到账，供应商应将银行转账底单的复印件作为竞标保证金提交凭证，放置于商务文件中，否则响应文件按无效响应处理。</w:t>
            </w:r>
          </w:p>
          <w:p w14:paraId="51257F65">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竞标保证金采用支票、汇票、本票或者银行、保险机构出具的保函（包含电子保函）缴纳方式的，供应商应将支票、汇票、本票或者银行、保险机构出具的保函（包含电子保函）的复印件作为竞标保证金提交凭证，放置于商务技术文件中，否则响应文件按无效响应处理。供应商必须在响应文件提交截止时间前采用现场或邮寄方式（现场提交或邮寄地址：详见公告）将单独密封的支票、汇票、本票或者银行、保险机构出具的保函原件提交给采购代理机构，由采购代理机构向供应商出具回执（邮寄方式的除外），并妥善保管。</w:t>
            </w:r>
          </w:p>
          <w:p w14:paraId="196E185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3.供应商为联合体的，可以由联合体中的一方或者多方共同缴纳谈判保证金，其缴纳的保证金对联合体各方均具有约束力。</w:t>
            </w:r>
          </w:p>
          <w:p w14:paraId="063BCC59">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p w14:paraId="38DCB918">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1.竞标保证金在响应文件提交截止时间后提交的，或者不按规定缴纳方式缴纳的，或者未足额缴纳的（包含保函额度不足的），视为无效竞标保证金。</w:t>
            </w:r>
          </w:p>
          <w:p w14:paraId="35E1E81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2.供应商采用现钞方式或者从个人账户（自然人竞标除外）转出的竞标保证金，视为无效竞标保证金。</w:t>
            </w:r>
          </w:p>
          <w:p w14:paraId="5DF7783B">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3.支票、汇票或者本票出现无效或者背书情形的，视为无效竞标保证金。</w:t>
            </w:r>
          </w:p>
          <w:p w14:paraId="4438DD72">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4.保函有效期低于竞标有效期的，视为无效竞标保证金。</w:t>
            </w:r>
          </w:p>
          <w:p w14:paraId="778F63B2">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5.竞标保证金采用银行、保险机构出具的保函为有条件保函的，视为无效竞标保证金。</w:t>
            </w:r>
          </w:p>
        </w:tc>
      </w:tr>
      <w:tr w14:paraId="688A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0C79DBD7">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18.2</w:t>
            </w:r>
          </w:p>
        </w:tc>
        <w:tc>
          <w:tcPr>
            <w:tcW w:w="8356" w:type="dxa"/>
            <w:vAlign w:val="center"/>
          </w:tcPr>
          <w:p w14:paraId="77BEFC2C">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响应文件应按资格证明文件、商务技术文件、报价文件分别编制，并按“广西政府采购云平台（https：//www.gcy.zfcg.gxzf.gov.cn/）”的要求编制、加密、上传。</w:t>
            </w:r>
          </w:p>
        </w:tc>
      </w:tr>
      <w:tr w14:paraId="6180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5A076601">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20.1</w:t>
            </w:r>
          </w:p>
        </w:tc>
        <w:tc>
          <w:tcPr>
            <w:tcW w:w="8356" w:type="dxa"/>
            <w:vAlign w:val="center"/>
          </w:tcPr>
          <w:p w14:paraId="67C57D88">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首次响应文件提交截止时间：详见竞争性谈判公告。</w:t>
            </w:r>
          </w:p>
          <w:p w14:paraId="2B92066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首次响应文件提交地点：详见竞争性谈判公告。</w:t>
            </w:r>
          </w:p>
        </w:tc>
      </w:tr>
      <w:tr w14:paraId="7022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2CEBF87E">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24.1</w:t>
            </w:r>
          </w:p>
        </w:tc>
        <w:tc>
          <w:tcPr>
            <w:tcW w:w="8356" w:type="dxa"/>
            <w:vAlign w:val="center"/>
          </w:tcPr>
          <w:p w14:paraId="7F596715">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谈判小组的人数：3人，其中采购人代表1人，专家评委2人。</w:t>
            </w:r>
          </w:p>
          <w:p w14:paraId="6AC73360">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评标专家确定方式：随机抽取。</w:t>
            </w:r>
          </w:p>
        </w:tc>
      </w:tr>
      <w:tr w14:paraId="5CAD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5D538DF6">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25.2</w:t>
            </w:r>
          </w:p>
        </w:tc>
        <w:tc>
          <w:tcPr>
            <w:tcW w:w="8356" w:type="dxa"/>
            <w:vAlign w:val="center"/>
          </w:tcPr>
          <w:p w14:paraId="747CA79F">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代理机构将依托电子交易平台发起开始解密指令，供应商的法定代表人或其委托代理人须携带加密时所用的CA锁按平台提示和采购文件的规定登录到“广西政府采购云平台（https：//www.gcy.zfcg.gxzf.gov.cn/）”平台电子开标大厅签到并在发起解密指令之时起30分钟内完成对电子响应文件在线解密。响应文件未按时解密的，视为响应文件无效。</w:t>
            </w:r>
          </w:p>
        </w:tc>
      </w:tr>
      <w:tr w14:paraId="7DE8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14:paraId="1DA69B9A">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w:t>
            </w:r>
          </w:p>
        </w:tc>
        <w:tc>
          <w:tcPr>
            <w:tcW w:w="8356" w:type="dxa"/>
            <w:vAlign w:val="center"/>
          </w:tcPr>
          <w:p w14:paraId="50FEAB87">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商务要求评审中允许负偏离的条款数为0项。</w:t>
            </w:r>
          </w:p>
          <w:p w14:paraId="4C8641AF">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技术要求评审中允许负偏离的条款数为0项。</w:t>
            </w:r>
          </w:p>
        </w:tc>
      </w:tr>
      <w:tr w14:paraId="4115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24E90772">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8356" w:type="dxa"/>
            <w:vAlign w:val="center"/>
          </w:tcPr>
          <w:p w14:paraId="421758EF">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谈判的顺序：按“广西政府采购云平台（https：//www.gcy.zfcg.gxzf.gov.cn/）”系统的编号顺序。</w:t>
            </w:r>
          </w:p>
          <w:p w14:paraId="3AE81510">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符合谈判资格的供应商必须在接到谈判通知后规定时间内参加谈判，未在规定时间内参加谈判的视同放弃参加谈判权利，其响应文件按无效响应处理。</w:t>
            </w:r>
          </w:p>
          <w:p w14:paraId="582BE30C">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参与谈判前，供应商法定代表人或者委托代理人必须向谈判小组出示本人有效证件原件[有效证件可以是身份证（含临时身份证明）或者护照的其中一项]。</w:t>
            </w:r>
          </w:p>
        </w:tc>
      </w:tr>
      <w:tr w14:paraId="60CB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04B184E8">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8356" w:type="dxa"/>
            <w:vAlign w:val="center"/>
          </w:tcPr>
          <w:p w14:paraId="23AAB44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评审价相同时，按照最后报价由低到高顺序依次推荐；最后报价相同时，按以下原则确定成交候选人的顺序：</w:t>
            </w:r>
          </w:p>
          <w:p w14:paraId="3F18BBA7">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☑依次按带“▲”的实质性要求正偏离项数多的优先、均无正偏离或者正偏离项数一致时负偏离项数少的优先、质量保证期长优先、交货期短优先、故障响应时间短优先的顺序排列。</w:t>
            </w:r>
          </w:p>
          <w:p w14:paraId="7B643FDF">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□由谈判小组推荐代表随机抽取。</w:t>
            </w:r>
          </w:p>
        </w:tc>
      </w:tr>
      <w:tr w14:paraId="0C1D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5CF14F13">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28.1</w:t>
            </w:r>
          </w:p>
        </w:tc>
        <w:tc>
          <w:tcPr>
            <w:tcW w:w="8356" w:type="dxa"/>
            <w:vAlign w:val="center"/>
          </w:tcPr>
          <w:p w14:paraId="24FEBC7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本项目不收取履约保证金。</w:t>
            </w:r>
          </w:p>
          <w:p w14:paraId="520D110A">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本项目收取履约保证金，具体规定如下：详见第三章采购需求。</w:t>
            </w:r>
          </w:p>
        </w:tc>
      </w:tr>
      <w:tr w14:paraId="300B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26EDD381">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29.1</w:t>
            </w:r>
          </w:p>
        </w:tc>
        <w:tc>
          <w:tcPr>
            <w:tcW w:w="8356" w:type="dxa"/>
            <w:vAlign w:val="center"/>
          </w:tcPr>
          <w:p w14:paraId="282893DA">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签订合同携带的证明材料：</w:t>
            </w:r>
          </w:p>
          <w:p w14:paraId="4E17AFA1">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1.委托代理人负责签订合同的，须携带授权委托书及委托代理人身份证原件等其他资格证件。</w:t>
            </w:r>
          </w:p>
          <w:p w14:paraId="5C856AF2">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2.法定代表人负责签订合同的，须携带法定代表人身份证明原件及身份证原件等其他证明材料。</w:t>
            </w:r>
          </w:p>
        </w:tc>
      </w:tr>
      <w:tr w14:paraId="2F64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37C75603">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31.2</w:t>
            </w:r>
          </w:p>
        </w:tc>
        <w:tc>
          <w:tcPr>
            <w:tcW w:w="8356" w:type="dxa"/>
            <w:vAlign w:val="center"/>
          </w:tcPr>
          <w:p w14:paraId="79C1ABA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接收质疑函方式：以纸质书面形式。</w:t>
            </w:r>
          </w:p>
          <w:p w14:paraId="4F4F5C3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质疑联系部门及联系方式：广西科文招标有限公司，联系电话：</w:t>
            </w:r>
            <w:r>
              <w:rPr>
                <w:rFonts w:hint="eastAsia" w:ascii="仿宋" w:hAnsi="仿宋" w:eastAsia="仿宋" w:cs="仿宋"/>
                <w:color w:val="000000" w:themeColor="text1"/>
                <w:sz w:val="24"/>
                <w:szCs w:val="24"/>
                <w:lang w:eastAsia="zh-CN"/>
                <w14:textFill>
                  <w14:solidFill>
                    <w14:schemeClr w14:val="tx1"/>
                  </w14:solidFill>
                </w14:textFill>
              </w:rPr>
              <w:t>0773-8998063</w:t>
            </w:r>
            <w:r>
              <w:rPr>
                <w:rFonts w:hint="eastAsia" w:ascii="仿宋" w:hAnsi="仿宋" w:eastAsia="仿宋" w:cs="仿宋"/>
                <w:color w:val="000000" w:themeColor="text1"/>
                <w:sz w:val="24"/>
                <w:szCs w:val="24"/>
                <w14:textFill>
                  <w14:solidFill>
                    <w14:schemeClr w14:val="tx1"/>
                  </w14:solidFill>
                </w14:textFill>
              </w:rPr>
              <w:t>，通讯地</w:t>
            </w:r>
            <w:r>
              <w:rPr>
                <w:rFonts w:hint="eastAsia" w:ascii="仿宋" w:hAnsi="仿宋" w:eastAsia="仿宋" w:cs="仿宋"/>
                <w:color w:val="000000" w:themeColor="text1"/>
                <w:sz w:val="24"/>
                <w:szCs w:val="24"/>
                <w:lang w:val="en-US" w:eastAsia="zh-CN"/>
                <w14:textFill>
                  <w14:solidFill>
                    <w14:schemeClr w14:val="tx1"/>
                  </w14:solidFill>
                </w14:textFill>
              </w:rPr>
              <w:t>址：</w:t>
            </w:r>
            <w:r>
              <w:rPr>
                <w:rFonts w:hint="eastAsia" w:ascii="仿宋" w:hAnsi="仿宋" w:eastAsia="仿宋" w:cs="仿宋"/>
                <w:color w:val="auto"/>
                <w:sz w:val="24"/>
                <w:szCs w:val="24"/>
                <w:highlight w:val="none"/>
                <w:lang w:val="en-US" w:eastAsia="zh-CN"/>
              </w:rPr>
              <w:t>桂林市七星区穿山东路41号彰泰•天街V+国际中心1#楼八层802号</w:t>
            </w:r>
            <w:r>
              <w:rPr>
                <w:rFonts w:hint="eastAsia" w:ascii="仿宋" w:hAnsi="仿宋" w:eastAsia="仿宋" w:cs="仿宋"/>
                <w:color w:val="000000" w:themeColor="text1"/>
                <w:sz w:val="24"/>
                <w:szCs w:val="24"/>
                <w14:textFill>
                  <w14:solidFill>
                    <w14:schemeClr w14:val="tx1"/>
                  </w14:solidFill>
                </w14:textFill>
              </w:rPr>
              <w:t>。</w:t>
            </w:r>
          </w:p>
          <w:p w14:paraId="71EAF9D3">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现场提交质疑办理业务时间：每天8时30分到12时00分，15时00分到18时00分，业务时间以外、双休日和法定节假日不办理业务。</w:t>
            </w:r>
          </w:p>
        </w:tc>
      </w:tr>
      <w:tr w14:paraId="47DF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05262DA7">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31.6</w:t>
            </w:r>
          </w:p>
        </w:tc>
        <w:tc>
          <w:tcPr>
            <w:tcW w:w="8356" w:type="dxa"/>
            <w:vAlign w:val="center"/>
          </w:tcPr>
          <w:p w14:paraId="6F561472">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1.受理方式：纸质方式受理，投诉书正、副本（经过质疑的事项才可投诉）。</w:t>
            </w:r>
          </w:p>
          <w:p w14:paraId="6A7FA97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2.通讯方式</w:t>
            </w:r>
          </w:p>
          <w:p w14:paraId="616DA8FF">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名称：广西壮族自治区财政厅政府采购监督管理处</w:t>
            </w:r>
          </w:p>
          <w:p w14:paraId="4B76A6D2">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地址：南宁市桃源路69号广西财政大厦7楼</w:t>
            </w:r>
          </w:p>
          <w:p w14:paraId="21C2763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3.联系电话：0771-5331544</w:t>
            </w:r>
          </w:p>
        </w:tc>
      </w:tr>
      <w:tr w14:paraId="00D0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17680721">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w:t>
            </w:r>
          </w:p>
        </w:tc>
        <w:tc>
          <w:tcPr>
            <w:tcW w:w="8356" w:type="dxa"/>
            <w:vAlign w:val="center"/>
          </w:tcPr>
          <w:p w14:paraId="37307ADE">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1.采购代理费支付方式：</w:t>
            </w:r>
          </w:p>
          <w:p w14:paraId="064C318E">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本项目代理服务费由成交供应商在领取成交通知书前，一次性向采购代理机构支付。</w:t>
            </w:r>
          </w:p>
          <w:p w14:paraId="75DA110F">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2.采购代理费收取标准：</w:t>
            </w:r>
          </w:p>
          <w:p w14:paraId="5B206EA3">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以成交金额为计费额，按本须知正文第32.2条规定的（□货物类/□服务类/</w:t>
            </w:r>
            <w:r>
              <w:rPr>
                <w:rFonts w:hint="eastAsia" w:ascii="仿宋" w:hAnsi="仿宋" w:eastAsia="仿宋" w:cs="仿宋"/>
                <w:color w:val="000000" w:themeColor="text1"/>
                <w:sz w:val="24"/>
                <w:szCs w:val="24"/>
                <w14:textFill>
                  <w14:solidFill>
                    <w14:schemeClr w14:val="tx1"/>
                  </w14:solidFill>
                </w14:textFill>
              </w:rPr>
              <w:sym w:font="Wingdings 2" w:char="F052"/>
            </w:r>
            <w:r>
              <w:rPr>
                <w:rFonts w:hint="eastAsia" w:ascii="仿宋" w:hAnsi="仿宋" w:eastAsia="仿宋" w:cs="仿宋"/>
                <w:color w:val="000000" w:themeColor="text1"/>
                <w:sz w:val="24"/>
                <w:szCs w:val="24"/>
                <w14:textFill>
                  <w14:solidFill>
                    <w14:schemeClr w14:val="tx1"/>
                  </w14:solidFill>
                </w14:textFill>
              </w:rPr>
              <w:t>工程类）收费标准采用差额定率累进法计算出收费基准价格，采购代理收费以（</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收费基准价格/</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收费基准价格下浮</w:t>
            </w:r>
            <w:r>
              <w:rPr>
                <w:rFonts w:hint="eastAsia" w:ascii="仿宋" w:hAnsi="仿宋" w:eastAsia="仿宋" w:cs="仿宋"/>
                <w:color w:val="000000" w:themeColor="text1"/>
                <w:sz w:val="24"/>
                <w:szCs w:val="24"/>
                <w:lang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收费基准价格上浮___%）收取。</w:t>
            </w:r>
          </w:p>
          <w:p w14:paraId="6A8B9437">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□固定采购代理收费。</w:t>
            </w:r>
          </w:p>
          <w:p w14:paraId="42D64BBA">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3.采购代理费收取银行账户</w:t>
            </w:r>
          </w:p>
          <w:p w14:paraId="3E105633">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开户名称：</w:t>
            </w:r>
            <w:r>
              <w:rPr>
                <w:rFonts w:hint="eastAsia" w:ascii="仿宋" w:hAnsi="仿宋" w:eastAsia="仿宋" w:cs="仿宋"/>
                <w:color w:val="auto"/>
                <w:sz w:val="24"/>
                <w:highlight w:val="none"/>
                <w:lang w:bidi="ar"/>
              </w:rPr>
              <w:t>广西科文招标有限公司桂林分公司</w:t>
            </w:r>
          </w:p>
          <w:p w14:paraId="1994C2C7">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w:t>
            </w:r>
            <w:r>
              <w:rPr>
                <w:rFonts w:hint="eastAsia" w:ascii="仿宋" w:hAnsi="仿宋" w:eastAsia="仿宋" w:cs="仿宋"/>
                <w:color w:val="auto"/>
                <w:sz w:val="24"/>
                <w:highlight w:val="none"/>
                <w:lang w:bidi="ar"/>
              </w:rPr>
              <w:t>中国工商银行桂林市桂湖支行</w:t>
            </w:r>
          </w:p>
          <w:p w14:paraId="63820E67">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银行账号：</w:t>
            </w:r>
            <w:r>
              <w:rPr>
                <w:rFonts w:hint="eastAsia" w:ascii="仿宋" w:hAnsi="仿宋" w:eastAsia="仿宋" w:cs="仿宋"/>
                <w:color w:val="auto"/>
                <w:sz w:val="24"/>
                <w:highlight w:val="none"/>
                <w:lang w:bidi="ar"/>
              </w:rPr>
              <w:t>210 3200 2093 0000 2088</w:t>
            </w:r>
          </w:p>
        </w:tc>
      </w:tr>
      <w:tr w14:paraId="5EAD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23A99EF9">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33.1</w:t>
            </w:r>
          </w:p>
        </w:tc>
        <w:tc>
          <w:tcPr>
            <w:tcW w:w="8356" w:type="dxa"/>
            <w:vAlign w:val="center"/>
          </w:tcPr>
          <w:p w14:paraId="1A1BFB7C">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7F5F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2543E63F">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33.2</w:t>
            </w:r>
          </w:p>
        </w:tc>
        <w:tc>
          <w:tcPr>
            <w:tcW w:w="8356" w:type="dxa"/>
            <w:vAlign w:val="center"/>
          </w:tcPr>
          <w:p w14:paraId="651B3D87">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谈判文件中描述供应商的“公章”是指根据我国对公章的管理规定，用供应商法定主体行为名称制作的印章（含电子印章），除本谈判文件有特殊规定外，供应商的财务章、部门章、分公司章、工会章、合同章、竞标专用章、业务专用章及银行的转账章、现金收讫章、现金付讫章等其他形式印章均不能代替公章。</w:t>
            </w:r>
          </w:p>
          <w:p w14:paraId="7A9A11A8">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18岁以上成年人（十六周岁以上的未成年人，以自己的劳动收入为主要生活来源的，视为完全民事行为能力人）。</w:t>
            </w:r>
          </w:p>
          <w:p w14:paraId="1DCC71A0">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3.本谈判文件中描述供应商的“签字”是指供应商的法定代表人或者委托代理人在文件规定签署处签名（含电子签名）的行为，私章、印鉴等其他形式均不能代替签字。</w:t>
            </w:r>
          </w:p>
          <w:p w14:paraId="30DB88F8">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4.自然人竞标的，谈判文件规定盖章的地方自然人可以加盖手指指印。</w:t>
            </w:r>
          </w:p>
          <w:p w14:paraId="4C98F5EE">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5.本谈判文件所称的“以上”“以下”“以内”“届满”，包括本数；所称的“不满”“超过”“以外”，不包括本数。</w:t>
            </w:r>
          </w:p>
        </w:tc>
      </w:tr>
    </w:tbl>
    <w:p w14:paraId="17117A1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583D9F6F">
      <w:pPr>
        <w:pStyle w:val="2"/>
        <w:jc w:val="center"/>
        <w:rPr>
          <w:rFonts w:hint="eastAsia" w:ascii="仿宋" w:hAnsi="仿宋" w:eastAsia="仿宋" w:cs="仿宋"/>
          <w:color w:val="000000" w:themeColor="text1"/>
          <w14:textFill>
            <w14:solidFill>
              <w14:schemeClr w14:val="tx1"/>
            </w14:solidFill>
          </w14:textFill>
        </w:rPr>
      </w:pPr>
      <w:bookmarkStart w:id="28" w:name="_Toc193815606"/>
      <w:r>
        <w:rPr>
          <w:rFonts w:hint="eastAsia" w:ascii="仿宋" w:hAnsi="仿宋" w:eastAsia="仿宋" w:cs="仿宋"/>
          <w:color w:val="000000" w:themeColor="text1"/>
          <w14:textFill>
            <w14:solidFill>
              <w14:schemeClr w14:val="tx1"/>
            </w14:solidFill>
          </w14:textFill>
        </w:rPr>
        <w:t>二、供应商须知正文</w:t>
      </w:r>
      <w:bookmarkEnd w:id="28"/>
    </w:p>
    <w:p w14:paraId="06C688A7">
      <w:pPr>
        <w:pStyle w:val="4"/>
        <w:jc w:val="left"/>
        <w:rPr>
          <w:rFonts w:hint="eastAsia" w:ascii="仿宋" w:hAnsi="仿宋" w:eastAsia="仿宋" w:cs="仿宋"/>
          <w:color w:val="000000" w:themeColor="text1"/>
          <w:sz w:val="28"/>
          <w:szCs w:val="28"/>
          <w14:textFill>
            <w14:solidFill>
              <w14:schemeClr w14:val="tx1"/>
            </w14:solidFill>
          </w14:textFill>
        </w:rPr>
      </w:pPr>
      <w:bookmarkStart w:id="29" w:name="_Toc193815607"/>
      <w:r>
        <w:rPr>
          <w:rFonts w:hint="eastAsia" w:ascii="仿宋" w:hAnsi="仿宋" w:eastAsia="仿宋" w:cs="仿宋"/>
          <w:color w:val="000000" w:themeColor="text1"/>
          <w:sz w:val="28"/>
          <w:szCs w:val="28"/>
          <w14:textFill>
            <w14:solidFill>
              <w14:schemeClr w14:val="tx1"/>
            </w14:solidFill>
          </w14:textFill>
        </w:rPr>
        <w:t>（一）总则</w:t>
      </w:r>
      <w:bookmarkEnd w:id="29"/>
    </w:p>
    <w:p w14:paraId="763A60E5">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1.适用范围</w:t>
      </w:r>
    </w:p>
    <w:p w14:paraId="0329969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3E356AC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1.2本竞争性谈判文件（以下简称谈判文件）适用于本项目的所有采购程序和环节（法律、法规另有规定的，从其规定）。</w:t>
      </w:r>
    </w:p>
    <w:p w14:paraId="5E32A8BF">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2.定义</w:t>
      </w:r>
    </w:p>
    <w:p w14:paraId="29C544B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2.1“采购人”是指依法进行采购的国家机关、事业单位、团体组织。</w:t>
      </w:r>
    </w:p>
    <w:p w14:paraId="3F17F1D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2.2“采购代理机构”是指政府采购集中采购机构和集中采购机构以外的采购代理机构。</w:t>
      </w:r>
    </w:p>
    <w:p w14:paraId="7F87FE5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2.3“供应商”是指向采购人提供货物、工程或者服务的法人、其他组织或者自然人。</w:t>
      </w:r>
    </w:p>
    <w:p w14:paraId="374B9E7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2.4“货物”是指各种形态和种类的物品，包括原材料、燃料、设备、产品等。</w:t>
      </w:r>
    </w:p>
    <w:p w14:paraId="6AA308A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2.5“竞标”是指按照本项目竞争性谈判公告或者邀请函规定的方式供应商获取谈判文件、提交响应文件并希望获得标的的行为。</w:t>
      </w:r>
    </w:p>
    <w:p w14:paraId="04C7107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2.6“售后服务”是指包含但不限于供应商须承担的备品备件、包装、运输、装卸、保险、货到就位以及安装、调试、培训、保修和其他类似的义务。</w:t>
      </w:r>
    </w:p>
    <w:p w14:paraId="2021965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2.7“书面形式”是指合同书、信件和数据电文（包括电报、电传、传真、电子数据交换和电子邮件）等可以有形地表现所载内容的形式。</w:t>
      </w:r>
    </w:p>
    <w:p w14:paraId="556030A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2.8“响应文件”是指：供应商根据本谈判文件要求，编制包含报价、技术和服务等所有内容的文件。</w:t>
      </w:r>
    </w:p>
    <w:p w14:paraId="149A584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2.9“实质性要求”是指采购需求中带“▲”的条款或者不能负偏离的条款或者已经指明不满足按响应文件按无效响应处理的条款。</w:t>
      </w:r>
    </w:p>
    <w:p w14:paraId="2B4ACDF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2.10“正偏离”，是指响应文件对谈判文件“采购需求”中有关条款作出优于条款要求并有利于采购人的响应情形；</w:t>
      </w:r>
    </w:p>
    <w:p w14:paraId="2CB7D40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2.11“负偏离”，是指响应文件对谈判文件“采购需求”中有关条款作出的响应不满足条款要求，导致采购人要求不能得到满足的情形。</w:t>
      </w:r>
    </w:p>
    <w:p w14:paraId="78B56A0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2.12“允许负偏离的条款”是指采购需求中的不属于“实质性要求”的条款。</w:t>
      </w:r>
    </w:p>
    <w:p w14:paraId="075ED6F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2.13“首次报价”是指供应商提交的首次响应文件中的竞标报价。</w:t>
      </w:r>
    </w:p>
    <w:p w14:paraId="321C6041">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3.供应商的资格条件</w:t>
      </w:r>
    </w:p>
    <w:p w14:paraId="5983F97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供应商的资格条件详见“供应商须知前附表”。</w:t>
      </w:r>
    </w:p>
    <w:p w14:paraId="3372A027">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4.竞标费用</w:t>
      </w:r>
    </w:p>
    <w:p w14:paraId="466D06C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竞标费用：供应商应承担参与本次采购活动有关的所有费用，包括但不限于获取谈判文件、勘查现场、编制和提交响应文件、参加谈判与应答、签订合同等，不论竞标结果如何，均应自行承担。</w:t>
      </w:r>
    </w:p>
    <w:p w14:paraId="17C206BA">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6.转包与分包</w:t>
      </w:r>
    </w:p>
    <w:p w14:paraId="3928A12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6.1本项目不允许转包。</w:t>
      </w:r>
    </w:p>
    <w:p w14:paraId="07158EA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4296915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6.3供应商根据谈判文件的规定和采购项目的实际情况，拟在成交后将成交项目的非主体、非关键性工作分包的，应当在响应文件中载明分包承担主体，分包承担主体应当具备相应资质条件且不得再次分包。</w:t>
      </w:r>
    </w:p>
    <w:p w14:paraId="36E6291E">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7.特别说明</w:t>
      </w:r>
    </w:p>
    <w:p w14:paraId="43A817E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7.1如果本谈判文件要求提供供应商或制造商的资格、信誉、荣誉、业绩与企业认证等材料的，资格、信誉、荣誉、业绩与企业认证等必须为供应商或者制造商所拥有或自身获得。</w:t>
      </w:r>
    </w:p>
    <w:p w14:paraId="557183A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7.2供应商应仔细阅读谈判文件的所有内容，按照谈判文件的要求提交响应文件，并对所提供的全部资料的真实性承担法律责任。</w:t>
      </w:r>
    </w:p>
    <w:p w14:paraId="476D80C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7.3供应商在竞标活动中提供任何虚假材料，其响应文件按无效响应处理，并报监管部门查处；签订合同后发现的，成交供应商须依法赔偿采购人，且民事赔偿并不免除违法供应商的行政与刑事责任。</w:t>
      </w:r>
    </w:p>
    <w:p w14:paraId="641A52C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7.4在政府采购活动中，采购人员及相关人员与供应商有下列利害关系之一的，应当回避：</w:t>
      </w:r>
    </w:p>
    <w:p w14:paraId="31FD9FA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（1）参加采购活动前3年内与供应商存在劳动关系；</w:t>
      </w:r>
    </w:p>
    <w:p w14:paraId="0A78C5F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（2）参加采购活动前3年内担任供应商的董事、监事；</w:t>
      </w:r>
    </w:p>
    <w:p w14:paraId="76C504B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（3）参加采购活动前3年内是供应商的控股股东或者实际控制人；</w:t>
      </w:r>
    </w:p>
    <w:p w14:paraId="567DC13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（4）与供应商的法定代表人或者负责人有夫妻、直系血亲、三代以内旁系血亲或者近姻亲关系；</w:t>
      </w:r>
    </w:p>
    <w:p w14:paraId="360F984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（5）与供应商有其他可能影响政府采购活动公平、公正进行的关系。</w:t>
      </w:r>
    </w:p>
    <w:p w14:paraId="72C28EE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BFDE7D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7.5有下列情形之一的视为供应商相互串通竞标，响应文件将被视为无效：</w:t>
      </w:r>
    </w:p>
    <w:p w14:paraId="55D6C2C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（1）不同供应商的响应文件由同一单位或者个人编制；</w:t>
      </w:r>
    </w:p>
    <w:p w14:paraId="5FD0D23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（2）不同供应商委托同一单位或者个人办理竞标事宜；</w:t>
      </w:r>
    </w:p>
    <w:p w14:paraId="0663A86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（3）不同的供应商的响应文件载明的项目管理员为同一个人；</w:t>
      </w:r>
    </w:p>
    <w:p w14:paraId="76478F8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（4）不同供应商的响应文件异常一致或者报价呈规律性差异；</w:t>
      </w:r>
    </w:p>
    <w:p w14:paraId="11215A8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（5）不同供应商的响应文件相互混装；</w:t>
      </w:r>
    </w:p>
    <w:p w14:paraId="4A51619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（6）不同供应商的竞标保证金从同一单位或者个人账户转出。</w:t>
      </w:r>
    </w:p>
    <w:p w14:paraId="4651294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7.6供应商有下列情形之一的，属于恶意串通行为，将报同级监督管理部门：</w:t>
      </w:r>
    </w:p>
    <w:p w14:paraId="6281B3B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（1）供应商直接或者间接从采购人或者采购代理机构处获得其他供应商的相关信息并修改其响应文件；</w:t>
      </w:r>
    </w:p>
    <w:p w14:paraId="0BCB917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（2）供应商按照采购人或者采购代理机构的授意撤换、修改响应文件；</w:t>
      </w:r>
    </w:p>
    <w:p w14:paraId="6FA1160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（3）供应商之间协商报价、技术方案等响应文件或者响应文件的实质性内容；</w:t>
      </w:r>
    </w:p>
    <w:p w14:paraId="7F60170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（4）属于同一集团、协会、商会等组织成员的供应商按照该组织要求协同参加政府采购活动；</w:t>
      </w:r>
    </w:p>
    <w:p w14:paraId="774C0A5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03277D8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（6）供应商之间商定部分供应商放弃参加政府采购活动或者放弃成交；</w:t>
      </w:r>
    </w:p>
    <w:p w14:paraId="0F96ADD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（7）供应商与采购人或者采购代理机构之间、供应商相互之间，为谋求特定供应商成交或者排斥其他供应商的其他串通行为。</w:t>
      </w:r>
    </w:p>
    <w:p w14:paraId="7B1FD48B">
      <w:pPr>
        <w:pStyle w:val="4"/>
        <w:jc w:val="left"/>
        <w:rPr>
          <w:rFonts w:hint="eastAsia" w:ascii="仿宋" w:hAnsi="仿宋" w:eastAsia="仿宋" w:cs="仿宋"/>
          <w:color w:val="000000" w:themeColor="text1"/>
          <w:sz w:val="28"/>
          <w:szCs w:val="28"/>
          <w14:textFill>
            <w14:solidFill>
              <w14:schemeClr w14:val="tx1"/>
            </w14:solidFill>
          </w14:textFill>
        </w:rPr>
      </w:pPr>
      <w:bookmarkStart w:id="30" w:name="_Toc193815608"/>
      <w:r>
        <w:rPr>
          <w:rFonts w:hint="eastAsia" w:ascii="仿宋" w:hAnsi="仿宋" w:eastAsia="仿宋" w:cs="仿宋"/>
          <w:color w:val="000000" w:themeColor="text1"/>
          <w:sz w:val="28"/>
          <w:szCs w:val="28"/>
          <w14:textFill>
            <w14:solidFill>
              <w14:schemeClr w14:val="tx1"/>
            </w14:solidFill>
          </w14:textFill>
        </w:rPr>
        <w:t>（二）谈判文件</w:t>
      </w:r>
      <w:bookmarkEnd w:id="30"/>
    </w:p>
    <w:p w14:paraId="42133596">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8.谈判文件的构成</w:t>
      </w:r>
    </w:p>
    <w:p w14:paraId="132EF21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（1）竞争性谈判公告；</w:t>
      </w:r>
    </w:p>
    <w:p w14:paraId="6774A75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（2）供应商须知；</w:t>
      </w:r>
    </w:p>
    <w:p w14:paraId="4166FC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（3）采购需求；</w:t>
      </w:r>
    </w:p>
    <w:p w14:paraId="640FB3B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（4）评审程序和评定成交的标准</w:t>
      </w:r>
    </w:p>
    <w:p w14:paraId="5C8D78B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（5）响应文件格式；</w:t>
      </w:r>
    </w:p>
    <w:p w14:paraId="0F7BB24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（6）合同文本；</w:t>
      </w:r>
    </w:p>
    <w:p w14:paraId="7B7EDFF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（7）工程量清单、图纸</w:t>
      </w:r>
    </w:p>
    <w:p w14:paraId="3E35B3B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（8）质疑、投诉材料格式</w:t>
      </w:r>
    </w:p>
    <w:p w14:paraId="5C23CABD">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9.供应商的询问</w:t>
      </w:r>
    </w:p>
    <w:p w14:paraId="7436F00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14:paraId="260C5915">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10.谈判文件的澄清和修改</w:t>
      </w:r>
    </w:p>
    <w:p w14:paraId="37A3758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10.1提交首次响应文件截止之日前，采购人、采购代理机构或者谈判小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3个工作日前，在原公告发布媒体上发布更正公告；不足3个工作日的，应当顺延提交首次响应文件截止之日。</w:t>
      </w:r>
    </w:p>
    <w:p w14:paraId="0D1AC66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10.2采购人和采购代理机构可以视采购具体情况，变更首次响应文件提交截止时间，并在原公告发布媒体上发布更正公告。</w:t>
      </w:r>
    </w:p>
    <w:p w14:paraId="127DC45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10.3谈判文件澄清、答复、修改、补充的内容为谈判文件的组成部分。当谈判文件与谈判文件的澄清、答复、修改、补充通知就同一内容的表述不一致时，以最后发出的文件为准。</w:t>
      </w:r>
    </w:p>
    <w:p w14:paraId="6F031DF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10.4响应文件未按谈判文件的澄清、修改后的内容编制的，其响应文件作无效响应处理。</w:t>
      </w:r>
    </w:p>
    <w:p w14:paraId="56E0BDC8">
      <w:pPr>
        <w:pStyle w:val="4"/>
        <w:jc w:val="left"/>
        <w:rPr>
          <w:rFonts w:hint="eastAsia" w:ascii="仿宋" w:hAnsi="仿宋" w:eastAsia="仿宋" w:cs="仿宋"/>
          <w:color w:val="000000" w:themeColor="text1"/>
          <w:sz w:val="28"/>
          <w:szCs w:val="28"/>
          <w14:textFill>
            <w14:solidFill>
              <w14:schemeClr w14:val="tx1"/>
            </w14:solidFill>
          </w14:textFill>
        </w:rPr>
      </w:pPr>
      <w:bookmarkStart w:id="31" w:name="_Toc193815609"/>
      <w:r>
        <w:rPr>
          <w:rFonts w:hint="eastAsia" w:ascii="仿宋" w:hAnsi="仿宋" w:eastAsia="仿宋" w:cs="仿宋"/>
          <w:color w:val="000000" w:themeColor="text1"/>
          <w:sz w:val="28"/>
          <w:szCs w:val="28"/>
          <w14:textFill>
            <w14:solidFill>
              <w14:schemeClr w14:val="tx1"/>
            </w14:solidFill>
          </w14:textFill>
        </w:rPr>
        <w:t>（三）响应文件的编制</w:t>
      </w:r>
      <w:bookmarkEnd w:id="31"/>
    </w:p>
    <w:p w14:paraId="51ACB67E">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11.响应文件的编制原则</w:t>
      </w:r>
    </w:p>
    <w:p w14:paraId="544AC52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供应商必须按照谈判文件的要求编制响应文件，并对其提交的响应文件的真实性、合法性承担法律责任。响应文件必须对谈判文件作出实质性响应。</w:t>
      </w:r>
    </w:p>
    <w:p w14:paraId="5B3F4167">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12.响应文件的组成</w:t>
      </w:r>
    </w:p>
    <w:p w14:paraId="11B69E1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12.1响应文件由资格证明文件、报价商务技术文件两部分组成。</w:t>
      </w:r>
    </w:p>
    <w:p w14:paraId="063FF2B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12.1.1资格证明文件：详见“供应商须知前附表”</w:t>
      </w:r>
    </w:p>
    <w:p w14:paraId="7245983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bookmarkStart w:id="32" w:name="OLE_LINK102"/>
      <w:bookmarkStart w:id="33" w:name="OLE_LINK103"/>
      <w:r>
        <w:rPr>
          <w:rFonts w:hint="eastAsia" w:ascii="仿宋" w:hAnsi="仿宋" w:eastAsia="仿宋" w:cs="仿宋"/>
          <w:color w:val="000000" w:themeColor="text1"/>
          <w:sz w:val="24"/>
          <w:szCs w:val="24"/>
          <w14:textFill>
            <w14:solidFill>
              <w14:schemeClr w14:val="tx1"/>
            </w14:solidFill>
          </w14:textFill>
        </w:rPr>
        <w:t>12.1.2商务技术文件：详见“供应商须知前附表”</w:t>
      </w:r>
      <w:bookmarkEnd w:id="32"/>
      <w:bookmarkEnd w:id="33"/>
    </w:p>
    <w:p w14:paraId="66A5FEC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12.1.3报价文件：详见“供应商须知前附表”</w:t>
      </w:r>
    </w:p>
    <w:p w14:paraId="0CAF2F1B">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13.计量单位</w:t>
      </w:r>
    </w:p>
    <w:p w14:paraId="7BDDBE2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谈判文件已有明确规定的，使用谈判文件规定的计量单位；谈判文件没有规定的，应采用中华人民共和国法定计量单位，货币种类为人民币，否则视同未响应。</w:t>
      </w:r>
    </w:p>
    <w:p w14:paraId="1328B0C6">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14.竞标的风险</w:t>
      </w:r>
    </w:p>
    <w:p w14:paraId="39F3402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供应商没有按照谈判文件要求提供全部资料，或者供应商没有对谈判文件在各方面作出实质性响应可能导致其响应文件按无效响应处理，是供应商应当考虑的风险。</w:t>
      </w:r>
    </w:p>
    <w:p w14:paraId="28D63BA4">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15.竞标报价</w:t>
      </w:r>
    </w:p>
    <w:p w14:paraId="527AA2A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15.1竞标报价应按谈判文件中“竞标报价表”格式填写。</w:t>
      </w:r>
    </w:p>
    <w:p w14:paraId="414AF2D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15.2竞标报价的内容详见“供应商须知前附表”。</w:t>
      </w:r>
    </w:p>
    <w:p w14:paraId="1152160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15.3竞标报价要求</w:t>
      </w:r>
    </w:p>
    <w:p w14:paraId="525AB5B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15.3.1供应商的竞标报价应符合以下要求，否则响应文件按无效响应处理：</w:t>
      </w:r>
    </w:p>
    <w:p w14:paraId="530C4E2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（1）供应商必须就“采购需求”中所竞标的每个分标的全部内容分别作完整唯一总价报价，不得存在漏项报价；</w:t>
      </w:r>
    </w:p>
    <w:p w14:paraId="0E845FD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（2）供应商必须就所竞标的分标的单项内容作唯一报价。</w:t>
      </w:r>
    </w:p>
    <w:p w14:paraId="1258EDD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15.3.2最后报价超过所竞标分标规定的采购预算金额或者最高限价的，其响应文件将按无效响应处理。</w:t>
      </w:r>
    </w:p>
    <w:p w14:paraId="5469A8D9">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16.竞标有效期</w:t>
      </w:r>
    </w:p>
    <w:p w14:paraId="3FE3F11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39C87CC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16.2竞标有效期应由供应商按“供应商须知前附表”规定的期限作出响应。</w:t>
      </w:r>
    </w:p>
    <w:p w14:paraId="11CACE9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16.3供应商的响应文件在竞标有效期内均保持有效。</w:t>
      </w:r>
    </w:p>
    <w:p w14:paraId="1F794C1A">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17.竞标保证金</w:t>
      </w:r>
    </w:p>
    <w:p w14:paraId="617ED7F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17.1供应商须按“供应商须知前附表”的规定提交竞标保证金。</w:t>
      </w:r>
    </w:p>
    <w:p w14:paraId="05FB32A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17.2竞标保证金的退还</w:t>
      </w:r>
    </w:p>
    <w:p w14:paraId="2CC7C3A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未成交供应商的竞标保证金自成交通知书发出之日起5个工作日内退还；成交供应商的竞标保证金自签订合同之日起5个工作日内退还。</w:t>
      </w:r>
    </w:p>
    <w:p w14:paraId="41B8386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17.3竞标保证金不计息。</w:t>
      </w:r>
    </w:p>
    <w:p w14:paraId="0ECD049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17.4供应商有下列情形之一的，竞标保证金将不予退还：</w:t>
      </w:r>
    </w:p>
    <w:p w14:paraId="425732C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（1）供应商在提交首次响应文件截止时间后撤回响应文件的；</w:t>
      </w:r>
    </w:p>
    <w:p w14:paraId="6D17C5A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（2）未按规定提交履约保证金的；</w:t>
      </w:r>
    </w:p>
    <w:p w14:paraId="70696A4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（3）供应商在响应文件中提供虚假材料的；</w:t>
      </w:r>
    </w:p>
    <w:p w14:paraId="7C7725A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（4）除因不可抗力或者谈判文件认可的情形以外，成交供应商不与采购人签订合同的；</w:t>
      </w:r>
    </w:p>
    <w:p w14:paraId="42A8623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（5）供应商与采购人、其他供应商或者采购代理机构恶意串通的；</w:t>
      </w:r>
    </w:p>
    <w:p w14:paraId="2B5CB0A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（6）法律法规规定的其他情形。</w:t>
      </w:r>
    </w:p>
    <w:p w14:paraId="06A7D11D">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18.响应文件编制的要求</w:t>
      </w:r>
    </w:p>
    <w:p w14:paraId="0DF7A8D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18.1供应商应按本谈判文件规定的格式和顺序编制、装订响应文件并标注页码，响应文件内容不完整、编排混乱导致响应文件被误读、漏读或者查找不到相关内容的，由此引发的后果由供应商承担。</w:t>
      </w:r>
    </w:p>
    <w:p w14:paraId="35B531A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18.2响应文件应按资格证明文件、商务技术文件、报价文件分别编制电子文件，并按“广西政府采购云平台（https：//www.gcy.zfcg.gxzf.gov.cn/）”平台的要求编制、加密、上传。</w:t>
      </w:r>
    </w:p>
    <w:p w14:paraId="43753EC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18.3响应文件须由供应商在规定位置盖公章并签字（具体以供应商须知前附表或响应文件格式规定为准），否则其响应文件按无效响应处理。</w:t>
      </w:r>
    </w:p>
    <w:p w14:paraId="26C0D04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18.4响应文件中标注的供应商名称应与营业执照（事业单位法人证书、执业许可证、自然人身份证）及公章一致，否则其响应文件按无效响应处理。</w:t>
      </w:r>
    </w:p>
    <w:p w14:paraId="63061B8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22E4B607">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19.响应文件的加密、解密</w:t>
      </w:r>
    </w:p>
    <w:p w14:paraId="703C8D9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19.1电子响应文件编制完成后，供应商应按“广西政府采购云平台（https：//www.gcy.zfcg.gxzf.gov.cn/）”的要求进行加密，并在规定时间内解密，否则，由此产生的后果由供应商自行负责。</w:t>
      </w:r>
    </w:p>
    <w:p w14:paraId="3817269C">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20.响应文件的提交</w:t>
      </w:r>
    </w:p>
    <w:p w14:paraId="2E8E9C7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w:t>
      </w:r>
    </w:p>
    <w:p w14:paraId="7063383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20.2未在规定时间内上传或者未按“广西政府采购云平台（https：//www.gcy.zfcg.gxzf.gov.cn/）”平台的要求编制、加密的电子响应文件，“广西政府采购云平台（https：//www.gcy.zfcg.gxzf.gov.cn/）”平台将拒收。</w:t>
      </w:r>
    </w:p>
    <w:p w14:paraId="5FA5D00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20.3电子响应文件提交方式见“竞争性谈判公告”中“四、响应文件提交”。</w:t>
      </w:r>
    </w:p>
    <w:p w14:paraId="01683810">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21.首次响应文件的补充、修改与撤回</w:t>
      </w:r>
    </w:p>
    <w:p w14:paraId="519CBBE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https：//www.gcy.zfcg.gxzf.gov.cn/）”平台将予以拒收。</w:t>
      </w:r>
    </w:p>
    <w:p w14:paraId="71C045E7">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22.首次响应文件的退回</w:t>
      </w:r>
    </w:p>
    <w:p w14:paraId="0DA502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22.1在首次响应文件提交截止时间止提交响应文件的供应商不足3家时，采购代理机构将根据“广西政府采购云平台（https：//www.gcy.zfcg.gxzf.gov.cn/）”平台的操作将电子版响应文件退回，除此之外采购人和采购代理机构对已提交的电子响应文件概不退回。</w:t>
      </w:r>
    </w:p>
    <w:p w14:paraId="307819A8">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23.截止时间后的撤回</w:t>
      </w:r>
    </w:p>
    <w:p w14:paraId="5175DE0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23.1供应商在首次响应文件提交截止时间后书面通知采购人、采购代理机构书面撤回响应文件的，将根据本须知正文17.4的规定不予退还其竞标保证金。</w:t>
      </w:r>
    </w:p>
    <w:p w14:paraId="533A4EAA">
      <w:pPr>
        <w:pStyle w:val="4"/>
        <w:jc w:val="left"/>
        <w:rPr>
          <w:rFonts w:hint="eastAsia" w:ascii="仿宋" w:hAnsi="仿宋" w:eastAsia="仿宋" w:cs="仿宋"/>
          <w:color w:val="000000" w:themeColor="text1"/>
          <w:sz w:val="28"/>
          <w:szCs w:val="28"/>
          <w14:textFill>
            <w14:solidFill>
              <w14:schemeClr w14:val="tx1"/>
            </w14:solidFill>
          </w14:textFill>
        </w:rPr>
      </w:pPr>
      <w:bookmarkStart w:id="34" w:name="_Toc193815610"/>
      <w:r>
        <w:rPr>
          <w:rFonts w:hint="eastAsia" w:ascii="仿宋" w:hAnsi="仿宋" w:eastAsia="仿宋" w:cs="仿宋"/>
          <w:color w:val="000000" w:themeColor="text1"/>
          <w:sz w:val="28"/>
          <w:szCs w:val="28"/>
          <w14:textFill>
            <w14:solidFill>
              <w14:schemeClr w14:val="tx1"/>
            </w14:solidFill>
          </w14:textFill>
        </w:rPr>
        <w:t>（四）评审及谈判</w:t>
      </w:r>
      <w:bookmarkEnd w:id="34"/>
    </w:p>
    <w:p w14:paraId="22B5D7B7">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24.谈判小组成立</w:t>
      </w:r>
    </w:p>
    <w:p w14:paraId="3CCB4CF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608C20D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21115D9">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25.首次响应文件的开启</w:t>
      </w:r>
    </w:p>
    <w:p w14:paraId="13F3EAB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25.1首次响应文件由谈判小组或者采购代理机构在“供应商须知前附表”规定的时间开启。</w:t>
      </w:r>
    </w:p>
    <w:p w14:paraId="68EF6E0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25.2响应文件解密：采购代理机构将在“供应商须知前附表”规定的时间通过电子交易平台组织响应文件开启，采购代理机构将依托电子交易平台发起开始解密指令，供应商的法定代表人或其委托代理人须携带加密时所用的CA锁按平台提示和采购文件的规定登录到“广西政府采购云平台（https：//www.gcy.zfcg.gxzf.gov.cn/）”平台电子开标大厅签到并在发起解密指令之时起30分钟内完成对电子响应文件在线解密。响应文件未按时解密的，视为响应文件无效。（解密异常情况处理：详见本章26.2电子交易活动的中止。）</w:t>
      </w:r>
    </w:p>
    <w:p w14:paraId="64B88EC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25.3成功解密响应文件的供应商不足3家的，不得谈判。</w:t>
      </w:r>
    </w:p>
    <w:p w14:paraId="77E752C2">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26.评审程序和评定成交的标准</w:t>
      </w:r>
    </w:p>
    <w:p w14:paraId="2C9792B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26.1谈判小组按照“第四章评审程序和评定成交的标准”规定的评审程序对响应文件进行评审，并按照评定成交的标准推荐成交候选供应商。</w:t>
      </w:r>
    </w:p>
    <w:p w14:paraId="38F2369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26.2电子交易活动的中止。采购过程中出现以下情形，导致电子交易平台无法正常运行，或者无法保证电子交易的公平、公正和安全时，采购机构可中止电子交易活动：</w:t>
      </w:r>
    </w:p>
    <w:p w14:paraId="21631F6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（1）电子交易平台发生故障而无法登录访问的；</w:t>
      </w:r>
    </w:p>
    <w:p w14:paraId="2C39894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（2）电子交易平台应用或数据库出现错误，不能进行正常操作的；</w:t>
      </w:r>
    </w:p>
    <w:p w14:paraId="6A5E85B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（3）电子交易平台发现严重安全漏洞，有潜在泄密危险的；</w:t>
      </w:r>
    </w:p>
    <w:p w14:paraId="63BE7BF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（4）病毒发作导致不能进行正常操作的；</w:t>
      </w:r>
    </w:p>
    <w:p w14:paraId="4FC8B70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（4）其他无法保证电子交易的公平、公正和安全的情况。</w:t>
      </w:r>
    </w:p>
    <w:p w14:paraId="18EC4AB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26.3出现以上情形，不影响采购公平、公正性的，采购代理机构可以待上述情形消除后继续组织电子交易活动；影响或可能影响采购公平、公正性的，经采购代理机构确认后，应当重新采购。</w:t>
      </w:r>
    </w:p>
    <w:p w14:paraId="694E895E">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27.确定成交供应商及结果公告</w:t>
      </w:r>
    </w:p>
    <w:p w14:paraId="6B1410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27.1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6414FAF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w:t>
      </w:r>
      <w:bookmarkStart w:id="35" w:name="OLE_LINK18"/>
      <w:bookmarkStart w:id="36" w:name="OLE_LINK19"/>
      <w:r>
        <w:rPr>
          <w:rFonts w:hint="eastAsia" w:ascii="仿宋" w:hAnsi="仿宋" w:eastAsia="仿宋" w:cs="仿宋"/>
          <w:color w:val="000000" w:themeColor="text1"/>
          <w:sz w:val="24"/>
          <w:szCs w:val="24"/>
          <w14:textFill>
            <w14:solidFill>
              <w14:schemeClr w14:val="tx1"/>
            </w14:solidFill>
          </w14:textFill>
        </w:rPr>
        <w:t>重大税收违法</w:t>
      </w:r>
      <w:bookmarkEnd w:id="35"/>
      <w:bookmarkEnd w:id="36"/>
      <w:r>
        <w:rPr>
          <w:rFonts w:hint="eastAsia" w:ascii="仿宋" w:hAnsi="仿宋" w:eastAsia="仿宋" w:cs="仿宋"/>
          <w:color w:val="000000" w:themeColor="text1"/>
          <w:sz w:val="24"/>
          <w:szCs w:val="24"/>
          <w14:textFill>
            <w14:solidFill>
              <w14:schemeClr w14:val="tx1"/>
            </w14:solidFill>
          </w14:textFill>
        </w:rPr>
        <w:t>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成交供应商享受《政府采购促进中小企业发展管理办法》（财库〔2020〕46号）规定的中小企业扶持政策的，采购人、采购代理机构应当随成交结果公开成交供应商的《中小企业声明函》。</w:t>
      </w:r>
    </w:p>
    <w:p w14:paraId="2A27A39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27.3出现下列情形之一的，采购人或者采购代理机构应当终止竞争性谈判采购活动，发布项目终止公告并说明原因，重新开展采购活动：</w:t>
      </w:r>
    </w:p>
    <w:p w14:paraId="0A02019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（一）因情况变化，不再符合规定的竞争性谈判采购方式适用情形的；</w:t>
      </w:r>
    </w:p>
    <w:p w14:paraId="2C024D4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（二）出现影响采购公正的违法、违规行为的；</w:t>
      </w:r>
    </w:p>
    <w:p w14:paraId="52A7BBD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（三）在采购过程中符合竞争要求的供应商或者报价未超过采购预算的供应商不足3家的，但“第四章评审程序和评定成交的标准”第3.7条规定的情形除外。</w:t>
      </w:r>
    </w:p>
    <w:p w14:paraId="55272B8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27.4在采购活动中因重大变故，采购任务取消的，采购人或者采购代理机构应当终止采购活动，通知所有参加采购活动的供应商。</w:t>
      </w:r>
    </w:p>
    <w:p w14:paraId="6A9FEE4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27.5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7502AF86">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28.履约保证金</w:t>
      </w:r>
    </w:p>
    <w:p w14:paraId="1DD8E6C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28.1履约保证金的金额、提交方式、退付的时间和条件详见“供应商须知前附表”。成交供应商未按规定提交履约保证金的，视为拒绝与采购人签订合同。</w:t>
      </w:r>
    </w:p>
    <w:p w14:paraId="7108FF6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28.2在履约保证金退还日期前，若成交供应商的开户名称、开户银行、账号有变动的，请以书面形式通知履约保证金收取单位，否则由此产生的后果由成交供应商自负。</w:t>
      </w:r>
    </w:p>
    <w:p w14:paraId="02F06E4A">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29.签订合同</w:t>
      </w:r>
    </w:p>
    <w:p w14:paraId="7119989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29.1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14:paraId="418ECBC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29.2签订合同时间：按成交通知书的规定与采购人签订政府采购合同（最长不能超过25日）。</w:t>
      </w:r>
    </w:p>
    <w:p w14:paraId="62EB4A1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29.3成交供应商拒绝与采购人签订合同的，按照本须知正文第27.5条的规定执行。</w:t>
      </w:r>
    </w:p>
    <w:p w14:paraId="47B90513">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30.政府采购合同公告</w:t>
      </w:r>
    </w:p>
    <w:p w14:paraId="3CDB09D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BA024C6">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31.询问、质疑和投诉</w:t>
      </w:r>
    </w:p>
    <w:p w14:paraId="188FFFA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31.1供应商对政府采购活动事项有疑问的，可以向采购人、采购代理机构提出询问，采购人或者采购代理机构应当在3个工作日内对供应商依法提出的询问作出答复，但答复的内容不得涉及商业秘密。</w:t>
      </w:r>
    </w:p>
    <w:p w14:paraId="316B44E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31.2供应商认为谈判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065524B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（1）对可以质疑的谈判文件提出质疑的，为获取谈判文件之日；</w:t>
      </w:r>
    </w:p>
    <w:p w14:paraId="35B6FD6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（2）对采购过程提出质疑的，为各采购程序环节结束之日；</w:t>
      </w:r>
    </w:p>
    <w:p w14:paraId="293F674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（3）对成交结果提出质疑的，为成交结果公告期限届满之日。</w:t>
      </w:r>
    </w:p>
    <w:p w14:paraId="21FF97F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79B2F7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31.4供应商提出质疑应当提交质疑函和必要的证明材料，针对同一采购程序环节的质疑必须在法定质疑期内一次性提出。质疑函应当包括下列内容（质疑函格式后附）：</w:t>
      </w:r>
    </w:p>
    <w:p w14:paraId="682936D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（1）供应商的姓名或者名称、地址、邮编、联系人及联系电话；</w:t>
      </w:r>
    </w:p>
    <w:p w14:paraId="299D87A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（2）质疑项目的名称、编号；</w:t>
      </w:r>
    </w:p>
    <w:p w14:paraId="04C4303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（3）具体、明确的质疑事项和与质疑事项相关的请求；</w:t>
      </w:r>
    </w:p>
    <w:p w14:paraId="203F273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（4）事实依据；</w:t>
      </w:r>
    </w:p>
    <w:p w14:paraId="3D88068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（5）必要的法律依据；</w:t>
      </w:r>
    </w:p>
    <w:p w14:paraId="2019646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（6）提出质疑的日期。</w:t>
      </w:r>
    </w:p>
    <w:p w14:paraId="27FF2F4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1CD64B4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14:paraId="1CDB42B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（1）对采购文件提出的质疑，依法通过澄清或者修改可以继续开展采购活动的，澄清或者修改采购文件后继续开展采购活动；否则应当修改采购文件后重新开展采购活动。</w:t>
      </w:r>
    </w:p>
    <w:p w14:paraId="3110767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（2）对采购过程或者成交结果提出的质疑，合格供应商符合法定数量时，可以从合格的成交候选人中另行确定成交供应商的，应当依法另行确定成交供应商；否则应当重新开展采购活动。</w:t>
      </w:r>
    </w:p>
    <w:p w14:paraId="77478BA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质疑答复导致成交结果改变的，采购人或者采购代理机构应当将有关情况书面报告本级财政部门。</w:t>
      </w:r>
    </w:p>
    <w:p w14:paraId="111FAB6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55B08E8">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32.其他内容</w:t>
      </w:r>
    </w:p>
    <w:p w14:paraId="6DD0740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32.1代理服务费：代理服务收取标准及缴费账户详见“供应商须知前附表”。</w:t>
      </w:r>
    </w:p>
    <w:p w14:paraId="598F7A9B">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33.需要补充的其他内容</w:t>
      </w:r>
    </w:p>
    <w:p w14:paraId="37E2D95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33.1本谈判文件解释规则详见“供应商须知前附表”。</w:t>
      </w:r>
    </w:p>
    <w:p w14:paraId="38916D1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33.2其他事项详见“供应商须知前附表”。</w:t>
      </w:r>
    </w:p>
    <w:p w14:paraId="5C137F0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33.3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3B9358D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144B072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（2）在工程采购项目中，工程由中小企业承建，即工程施工单位为中小企业，不对其中涉及的货物的制造商和服务的承接商作出要求；</w:t>
      </w:r>
    </w:p>
    <w:p w14:paraId="35798F8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2FD101E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0C03D88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依据本谈判文件规定享受扶持政策获得政府采购合同的，小微企业不得将合同分包给大中型企业，中型企业不得将合同分包给大型企业。</w:t>
      </w:r>
    </w:p>
    <w:p w14:paraId="7F7C18C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094A9228">
      <w:pPr>
        <w:pStyle w:val="3"/>
        <w:jc w:val="center"/>
        <w:rPr>
          <w:rFonts w:hint="eastAsia" w:ascii="仿宋" w:hAnsi="仿宋" w:eastAsia="仿宋" w:cs="仿宋"/>
          <w:color w:val="000000" w:themeColor="text1"/>
          <w14:textFill>
            <w14:solidFill>
              <w14:schemeClr w14:val="tx1"/>
            </w14:solidFill>
          </w14:textFill>
        </w:rPr>
      </w:pPr>
      <w:bookmarkStart w:id="37" w:name="_Toc193815611"/>
      <w:r>
        <w:rPr>
          <w:rFonts w:hint="eastAsia" w:ascii="仿宋" w:hAnsi="仿宋" w:eastAsia="仿宋" w:cs="仿宋"/>
          <w:color w:val="000000" w:themeColor="text1"/>
          <w14:textFill>
            <w14:solidFill>
              <w14:schemeClr w14:val="tx1"/>
            </w14:solidFill>
          </w14:textFill>
        </w:rPr>
        <w:t>第三</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采购需求</w:t>
      </w:r>
      <w:bookmarkEnd w:id="37"/>
    </w:p>
    <w:p w14:paraId="48F8269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p>
    <w:p w14:paraId="5C38A36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1.为落实政府采购政策需满足的要求</w:t>
      </w:r>
    </w:p>
    <w:p w14:paraId="0FD3934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（1）本竞争性谈判采购文件所称中小企业必须符合《政府采购促进中小企业发展管理办法》（财库〔2020〕46号）的规定。</w:t>
      </w:r>
    </w:p>
    <w:p w14:paraId="70D2C54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2.“实质性要求”是指采购需求中带“▲”的条款或者不能负偏离的条款或者已经指明不满足按响应文件作无效处理的条款。</w:t>
      </w:r>
    </w:p>
    <w:p w14:paraId="635CE1A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3.供应商必须自行为其竞标产品侵犯他人的知识产权或者专利成果的行为承担相应法律责任。</w:t>
      </w:r>
    </w:p>
    <w:p w14:paraId="4570EC3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4.本项目中小企业划分标准所属行业名称：建筑业。</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86"/>
        <w:gridCol w:w="850"/>
        <w:gridCol w:w="7081"/>
      </w:tblGrid>
      <w:tr w14:paraId="55F8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56EB6F53">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986" w:type="dxa"/>
            <w:vAlign w:val="center"/>
          </w:tcPr>
          <w:p w14:paraId="7804A6F3">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标的的名称</w:t>
            </w:r>
          </w:p>
        </w:tc>
        <w:tc>
          <w:tcPr>
            <w:tcW w:w="850" w:type="dxa"/>
            <w:vAlign w:val="center"/>
          </w:tcPr>
          <w:p w14:paraId="0CB4B077">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数量及单位</w:t>
            </w:r>
          </w:p>
        </w:tc>
        <w:tc>
          <w:tcPr>
            <w:tcW w:w="7081" w:type="dxa"/>
            <w:vAlign w:val="center"/>
          </w:tcPr>
          <w:p w14:paraId="58E6E4A1">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技术需求</w:t>
            </w:r>
          </w:p>
        </w:tc>
      </w:tr>
      <w:tr w14:paraId="0C2D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29C68A86">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986" w:type="dxa"/>
            <w:vAlign w:val="center"/>
          </w:tcPr>
          <w:p w14:paraId="2D40503F">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广西壮族自治区第五强制隔离戒毒所管理区排洪渠改造</w:t>
            </w:r>
          </w:p>
        </w:tc>
        <w:tc>
          <w:tcPr>
            <w:tcW w:w="850" w:type="dxa"/>
            <w:vAlign w:val="center"/>
          </w:tcPr>
          <w:p w14:paraId="3DE380A1">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w:t>
            </w:r>
          </w:p>
        </w:tc>
        <w:tc>
          <w:tcPr>
            <w:tcW w:w="7081" w:type="dxa"/>
            <w:vAlign w:val="center"/>
          </w:tcPr>
          <w:p w14:paraId="32308F91">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1.项目名称：</w:t>
            </w:r>
            <w:r>
              <w:rPr>
                <w:rFonts w:hint="eastAsia" w:ascii="仿宋" w:hAnsi="仿宋" w:eastAsia="仿宋" w:cs="仿宋"/>
                <w:color w:val="000000" w:themeColor="text1"/>
                <w:sz w:val="24"/>
                <w:szCs w:val="24"/>
                <w:lang w:eastAsia="zh-CN"/>
                <w14:textFill>
                  <w14:solidFill>
                    <w14:schemeClr w14:val="tx1"/>
                  </w14:solidFill>
                </w14:textFill>
              </w:rPr>
              <w:t>广西壮族自治区第五强制隔离戒毒所管理区排洪渠改造</w:t>
            </w:r>
            <w:r>
              <w:rPr>
                <w:rFonts w:hint="eastAsia" w:ascii="仿宋" w:hAnsi="仿宋" w:eastAsia="仿宋" w:cs="仿宋"/>
                <w:color w:val="000000" w:themeColor="text1"/>
                <w:sz w:val="24"/>
                <w:szCs w:val="24"/>
                <w14:textFill>
                  <w14:solidFill>
                    <w14:schemeClr w14:val="tx1"/>
                  </w14:solidFill>
                </w14:textFill>
              </w:rPr>
              <w:t>。</w:t>
            </w:r>
          </w:p>
          <w:p w14:paraId="531575F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2.采购内容：本项目主要内容为新建挡土墙，毛石挡土墙、隔离网、混凝土垫层等，</w:t>
            </w:r>
            <w:r>
              <w:rPr>
                <w:rFonts w:hint="eastAsia" w:ascii="仿宋" w:hAnsi="仿宋" w:eastAsia="仿宋" w:cs="仿宋"/>
                <w:color w:val="000000" w:themeColor="text1"/>
                <w:sz w:val="24"/>
                <w:szCs w:val="24"/>
                <w:lang w:val="en-US" w:eastAsia="zh-CN"/>
                <w14:textFill>
                  <w14:solidFill>
                    <w14:schemeClr w14:val="tx1"/>
                  </w14:solidFill>
                </w14:textFill>
              </w:rPr>
              <w:t>具体</w:t>
            </w:r>
            <w:r>
              <w:rPr>
                <w:rFonts w:hint="eastAsia" w:ascii="仿宋" w:hAnsi="仿宋" w:eastAsia="仿宋" w:cs="仿宋"/>
                <w:color w:val="000000" w:themeColor="text1"/>
                <w:sz w:val="24"/>
                <w:szCs w:val="24"/>
                <w14:textFill>
                  <w14:solidFill>
                    <w14:schemeClr w14:val="tx1"/>
                  </w14:solidFill>
                </w14:textFill>
              </w:rPr>
              <w:t>详见图纸及工程量清单。</w:t>
            </w:r>
          </w:p>
          <w:p w14:paraId="0C2FA421">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3.建设地点：工本工程位于桂林市七星区横塘路31号。</w:t>
            </w:r>
          </w:p>
          <w:p w14:paraId="65BAFA63">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.工程质量要求：工程质量符合达到国家施工质量验收规范合格标准。</w:t>
            </w:r>
          </w:p>
          <w:p w14:paraId="1D1690E5">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.计划开工时间：具体时间按采购人通知要求。</w:t>
            </w:r>
          </w:p>
          <w:p w14:paraId="6A59FDE2">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.合同履行期限（工期）：自接到采购人开工令之日起</w:t>
            </w: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个日历日内竣工并移交整个工程。</w:t>
            </w:r>
          </w:p>
          <w:p w14:paraId="1E4FA053">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.现场自然条件：满足施工要求。</w:t>
            </w:r>
          </w:p>
          <w:p w14:paraId="14DC4F9B">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.现场施工条件：符合施工要求。</w:t>
            </w:r>
          </w:p>
          <w:p w14:paraId="2AF31B3D">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.技术规范：本工程的技术规范采用国家现行的有关规范、标准和规定，工程建设性标准强制性条文，同时也要严格执行各专业相关的现行标准和技术规范。</w:t>
            </w:r>
          </w:p>
          <w:p w14:paraId="52470304">
            <w:pPr>
              <w:spacing w:line="360" w:lineRule="auto"/>
              <w:jc w:val="left"/>
              <w:rPr>
                <w:rFonts w:hint="default"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sz w:val="24"/>
                <w:szCs w:val="24"/>
                <w:lang w:val="en-US" w:eastAsia="zh-CN"/>
              </w:rPr>
              <w:t>本项目工程量清单中项目编码为：040101002001的清单项控制单价为人民币“16.62元”，各潜在供应商对该项工程的磋商报价不得超过控制单价，否则响应无效。结算时以成交供应商响应文件中报价为准，采购人不再另行支付费用。</w:t>
            </w:r>
          </w:p>
          <w:p w14:paraId="59B5B5DF">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.验收标准、规范：（1）根据采购人的要求和国家现行的有关的工程建设标准、技术规范及强制性标准条文等有关规范标准。（2）验收过程中所产生的一切费用均由成交人承担。报价时应考虑相关费用。</w:t>
            </w:r>
          </w:p>
        </w:tc>
      </w:tr>
      <w:tr w14:paraId="7CB5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4"/>
            <w:vAlign w:val="center"/>
          </w:tcPr>
          <w:p w14:paraId="7E235454">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商务要求</w:t>
            </w:r>
          </w:p>
        </w:tc>
      </w:tr>
      <w:tr w14:paraId="10BB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4"/>
            <w:vAlign w:val="center"/>
          </w:tcPr>
          <w:p w14:paraId="5694DFA1">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▲1.合同签订时间：自成交通知书发出之日起25日内。</w:t>
            </w:r>
          </w:p>
          <w:p w14:paraId="41E04423">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报价方式：采用工程量清单报价方式，供应商已标价工程量清单（包含首次报价、最后报价）的项目编码、项目名称及项目特征描述、计量单位、工程量须与招标工程量清单一致，否则竞标无效；竞标报价不得高于最高限价，且</w:t>
            </w:r>
            <w:r>
              <w:rPr>
                <w:rFonts w:hint="eastAsia" w:ascii="仿宋" w:hAnsi="仿宋" w:eastAsia="仿宋" w:cs="仿宋"/>
                <w:sz w:val="24"/>
                <w:szCs w:val="24"/>
                <w:lang w:val="en-US" w:eastAsia="zh-CN"/>
              </w:rPr>
              <w:t>工程量清单中项目编码为：040101002001</w:t>
            </w:r>
            <w:r>
              <w:rPr>
                <w:rFonts w:hint="eastAsia" w:ascii="仿宋" w:hAnsi="仿宋" w:eastAsia="仿宋" w:cs="仿宋"/>
                <w:color w:val="000000" w:themeColor="text1"/>
                <w:sz w:val="24"/>
                <w:szCs w:val="24"/>
                <w:lang w:val="en-US"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单价不得高于</w:t>
            </w:r>
            <w:r>
              <w:rPr>
                <w:rFonts w:hint="eastAsia" w:ascii="仿宋" w:hAnsi="仿宋" w:eastAsia="仿宋" w:cs="仿宋"/>
                <w:sz w:val="24"/>
                <w:szCs w:val="24"/>
                <w:lang w:val="en-US" w:eastAsia="zh-CN"/>
              </w:rPr>
              <w:t>人民币“16.62元”</w:t>
            </w:r>
            <w:r>
              <w:rPr>
                <w:rFonts w:hint="eastAsia" w:ascii="仿宋" w:hAnsi="仿宋" w:eastAsia="仿宋" w:cs="仿宋"/>
                <w:color w:val="000000" w:themeColor="text1"/>
                <w:sz w:val="24"/>
                <w:szCs w:val="24"/>
                <w14:textFill>
                  <w14:solidFill>
                    <w14:schemeClr w14:val="tx1"/>
                  </w14:solidFill>
                </w14:textFill>
              </w:rPr>
              <w:t>，否则竞标无效。本项目采用二次报价方式，供应商的最终报价如有变动，则必须以工程量清单报价表的格式编制提交，供应商须提前做好相关准备并按时递交最终报价文件，否则竞标无效。</w:t>
            </w:r>
          </w:p>
          <w:p w14:paraId="7ABE60D6">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▲3.付款方式：</w:t>
            </w:r>
          </w:p>
          <w:p w14:paraId="6B4C478A">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签订合同后，乙方承包人凭发票、请款单、合同向甲方申请支付预付款</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合同价</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扣除暂列金额、安全文明施工费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的30%</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。同时将合同价款的2%的工程履约保证金打入发包方指定账户，待工程质量保修期满，需要整改的内容按照合同规定整改完毕后，由乙方提出书面申请，14个工作日无息退回。</w:t>
            </w:r>
          </w:p>
          <w:p w14:paraId="2A473BF2">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工程完工验收合格10天内将经过认真审核据实编制的工程结算书和其他送审材料及时交至建设单位基建办(工程结算书应有编制人员签字并加盖施工单位公章)，待基建办将工程结算书与其他材料一并交审计科送审后，凭发票、验收合格通知单向甲方申请支付至合同价的80 %；</w:t>
            </w:r>
          </w:p>
          <w:p w14:paraId="6491A3CA">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经审计部门审定后，乙方凭结算审核单、合同复印件、验收单及发票申请至审定结算款的100%。</w:t>
            </w:r>
          </w:p>
          <w:p w14:paraId="7326C575">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工程缺陷责任期为2年，待缺陷责任期满后且项目无质量问题，发包人根据承包人的工程质量保修金申请支付证书返还，工程质量保修金不计利息。</w:t>
            </w:r>
          </w:p>
          <w:p w14:paraId="2D88589F">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▲4.项目实施要求：</w:t>
            </w:r>
          </w:p>
          <w:p w14:paraId="025841C3">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（1）项目实施过程中需要的各种安装配套辅助材料或配件全部由成交人提供，采购人不再另行支付。所使用的材料或配件必须满足国家标准以及项目的安装、使用需求。</w:t>
            </w:r>
          </w:p>
          <w:p w14:paraId="3F98DD47">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（2）成交人必须承诺自行提供本项目所有工程及售后服务工作，不得转让或转包；并在响应文件中单独提供承诺函原件（格式自拟，并由法定代表人签字同时加盖供应商CA签章）。</w:t>
            </w:r>
          </w:p>
          <w:p w14:paraId="72BE695B">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（3）供应商必须根据现场的实际情况和图纸完成所有内容，施工质量、规格符合国家、行业现行规范要求。</w:t>
            </w:r>
          </w:p>
          <w:p w14:paraId="6F0B673F">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本项目不接受有在建、已中标未开工或已列为其他项目中标（成交）候选人第一名的建造师作为拟投入项目经理，响应文件中项目经理自行承诺并提供相关证明材料，落款处由项目经理签字及供应商CA签章（格式自拟）。</w:t>
            </w:r>
          </w:p>
          <w:p w14:paraId="02835E25">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▲5.缺陷责任期及售后服务要求：</w:t>
            </w:r>
          </w:p>
          <w:p w14:paraId="7214FD54">
            <w:pPr>
              <w:spacing w:line="360" w:lineRule="auto"/>
              <w:jc w:val="left"/>
              <w:rPr>
                <w:rFonts w:hint="eastAsia" w:ascii="仿宋" w:hAnsi="仿宋" w:eastAsia="仿宋" w:cs="仿宋"/>
                <w:color w:val="000000" w:themeColor="text1"/>
                <w:sz w:val="24"/>
                <w:szCs w:val="24"/>
                <w14:textFill>
                  <w14:solidFill>
                    <w14:schemeClr w14:val="tx1"/>
                  </w14:solidFill>
                </w14:textFill>
              </w:rPr>
            </w:pPr>
            <w:bookmarkStart w:id="38" w:name="OLE_LINK22"/>
            <w:bookmarkStart w:id="39" w:name="OLE_LINK23"/>
            <w:r>
              <w:rPr>
                <w:rFonts w:hint="eastAsia" w:ascii="仿宋" w:hAnsi="仿宋" w:eastAsia="仿宋" w:cs="仿宋"/>
                <w:color w:val="000000" w:themeColor="text1"/>
                <w:sz w:val="24"/>
                <w:szCs w:val="24"/>
                <w14:textFill>
                  <w14:solidFill>
                    <w14:schemeClr w14:val="tx1"/>
                  </w14:solidFill>
                </w14:textFill>
              </w:rPr>
              <w:t>（1）</w:t>
            </w:r>
            <w:bookmarkEnd w:id="38"/>
            <w:bookmarkEnd w:id="39"/>
            <w:r>
              <w:rPr>
                <w:rFonts w:hint="eastAsia" w:ascii="仿宋" w:hAnsi="仿宋" w:eastAsia="仿宋" w:cs="仿宋"/>
                <w:color w:val="000000" w:themeColor="text1"/>
                <w:sz w:val="24"/>
                <w:szCs w:val="24"/>
                <w14:textFill>
                  <w14:solidFill>
                    <w14:schemeClr w14:val="tx1"/>
                  </w14:solidFill>
                </w14:textFill>
              </w:rPr>
              <w:t>工程质量缺陷责任期：不少于24个月（自</w:t>
            </w:r>
            <w:r>
              <w:rPr>
                <w:rFonts w:hint="eastAsia" w:ascii="仿宋" w:hAnsi="仿宋" w:eastAsia="仿宋" w:cs="仿宋"/>
                <w:color w:val="000000" w:themeColor="text1"/>
                <w:sz w:val="24"/>
                <w:szCs w:val="24"/>
                <w:lang w:val="en-US" w:eastAsia="zh-CN"/>
                <w14:textFill>
                  <w14:solidFill>
                    <w14:schemeClr w14:val="tx1"/>
                  </w14:solidFill>
                </w14:textFill>
              </w:rPr>
              <w:t>项目</w:t>
            </w:r>
            <w:r>
              <w:rPr>
                <w:rFonts w:hint="eastAsia" w:ascii="仿宋" w:hAnsi="仿宋" w:eastAsia="仿宋" w:cs="仿宋"/>
                <w:color w:val="000000" w:themeColor="text1"/>
                <w:sz w:val="24"/>
                <w:szCs w:val="24"/>
                <w14:textFill>
                  <w14:solidFill>
                    <w14:schemeClr w14:val="tx1"/>
                  </w14:solidFill>
                </w14:textFill>
              </w:rPr>
              <w:t>验收合格之日起计）。</w:t>
            </w:r>
          </w:p>
          <w:p w14:paraId="4ECDAEB8">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（2）工程售后服务技术人员要求：专职技术人员。</w:t>
            </w:r>
          </w:p>
          <w:p w14:paraId="34372ADD">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（3）服务要求：设备发生故障时接到通知后30分钟内响应，1小时内到达现场维修，5小时内解决问题。重大故障处理时限不超过12小时修复，未能修复的直接更换，保证采购人正常使用。</w:t>
            </w:r>
          </w:p>
          <w:p w14:paraId="1C0F6D6E">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（4）涉及货物部分成交产品必须是全新、未使用过的产品。产品包装必须是未经使用的全新的合格产品，并按照原厂标准包装规格供货，不接受散装或拆包装件。</w:t>
            </w:r>
          </w:p>
        </w:tc>
      </w:tr>
    </w:tbl>
    <w:p w14:paraId="2E646468">
      <w:pPr>
        <w:spacing w:line="360" w:lineRule="auto"/>
        <w:jc w:val="center"/>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50C93599">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p>
    <w:p w14:paraId="5E2F5A95">
      <w:pPr>
        <w:spacing w:line="360" w:lineRule="auto"/>
        <w:jc w:val="center"/>
        <w:rPr>
          <w:rFonts w:hint="eastAsia" w:ascii="仿宋" w:hAnsi="仿宋" w:eastAsia="仿宋" w:cs="仿宋"/>
          <w:color w:val="000000" w:themeColor="text1"/>
          <w:sz w:val="40"/>
          <w:szCs w:val="40"/>
          <w14:textFill>
            <w14:solidFill>
              <w14:schemeClr w14:val="tx1"/>
            </w14:solidFill>
          </w14:textFill>
        </w:rPr>
      </w:pPr>
      <w:r>
        <w:rPr>
          <w:rFonts w:hint="eastAsia" w:ascii="仿宋" w:hAnsi="仿宋" w:eastAsia="仿宋" w:cs="仿宋"/>
          <w:color w:val="000000" w:themeColor="text1"/>
          <w:sz w:val="40"/>
          <w:szCs w:val="40"/>
          <w14:textFill>
            <w14:solidFill>
              <w14:schemeClr w14:val="tx1"/>
            </w14:solidFill>
          </w14:textFill>
        </w:rPr>
        <w:t>中小微企业划型标准</w:t>
      </w:r>
    </w:p>
    <w:tbl>
      <w:tblPr>
        <w:tblStyle w:val="4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546"/>
        <w:gridCol w:w="1642"/>
        <w:gridCol w:w="1642"/>
        <w:gridCol w:w="1642"/>
        <w:gridCol w:w="1636"/>
      </w:tblGrid>
      <w:tr w14:paraId="44E2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49EF61CB">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行业名称</w:t>
            </w:r>
          </w:p>
        </w:tc>
        <w:tc>
          <w:tcPr>
            <w:tcW w:w="785" w:type="pct"/>
            <w:vAlign w:val="center"/>
          </w:tcPr>
          <w:p w14:paraId="5936215C">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指标名称</w:t>
            </w:r>
          </w:p>
        </w:tc>
        <w:tc>
          <w:tcPr>
            <w:tcW w:w="834" w:type="pct"/>
            <w:vAlign w:val="center"/>
          </w:tcPr>
          <w:p w14:paraId="39CAB4ED">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计量单位</w:t>
            </w:r>
          </w:p>
        </w:tc>
        <w:tc>
          <w:tcPr>
            <w:tcW w:w="834" w:type="pct"/>
            <w:vAlign w:val="center"/>
          </w:tcPr>
          <w:p w14:paraId="51870FD5">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中型</w:t>
            </w:r>
          </w:p>
        </w:tc>
        <w:tc>
          <w:tcPr>
            <w:tcW w:w="834" w:type="pct"/>
            <w:vAlign w:val="center"/>
          </w:tcPr>
          <w:p w14:paraId="020AC48A">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小型</w:t>
            </w:r>
          </w:p>
        </w:tc>
        <w:tc>
          <w:tcPr>
            <w:tcW w:w="831" w:type="pct"/>
            <w:vAlign w:val="center"/>
          </w:tcPr>
          <w:p w14:paraId="4C563578">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微型</w:t>
            </w:r>
          </w:p>
        </w:tc>
      </w:tr>
      <w:tr w14:paraId="1568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740824BD">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农、林、牧、渔</w:t>
            </w:r>
          </w:p>
        </w:tc>
        <w:tc>
          <w:tcPr>
            <w:tcW w:w="785" w:type="pct"/>
            <w:vAlign w:val="center"/>
          </w:tcPr>
          <w:p w14:paraId="5F144DD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294253D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1453F8C6">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500≤Y＜20000</w:t>
            </w:r>
          </w:p>
        </w:tc>
        <w:tc>
          <w:tcPr>
            <w:tcW w:w="834" w:type="pct"/>
            <w:vAlign w:val="center"/>
          </w:tcPr>
          <w:p w14:paraId="5085ABD4">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50≤Y＜500</w:t>
            </w:r>
          </w:p>
        </w:tc>
        <w:tc>
          <w:tcPr>
            <w:tcW w:w="831" w:type="pct"/>
            <w:vAlign w:val="center"/>
          </w:tcPr>
          <w:p w14:paraId="713E20CC">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Y＜50</w:t>
            </w:r>
          </w:p>
        </w:tc>
      </w:tr>
      <w:tr w14:paraId="4EAA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3CF1559">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工业</w:t>
            </w:r>
          </w:p>
        </w:tc>
        <w:tc>
          <w:tcPr>
            <w:tcW w:w="785" w:type="pct"/>
            <w:vAlign w:val="center"/>
          </w:tcPr>
          <w:p w14:paraId="56082E3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从业人员（X）</w:t>
            </w:r>
          </w:p>
        </w:tc>
        <w:tc>
          <w:tcPr>
            <w:tcW w:w="834" w:type="pct"/>
            <w:vAlign w:val="center"/>
          </w:tcPr>
          <w:p w14:paraId="072B92A8">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人</w:t>
            </w:r>
          </w:p>
        </w:tc>
        <w:tc>
          <w:tcPr>
            <w:tcW w:w="834" w:type="pct"/>
            <w:vAlign w:val="center"/>
          </w:tcPr>
          <w:p w14:paraId="3AA60F32">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300≤X＜1000</w:t>
            </w:r>
          </w:p>
        </w:tc>
        <w:tc>
          <w:tcPr>
            <w:tcW w:w="834" w:type="pct"/>
            <w:vAlign w:val="center"/>
          </w:tcPr>
          <w:p w14:paraId="2826C94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20≤X＜300</w:t>
            </w:r>
          </w:p>
        </w:tc>
        <w:tc>
          <w:tcPr>
            <w:tcW w:w="831" w:type="pct"/>
            <w:vAlign w:val="center"/>
          </w:tcPr>
          <w:p w14:paraId="63929792">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X＜20</w:t>
            </w:r>
          </w:p>
        </w:tc>
      </w:tr>
      <w:tr w14:paraId="7418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63CDC62">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512213D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0AA40361">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43939E6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2000≤Y＜40000</w:t>
            </w:r>
          </w:p>
        </w:tc>
        <w:tc>
          <w:tcPr>
            <w:tcW w:w="834" w:type="pct"/>
            <w:vAlign w:val="center"/>
          </w:tcPr>
          <w:p w14:paraId="4E7CB8CD">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300≤Y＜2000</w:t>
            </w:r>
          </w:p>
        </w:tc>
        <w:tc>
          <w:tcPr>
            <w:tcW w:w="831" w:type="pct"/>
            <w:vAlign w:val="center"/>
          </w:tcPr>
          <w:p w14:paraId="223BD477">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Y＜300</w:t>
            </w:r>
          </w:p>
        </w:tc>
      </w:tr>
      <w:tr w14:paraId="313B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552F90F">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建筑业</w:t>
            </w:r>
          </w:p>
        </w:tc>
        <w:tc>
          <w:tcPr>
            <w:tcW w:w="785" w:type="pct"/>
            <w:vAlign w:val="center"/>
          </w:tcPr>
          <w:p w14:paraId="6A59D718">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04833070">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6DA31A24">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6000≤Y＜80000</w:t>
            </w:r>
          </w:p>
        </w:tc>
        <w:tc>
          <w:tcPr>
            <w:tcW w:w="834" w:type="pct"/>
            <w:vAlign w:val="center"/>
          </w:tcPr>
          <w:p w14:paraId="4EB76807">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300≤Y＜6000</w:t>
            </w:r>
          </w:p>
        </w:tc>
        <w:tc>
          <w:tcPr>
            <w:tcW w:w="831" w:type="pct"/>
            <w:vAlign w:val="center"/>
          </w:tcPr>
          <w:p w14:paraId="0CAC6570">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Y＜300</w:t>
            </w:r>
          </w:p>
        </w:tc>
      </w:tr>
      <w:tr w14:paraId="3BC3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A808390">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4E69B65E">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资产总额（Z）</w:t>
            </w:r>
          </w:p>
        </w:tc>
        <w:tc>
          <w:tcPr>
            <w:tcW w:w="834" w:type="pct"/>
            <w:vAlign w:val="center"/>
          </w:tcPr>
          <w:p w14:paraId="51BEB36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795567F5">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5000≤Z＜80000</w:t>
            </w:r>
          </w:p>
        </w:tc>
        <w:tc>
          <w:tcPr>
            <w:tcW w:w="834" w:type="pct"/>
            <w:vAlign w:val="center"/>
          </w:tcPr>
          <w:p w14:paraId="5BAB9EE5">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300≤Z＜5000</w:t>
            </w:r>
          </w:p>
        </w:tc>
        <w:tc>
          <w:tcPr>
            <w:tcW w:w="831" w:type="pct"/>
            <w:vAlign w:val="center"/>
          </w:tcPr>
          <w:p w14:paraId="707DE44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Z＜300</w:t>
            </w:r>
          </w:p>
        </w:tc>
      </w:tr>
      <w:tr w14:paraId="3DB3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AADB948">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批发业</w:t>
            </w:r>
          </w:p>
        </w:tc>
        <w:tc>
          <w:tcPr>
            <w:tcW w:w="785" w:type="pct"/>
            <w:vAlign w:val="center"/>
          </w:tcPr>
          <w:p w14:paraId="3AC3DEFB">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从业人员（X）</w:t>
            </w:r>
          </w:p>
        </w:tc>
        <w:tc>
          <w:tcPr>
            <w:tcW w:w="834" w:type="pct"/>
            <w:vAlign w:val="center"/>
          </w:tcPr>
          <w:p w14:paraId="52D6430B">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人</w:t>
            </w:r>
          </w:p>
        </w:tc>
        <w:tc>
          <w:tcPr>
            <w:tcW w:w="834" w:type="pct"/>
            <w:vAlign w:val="center"/>
          </w:tcPr>
          <w:p w14:paraId="033FFB7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20≤X＜200</w:t>
            </w:r>
          </w:p>
        </w:tc>
        <w:tc>
          <w:tcPr>
            <w:tcW w:w="834" w:type="pct"/>
            <w:vAlign w:val="center"/>
          </w:tcPr>
          <w:p w14:paraId="0FBA90C7">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5≤X＜20</w:t>
            </w:r>
          </w:p>
        </w:tc>
        <w:tc>
          <w:tcPr>
            <w:tcW w:w="831" w:type="pct"/>
            <w:vAlign w:val="center"/>
          </w:tcPr>
          <w:p w14:paraId="478CDD6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X＜5</w:t>
            </w:r>
          </w:p>
        </w:tc>
      </w:tr>
      <w:tr w14:paraId="2C48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0A5BBC7">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13C26E4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761770D1">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18D6EB0C">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5000≤Y＜40000</w:t>
            </w:r>
          </w:p>
        </w:tc>
        <w:tc>
          <w:tcPr>
            <w:tcW w:w="834" w:type="pct"/>
            <w:vAlign w:val="center"/>
          </w:tcPr>
          <w:p w14:paraId="2D07B6A1">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1000≤Y＜5000</w:t>
            </w:r>
          </w:p>
        </w:tc>
        <w:tc>
          <w:tcPr>
            <w:tcW w:w="831" w:type="pct"/>
            <w:vAlign w:val="center"/>
          </w:tcPr>
          <w:p w14:paraId="55F8437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Y＜1000</w:t>
            </w:r>
          </w:p>
        </w:tc>
      </w:tr>
      <w:tr w14:paraId="46CC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9978C51">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零售业</w:t>
            </w:r>
          </w:p>
        </w:tc>
        <w:tc>
          <w:tcPr>
            <w:tcW w:w="785" w:type="pct"/>
            <w:vAlign w:val="center"/>
          </w:tcPr>
          <w:p w14:paraId="245C1BF9">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从业人员（X）</w:t>
            </w:r>
          </w:p>
        </w:tc>
        <w:tc>
          <w:tcPr>
            <w:tcW w:w="834" w:type="pct"/>
            <w:vAlign w:val="center"/>
          </w:tcPr>
          <w:p w14:paraId="7C92F02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人</w:t>
            </w:r>
          </w:p>
        </w:tc>
        <w:tc>
          <w:tcPr>
            <w:tcW w:w="834" w:type="pct"/>
            <w:vAlign w:val="center"/>
          </w:tcPr>
          <w:p w14:paraId="2D3C617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50≤X＜300</w:t>
            </w:r>
          </w:p>
        </w:tc>
        <w:tc>
          <w:tcPr>
            <w:tcW w:w="834" w:type="pct"/>
            <w:vAlign w:val="center"/>
          </w:tcPr>
          <w:p w14:paraId="17480042">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10≤X＜50</w:t>
            </w:r>
          </w:p>
        </w:tc>
        <w:tc>
          <w:tcPr>
            <w:tcW w:w="831" w:type="pct"/>
            <w:vAlign w:val="center"/>
          </w:tcPr>
          <w:p w14:paraId="257A9701">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X＜10</w:t>
            </w:r>
          </w:p>
        </w:tc>
      </w:tr>
      <w:tr w14:paraId="4514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CF1710D">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44672BB9">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5F557560">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1BA6799D">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500≤Y＜20000</w:t>
            </w:r>
          </w:p>
        </w:tc>
        <w:tc>
          <w:tcPr>
            <w:tcW w:w="834" w:type="pct"/>
            <w:vAlign w:val="center"/>
          </w:tcPr>
          <w:p w14:paraId="4E17E41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100≤Y＜500</w:t>
            </w:r>
          </w:p>
        </w:tc>
        <w:tc>
          <w:tcPr>
            <w:tcW w:w="831" w:type="pct"/>
            <w:vAlign w:val="center"/>
          </w:tcPr>
          <w:p w14:paraId="20F65756">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Y＜100</w:t>
            </w:r>
          </w:p>
        </w:tc>
      </w:tr>
      <w:tr w14:paraId="12FB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983C34C">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交通运输业</w:t>
            </w:r>
          </w:p>
        </w:tc>
        <w:tc>
          <w:tcPr>
            <w:tcW w:w="785" w:type="pct"/>
            <w:vAlign w:val="center"/>
          </w:tcPr>
          <w:p w14:paraId="1B8140A9">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从业人员（X）</w:t>
            </w:r>
          </w:p>
        </w:tc>
        <w:tc>
          <w:tcPr>
            <w:tcW w:w="834" w:type="pct"/>
            <w:vAlign w:val="center"/>
          </w:tcPr>
          <w:p w14:paraId="767B3365">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人</w:t>
            </w:r>
          </w:p>
        </w:tc>
        <w:tc>
          <w:tcPr>
            <w:tcW w:w="834" w:type="pct"/>
            <w:vAlign w:val="center"/>
          </w:tcPr>
          <w:p w14:paraId="42460B80">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300≤X＜1000</w:t>
            </w:r>
          </w:p>
        </w:tc>
        <w:tc>
          <w:tcPr>
            <w:tcW w:w="834" w:type="pct"/>
            <w:vAlign w:val="center"/>
          </w:tcPr>
          <w:p w14:paraId="09B8DFAE">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20≤X＜300</w:t>
            </w:r>
          </w:p>
        </w:tc>
        <w:tc>
          <w:tcPr>
            <w:tcW w:w="831" w:type="pct"/>
            <w:vAlign w:val="center"/>
          </w:tcPr>
          <w:p w14:paraId="2B9E1B08">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X＜20</w:t>
            </w:r>
          </w:p>
        </w:tc>
      </w:tr>
      <w:tr w14:paraId="5688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C06834D">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3C18EAA9">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24CDE5A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70E2F265">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3000≤Y＜30000</w:t>
            </w:r>
          </w:p>
        </w:tc>
        <w:tc>
          <w:tcPr>
            <w:tcW w:w="834" w:type="pct"/>
            <w:vAlign w:val="center"/>
          </w:tcPr>
          <w:p w14:paraId="063B83E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200≤Y＜3000</w:t>
            </w:r>
          </w:p>
        </w:tc>
        <w:tc>
          <w:tcPr>
            <w:tcW w:w="831" w:type="pct"/>
            <w:vAlign w:val="center"/>
          </w:tcPr>
          <w:p w14:paraId="6870955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Y＜200</w:t>
            </w:r>
          </w:p>
        </w:tc>
      </w:tr>
      <w:tr w14:paraId="002A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599FDC5D">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仓储业</w:t>
            </w:r>
          </w:p>
        </w:tc>
        <w:tc>
          <w:tcPr>
            <w:tcW w:w="785" w:type="pct"/>
            <w:vAlign w:val="center"/>
          </w:tcPr>
          <w:p w14:paraId="01392AB7">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从业人员（X）</w:t>
            </w:r>
          </w:p>
        </w:tc>
        <w:tc>
          <w:tcPr>
            <w:tcW w:w="834" w:type="pct"/>
            <w:vAlign w:val="center"/>
          </w:tcPr>
          <w:p w14:paraId="6CB9747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人</w:t>
            </w:r>
          </w:p>
        </w:tc>
        <w:tc>
          <w:tcPr>
            <w:tcW w:w="834" w:type="pct"/>
            <w:vAlign w:val="center"/>
          </w:tcPr>
          <w:p w14:paraId="1C6809C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100≤X＜200</w:t>
            </w:r>
          </w:p>
        </w:tc>
        <w:tc>
          <w:tcPr>
            <w:tcW w:w="834" w:type="pct"/>
            <w:vAlign w:val="center"/>
          </w:tcPr>
          <w:p w14:paraId="3BC605ED">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20≤X＜100</w:t>
            </w:r>
          </w:p>
        </w:tc>
        <w:tc>
          <w:tcPr>
            <w:tcW w:w="831" w:type="pct"/>
            <w:vAlign w:val="center"/>
          </w:tcPr>
          <w:p w14:paraId="705BA470">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X＜20</w:t>
            </w:r>
          </w:p>
        </w:tc>
      </w:tr>
      <w:tr w14:paraId="74AE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46AFED2">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1EBB70F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3164E966">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1D644154">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1000≤Y＜30000</w:t>
            </w:r>
          </w:p>
        </w:tc>
        <w:tc>
          <w:tcPr>
            <w:tcW w:w="834" w:type="pct"/>
            <w:vAlign w:val="center"/>
          </w:tcPr>
          <w:p w14:paraId="4E20D84B">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100≤Y＜1000</w:t>
            </w:r>
          </w:p>
        </w:tc>
        <w:tc>
          <w:tcPr>
            <w:tcW w:w="831" w:type="pct"/>
            <w:vAlign w:val="center"/>
          </w:tcPr>
          <w:p w14:paraId="303838B1">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Y＜100</w:t>
            </w:r>
          </w:p>
        </w:tc>
      </w:tr>
      <w:tr w14:paraId="0012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5BC4B81E">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邮政业</w:t>
            </w:r>
          </w:p>
        </w:tc>
        <w:tc>
          <w:tcPr>
            <w:tcW w:w="785" w:type="pct"/>
            <w:vAlign w:val="center"/>
          </w:tcPr>
          <w:p w14:paraId="36745BE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从业人员（X）</w:t>
            </w:r>
          </w:p>
        </w:tc>
        <w:tc>
          <w:tcPr>
            <w:tcW w:w="834" w:type="pct"/>
            <w:vAlign w:val="center"/>
          </w:tcPr>
          <w:p w14:paraId="191DAF4B">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人</w:t>
            </w:r>
          </w:p>
        </w:tc>
        <w:tc>
          <w:tcPr>
            <w:tcW w:w="834" w:type="pct"/>
            <w:vAlign w:val="center"/>
          </w:tcPr>
          <w:p w14:paraId="7A6926AE">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300≤X＜1000</w:t>
            </w:r>
          </w:p>
        </w:tc>
        <w:tc>
          <w:tcPr>
            <w:tcW w:w="834" w:type="pct"/>
            <w:vAlign w:val="center"/>
          </w:tcPr>
          <w:p w14:paraId="39AE8455">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20≤X＜300</w:t>
            </w:r>
          </w:p>
        </w:tc>
        <w:tc>
          <w:tcPr>
            <w:tcW w:w="831" w:type="pct"/>
            <w:vAlign w:val="center"/>
          </w:tcPr>
          <w:p w14:paraId="26F519BE">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X＜20</w:t>
            </w:r>
          </w:p>
        </w:tc>
      </w:tr>
      <w:tr w14:paraId="1F8B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368C355">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71FA0628">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30989F2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507C3F79">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2000≤Y＜30000</w:t>
            </w:r>
          </w:p>
        </w:tc>
        <w:tc>
          <w:tcPr>
            <w:tcW w:w="834" w:type="pct"/>
            <w:vAlign w:val="center"/>
          </w:tcPr>
          <w:p w14:paraId="55238C7E">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100≤Y＜2000</w:t>
            </w:r>
          </w:p>
        </w:tc>
        <w:tc>
          <w:tcPr>
            <w:tcW w:w="831" w:type="pct"/>
            <w:vAlign w:val="center"/>
          </w:tcPr>
          <w:p w14:paraId="1419CF4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Y＜100</w:t>
            </w:r>
          </w:p>
        </w:tc>
      </w:tr>
      <w:tr w14:paraId="0D0D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EDCC76F">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住宿业</w:t>
            </w:r>
          </w:p>
        </w:tc>
        <w:tc>
          <w:tcPr>
            <w:tcW w:w="785" w:type="pct"/>
            <w:vAlign w:val="center"/>
          </w:tcPr>
          <w:p w14:paraId="1E6C3CB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从业人员（X）</w:t>
            </w:r>
          </w:p>
        </w:tc>
        <w:tc>
          <w:tcPr>
            <w:tcW w:w="834" w:type="pct"/>
            <w:vAlign w:val="center"/>
          </w:tcPr>
          <w:p w14:paraId="6CB20814">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人</w:t>
            </w:r>
          </w:p>
        </w:tc>
        <w:tc>
          <w:tcPr>
            <w:tcW w:w="834" w:type="pct"/>
            <w:vAlign w:val="center"/>
          </w:tcPr>
          <w:p w14:paraId="4C945C08">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100≤X＜300</w:t>
            </w:r>
          </w:p>
        </w:tc>
        <w:tc>
          <w:tcPr>
            <w:tcW w:w="834" w:type="pct"/>
            <w:vAlign w:val="center"/>
          </w:tcPr>
          <w:p w14:paraId="71AE9C7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10≤X＜100</w:t>
            </w:r>
          </w:p>
        </w:tc>
        <w:tc>
          <w:tcPr>
            <w:tcW w:w="831" w:type="pct"/>
            <w:vAlign w:val="center"/>
          </w:tcPr>
          <w:p w14:paraId="3109ED98">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X＜10</w:t>
            </w:r>
          </w:p>
        </w:tc>
      </w:tr>
      <w:tr w14:paraId="6AF8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D559297">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1057A594">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1EF5CF8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59B2586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2000≤Y＜10000</w:t>
            </w:r>
          </w:p>
        </w:tc>
        <w:tc>
          <w:tcPr>
            <w:tcW w:w="834" w:type="pct"/>
            <w:vAlign w:val="center"/>
          </w:tcPr>
          <w:p w14:paraId="45759728">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100≤Y＜2000</w:t>
            </w:r>
          </w:p>
        </w:tc>
        <w:tc>
          <w:tcPr>
            <w:tcW w:w="831" w:type="pct"/>
            <w:vAlign w:val="center"/>
          </w:tcPr>
          <w:p w14:paraId="3D7CE30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Y＜100</w:t>
            </w:r>
          </w:p>
        </w:tc>
      </w:tr>
      <w:tr w14:paraId="10CF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0E5F832">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餐饮业</w:t>
            </w:r>
          </w:p>
        </w:tc>
        <w:tc>
          <w:tcPr>
            <w:tcW w:w="785" w:type="pct"/>
            <w:vAlign w:val="center"/>
          </w:tcPr>
          <w:p w14:paraId="4AFDEE1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从业人员（X）</w:t>
            </w:r>
          </w:p>
        </w:tc>
        <w:tc>
          <w:tcPr>
            <w:tcW w:w="834" w:type="pct"/>
            <w:vAlign w:val="center"/>
          </w:tcPr>
          <w:p w14:paraId="57606B3D">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人</w:t>
            </w:r>
          </w:p>
        </w:tc>
        <w:tc>
          <w:tcPr>
            <w:tcW w:w="834" w:type="pct"/>
            <w:vAlign w:val="center"/>
          </w:tcPr>
          <w:p w14:paraId="762F9964">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100≤X＜300</w:t>
            </w:r>
          </w:p>
        </w:tc>
        <w:tc>
          <w:tcPr>
            <w:tcW w:w="834" w:type="pct"/>
            <w:vAlign w:val="center"/>
          </w:tcPr>
          <w:p w14:paraId="1F363587">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10≤X＜100</w:t>
            </w:r>
          </w:p>
        </w:tc>
        <w:tc>
          <w:tcPr>
            <w:tcW w:w="831" w:type="pct"/>
            <w:vAlign w:val="center"/>
          </w:tcPr>
          <w:p w14:paraId="4783C96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X＜10</w:t>
            </w:r>
          </w:p>
        </w:tc>
      </w:tr>
      <w:tr w14:paraId="57B0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90D038C">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792B7A36">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5F553760">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58F0E6F5">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2000≤Y＜10000</w:t>
            </w:r>
          </w:p>
        </w:tc>
        <w:tc>
          <w:tcPr>
            <w:tcW w:w="834" w:type="pct"/>
            <w:vAlign w:val="center"/>
          </w:tcPr>
          <w:p w14:paraId="61E64974">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100≤Y＜2000</w:t>
            </w:r>
          </w:p>
        </w:tc>
        <w:tc>
          <w:tcPr>
            <w:tcW w:w="831" w:type="pct"/>
            <w:vAlign w:val="center"/>
          </w:tcPr>
          <w:p w14:paraId="0175BDD5">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Y＜100</w:t>
            </w:r>
          </w:p>
        </w:tc>
      </w:tr>
      <w:tr w14:paraId="50A8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7BBDFA6">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信息传输业</w:t>
            </w:r>
          </w:p>
        </w:tc>
        <w:tc>
          <w:tcPr>
            <w:tcW w:w="785" w:type="pct"/>
            <w:vAlign w:val="center"/>
          </w:tcPr>
          <w:p w14:paraId="6180C958">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从业人员（X）</w:t>
            </w:r>
          </w:p>
        </w:tc>
        <w:tc>
          <w:tcPr>
            <w:tcW w:w="834" w:type="pct"/>
            <w:vAlign w:val="center"/>
          </w:tcPr>
          <w:p w14:paraId="2BB621A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人</w:t>
            </w:r>
          </w:p>
        </w:tc>
        <w:tc>
          <w:tcPr>
            <w:tcW w:w="834" w:type="pct"/>
            <w:vAlign w:val="center"/>
          </w:tcPr>
          <w:p w14:paraId="1FA6FDED">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100≤X＜2000</w:t>
            </w:r>
          </w:p>
        </w:tc>
        <w:tc>
          <w:tcPr>
            <w:tcW w:w="834" w:type="pct"/>
            <w:vAlign w:val="center"/>
          </w:tcPr>
          <w:p w14:paraId="7EE09615">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10≤X＜100</w:t>
            </w:r>
          </w:p>
        </w:tc>
        <w:tc>
          <w:tcPr>
            <w:tcW w:w="831" w:type="pct"/>
            <w:vAlign w:val="center"/>
          </w:tcPr>
          <w:p w14:paraId="17D5D31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X＜10</w:t>
            </w:r>
          </w:p>
        </w:tc>
      </w:tr>
      <w:tr w14:paraId="0431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0C1F25E">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5A63B051">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1046A7D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3C9F6786">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1000≤Y＜100000</w:t>
            </w:r>
          </w:p>
        </w:tc>
        <w:tc>
          <w:tcPr>
            <w:tcW w:w="834" w:type="pct"/>
            <w:vAlign w:val="center"/>
          </w:tcPr>
          <w:p w14:paraId="7B202FB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100≤Y＜1000</w:t>
            </w:r>
          </w:p>
        </w:tc>
        <w:tc>
          <w:tcPr>
            <w:tcW w:w="831" w:type="pct"/>
            <w:vAlign w:val="center"/>
          </w:tcPr>
          <w:p w14:paraId="6FF3B97D">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Y＜100</w:t>
            </w:r>
          </w:p>
        </w:tc>
      </w:tr>
      <w:tr w14:paraId="2F1F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569EDEB8">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软件和信息技术服务业</w:t>
            </w:r>
          </w:p>
        </w:tc>
        <w:tc>
          <w:tcPr>
            <w:tcW w:w="785" w:type="pct"/>
            <w:vAlign w:val="center"/>
          </w:tcPr>
          <w:p w14:paraId="2B675100">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从业人员（X）</w:t>
            </w:r>
          </w:p>
        </w:tc>
        <w:tc>
          <w:tcPr>
            <w:tcW w:w="834" w:type="pct"/>
            <w:vAlign w:val="center"/>
          </w:tcPr>
          <w:p w14:paraId="0B1095F1">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人</w:t>
            </w:r>
          </w:p>
        </w:tc>
        <w:tc>
          <w:tcPr>
            <w:tcW w:w="834" w:type="pct"/>
            <w:vAlign w:val="center"/>
          </w:tcPr>
          <w:p w14:paraId="50428781">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100≤X＜300</w:t>
            </w:r>
          </w:p>
        </w:tc>
        <w:tc>
          <w:tcPr>
            <w:tcW w:w="834" w:type="pct"/>
            <w:vAlign w:val="center"/>
          </w:tcPr>
          <w:p w14:paraId="111D5E7B">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10≤X＜100</w:t>
            </w:r>
          </w:p>
        </w:tc>
        <w:tc>
          <w:tcPr>
            <w:tcW w:w="831" w:type="pct"/>
            <w:vAlign w:val="center"/>
          </w:tcPr>
          <w:p w14:paraId="3A9ABFA5">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X＜10</w:t>
            </w:r>
          </w:p>
        </w:tc>
      </w:tr>
      <w:tr w14:paraId="2F56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CE8633A">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7EE8922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76E66EEB">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35D3FED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1000≤Y＜10000</w:t>
            </w:r>
          </w:p>
        </w:tc>
        <w:tc>
          <w:tcPr>
            <w:tcW w:w="834" w:type="pct"/>
            <w:vAlign w:val="center"/>
          </w:tcPr>
          <w:p w14:paraId="364FA9FC">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50≤Y＜1000</w:t>
            </w:r>
          </w:p>
        </w:tc>
        <w:tc>
          <w:tcPr>
            <w:tcW w:w="831" w:type="pct"/>
            <w:vAlign w:val="center"/>
          </w:tcPr>
          <w:p w14:paraId="72C34E17">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Y＜50</w:t>
            </w:r>
          </w:p>
        </w:tc>
      </w:tr>
      <w:tr w14:paraId="2EED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14BAA70">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房地产开发经营</w:t>
            </w:r>
          </w:p>
        </w:tc>
        <w:tc>
          <w:tcPr>
            <w:tcW w:w="785" w:type="pct"/>
            <w:vAlign w:val="center"/>
          </w:tcPr>
          <w:p w14:paraId="4C6E2AFE">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41B9A985">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191E786B">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1000≤Y＜200000</w:t>
            </w:r>
          </w:p>
        </w:tc>
        <w:tc>
          <w:tcPr>
            <w:tcW w:w="834" w:type="pct"/>
            <w:vAlign w:val="center"/>
          </w:tcPr>
          <w:p w14:paraId="59368EC6">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100≤X＜1000</w:t>
            </w:r>
          </w:p>
        </w:tc>
        <w:tc>
          <w:tcPr>
            <w:tcW w:w="831" w:type="pct"/>
            <w:vAlign w:val="center"/>
          </w:tcPr>
          <w:p w14:paraId="6E0B5188">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X＜100</w:t>
            </w:r>
          </w:p>
        </w:tc>
      </w:tr>
      <w:tr w14:paraId="4A3A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312FE58">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7B5F5F0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资产总额（Z）</w:t>
            </w:r>
          </w:p>
        </w:tc>
        <w:tc>
          <w:tcPr>
            <w:tcW w:w="834" w:type="pct"/>
            <w:vAlign w:val="center"/>
          </w:tcPr>
          <w:p w14:paraId="40378E0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7EB1FEA0">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5000≤Z＜10000</w:t>
            </w:r>
          </w:p>
        </w:tc>
        <w:tc>
          <w:tcPr>
            <w:tcW w:w="834" w:type="pct"/>
            <w:vAlign w:val="center"/>
          </w:tcPr>
          <w:p w14:paraId="7AEAAF9B">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2000≤Y＜5000</w:t>
            </w:r>
          </w:p>
        </w:tc>
        <w:tc>
          <w:tcPr>
            <w:tcW w:w="831" w:type="pct"/>
            <w:vAlign w:val="center"/>
          </w:tcPr>
          <w:p w14:paraId="77CF0B96">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Y＜2000</w:t>
            </w:r>
          </w:p>
        </w:tc>
      </w:tr>
      <w:tr w14:paraId="18A1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B783F44">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物业管理</w:t>
            </w:r>
          </w:p>
        </w:tc>
        <w:tc>
          <w:tcPr>
            <w:tcW w:w="785" w:type="pct"/>
            <w:vAlign w:val="center"/>
          </w:tcPr>
          <w:p w14:paraId="35B49CC9">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从业人员（X）</w:t>
            </w:r>
          </w:p>
        </w:tc>
        <w:tc>
          <w:tcPr>
            <w:tcW w:w="834" w:type="pct"/>
            <w:vAlign w:val="center"/>
          </w:tcPr>
          <w:p w14:paraId="37AE40A3">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人</w:t>
            </w:r>
          </w:p>
        </w:tc>
        <w:tc>
          <w:tcPr>
            <w:tcW w:w="834" w:type="pct"/>
            <w:vAlign w:val="center"/>
          </w:tcPr>
          <w:p w14:paraId="630ADAF1">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300≤X＜1000</w:t>
            </w:r>
          </w:p>
        </w:tc>
        <w:tc>
          <w:tcPr>
            <w:tcW w:w="834" w:type="pct"/>
            <w:vAlign w:val="center"/>
          </w:tcPr>
          <w:p w14:paraId="5AED6BF8">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100≤X＜300</w:t>
            </w:r>
          </w:p>
        </w:tc>
        <w:tc>
          <w:tcPr>
            <w:tcW w:w="831" w:type="pct"/>
            <w:vAlign w:val="center"/>
          </w:tcPr>
          <w:p w14:paraId="6E96509D">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X＜100</w:t>
            </w:r>
          </w:p>
        </w:tc>
      </w:tr>
      <w:tr w14:paraId="3E1C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24A61D0">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05086A7E">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营业收入（Y）</w:t>
            </w:r>
          </w:p>
        </w:tc>
        <w:tc>
          <w:tcPr>
            <w:tcW w:w="834" w:type="pct"/>
            <w:vAlign w:val="center"/>
          </w:tcPr>
          <w:p w14:paraId="0CCCBEA9">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361DFA90">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1000≤Y＜5000</w:t>
            </w:r>
          </w:p>
        </w:tc>
        <w:tc>
          <w:tcPr>
            <w:tcW w:w="834" w:type="pct"/>
            <w:vAlign w:val="center"/>
          </w:tcPr>
          <w:p w14:paraId="08407247">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500≤Y＜1000</w:t>
            </w:r>
          </w:p>
        </w:tc>
        <w:tc>
          <w:tcPr>
            <w:tcW w:w="831" w:type="pct"/>
            <w:vAlign w:val="center"/>
          </w:tcPr>
          <w:p w14:paraId="7DA624E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Y＜500</w:t>
            </w:r>
          </w:p>
        </w:tc>
      </w:tr>
      <w:tr w14:paraId="4401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049FCE2">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租赁和商务服务业</w:t>
            </w:r>
          </w:p>
        </w:tc>
        <w:tc>
          <w:tcPr>
            <w:tcW w:w="785" w:type="pct"/>
            <w:vAlign w:val="center"/>
          </w:tcPr>
          <w:p w14:paraId="3F4134CC">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从业人员（X）</w:t>
            </w:r>
          </w:p>
        </w:tc>
        <w:tc>
          <w:tcPr>
            <w:tcW w:w="834" w:type="pct"/>
            <w:vAlign w:val="center"/>
          </w:tcPr>
          <w:p w14:paraId="7758A984">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人</w:t>
            </w:r>
          </w:p>
        </w:tc>
        <w:tc>
          <w:tcPr>
            <w:tcW w:w="834" w:type="pct"/>
            <w:vAlign w:val="center"/>
          </w:tcPr>
          <w:p w14:paraId="41600F80">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100≤X＜300</w:t>
            </w:r>
          </w:p>
        </w:tc>
        <w:tc>
          <w:tcPr>
            <w:tcW w:w="834" w:type="pct"/>
            <w:vAlign w:val="center"/>
          </w:tcPr>
          <w:p w14:paraId="24727AAB">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10≤X＜100</w:t>
            </w:r>
          </w:p>
        </w:tc>
        <w:tc>
          <w:tcPr>
            <w:tcW w:w="831" w:type="pct"/>
            <w:vAlign w:val="center"/>
          </w:tcPr>
          <w:p w14:paraId="51814C6B">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X＜10</w:t>
            </w:r>
          </w:p>
        </w:tc>
      </w:tr>
      <w:tr w14:paraId="7CB8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5402FF0">
            <w:pPr>
              <w:jc w:val="center"/>
              <w:rPr>
                <w:rFonts w:hint="eastAsia" w:ascii="仿宋" w:hAnsi="仿宋" w:eastAsia="仿宋" w:cs="仿宋"/>
                <w:b/>
                <w:color w:val="000000" w:themeColor="text1"/>
                <w:sz w:val="18"/>
                <w:szCs w:val="18"/>
                <w14:textFill>
                  <w14:solidFill>
                    <w14:schemeClr w14:val="tx1"/>
                  </w14:solidFill>
                </w14:textFill>
              </w:rPr>
            </w:pPr>
          </w:p>
        </w:tc>
        <w:tc>
          <w:tcPr>
            <w:tcW w:w="785" w:type="pct"/>
            <w:vAlign w:val="center"/>
          </w:tcPr>
          <w:p w14:paraId="5037C445">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资产总额（Z）</w:t>
            </w:r>
          </w:p>
        </w:tc>
        <w:tc>
          <w:tcPr>
            <w:tcW w:w="834" w:type="pct"/>
            <w:vAlign w:val="center"/>
          </w:tcPr>
          <w:p w14:paraId="1486A580">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万元</w:t>
            </w:r>
          </w:p>
        </w:tc>
        <w:tc>
          <w:tcPr>
            <w:tcW w:w="834" w:type="pct"/>
            <w:vAlign w:val="center"/>
          </w:tcPr>
          <w:p w14:paraId="5906AB39">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8000≤Z＜120000</w:t>
            </w:r>
          </w:p>
        </w:tc>
        <w:tc>
          <w:tcPr>
            <w:tcW w:w="834" w:type="pct"/>
            <w:vAlign w:val="center"/>
          </w:tcPr>
          <w:p w14:paraId="4996244A">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100≤Z＜8000</w:t>
            </w:r>
          </w:p>
        </w:tc>
        <w:tc>
          <w:tcPr>
            <w:tcW w:w="831" w:type="pct"/>
            <w:vAlign w:val="center"/>
          </w:tcPr>
          <w:p w14:paraId="62E5E98F">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Y＜100</w:t>
            </w:r>
          </w:p>
        </w:tc>
      </w:tr>
      <w:tr w14:paraId="2605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5E0CFA98">
            <w:pPr>
              <w:jc w:val="center"/>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18"/>
                <w:szCs w:val="18"/>
                <w14:textFill>
                  <w14:solidFill>
                    <w14:schemeClr w14:val="tx1"/>
                  </w14:solidFill>
                </w14:textFill>
              </w:rPr>
              <w:t>其他未列明行业</w:t>
            </w:r>
          </w:p>
        </w:tc>
        <w:tc>
          <w:tcPr>
            <w:tcW w:w="785" w:type="pct"/>
            <w:vAlign w:val="center"/>
          </w:tcPr>
          <w:p w14:paraId="6A8E2250">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从业人员（X）</w:t>
            </w:r>
          </w:p>
        </w:tc>
        <w:tc>
          <w:tcPr>
            <w:tcW w:w="834" w:type="pct"/>
            <w:vAlign w:val="center"/>
          </w:tcPr>
          <w:p w14:paraId="32C5DCBD">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人</w:t>
            </w:r>
          </w:p>
        </w:tc>
        <w:tc>
          <w:tcPr>
            <w:tcW w:w="834" w:type="pct"/>
            <w:vAlign w:val="center"/>
          </w:tcPr>
          <w:p w14:paraId="52634352">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100≤X＜300</w:t>
            </w:r>
          </w:p>
        </w:tc>
        <w:tc>
          <w:tcPr>
            <w:tcW w:w="834" w:type="pct"/>
            <w:vAlign w:val="center"/>
          </w:tcPr>
          <w:p w14:paraId="788DF1A4">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10≤X＜100</w:t>
            </w:r>
          </w:p>
        </w:tc>
        <w:tc>
          <w:tcPr>
            <w:tcW w:w="831" w:type="pct"/>
            <w:vAlign w:val="center"/>
          </w:tcPr>
          <w:p w14:paraId="22D72981">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X＜10</w:t>
            </w:r>
          </w:p>
        </w:tc>
      </w:tr>
    </w:tbl>
    <w:p w14:paraId="371506AD">
      <w:pPr>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5615C46E">
      <w:pPr>
        <w:pStyle w:val="3"/>
        <w:jc w:val="center"/>
        <w:rPr>
          <w:rFonts w:hint="eastAsia" w:ascii="仿宋" w:hAnsi="仿宋" w:eastAsia="仿宋" w:cs="仿宋"/>
          <w:color w:val="000000" w:themeColor="text1"/>
          <w14:textFill>
            <w14:solidFill>
              <w14:schemeClr w14:val="tx1"/>
            </w14:solidFill>
          </w14:textFill>
        </w:rPr>
        <w:sectPr>
          <w:pgSz w:w="11906" w:h="16838"/>
          <w:pgMar w:top="1134" w:right="1134" w:bottom="1134" w:left="1134" w:header="851" w:footer="992" w:gutter="0"/>
          <w:pgNumType w:fmt="decimal"/>
          <w:cols w:space="425" w:num="1"/>
          <w:docGrid w:type="lines" w:linePitch="312" w:charSpace="0"/>
        </w:sectPr>
      </w:pPr>
    </w:p>
    <w:p w14:paraId="247B7E22">
      <w:pPr>
        <w:pStyle w:val="3"/>
        <w:jc w:val="center"/>
        <w:rPr>
          <w:rFonts w:hint="eastAsia" w:ascii="仿宋" w:hAnsi="仿宋" w:eastAsia="仿宋" w:cs="仿宋"/>
          <w:color w:val="000000" w:themeColor="text1"/>
          <w14:textFill>
            <w14:solidFill>
              <w14:schemeClr w14:val="tx1"/>
            </w14:solidFill>
          </w14:textFill>
        </w:rPr>
      </w:pPr>
      <w:bookmarkStart w:id="40" w:name="_Toc193815612"/>
      <w:r>
        <w:rPr>
          <w:rFonts w:hint="eastAsia" w:ascii="仿宋" w:hAnsi="仿宋" w:eastAsia="仿宋" w:cs="仿宋"/>
          <w:color w:val="000000" w:themeColor="text1"/>
          <w14:textFill>
            <w14:solidFill>
              <w14:schemeClr w14:val="tx1"/>
            </w14:solidFill>
          </w14:textFill>
        </w:rPr>
        <w:t>第四</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评审程序和评定成交的标准</w:t>
      </w:r>
      <w:bookmarkEnd w:id="40"/>
    </w:p>
    <w:p w14:paraId="32C3FBC3">
      <w:pPr>
        <w:pStyle w:val="2"/>
        <w:jc w:val="center"/>
        <w:rPr>
          <w:rFonts w:hint="eastAsia" w:ascii="仿宋" w:hAnsi="仿宋" w:eastAsia="仿宋" w:cs="仿宋"/>
          <w:color w:val="000000" w:themeColor="text1"/>
          <w14:textFill>
            <w14:solidFill>
              <w14:schemeClr w14:val="tx1"/>
            </w14:solidFill>
          </w14:textFill>
        </w:rPr>
      </w:pPr>
      <w:bookmarkStart w:id="41" w:name="_Toc193815613"/>
      <w:r>
        <w:rPr>
          <w:rFonts w:hint="eastAsia" w:ascii="仿宋" w:hAnsi="仿宋" w:eastAsia="仿宋" w:cs="仿宋"/>
          <w:color w:val="000000" w:themeColor="text1"/>
          <w14:textFill>
            <w14:solidFill>
              <w14:schemeClr w14:val="tx1"/>
            </w14:solidFill>
          </w14:textFill>
        </w:rPr>
        <w:t>一、评审程序</w:t>
      </w:r>
      <w:bookmarkEnd w:id="41"/>
    </w:p>
    <w:p w14:paraId="00BFF095">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1.确认谈判文件</w:t>
      </w:r>
    </w:p>
    <w:p w14:paraId="4015A21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由谈判小组确认谈判文件。</w:t>
      </w:r>
    </w:p>
    <w:p w14:paraId="25B65740">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2.资格审查</w:t>
      </w:r>
    </w:p>
    <w:p w14:paraId="1055C6C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2.1响应文件开启后，谈判小组依法对供应商的资格证明文件进行审查。</w:t>
      </w:r>
    </w:p>
    <w:p w14:paraId="468BCBC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（1）查询渠道：“信用中国”网站（www.creditchina.gov.cn）、中国政府采购网（www.ccgp.gov.cn）</w:t>
      </w:r>
    </w:p>
    <w:p w14:paraId="3E42056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（2）信用查询截止时点：资格审查结束前</w:t>
      </w:r>
    </w:p>
    <w:p w14:paraId="49EE201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（3）查询记录和证据留存方式：将查询网站中的查询记录截图并作为评审资料保存。</w:t>
      </w:r>
    </w:p>
    <w:p w14:paraId="5CA6683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信用信息使用规则：信用信息使用规则：根据财政部《关于在政府采购活动中查询及使用信用记录有关问题的通知》（财库〔2016〕125号）的规定，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883B4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2.2资格审查标准为本谈判文件中载明对供应商资格要求的条件。本项目资格审查采用合格制，凡符合谈判文件规定的供应商资格要求的供应商均通过资格审查。</w:t>
      </w:r>
    </w:p>
    <w:p w14:paraId="2FF0586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2.3供应商有下列情形之一的，资格审查不通过，其响应文件按无效响应处理：</w:t>
      </w:r>
    </w:p>
    <w:p w14:paraId="55A06DD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（1）不具备谈判文件中规定的资格要求的；</w:t>
      </w:r>
    </w:p>
    <w:p w14:paraId="50EDF56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（2）响应文件中的资格证明文件缺少任一项“供应商须知前附表”资格证明文件规定的“必须提供”的文件资料的；</w:t>
      </w:r>
    </w:p>
    <w:p w14:paraId="4C6153C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（3）响应文件中的资格证明文件出现任一项不符合“供应商须知前附表”资格证明文件规定的“必须提供”的文件资料要求或者无效的；</w:t>
      </w:r>
    </w:p>
    <w:p w14:paraId="49C1506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（4）同一合同项下的不同供应商，单位负责人为同一人或者存在直接控股、管理关系的；为本项目提供过整体设计、规范编制或者项目管理、监理、检测等服务的供应商，再参加该采购项目的其他采购活动的。</w:t>
      </w:r>
    </w:p>
    <w:p w14:paraId="23BF51D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2.4通过资格审查的合格供应商不足3家（本章3.7条规定除外）的，不得进入符合性审查环节，应当重新开展采购活动。</w:t>
      </w:r>
    </w:p>
    <w:p w14:paraId="2F9F7B05">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3.符合性审查</w:t>
      </w:r>
    </w:p>
    <w:p w14:paraId="7B7DD42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3.1由谈判小组对资格审查的合格的供应商的响应文件进行竞标报价、商务、技术等实质性要求符合性审查，以确定其是否满足谈判文件的实质性要求。</w:t>
      </w:r>
    </w:p>
    <w:p w14:paraId="6820551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53ABC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签章。</w:t>
      </w:r>
    </w:p>
    <w:p w14:paraId="6DA86B2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5C788CA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3.4首次响应文件报价出现前后不一致的，按照下列规定修正：</w:t>
      </w:r>
    </w:p>
    <w:p w14:paraId="15272E7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（1）响应文件中报价表内容与响应文件中相应内容不一致的，以报价表为准；</w:t>
      </w:r>
    </w:p>
    <w:p w14:paraId="7B123E4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（2）大写金额和小写金额不一致的，以大写金额为准；</w:t>
      </w:r>
    </w:p>
    <w:p w14:paraId="0456E16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（3）单价金额小数点或者百分比有明显错位的，以报价表的总价为准，并修改单价；</w:t>
      </w:r>
    </w:p>
    <w:p w14:paraId="3B2483F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（4）总价金额与按单价汇总金额不一致的，以单价金额计算结果为准。</w:t>
      </w:r>
    </w:p>
    <w:p w14:paraId="0E26205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11C91CA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3.5商务技术报价评审</w:t>
      </w:r>
    </w:p>
    <w:p w14:paraId="6AC97F9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在评审时，如发现下列情形之一的，将被视为响应文件无效响应处理：</w:t>
      </w:r>
    </w:p>
    <w:p w14:paraId="1F234C6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（1）商务技术评审</w:t>
      </w:r>
    </w:p>
    <w:p w14:paraId="4907949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1）响应文件未按谈判文件要求签署、盖章的；</w:t>
      </w:r>
    </w:p>
    <w:p w14:paraId="595464A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2）委托代理人未能出具有效身份证或者出具的身份证与授权委托书中的信息不符的；</w:t>
      </w:r>
    </w:p>
    <w:p w14:paraId="1BDC28E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3）提交的竞标保证金无效的或者未按照谈判文件的规定提交竞标保证金；</w:t>
      </w:r>
    </w:p>
    <w:p w14:paraId="2848D8B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4F9725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5）商务要求中标“▲”的条款发生负偏离或者允许负偏离的条款数超过“供应商须知前附表”规定项数的；</w:t>
      </w:r>
    </w:p>
    <w:p w14:paraId="5ABA79A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6）未对竞标有效期作出响应或者响应文件承诺的竞标有效期不满足谈判文件要求；</w:t>
      </w:r>
    </w:p>
    <w:p w14:paraId="30387B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7）响应文件的实质性内容未使用中文表述、使用计量单位不符合谈判文件要求的；</w:t>
      </w:r>
    </w:p>
    <w:p w14:paraId="78D7589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8）响应文件中的文件资料因填写不齐全或者内容虚假或者出现其他情形而导致被谈判小组认定无效的；</w:t>
      </w:r>
    </w:p>
    <w:p w14:paraId="10A0C69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9）响应文件含有采购人不能接受的附加条件的；</w:t>
      </w:r>
    </w:p>
    <w:p w14:paraId="54F3F54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10）属于“供应商须知正文”第7.5条的情形的；</w:t>
      </w:r>
    </w:p>
    <w:p w14:paraId="65E5D49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11）技术评审中标“▲”的条款发生负偏离或者允许负偏离的条款数超过“供应商须知前附表”规定项数的；</w:t>
      </w:r>
    </w:p>
    <w:p w14:paraId="2BF7544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12）虚假竞标，或者出现其他情形而导致被谈判小组认定无效的；</w:t>
      </w:r>
    </w:p>
    <w:p w14:paraId="30C0D5E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13）谈判文件未载明允许提供备选（替代）竞标方案或明确不允许提供备选（替代）竞标方案时，供应商提供了备选（替代）竞标方案的；</w:t>
      </w:r>
    </w:p>
    <w:p w14:paraId="1BDEDA7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14）响应文件标注的项目名称或者项目编号与谈判文件标注的项目名称或者项目编号不一致的；</w:t>
      </w:r>
    </w:p>
    <w:p w14:paraId="04C7771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15）谈判文件明确不允许分包，响应文件拟分包的；</w:t>
      </w:r>
    </w:p>
    <w:p w14:paraId="070099C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16）未响应谈判文件实质性要求；</w:t>
      </w:r>
    </w:p>
    <w:p w14:paraId="69F156E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17）法律、法规和谈判文件规定的其他无效情形。</w:t>
      </w:r>
    </w:p>
    <w:p w14:paraId="4ADA254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（2）报价评审</w:t>
      </w:r>
    </w:p>
    <w:p w14:paraId="0D980EF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1）响应文件未提供“供应商须知前附表”报价文件中规定的“响应报价表”的；</w:t>
      </w:r>
    </w:p>
    <w:p w14:paraId="663EA90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2）未采用人民币报价或者未按照谈判文件标明的币种报价的；</w:t>
      </w:r>
    </w:p>
    <w:p w14:paraId="170F174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未就所竞标分标进行报价或者存在漏项报价的；供应商未就所竞标分标的单项内容作唯一报价的；供应商未就所竞标分标的全部内容作完整唯一总价报价的；供应商响应文件中存在有选择、有条件报价的（谈判文件允许有备选方案或者其他约定的除外）；</w:t>
      </w:r>
    </w:p>
    <w:p w14:paraId="1720AB4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4）最后报价超过所竞标分标规定的采购预算金额或者最高限价的（如本项目公布了最高限价）；</w:t>
      </w:r>
    </w:p>
    <w:p w14:paraId="356DFFB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5）修正后的报价，供应商不确认的；或者经供应商确认修正后的最后报价超过所竞标分标规定的采购预算金额或者最高限价（如本项目公布了最高限价）；</w:t>
      </w:r>
    </w:p>
    <w:p w14:paraId="23158B6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6）响应文件响应的标的数量及单位与竞争性谈判采购文件要求实质性不一致的。</w:t>
      </w:r>
    </w:p>
    <w:p w14:paraId="74F29D7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14:paraId="1941372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公开招标的货物、服务采购项目，招标过程中提交响应文件或者经评审实质性响应采购文件要求的供应商只有两家时，采购人、采购代理机构按照《政府采购非招标采购方式管理办法》（财政部74号令）第四条经本级财政部门批准后可以与该两家供应商进行竞争性谈判采购。</w:t>
      </w:r>
    </w:p>
    <w:p w14:paraId="171A53F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3.8通过符合性审查的合格供应商不足3家的，不得进入谈判环节，应当重新开展采购活动。</w:t>
      </w:r>
    </w:p>
    <w:p w14:paraId="2EF25190">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4.谈判程序</w:t>
      </w:r>
    </w:p>
    <w:p w14:paraId="5A3DAD6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谈判小组按照“供应商须知前附表”第26条确定的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302E21B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00FDA86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4.3对谈判文件作出的实质性变动是谈判文件的有效组成部分，谈判小组应当及时以电子谈判记录形式同时通知所有参加谈判的供应商。</w:t>
      </w:r>
    </w:p>
    <w:p w14:paraId="41A44FA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4.4供应商必须按照谈判文件的变动情况和谈判小组的要求以电子回函的形式重新提交响应文件，并由其法定代表人或者委托代理人签字或者加盖供应商公章。由委托代理人签字的，若委托代理人不是响应文件中授权的委托代理人时，必须同时出示有效的授权委托书原件。供应商为自然人的，必须由本人签字并附身份证明。参加谈判的供应商未在规定时间内以电子回函的形式重新提交响应文件的，视同退出谈判，其响应文件按无效响应处理。</w:t>
      </w:r>
    </w:p>
    <w:p w14:paraId="2895031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4.5谈判中，谈判的任何一方不得透露与谈判有关的其他供应商的技术资料、价格和其他信息。</w:t>
      </w:r>
    </w:p>
    <w:p w14:paraId="5F26142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4.6对谈判过程提交的响应文件进行有效性、完整性和响应程度审查，通过审查的合格供应商不足3家的，采购人或者采购代理机构应当重新开展采购活动。</w:t>
      </w:r>
    </w:p>
    <w:p w14:paraId="125A2AE6">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5.最后报价</w:t>
      </w:r>
    </w:p>
    <w:p w14:paraId="6D864A9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谈判文件能够详细列明采购标的的技术、服务要求的，谈判结束后，谈判小组应当要求所有继续参加谈判的供应商在规定时间内以电子文件形式提交最后报价，提交最后报价的供应商不得少于3家，除本章第3.7条外，否则必须重新采购。</w:t>
      </w:r>
    </w:p>
    <w:p w14:paraId="6E2574D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以电子文件形式提交最后报价。</w:t>
      </w:r>
    </w:p>
    <w:p w14:paraId="70B9455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5.3最后报价是供应商响应文件的有效组成部分。</w:t>
      </w:r>
    </w:p>
    <w:p w14:paraId="528BF3B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5.4已经提交响应文件的供应商，在提交最后报价之前，可以根据谈判情况退出谈判。采购人、采购代理机构将退还退出谈判的供应商的保证金。</w:t>
      </w:r>
    </w:p>
    <w:p w14:paraId="535AF53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5.5供应商未在规定时间内提交最后报价的，视为退出谈判，其响应文件按无效响应处理。</w:t>
      </w:r>
    </w:p>
    <w:p w14:paraId="10312D1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5.6谈判小组收齐某一分标最后报价后或达到规定时间后统一开启，谈判小组对最后报价进行有效性、完整性和响应程度的审查。</w:t>
      </w:r>
    </w:p>
    <w:p w14:paraId="4579687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5.7响应文件首次及最后报价出现前后不一致的，按照本章第3.4条的规定修正。</w:t>
      </w:r>
    </w:p>
    <w:p w14:paraId="1714A00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5.8修正后的报价出现下列情形的，按无效响应处理：</w:t>
      </w:r>
    </w:p>
    <w:p w14:paraId="79CA244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（1）供应商不确认的（全流程电子化评标采取在线确认）；</w:t>
      </w:r>
    </w:p>
    <w:p w14:paraId="1F9A332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（2）经供应商确认修正后的竞标报价（包含首次报价、最后报价）超过所竞标分标规定的采购预算金额或者最高限价的（如本项目公布了最高限价）；</w:t>
      </w:r>
    </w:p>
    <w:p w14:paraId="728AF4A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（3）经供应商确认修正后的竞标报价（包含首次报价、最后报价）超过分项采购预算金额或者最高限价的（如本项目公布了最高限价）。</w:t>
      </w:r>
    </w:p>
    <w:p w14:paraId="0B1828B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5.9经供应商确认修正后的最后报价作为评审及签订合同的依据。</w:t>
      </w:r>
    </w:p>
    <w:p w14:paraId="6FA4C0D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5.10供应商出现最后报价按无效响应处理或者响应文件按无效响应处理时，谈判小组应当告知有关供应商。</w:t>
      </w:r>
    </w:p>
    <w:p w14:paraId="27CBCAC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5.11最后报价结束后，谈判小组不得再与供应商进行任何形式的商谈。</w:t>
      </w:r>
    </w:p>
    <w:p w14:paraId="1721175C">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6.最后报价政府采购政策性扣除</w:t>
      </w:r>
    </w:p>
    <w:p w14:paraId="62C1F81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6.1政策性扣除计算方法。</w:t>
      </w:r>
    </w:p>
    <w:p w14:paraId="78573907">
      <w:pPr>
        <w:spacing w:line="360" w:lineRule="auto"/>
        <w:ind w:firstLine="480" w:firstLineChars="200"/>
        <w:rPr>
          <w:rFonts w:hint="eastAsia" w:ascii="仿宋" w:hAnsi="仿宋" w:eastAsia="仿宋" w:cs="仿宋"/>
          <w:color w:val="auto"/>
          <w:sz w:val="24"/>
          <w:highlight w:val="none"/>
        </w:rPr>
      </w:pPr>
      <w:bookmarkStart w:id="42" w:name="OLE_LINK127"/>
      <w:bookmarkStart w:id="43" w:name="OLE_LINK126"/>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本项目专门面向中小企业采购，供应商须满足《政府采购促进中小企业发展管理办法》(财库〔2020〕46号)第二条规定。供应商符合上述情形的，评标价=</w:t>
      </w:r>
      <w:r>
        <w:rPr>
          <w:rFonts w:hint="eastAsia" w:ascii="仿宋" w:hAnsi="仿宋" w:eastAsia="仿宋" w:cs="仿宋"/>
          <w:color w:val="auto"/>
          <w:sz w:val="24"/>
          <w:highlight w:val="none"/>
          <w:lang w:val="en-US" w:eastAsia="zh-CN"/>
        </w:rPr>
        <w:t>竞标</w:t>
      </w:r>
      <w:r>
        <w:rPr>
          <w:rFonts w:hint="eastAsia" w:ascii="仿宋" w:hAnsi="仿宋" w:eastAsia="仿宋" w:cs="仿宋"/>
          <w:color w:val="auto"/>
          <w:sz w:val="24"/>
          <w:highlight w:val="none"/>
        </w:rPr>
        <w:t>报价。</w:t>
      </w:r>
    </w:p>
    <w:p w14:paraId="445A2A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63E49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bookmarkEnd w:id="42"/>
    <w:bookmarkEnd w:id="43"/>
    <w:p w14:paraId="423B7E8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6.2评审价只是作为评审时使用。最终成交供应商的成交金额等于最后报价（如有修正，以确认修正后的最后报价为准）。</w:t>
      </w:r>
    </w:p>
    <w:p w14:paraId="1763E35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6.3谈判小组认为，某谈判供应商的最终竞标报价明显低于其他实质性响应谈判文件的谈判供应商的最终报价，有可能影响产品质量或者不能诚信履约的，可要求其在评标现场合理的时间内提供书面说明，必要时提交相关证明材料；谈判供应商不能证明其报价合理性的，谈判小组可将其作为未实质性响应谈判文件处理。</w:t>
      </w:r>
    </w:p>
    <w:p w14:paraId="2C447CF2">
      <w:pPr>
        <w:pStyle w:val="2"/>
        <w:jc w:val="center"/>
        <w:rPr>
          <w:rFonts w:hint="eastAsia" w:ascii="仿宋" w:hAnsi="仿宋" w:eastAsia="仿宋" w:cs="仿宋"/>
          <w:color w:val="000000" w:themeColor="text1"/>
          <w14:textFill>
            <w14:solidFill>
              <w14:schemeClr w14:val="tx1"/>
            </w14:solidFill>
          </w14:textFill>
        </w:rPr>
      </w:pPr>
      <w:bookmarkStart w:id="44" w:name="_Toc193815614"/>
      <w:r>
        <w:rPr>
          <w:rFonts w:hint="eastAsia" w:ascii="仿宋" w:hAnsi="仿宋" w:eastAsia="仿宋" w:cs="仿宋"/>
          <w:color w:val="000000" w:themeColor="text1"/>
          <w14:textFill>
            <w14:solidFill>
              <w14:schemeClr w14:val="tx1"/>
            </w14:solidFill>
          </w14:textFill>
        </w:rPr>
        <w:t>二、评审原则</w:t>
      </w:r>
      <w:bookmarkEnd w:id="44"/>
    </w:p>
    <w:p w14:paraId="4F132F4C">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1.评审原则</w:t>
      </w:r>
    </w:p>
    <w:p w14:paraId="7D4608A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05EF4D4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根据《政府采购非招标采购方式管理办法》（财政部令第74号）第二十一条规定，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p>
    <w:p w14:paraId="48D81F9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70CC9F3E">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2.终止竞争性谈判采购活动</w:t>
      </w:r>
    </w:p>
    <w:p w14:paraId="1698476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出现下列情形之一的，采购人或者采购代理机构应当终止竞争性谈判采购活动，发布项目终止公告并说明原因，重新开展采购活动：</w:t>
      </w:r>
    </w:p>
    <w:p w14:paraId="2F55F53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（1）因情况变化，不再符合规定的竞争性谈判采购方式适用情形的；</w:t>
      </w:r>
    </w:p>
    <w:p w14:paraId="756C5D0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（2）出现影响采购公正的违法、违规行为的；</w:t>
      </w:r>
    </w:p>
    <w:p w14:paraId="5C05ACD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（3）在采购过程中符合竞争要求的供应商或者报价未超过采购预算的供应商不足3家的，但《政府采购非招标采购方式管理办法》第二十七条第二款规定的情形除外。</w:t>
      </w:r>
    </w:p>
    <w:p w14:paraId="013C77AA">
      <w:pPr>
        <w:pStyle w:val="2"/>
        <w:jc w:val="center"/>
        <w:rPr>
          <w:rFonts w:hint="eastAsia" w:ascii="仿宋" w:hAnsi="仿宋" w:eastAsia="仿宋" w:cs="仿宋"/>
          <w:color w:val="000000" w:themeColor="text1"/>
          <w14:textFill>
            <w14:solidFill>
              <w14:schemeClr w14:val="tx1"/>
            </w14:solidFill>
          </w14:textFill>
        </w:rPr>
      </w:pPr>
      <w:bookmarkStart w:id="45" w:name="_Toc193815615"/>
      <w:r>
        <w:rPr>
          <w:rFonts w:hint="eastAsia" w:ascii="仿宋" w:hAnsi="仿宋" w:eastAsia="仿宋" w:cs="仿宋"/>
          <w:color w:val="000000" w:themeColor="text1"/>
          <w14:textFill>
            <w14:solidFill>
              <w14:schemeClr w14:val="tx1"/>
            </w14:solidFill>
          </w14:textFill>
        </w:rPr>
        <w:t>三、评审报告</w:t>
      </w:r>
      <w:bookmarkEnd w:id="45"/>
    </w:p>
    <w:p w14:paraId="5E698140">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1.成交标准</w:t>
      </w:r>
    </w:p>
    <w:p w14:paraId="7D57667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在线编写电子评审报告。</w:t>
      </w:r>
    </w:p>
    <w:p w14:paraId="5B0BA886">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2.评标争议事项处理</w:t>
      </w:r>
    </w:p>
    <w:p w14:paraId="258B32A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谈判小组成员对需要共同认定的事项存在争议的，应当按照少数服从多数的原则作出结论。持不同意见的谈判小组成员应当在评审报告上签署不同意见及理由，否则视为同意评审报告。</w:t>
      </w:r>
    </w:p>
    <w:p w14:paraId="0CBEA000">
      <w:pPr>
        <w:pStyle w:val="2"/>
        <w:jc w:val="center"/>
        <w:rPr>
          <w:rFonts w:hint="eastAsia" w:ascii="仿宋" w:hAnsi="仿宋" w:eastAsia="仿宋" w:cs="仿宋"/>
          <w:color w:val="000000" w:themeColor="text1"/>
          <w14:textFill>
            <w14:solidFill>
              <w14:schemeClr w14:val="tx1"/>
            </w14:solidFill>
          </w14:textFill>
        </w:rPr>
      </w:pPr>
      <w:bookmarkStart w:id="46" w:name="_Toc193815616"/>
      <w:r>
        <w:rPr>
          <w:rFonts w:hint="eastAsia" w:ascii="仿宋" w:hAnsi="仿宋" w:eastAsia="仿宋" w:cs="仿宋"/>
          <w:color w:val="000000" w:themeColor="text1"/>
          <w14:textFill>
            <w14:solidFill>
              <w14:schemeClr w14:val="tx1"/>
            </w14:solidFill>
          </w14:textFill>
        </w:rPr>
        <w:t>四、评审过程的保密与录像</w:t>
      </w:r>
      <w:bookmarkEnd w:id="46"/>
    </w:p>
    <w:p w14:paraId="398DA3A4">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1.保密。</w:t>
      </w:r>
    </w:p>
    <w:p w14:paraId="365CBB4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审活动在严格保密的情况下进行。评审过程中凡是与采购响应文件评审和比较、成交供应商推荐等评审有关的情况，以及涉及国家秘密和商业秘密等信息，谈判小组成员、采购人和采购机构工作人员、相关监督人员等与评审有关的人员应当予以保密。</w:t>
      </w:r>
    </w:p>
    <w:p w14:paraId="17AFCA7C">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2.录音录像。</w:t>
      </w:r>
    </w:p>
    <w:p w14:paraId="4762E8F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采购代理机构对评审工作现场及操作屏幕进行全过程录音录像，录音录像资料作为采购项目文件随其他文件一并存档。</w:t>
      </w:r>
    </w:p>
    <w:p w14:paraId="12A9AE5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60FD6583">
      <w:pPr>
        <w:pStyle w:val="3"/>
        <w:jc w:val="center"/>
        <w:rPr>
          <w:rFonts w:hint="eastAsia" w:ascii="仿宋" w:hAnsi="仿宋" w:eastAsia="仿宋" w:cs="仿宋"/>
          <w:color w:val="000000" w:themeColor="text1"/>
          <w14:textFill>
            <w14:solidFill>
              <w14:schemeClr w14:val="tx1"/>
            </w14:solidFill>
          </w14:textFill>
        </w:rPr>
      </w:pPr>
      <w:bookmarkStart w:id="47" w:name="_Toc193815617"/>
      <w:r>
        <w:rPr>
          <w:rFonts w:hint="eastAsia" w:ascii="仿宋" w:hAnsi="仿宋" w:eastAsia="仿宋" w:cs="仿宋"/>
          <w:color w:val="000000" w:themeColor="text1"/>
          <w14:textFill>
            <w14:solidFill>
              <w14:schemeClr w14:val="tx1"/>
            </w14:solidFill>
          </w14:textFill>
        </w:rPr>
        <w:t>第五</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响应文件格式</w:t>
      </w:r>
      <w:bookmarkEnd w:id="47"/>
    </w:p>
    <w:p w14:paraId="7AB7713D">
      <w:pPr>
        <w:pStyle w:val="2"/>
        <w:jc w:val="center"/>
        <w:rPr>
          <w:rFonts w:hint="eastAsia" w:ascii="仿宋" w:hAnsi="仿宋" w:eastAsia="仿宋" w:cs="仿宋"/>
          <w:color w:val="000000" w:themeColor="text1"/>
          <w14:textFill>
            <w14:solidFill>
              <w14:schemeClr w14:val="tx1"/>
            </w14:solidFill>
          </w14:textFill>
        </w:rPr>
      </w:pPr>
      <w:bookmarkStart w:id="48" w:name="_Toc193815618"/>
      <w:r>
        <w:rPr>
          <w:rFonts w:hint="eastAsia" w:ascii="仿宋" w:hAnsi="仿宋" w:eastAsia="仿宋" w:cs="仿宋"/>
          <w:color w:val="000000" w:themeColor="text1"/>
          <w14:textFill>
            <w14:solidFill>
              <w14:schemeClr w14:val="tx1"/>
            </w14:solidFill>
          </w14:textFill>
        </w:rPr>
        <w:t>一、资格证明文件格式</w:t>
      </w:r>
      <w:bookmarkEnd w:id="48"/>
    </w:p>
    <w:p w14:paraId="3C60CBE1">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1.资格证明文件封面格式：</w:t>
      </w:r>
    </w:p>
    <w:p w14:paraId="26B1B6D1">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3EAE4AE">
      <w:pPr>
        <w:spacing w:line="360" w:lineRule="auto"/>
        <w:jc w:val="center"/>
        <w:rPr>
          <w:rFonts w:hint="eastAsia" w:ascii="仿宋" w:hAnsi="仿宋" w:eastAsia="仿宋" w:cs="仿宋"/>
          <w:b/>
          <w:color w:val="000000" w:themeColor="text1"/>
          <w:sz w:val="84"/>
          <w:szCs w:val="84"/>
          <w14:textFill>
            <w14:solidFill>
              <w14:schemeClr w14:val="tx1"/>
            </w14:solidFill>
          </w14:textFill>
        </w:rPr>
      </w:pPr>
      <w:r>
        <w:rPr>
          <w:rFonts w:hint="eastAsia" w:ascii="仿宋" w:hAnsi="仿宋" w:eastAsia="仿宋" w:cs="仿宋"/>
          <w:b/>
          <w:color w:val="000000" w:themeColor="text1"/>
          <w:sz w:val="84"/>
          <w:szCs w:val="84"/>
          <w14:textFill>
            <w14:solidFill>
              <w14:schemeClr w14:val="tx1"/>
            </w14:solidFill>
          </w14:textFill>
        </w:rPr>
        <w:t>响应文件</w:t>
      </w:r>
    </w:p>
    <w:p w14:paraId="660B7027">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4DE73FA">
      <w:pPr>
        <w:spacing w:line="360" w:lineRule="auto"/>
        <w:jc w:val="center"/>
        <w:rPr>
          <w:rFonts w:hint="eastAsia" w:ascii="仿宋" w:hAnsi="仿宋" w:eastAsia="仿宋" w:cs="仿宋"/>
          <w:b/>
          <w:color w:val="000000" w:themeColor="text1"/>
          <w:sz w:val="84"/>
          <w:szCs w:val="84"/>
          <w14:textFill>
            <w14:solidFill>
              <w14:schemeClr w14:val="tx1"/>
            </w14:solidFill>
          </w14:textFill>
        </w:rPr>
      </w:pPr>
      <w:r>
        <w:rPr>
          <w:rFonts w:hint="eastAsia" w:ascii="仿宋" w:hAnsi="仿宋" w:eastAsia="仿宋" w:cs="仿宋"/>
          <w:b/>
          <w:color w:val="000000" w:themeColor="text1"/>
          <w:sz w:val="84"/>
          <w:szCs w:val="84"/>
          <w14:textFill>
            <w14:solidFill>
              <w14:schemeClr w14:val="tx1"/>
            </w14:solidFill>
          </w14:textFill>
        </w:rPr>
        <w:t>资格证明文件</w:t>
      </w:r>
    </w:p>
    <w:p w14:paraId="68C7C39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E4ECBE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70A9B49">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3232BC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F644CB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F2BCF00">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p>
    <w:p w14:paraId="771F4C91">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4B3A948">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项目编号：</w:t>
      </w:r>
    </w:p>
    <w:p w14:paraId="6291F324">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DA0DEAD">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所竞分标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如有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14:paraId="07819C7D">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A7C785D">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供应商名称：</w:t>
      </w:r>
    </w:p>
    <w:p w14:paraId="57185887">
      <w:pPr>
        <w:spacing w:line="360" w:lineRule="auto"/>
        <w:jc w:val="center"/>
        <w:rPr>
          <w:rFonts w:hint="eastAsia" w:ascii="仿宋" w:hAnsi="仿宋" w:eastAsia="仿宋" w:cs="仿宋"/>
          <w:color w:val="000000" w:themeColor="text1"/>
          <w:sz w:val="32"/>
          <w:szCs w:val="32"/>
          <w14:textFill>
            <w14:solidFill>
              <w14:schemeClr w14:val="tx1"/>
            </w14:solidFill>
          </w14:textFill>
        </w:rPr>
      </w:pPr>
      <w:bookmarkStart w:id="49" w:name="OLE_LINK80"/>
      <w:bookmarkStart w:id="50" w:name="OLE_LINK81"/>
      <w:r>
        <w:rPr>
          <w:rFonts w:hint="eastAsia" w:ascii="仿宋" w:hAnsi="仿宋" w:eastAsia="仿宋" w:cs="仿宋"/>
          <w:color w:val="000000" w:themeColor="text1"/>
          <w:sz w:val="32"/>
          <w:szCs w:val="32"/>
          <w14:textFill>
            <w14:solidFill>
              <w14:schemeClr w14:val="tx1"/>
            </w14:solidFill>
          </w14:textFill>
        </w:rPr>
        <w:t>___年___月___日</w:t>
      </w:r>
    </w:p>
    <w:p w14:paraId="3CE4646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bookmarkEnd w:id="49"/>
    <w:bookmarkEnd w:id="50"/>
    <w:p w14:paraId="5840256D">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2.资格证明文件目录</w:t>
      </w:r>
    </w:p>
    <w:p w14:paraId="769C151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根据采购文件规定及供应商提供的材料自行编写目录（部分格式后附）。</w:t>
      </w:r>
    </w:p>
    <w:p w14:paraId="310F159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0205F32B">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（一）营业执照（或事业法人登记证或其他工商等登记证明材料）复印件（供应商为自然人的，提供自然人的身份证明）</w:t>
      </w:r>
    </w:p>
    <w:p w14:paraId="50B65C1B">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4DF37C0">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457A2BE0">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38830F57">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19A2176">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（二）符合参与政府采购活动的资格条件依法缴纳税收、社会保障资金等方面的材料</w:t>
      </w:r>
    </w:p>
    <w:p w14:paraId="1BD942E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4C6D6F56">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528712E6">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2F04B1D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016AACA">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（三）财务状况报告方面的材料</w:t>
      </w:r>
    </w:p>
    <w:p w14:paraId="75B01F7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4F36AD6">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7323D0C9">
      <w:pPr>
        <w:spacing w:line="360" w:lineRule="auto"/>
        <w:ind w:firstLine="480" w:firstLineChars="20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2F17118A">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24D67D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434E1B75">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（四）供应商直接控股股东信息</w:t>
      </w:r>
    </w:p>
    <w:p w14:paraId="151736C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bl>
      <w:tblPr>
        <w:tblStyle w:val="4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544"/>
        <w:gridCol w:w="1438"/>
        <w:gridCol w:w="3907"/>
        <w:gridCol w:w="1132"/>
      </w:tblGrid>
      <w:tr w14:paraId="550E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14:paraId="2B8AF773">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1292" w:type="pct"/>
            <w:vAlign w:val="center"/>
          </w:tcPr>
          <w:p w14:paraId="72F17CB4">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直接控股股东名称</w:t>
            </w:r>
          </w:p>
        </w:tc>
        <w:tc>
          <w:tcPr>
            <w:tcW w:w="730" w:type="pct"/>
            <w:vAlign w:val="center"/>
          </w:tcPr>
          <w:p w14:paraId="5BDC8F96">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出资比例</w:t>
            </w:r>
          </w:p>
        </w:tc>
        <w:tc>
          <w:tcPr>
            <w:tcW w:w="1984" w:type="pct"/>
            <w:vAlign w:val="center"/>
          </w:tcPr>
          <w:p w14:paraId="32A6C8D4">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身份证号码或者统一社会信用代码</w:t>
            </w:r>
          </w:p>
        </w:tc>
        <w:tc>
          <w:tcPr>
            <w:tcW w:w="575" w:type="pct"/>
            <w:vAlign w:val="center"/>
          </w:tcPr>
          <w:p w14:paraId="342D3CE7">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备注</w:t>
            </w:r>
          </w:p>
        </w:tc>
      </w:tr>
      <w:tr w14:paraId="76BE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Pr>
          <w:p w14:paraId="0421CCE8">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292" w:type="pct"/>
          </w:tcPr>
          <w:p w14:paraId="213A9320">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730" w:type="pct"/>
          </w:tcPr>
          <w:p w14:paraId="268F84FB">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984" w:type="pct"/>
          </w:tcPr>
          <w:p w14:paraId="07428D7C">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575" w:type="pct"/>
          </w:tcPr>
          <w:p w14:paraId="0E7611D7">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4A95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Pr>
          <w:p w14:paraId="0AAECAA0">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292" w:type="pct"/>
          </w:tcPr>
          <w:p w14:paraId="3C46B69D">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730" w:type="pct"/>
          </w:tcPr>
          <w:p w14:paraId="58AF911A">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984" w:type="pct"/>
          </w:tcPr>
          <w:p w14:paraId="277439CD">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575" w:type="pct"/>
          </w:tcPr>
          <w:p w14:paraId="314941C4">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4C5B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Pr>
          <w:p w14:paraId="703891EC">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292" w:type="pct"/>
          </w:tcPr>
          <w:p w14:paraId="33CF0901">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730" w:type="pct"/>
          </w:tcPr>
          <w:p w14:paraId="1C21B2CB">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984" w:type="pct"/>
          </w:tcPr>
          <w:p w14:paraId="34BFE5EA">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575" w:type="pct"/>
          </w:tcPr>
          <w:p w14:paraId="58775147">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7BE9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Pr>
          <w:p w14:paraId="3DCB287C">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292" w:type="pct"/>
          </w:tcPr>
          <w:p w14:paraId="4268C07A">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730" w:type="pct"/>
          </w:tcPr>
          <w:p w14:paraId="6C506A06">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984" w:type="pct"/>
          </w:tcPr>
          <w:p w14:paraId="16B72F09">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575" w:type="pct"/>
          </w:tcPr>
          <w:p w14:paraId="1294610E">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bl>
    <w:p w14:paraId="110B390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p w14:paraId="5F8EF6C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B197FF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4EEB300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3.供应商不存在直接控股股东的，则填“无”。</w:t>
      </w:r>
    </w:p>
    <w:p w14:paraId="4BF7CE7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009D3DAD">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59E3B970">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2C4B4FC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4B1EB19B">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（五）供应商直接管理关系信息表</w:t>
      </w:r>
    </w:p>
    <w:p w14:paraId="7CE66CC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tbl>
      <w:tblPr>
        <w:tblStyle w:val="4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2837"/>
        <w:gridCol w:w="2461"/>
        <w:gridCol w:w="2461"/>
      </w:tblGrid>
      <w:tr w14:paraId="1D90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pct"/>
            <w:vAlign w:val="center"/>
          </w:tcPr>
          <w:p w14:paraId="4248F7C8">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1441" w:type="pct"/>
            <w:vAlign w:val="center"/>
          </w:tcPr>
          <w:p w14:paraId="70C4DF3F">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直接管理关系单位名称</w:t>
            </w:r>
          </w:p>
        </w:tc>
        <w:tc>
          <w:tcPr>
            <w:tcW w:w="1250" w:type="pct"/>
            <w:vAlign w:val="center"/>
          </w:tcPr>
          <w:p w14:paraId="2031D133">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统一社会信用代码</w:t>
            </w:r>
          </w:p>
        </w:tc>
        <w:tc>
          <w:tcPr>
            <w:tcW w:w="1250" w:type="pct"/>
            <w:vAlign w:val="center"/>
          </w:tcPr>
          <w:p w14:paraId="707FAF45">
            <w:pPr>
              <w:spacing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相互关系</w:t>
            </w:r>
          </w:p>
        </w:tc>
      </w:tr>
      <w:tr w14:paraId="4EF5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pct"/>
          </w:tcPr>
          <w:p w14:paraId="7CBB46A1">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441" w:type="pct"/>
          </w:tcPr>
          <w:p w14:paraId="58062E29">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50" w:type="pct"/>
          </w:tcPr>
          <w:p w14:paraId="434B17CD">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50" w:type="pct"/>
          </w:tcPr>
          <w:p w14:paraId="7E3B0F3F">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0C75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pct"/>
          </w:tcPr>
          <w:p w14:paraId="592C78A6">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441" w:type="pct"/>
          </w:tcPr>
          <w:p w14:paraId="12B461C9">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50" w:type="pct"/>
          </w:tcPr>
          <w:p w14:paraId="09A4F574">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50" w:type="pct"/>
          </w:tcPr>
          <w:p w14:paraId="4B5297CD">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3BCF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pct"/>
          </w:tcPr>
          <w:p w14:paraId="4C82EA08">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441" w:type="pct"/>
          </w:tcPr>
          <w:p w14:paraId="7A7ED20D">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50" w:type="pct"/>
          </w:tcPr>
          <w:p w14:paraId="11BF93C5">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50" w:type="pct"/>
          </w:tcPr>
          <w:p w14:paraId="1B831588">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2AA6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pct"/>
          </w:tcPr>
          <w:p w14:paraId="75C1B220">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441" w:type="pct"/>
          </w:tcPr>
          <w:p w14:paraId="48B8D29D">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50" w:type="pct"/>
          </w:tcPr>
          <w:p w14:paraId="2402AADD">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50" w:type="pct"/>
          </w:tcPr>
          <w:p w14:paraId="6595350C">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bl>
    <w:p w14:paraId="5957E09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p w14:paraId="6283DAC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1.管理关系：是指不具有出资持股关系的其他单位之间存在的管理与被管理关系，如一些上下级关系的事业单位和团体组织。</w:t>
      </w:r>
    </w:p>
    <w:p w14:paraId="65AA4A6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2.本表所指的管理关系仅限于直接管理关系，不包括间接的管理关系。</w:t>
      </w:r>
    </w:p>
    <w:p w14:paraId="6366A6D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3.供应商不存在直接管理关系的，则填“无”。</w:t>
      </w:r>
    </w:p>
    <w:p w14:paraId="6CB3DCF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288FFB1B">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77F01256">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69D7C4E1">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sectPr>
          <w:pgSz w:w="11906" w:h="16838"/>
          <w:pgMar w:top="1134" w:right="1134" w:bottom="1134" w:left="1134" w:header="851" w:footer="992" w:gutter="0"/>
          <w:pgNumType w:fmt="decimal"/>
          <w:cols w:space="425" w:num="1"/>
          <w:docGrid w:type="lines" w:linePitch="312" w:charSpace="0"/>
        </w:sectPr>
      </w:pPr>
    </w:p>
    <w:p w14:paraId="41B681AD">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（六）竞标声明</w:t>
      </w:r>
    </w:p>
    <w:p w14:paraId="6B142CCD">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竞标声明</w:t>
      </w:r>
    </w:p>
    <w:p w14:paraId="61A4B199">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92E1AD3">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致：_______（采购人名称）：</w:t>
      </w:r>
    </w:p>
    <w:p w14:paraId="157BB21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w:t>
      </w:r>
      <w:r>
        <w:rPr>
          <w:rFonts w:hint="eastAsia" w:ascii="仿宋" w:hAnsi="仿宋" w:eastAsia="仿宋" w:cs="仿宋"/>
          <w:color w:val="000000" w:themeColor="text1"/>
          <w:sz w:val="24"/>
          <w:szCs w:val="24"/>
          <w:u w:val="single"/>
          <w14:textFill>
            <w14:solidFill>
              <w14:schemeClr w14:val="tx1"/>
            </w14:solidFill>
          </w14:textFill>
        </w:rPr>
        <w:t>（供应商名称）</w:t>
      </w:r>
      <w:r>
        <w:rPr>
          <w:rFonts w:hint="eastAsia" w:ascii="仿宋" w:hAnsi="仿宋" w:eastAsia="仿宋" w:cs="仿宋"/>
          <w:color w:val="000000" w:themeColor="text1"/>
          <w:sz w:val="24"/>
          <w:szCs w:val="24"/>
          <w14:textFill>
            <w14:solidFill>
              <w14:schemeClr w14:val="tx1"/>
            </w14:solidFill>
          </w14:textFill>
        </w:rPr>
        <w:t>系中华人民共和国合法供应商，经营地址____________________________________。</w:t>
      </w:r>
    </w:p>
    <w:p w14:paraId="3AE7ABE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我方愿意参加贵方组织的_______项目的竞标，为便于贵方公正、择优地确定成交供应商及其竞标产品和服务，我方就本次竞标有关事项郑重声明如下：</w:t>
      </w:r>
    </w:p>
    <w:p w14:paraId="6ECADE5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1.我方向贵方提交的所有响应文件、资料都是准确的和真实的。</w:t>
      </w:r>
    </w:p>
    <w:p w14:paraId="1BF058C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B2B0CD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3.在此，我方宣布同意如下：</w:t>
      </w:r>
    </w:p>
    <w:p w14:paraId="77CEAE7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（1）将按谈判文件的约定履行合同责任和义务；</w:t>
      </w:r>
    </w:p>
    <w:p w14:paraId="7BCA21A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（2）已详细审查全部谈判文件，包括澄清或者更正公告（如有）；</w:t>
      </w:r>
    </w:p>
    <w:p w14:paraId="5F2E180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（3）同意提供按照贵方可能要求的与谈判有关的一切数据或者资料；</w:t>
      </w:r>
    </w:p>
    <w:p w14:paraId="287F461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（4）响应谈判文件规定的竞标有效期。</w:t>
      </w:r>
    </w:p>
    <w:p w14:paraId="4B9EF62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4.我方承诺符合《中华人民共和国政府采购法》第二十二条规定：</w:t>
      </w:r>
    </w:p>
    <w:p w14:paraId="073503E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（1）具有独立承担民事责任的能力；</w:t>
      </w:r>
    </w:p>
    <w:p w14:paraId="08A962A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（2）具有良好的商业信誉和健全的财务会计制度；</w:t>
      </w:r>
    </w:p>
    <w:p w14:paraId="6485A9A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（3）具有履行合同所必需的设备和专业技术能力；</w:t>
      </w:r>
    </w:p>
    <w:p w14:paraId="63F2D08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（4）有依法缴纳税收和社会保障资金的良好记录；</w:t>
      </w:r>
    </w:p>
    <w:p w14:paraId="56E26B3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（5）参加政府采购活动前三年内，在经营活动中没有重大违法记录；</w:t>
      </w:r>
    </w:p>
    <w:p w14:paraId="459ACF4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（6）法律、行政法规规定的其他条件。</w:t>
      </w:r>
    </w:p>
    <w:p w14:paraId="4E81821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9A99A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58806A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□我方本次响应文件内容中未涉及商业秘密；</w:t>
      </w:r>
    </w:p>
    <w:p w14:paraId="154AE857">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□我方本次响应文件涉及商业秘密的内容有：____________________________________；</w:t>
      </w:r>
    </w:p>
    <w:p w14:paraId="54A3AFFC">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7.与本谈判有关的一切正式往来信函请寄：__________________邮政编号：___________</w:t>
      </w:r>
    </w:p>
    <w:p w14:paraId="7662575A">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电话/传真：___________________________电子函件：____________________________</w:t>
      </w:r>
    </w:p>
    <w:p w14:paraId="0D59A160">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开户银行：____________________________账号：_____________________________</w:t>
      </w:r>
    </w:p>
    <w:p w14:paraId="0A1A3C4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8.我方若竞标成功，除非发生不可抗力，承诺与采购人及时签订《合同书》。如果放弃，自愿按照本文件之《供应商须知正文》第29.3条的要求承担法律责任和失信惩戒。</w:t>
      </w:r>
    </w:p>
    <w:p w14:paraId="27CF7D4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9.以上事项如有虚假或者隐瞒，我方愿意承担一切后果，并不再寻求任何旨在减轻或者免除法律责任的辩解。</w:t>
      </w:r>
    </w:p>
    <w:p w14:paraId="3B3B7D9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特此承诺。</w:t>
      </w:r>
    </w:p>
    <w:p w14:paraId="0A88859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注：如为联合体竞标，盖章处须加盖联合体牵头人公章并由联合体牵头人法定代表人分别签字或者盖章或者电子签名，否则其响应文件按无效响应处理。</w:t>
      </w:r>
    </w:p>
    <w:p w14:paraId="0E0A721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795CBFF8">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bookmarkStart w:id="51" w:name="OLE_LINK129"/>
      <w:bookmarkStart w:id="52" w:name="OLE_LINK128"/>
      <w:r>
        <w:rPr>
          <w:rFonts w:hint="eastAsia" w:ascii="仿宋" w:hAnsi="仿宋" w:eastAsia="仿宋" w:cs="仿宋"/>
          <w:color w:val="000000" w:themeColor="text1"/>
          <w:sz w:val="24"/>
          <w:szCs w:val="24"/>
          <w14:textFill>
            <w14:solidFill>
              <w14:schemeClr w14:val="tx1"/>
            </w14:solidFill>
          </w14:textFill>
        </w:rPr>
        <w:t>法定代表人（签字或者盖章或者电子签名）：</w:t>
      </w:r>
    </w:p>
    <w:p w14:paraId="74CA01C4">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5CCAF9F6">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bookmarkEnd w:id="51"/>
      <w:bookmarkEnd w:id="52"/>
    </w:p>
    <w:p w14:paraId="2C9EEED0">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sectPr>
          <w:pgSz w:w="11906" w:h="16838"/>
          <w:pgMar w:top="1134" w:right="1134" w:bottom="1134" w:left="1134" w:header="851" w:footer="992" w:gutter="0"/>
          <w:pgNumType w:fmt="decimal"/>
          <w:cols w:space="425" w:num="1"/>
          <w:docGrid w:type="lines" w:linePitch="312" w:charSpace="0"/>
        </w:sectPr>
      </w:pPr>
    </w:p>
    <w:p w14:paraId="3439366B">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（七）采购人或采购代理机构根据竞争性谈判公告对应的特定资格要求及特定条件设置供应商提供的资格证明材料</w:t>
      </w:r>
    </w:p>
    <w:p w14:paraId="3EB0E73A">
      <w:pPr>
        <w:spacing w:line="360" w:lineRule="auto"/>
        <w:ind w:right="1575" w:rightChars="750"/>
        <w:jc w:val="right"/>
        <w:rPr>
          <w:rFonts w:hint="eastAsia" w:ascii="仿宋" w:hAnsi="仿宋" w:eastAsia="仿宋" w:cs="仿宋"/>
          <w:color w:val="000000" w:themeColor="text1"/>
          <w:szCs w:val="21"/>
          <w14:textFill>
            <w14:solidFill>
              <w14:schemeClr w14:val="tx1"/>
            </w14:solidFill>
          </w14:textFill>
        </w:rPr>
      </w:pPr>
    </w:p>
    <w:p w14:paraId="168F51E8">
      <w:pPr>
        <w:spacing w:line="360" w:lineRule="auto"/>
        <w:ind w:right="1575" w:rightChars="750"/>
        <w:jc w:val="right"/>
        <w:rPr>
          <w:rFonts w:hint="eastAsia" w:ascii="仿宋" w:hAnsi="仿宋" w:eastAsia="仿宋" w:cs="仿宋"/>
          <w:color w:val="000000" w:themeColor="text1"/>
          <w:szCs w:val="21"/>
          <w14:textFill>
            <w14:solidFill>
              <w14:schemeClr w14:val="tx1"/>
            </w14:solidFill>
          </w14:textFill>
        </w:rPr>
      </w:pPr>
    </w:p>
    <w:p w14:paraId="1B56C81A">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05D6CD53">
      <w:pPr>
        <w:spacing w:line="360" w:lineRule="auto"/>
        <w:ind w:firstLine="480" w:firstLineChars="200"/>
        <w:jc w:val="righ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2E050EB7">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7533B2F4">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（八）承诺书</w:t>
      </w:r>
    </w:p>
    <w:p w14:paraId="2ECB1BA1">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建设工程项目管理承诺书（1）</w:t>
      </w:r>
    </w:p>
    <w:p w14:paraId="1A99AB65">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致：_______（采购人名称）：</w:t>
      </w:r>
    </w:p>
    <w:p w14:paraId="7BD4A3F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作为参与_______（项目名称）项目的供应商，根据国家、自治区相关文件规定，我方在此向采购人承诺：</w:t>
      </w:r>
    </w:p>
    <w:p w14:paraId="748AA3E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一旦成交，我方保证按照政府相关部门的规定，在成交后7个工作日内，按照《保障农民工工资支付条例》规定及广西壮族自治区有关规定开设农民工工资专用账户，并按要求比例将农民工工资保证金存入账户，专项用于支付本工程提供劳动的农民工被拖欠的工资。按照与农民工依法约定的工资支付周期和具体支付日期支付工资，保证每月至少向农民工足额支付一次工资。</w:t>
      </w:r>
    </w:p>
    <w:p w14:paraId="204968D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E86BCE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829FFC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形，我方愿意按照相关规定接受建设单位及有关主管部门的处罚。</w:t>
      </w:r>
    </w:p>
    <w:p w14:paraId="2A52BD1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45AFDE7A">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p>
    <w:p w14:paraId="3DB741E3">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72641A2A">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340812D4">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0A5C656E">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承诺书（2）</w:t>
      </w:r>
    </w:p>
    <w:p w14:paraId="42F21FF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依法足额支付农民工工资的承诺</w:t>
      </w:r>
    </w:p>
    <w:p w14:paraId="3ACA1BC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（本承诺不提供统一格式，由供应商自行编写，承诺依法足额支付农民工工资）</w:t>
      </w:r>
    </w:p>
    <w:p w14:paraId="47519837">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供应商：______（盖单位电子公章）</w:t>
      </w:r>
    </w:p>
    <w:p w14:paraId="70087581">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法定代表人或授权委托代理人：______（签字或电子签名）</w:t>
      </w:r>
    </w:p>
    <w:p w14:paraId="33C90AF6">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______年______月______日</w:t>
      </w:r>
    </w:p>
    <w:p w14:paraId="02AF8E87">
      <w:pPr>
        <w:spacing w:line="360" w:lineRule="auto"/>
        <w:jc w:val="center"/>
        <w:rPr>
          <w:rFonts w:hint="eastAsia" w:ascii="仿宋" w:hAnsi="仿宋" w:eastAsia="仿宋" w:cs="仿宋"/>
          <w:b/>
          <w:color w:val="000000" w:themeColor="text1"/>
          <w:sz w:val="28"/>
          <w:szCs w:val="28"/>
          <w14:textFill>
            <w14:solidFill>
              <w14:schemeClr w14:val="tx1"/>
            </w14:solidFill>
          </w14:textFill>
        </w:rPr>
      </w:pPr>
    </w:p>
    <w:p w14:paraId="4333A51C">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承诺书（3）</w:t>
      </w:r>
    </w:p>
    <w:p w14:paraId="13AFF72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承诺我单位投入本工程的项目经理、技术负责人、质量管理员和安全管理员是本单位的在岗人员，且不在任何在建工程中担任任何管理职务。如我单位有不符合上述要求的，采购人有权依法依规取消我单位成交资格。</w:t>
      </w:r>
    </w:p>
    <w:p w14:paraId="3BE680F2">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供应商：______（盖单位电子公章）</w:t>
      </w:r>
    </w:p>
    <w:p w14:paraId="095EF29D">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法定代表人或授权委托代理人：______（签字或电子签名）</w:t>
      </w:r>
    </w:p>
    <w:p w14:paraId="2009D9AF">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______年______月______日</w:t>
      </w:r>
    </w:p>
    <w:p w14:paraId="752FC8B6">
      <w:pPr>
        <w:spacing w:line="360" w:lineRule="auto"/>
        <w:jc w:val="center"/>
        <w:rPr>
          <w:rFonts w:hint="eastAsia" w:ascii="仿宋" w:hAnsi="仿宋" w:eastAsia="仿宋" w:cs="仿宋"/>
          <w:b/>
          <w:color w:val="000000" w:themeColor="text1"/>
          <w:sz w:val="28"/>
          <w:szCs w:val="28"/>
          <w14:textFill>
            <w14:solidFill>
              <w14:schemeClr w14:val="tx1"/>
            </w14:solidFill>
          </w14:textFill>
        </w:rPr>
      </w:pPr>
    </w:p>
    <w:p w14:paraId="03208630">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承诺书（4）</w:t>
      </w:r>
    </w:p>
    <w:p w14:paraId="53ADB97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单位在竞标和履行合同中主动接受有关行政监督部门依法依规实施的监督和查处，若出现以下情况，接受记入不良行为记录并予以公告，情节严重的接受依法依规取消我单位二年至五年内参加竞标资格并予以公告，直至由工商行政管理机关吊销营业执照等处罚。</w:t>
      </w:r>
    </w:p>
    <w:p w14:paraId="01EA3A6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（1）在承包工程项目过程中，未按合同或响应文件中承诺的人员、设备足额到位，或到工的人员、设备在工时间不足，导致工程实施进度受到严重影响的；</w:t>
      </w:r>
    </w:p>
    <w:p w14:paraId="11E3F50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（2）工程项目经理无伤病等特殊原因，不履行职责或未经批准由其他人代替的；</w:t>
      </w:r>
    </w:p>
    <w:p w14:paraId="3078957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（3）工地现场管理混乱，施工人员玩忽职守，工程存在质量、安全隐患，导致发生一般质量、安全事故的；</w:t>
      </w:r>
    </w:p>
    <w:p w14:paraId="0B6109C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（4）违反工程建设技术标准特别是工程建设强制性标准施工，并对工程的设计标准、质量和使用寿命造成严重影响的；</w:t>
      </w:r>
    </w:p>
    <w:p w14:paraId="47BFAC5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（5）使用不合格材料或者在施工中偷工减料，造成工程质量、安全事故和经济损失等后果的；</w:t>
      </w:r>
    </w:p>
    <w:p w14:paraId="31D6E6E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（6）串标、围标、抬标或虚造业绩、资信以及借用资质等弄虚作假方式骗取中标的；</w:t>
      </w:r>
    </w:p>
    <w:p w14:paraId="6430B60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（7）违法分包和转包、挂靠和超越资质证书核定范围承接业务的；</w:t>
      </w:r>
    </w:p>
    <w:p w14:paraId="1AAF1C9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（8）存在严重质量、安全事故隐患，导致发生工程质量、安全事故，或者发生事故后瞒报、谎报、拖延报告及破坏事故现场、阻碍事故调查的；</w:t>
      </w:r>
    </w:p>
    <w:p w14:paraId="04A776E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（9）恶意拖欠、克扣工程款或农民工工资的；</w:t>
      </w:r>
    </w:p>
    <w:p w14:paraId="77EFCB4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（10）对各级行政主管部门以及国家和自治区其它相关部门在监督检查和稽查审计中发现的各类重大问题所提出的整改意见不落实，产生不良后果的；</w:t>
      </w:r>
    </w:p>
    <w:p w14:paraId="6CB058B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（11）有其它违法违规行为的。</w:t>
      </w:r>
    </w:p>
    <w:p w14:paraId="0B5C126C">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供应商：______（盖单位电子公章）</w:t>
      </w:r>
    </w:p>
    <w:p w14:paraId="0D840850">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法定代表人或授权委托代理人：______（签字或电子签名）</w:t>
      </w:r>
    </w:p>
    <w:p w14:paraId="4DFE7BCE">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______年______月______日</w:t>
      </w:r>
    </w:p>
    <w:p w14:paraId="11C7CFF7">
      <w:pPr>
        <w:spacing w:line="360" w:lineRule="auto"/>
        <w:jc w:val="center"/>
        <w:rPr>
          <w:rFonts w:hint="eastAsia" w:ascii="仿宋" w:hAnsi="仿宋" w:eastAsia="仿宋" w:cs="仿宋"/>
          <w:b/>
          <w:color w:val="000000" w:themeColor="text1"/>
          <w:sz w:val="32"/>
          <w:szCs w:val="32"/>
          <w14:textFill>
            <w14:solidFill>
              <w14:schemeClr w14:val="tx1"/>
            </w14:solidFill>
          </w14:textFill>
        </w:rPr>
      </w:pPr>
    </w:p>
    <w:p w14:paraId="110F0255">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承诺书（5）</w:t>
      </w:r>
    </w:p>
    <w:p w14:paraId="1B09A35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承诺我单位在本项目响应文件使用的证件、证书、业绩、公章、印章、签字、扫描件及有关答疑等材料均为真实、有效。如我单位提供上述的材料有变造、伪造等造假行为，采购人和有关行政监督部门可以取消我单位竞标资格或成交资格。给采购人造成损失的，依法承担赔偿责任；情节严重的，接受依法取消一年至三年内参加依法必须进行竞标的工程项目的竞标资格的处罚；构成犯罪的，接受依法追究刑事责任。</w:t>
      </w:r>
    </w:p>
    <w:p w14:paraId="1E8AE9CF">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供应商：______（盖单位电子公章）</w:t>
      </w:r>
    </w:p>
    <w:p w14:paraId="4C020079">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法定代表人或授权委托代理人：______（签字或电子签名）</w:t>
      </w:r>
    </w:p>
    <w:p w14:paraId="2A43BAAA">
      <w:pPr>
        <w:spacing w:line="360" w:lineRule="auto"/>
        <w:ind w:firstLine="48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______年______月______日</w:t>
      </w:r>
    </w:p>
    <w:p w14:paraId="5219D24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4A2A40DD">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（九）中小企业声明函或残疾人福利性单位声明函或监狱企业证明</w:t>
      </w:r>
    </w:p>
    <w:p w14:paraId="70A68476">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中小企业声明函（工程）</w:t>
      </w:r>
    </w:p>
    <w:p w14:paraId="43D76BD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D68DF4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公司（联合体）郑重声明，根据《政府采购促进中小企业发展管理办法》（财库﹝2020﹞46号）的规定，本公司（联合体）参加_______（单位名称）的_______（项目名称）采购活动，工程的施工单位全部为符合政策要求的中小企业。相关企业（含联合体中的中小企业、签订分包意向协议的中小企业）的具体情况如下：</w:t>
      </w:r>
    </w:p>
    <w:p w14:paraId="0A6E709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1._______（标的名称），属于_______（采购文件中明确的所属行业）；承建企业为_______（企业名称），从业人员_______人，营业收入为_______万元，资产总额为_______万元，属于</w:t>
      </w:r>
      <w:r>
        <w:rPr>
          <w:rFonts w:hint="eastAsia" w:ascii="仿宋" w:hAnsi="仿宋" w:eastAsia="仿宋" w:cs="仿宋"/>
          <w:color w:val="000000" w:themeColor="text1"/>
          <w:sz w:val="24"/>
          <w:szCs w:val="24"/>
          <w:u w:val="single"/>
          <w14:textFill>
            <w14:solidFill>
              <w14:schemeClr w14:val="tx1"/>
            </w14:solidFill>
          </w14:textFill>
        </w:rPr>
        <w:t>（中型企业、小型企业、微型企业）</w:t>
      </w:r>
      <w:r>
        <w:rPr>
          <w:rFonts w:hint="eastAsia" w:ascii="仿宋" w:hAnsi="仿宋" w:eastAsia="仿宋" w:cs="仿宋"/>
          <w:color w:val="000000" w:themeColor="text1"/>
          <w:sz w:val="24"/>
          <w:szCs w:val="24"/>
          <w14:textFill>
            <w14:solidFill>
              <w14:schemeClr w14:val="tx1"/>
            </w14:solidFill>
          </w14:textFill>
        </w:rPr>
        <w:t>；</w:t>
      </w:r>
    </w:p>
    <w:p w14:paraId="3DCD11B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2._______（标的名称），属于_______（采购文件中明确的所属行业）；承建企业为_______（企业名称），从业人员_______人，营业收入为_______万元，资产总额为_______万元，属于</w:t>
      </w:r>
      <w:r>
        <w:rPr>
          <w:rFonts w:hint="eastAsia" w:ascii="仿宋" w:hAnsi="仿宋" w:eastAsia="仿宋" w:cs="仿宋"/>
          <w:color w:val="000000" w:themeColor="text1"/>
          <w:sz w:val="24"/>
          <w:szCs w:val="24"/>
          <w:u w:val="single"/>
          <w14:textFill>
            <w14:solidFill>
              <w14:schemeClr w14:val="tx1"/>
            </w14:solidFill>
          </w14:textFill>
        </w:rPr>
        <w:t>（中型企业、小型企业、微型企业）</w:t>
      </w:r>
      <w:r>
        <w:rPr>
          <w:rFonts w:hint="eastAsia" w:ascii="仿宋" w:hAnsi="仿宋" w:eastAsia="仿宋" w:cs="仿宋"/>
          <w:color w:val="000000" w:themeColor="text1"/>
          <w:sz w:val="24"/>
          <w:szCs w:val="24"/>
          <w14:textFill>
            <w14:solidFill>
              <w14:schemeClr w14:val="tx1"/>
            </w14:solidFill>
          </w14:textFill>
        </w:rPr>
        <w:t>；</w:t>
      </w:r>
    </w:p>
    <w:p w14:paraId="0F2BCB4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p w14:paraId="26F160D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6E10233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本企业对上述声明内容的真实性负责。如有虚假，将依法承担相应责任。</w:t>
      </w:r>
    </w:p>
    <w:p w14:paraId="407B88C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0525C551">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005D02CA">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1F7F2DD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1E07C12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31200A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01D98BAD">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残疾人福利性单位声明函</w:t>
      </w:r>
    </w:p>
    <w:p w14:paraId="6D3B486D">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B56676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_单位的_______项目采购活动提供本单位制造的货物（由本单位承担工程/提供服务），或者提供其他残疾人福利性单位制造的货物（不包括使用非残疾人福利性单位注册商标的货物）。</w:t>
      </w:r>
    </w:p>
    <w:p w14:paraId="01E67F4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本单位对上述声明的真实性负责。如有虚假，将依法承担相应责任。</w:t>
      </w:r>
    </w:p>
    <w:p w14:paraId="0AD57F0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71BF0520">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47236D32">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70562C9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51E94F0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注：请根据自己的真实情况出具《残疾人福利性单位声明函》。依法享受中小企业扶持政策的，采购人或者采购代理机构在公告成交结果时，同时公告其《残疾人福利性单位声明函》，接受社会监督。</w:t>
      </w:r>
    </w:p>
    <w:p w14:paraId="04FA8E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3FA4AD43">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监狱企业证明</w:t>
      </w:r>
    </w:p>
    <w:p w14:paraId="0DC1504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22CB85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提供由省级以上监狱管理局、戒毒管理局（含新疆生产建设兵团）出具的属于监狱企业的证明文件。</w:t>
      </w:r>
    </w:p>
    <w:p w14:paraId="616ECE8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5DEADD09">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774A2F86">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4418DFA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08533D2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注：请根据自己的真实情况出具《监狱企业证明》。依法享受中小企业优惠政策的，采购人或者采购代理机构在公告成交结果时，同时公告其《监狱企业证明》，接受社会监督。</w:t>
      </w:r>
    </w:p>
    <w:p w14:paraId="22C204F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2BC4A4B1">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（十）除谈判文件规定必须提供以外，供应商认为需要提供的其他证明材料</w:t>
      </w:r>
    </w:p>
    <w:p w14:paraId="09705D3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9ED1B03">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7249291E">
      <w:pPr>
        <w:spacing w:line="360" w:lineRule="auto"/>
        <w:ind w:firstLine="48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373D0BA9">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317C6A80">
      <w:pPr>
        <w:pStyle w:val="2"/>
        <w:jc w:val="center"/>
        <w:rPr>
          <w:rFonts w:hint="eastAsia" w:ascii="仿宋" w:hAnsi="仿宋" w:eastAsia="仿宋" w:cs="仿宋"/>
          <w:color w:val="000000" w:themeColor="text1"/>
          <w14:textFill>
            <w14:solidFill>
              <w14:schemeClr w14:val="tx1"/>
            </w14:solidFill>
          </w14:textFill>
        </w:rPr>
      </w:pPr>
      <w:bookmarkStart w:id="53" w:name="_Toc193815619"/>
      <w:r>
        <w:rPr>
          <w:rFonts w:hint="eastAsia" w:ascii="仿宋" w:hAnsi="仿宋" w:eastAsia="仿宋" w:cs="仿宋"/>
          <w:color w:val="000000" w:themeColor="text1"/>
          <w14:textFill>
            <w14:solidFill>
              <w14:schemeClr w14:val="tx1"/>
            </w14:solidFill>
          </w14:textFill>
        </w:rPr>
        <w:t>二、商务技术文件格式</w:t>
      </w:r>
      <w:bookmarkEnd w:id="53"/>
    </w:p>
    <w:p w14:paraId="51B2B9AC">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1.商务技术文件封面格式</w:t>
      </w:r>
    </w:p>
    <w:p w14:paraId="4E4BBA4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825D5E6">
      <w:pPr>
        <w:spacing w:line="360" w:lineRule="auto"/>
        <w:jc w:val="center"/>
        <w:rPr>
          <w:rFonts w:hint="eastAsia" w:ascii="仿宋" w:hAnsi="仿宋" w:eastAsia="仿宋" w:cs="仿宋"/>
          <w:b/>
          <w:color w:val="000000" w:themeColor="text1"/>
          <w:sz w:val="84"/>
          <w:szCs w:val="84"/>
          <w14:textFill>
            <w14:solidFill>
              <w14:schemeClr w14:val="tx1"/>
            </w14:solidFill>
          </w14:textFill>
        </w:rPr>
      </w:pPr>
      <w:r>
        <w:rPr>
          <w:rFonts w:hint="eastAsia" w:ascii="仿宋" w:hAnsi="仿宋" w:eastAsia="仿宋" w:cs="仿宋"/>
          <w:b/>
          <w:color w:val="000000" w:themeColor="text1"/>
          <w:sz w:val="84"/>
          <w:szCs w:val="84"/>
          <w14:textFill>
            <w14:solidFill>
              <w14:schemeClr w14:val="tx1"/>
            </w14:solidFill>
          </w14:textFill>
        </w:rPr>
        <w:t>响应文件</w:t>
      </w:r>
    </w:p>
    <w:p w14:paraId="4FFF192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115FC44">
      <w:pPr>
        <w:spacing w:line="360" w:lineRule="auto"/>
        <w:jc w:val="center"/>
        <w:rPr>
          <w:rFonts w:hint="eastAsia" w:ascii="仿宋" w:hAnsi="仿宋" w:eastAsia="仿宋" w:cs="仿宋"/>
          <w:b/>
          <w:color w:val="000000" w:themeColor="text1"/>
          <w:sz w:val="84"/>
          <w:szCs w:val="84"/>
          <w14:textFill>
            <w14:solidFill>
              <w14:schemeClr w14:val="tx1"/>
            </w14:solidFill>
          </w14:textFill>
        </w:rPr>
      </w:pPr>
      <w:r>
        <w:rPr>
          <w:rFonts w:hint="eastAsia" w:ascii="仿宋" w:hAnsi="仿宋" w:eastAsia="仿宋" w:cs="仿宋"/>
          <w:b/>
          <w:color w:val="000000" w:themeColor="text1"/>
          <w:sz w:val="84"/>
          <w:szCs w:val="84"/>
          <w14:textFill>
            <w14:solidFill>
              <w14:schemeClr w14:val="tx1"/>
            </w14:solidFill>
          </w14:textFill>
        </w:rPr>
        <w:t>商务技术文件</w:t>
      </w:r>
    </w:p>
    <w:p w14:paraId="0EA52744">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15435B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A1218B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09CC93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CADAE2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5D722E1">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p>
    <w:p w14:paraId="7BF261C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9F2EFB8">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项目编号：</w:t>
      </w:r>
    </w:p>
    <w:p w14:paraId="6EA8F66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42AF7D5">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所竞分标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如有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14:paraId="2268873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F544FF2">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供应商名称：</w:t>
      </w:r>
    </w:p>
    <w:p w14:paraId="254AB800">
      <w:pPr>
        <w:spacing w:line="360" w:lineRule="auto"/>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___年___月___日</w:t>
      </w:r>
    </w:p>
    <w:p w14:paraId="48D37CC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14CFF832">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2.商务技术文件目录</w:t>
      </w:r>
    </w:p>
    <w:p w14:paraId="08A2E80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根据采购文件规定及供应商提供的材料自行编写目录（部分格式后附）。</w:t>
      </w:r>
    </w:p>
    <w:p w14:paraId="542C582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6533CBF0">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（一）无串通竞标行为的承诺函</w:t>
      </w:r>
    </w:p>
    <w:p w14:paraId="122DB307">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无串通竞标行为的承诺函</w:t>
      </w:r>
    </w:p>
    <w:p w14:paraId="63B84A0D">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一、我方承诺无下列相互串通竞标的情形：</w:t>
      </w:r>
    </w:p>
    <w:p w14:paraId="45A8988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1.不同供应商的响应文件由同一单位或者个人编制；或者不同供应商报名的IP地址一致的；或者编制响应文件硬件设备CPU编号、硬盘编号、网卡地址一致的情况；</w:t>
      </w:r>
    </w:p>
    <w:p w14:paraId="3A0C14D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2.不同供应商委托同一单位或者个人办理竞标事宜；</w:t>
      </w:r>
    </w:p>
    <w:p w14:paraId="5DAEBBD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3.不同的供应商的响应文件载明的项目管理员为同一个人；</w:t>
      </w:r>
    </w:p>
    <w:p w14:paraId="60798BF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4.不同供应商的响应文件异常一致或者竞标报价呈规律性差异；</w:t>
      </w:r>
    </w:p>
    <w:p w14:paraId="26C80CA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5.不同供应商的响应文件相互混装；</w:t>
      </w:r>
    </w:p>
    <w:p w14:paraId="359C695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6.不同供应商的竞标保证金从同一单位或者个人账户转出。</w:t>
      </w:r>
    </w:p>
    <w:p w14:paraId="57284800">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二、我方承诺无下列恶意串通的情形：</w:t>
      </w:r>
    </w:p>
    <w:p w14:paraId="7210F99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1.供应商直接或者间接从采购人或者采购代理机构处获得其他供应商的相关信息并修改其响应文件；</w:t>
      </w:r>
    </w:p>
    <w:p w14:paraId="007A45E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2.供应商按照采购人或者采购代理机构的授意撤换、修改响应文件；</w:t>
      </w:r>
    </w:p>
    <w:p w14:paraId="1FA5E40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3.供应商之间协商报价、技术方案等响应文件的实质性内容；</w:t>
      </w:r>
    </w:p>
    <w:p w14:paraId="4A79DB5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4.属于同一集团、协会、商会等组织成员的供应商按照该组织要求协同参加政府采购活动；</w:t>
      </w:r>
    </w:p>
    <w:p w14:paraId="0592CC4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5.供应商之间事先约定一致抬高或者压低竞标报价，或者在竞争性谈判项目中事先约定轮流以高价位或者低价位成交，或者事先约定由某一特定供应商成交，然后再参加竞标；</w:t>
      </w:r>
    </w:p>
    <w:p w14:paraId="3E9A755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6.供应商之间商定部分供应商放弃参加政府采购活动或者放弃成交；</w:t>
      </w:r>
    </w:p>
    <w:p w14:paraId="159AACC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7.供应商与采购人或者采购代理机构之间、供应商相互之间，为谋求特定供应商成交或者排斥其他供应商的其他串通行为。</w:t>
      </w:r>
    </w:p>
    <w:p w14:paraId="38D67B2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433456B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以上情形一经核查属实，我方愿意承担一切后果，并不再寻求任何旨在减轻或者免除法律责任的辩解。</w:t>
      </w:r>
    </w:p>
    <w:p w14:paraId="100B360E">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1AF90C63">
      <w:pPr>
        <w:spacing w:line="360" w:lineRule="auto"/>
        <w:ind w:firstLine="48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7D440DDA">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357EF449">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（二）法定代表人身份证明及法定代表人有效身份证正反面复印件</w:t>
      </w:r>
    </w:p>
    <w:p w14:paraId="6959D3B2">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法定代表人证明书</w:t>
      </w:r>
    </w:p>
    <w:p w14:paraId="02FF5E2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1B10082">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供应商名称：_________________________________________________________</w:t>
      </w:r>
    </w:p>
    <w:p w14:paraId="526195BC">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地址：_______________________________________________________________</w:t>
      </w:r>
    </w:p>
    <w:p w14:paraId="71FCE943">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姓名：_____________________________________</w:t>
      </w:r>
    </w:p>
    <w:p w14:paraId="72E89C35">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性别：_____________________________________</w:t>
      </w:r>
    </w:p>
    <w:p w14:paraId="190F815B">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年龄：_____________________________________</w:t>
      </w:r>
    </w:p>
    <w:p w14:paraId="78C656C9">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职务：_____________________________________</w:t>
      </w:r>
    </w:p>
    <w:p w14:paraId="3F0F6A6F">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身份证号码：_______________________________</w:t>
      </w:r>
    </w:p>
    <w:p w14:paraId="1F4DBDF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系</w:t>
      </w:r>
      <w:r>
        <w:rPr>
          <w:rFonts w:hint="eastAsia" w:ascii="仿宋" w:hAnsi="仿宋" w:eastAsia="仿宋" w:cs="仿宋"/>
          <w:color w:val="000000" w:themeColor="text1"/>
          <w:sz w:val="24"/>
          <w:szCs w:val="24"/>
          <w:u w:val="single"/>
          <w14:textFill>
            <w14:solidFill>
              <w14:schemeClr w14:val="tx1"/>
            </w14:solidFill>
          </w14:textFill>
        </w:rPr>
        <w:t>（供应商名称）</w:t>
      </w:r>
      <w:r>
        <w:rPr>
          <w:rFonts w:hint="eastAsia" w:ascii="仿宋" w:hAnsi="仿宋" w:eastAsia="仿宋" w:cs="仿宋"/>
          <w:color w:val="000000" w:themeColor="text1"/>
          <w:sz w:val="24"/>
          <w:szCs w:val="24"/>
          <w14:textFill>
            <w14:solidFill>
              <w14:schemeClr w14:val="tx1"/>
            </w14:solidFill>
          </w14:textFill>
        </w:rPr>
        <w:t>的法定代表人。</w:t>
      </w:r>
    </w:p>
    <w:p w14:paraId="29A7FC9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特此证明。</w:t>
      </w:r>
    </w:p>
    <w:p w14:paraId="41D5ECB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3055FDB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2F84618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附件：法定代表人有效身份证正反面复印件</w:t>
      </w:r>
    </w:p>
    <w:p w14:paraId="3A37D26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17B11704">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3E56B54C">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761E3B5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1DFE346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注：1.自然人竞标的无需提供，联合体竞标的只需牵头人出具。</w:t>
      </w:r>
    </w:p>
    <w:p w14:paraId="527AFE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62842D6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6B548116">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附件：</w:t>
      </w:r>
    </w:p>
    <w:tbl>
      <w:tblPr>
        <w:tblStyle w:val="4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209B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000" w:type="pct"/>
          </w:tcPr>
          <w:p w14:paraId="5055EB39">
            <w:pPr>
              <w:spacing w:line="360" w:lineRule="auto"/>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法定代表人身份证复印件粘帖处（正、反面）</w:t>
            </w:r>
          </w:p>
        </w:tc>
      </w:tr>
    </w:tbl>
    <w:p w14:paraId="77D2F4C3">
      <w:pPr>
        <w:spacing w:line="360" w:lineRule="auto"/>
        <w:jc w:val="center"/>
        <w:rPr>
          <w:rFonts w:hint="eastAsia" w:ascii="仿宋" w:hAnsi="仿宋" w:eastAsia="仿宋" w:cs="仿宋"/>
          <w:color w:val="000000" w:themeColor="text1"/>
          <w:szCs w:val="21"/>
          <w14:textFill>
            <w14:solidFill>
              <w14:schemeClr w14:val="tx1"/>
            </w14:solidFill>
          </w14:textFill>
        </w:rPr>
      </w:pPr>
    </w:p>
    <w:p w14:paraId="2F78DEFF">
      <w:pPr>
        <w:spacing w:line="360" w:lineRule="auto"/>
        <w:jc w:val="center"/>
        <w:rPr>
          <w:rFonts w:hint="eastAsia" w:ascii="仿宋" w:hAnsi="仿宋" w:eastAsia="仿宋" w:cs="仿宋"/>
          <w:color w:val="000000" w:themeColor="text1"/>
          <w:szCs w:val="21"/>
          <w14:textFill>
            <w14:solidFill>
              <w14:schemeClr w14:val="tx1"/>
            </w14:solidFill>
          </w14:textFill>
        </w:rPr>
        <w:sectPr>
          <w:pgSz w:w="11906" w:h="16838"/>
          <w:pgMar w:top="1134" w:right="1134" w:bottom="1134" w:left="1134" w:header="851" w:footer="992" w:gutter="0"/>
          <w:pgNumType w:fmt="decimal"/>
          <w:cols w:space="425" w:num="1"/>
          <w:docGrid w:type="lines" w:linePitch="312" w:charSpace="0"/>
        </w:sectPr>
      </w:pPr>
    </w:p>
    <w:p w14:paraId="4FED25EE">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（三）法定代表人授权委托书</w:t>
      </w:r>
    </w:p>
    <w:p w14:paraId="76C44116">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授权委托书（非联合体竞标格式）</w:t>
      </w:r>
    </w:p>
    <w:p w14:paraId="1963FBB5">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（如有委托时）</w:t>
      </w:r>
    </w:p>
    <w:p w14:paraId="2FB9A1B7">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w:t>
      </w:r>
      <w:bookmarkStart w:id="54" w:name="OLE_LINK73"/>
      <w:bookmarkStart w:id="55" w:name="OLE_LINK72"/>
      <w:r>
        <w:rPr>
          <w:rFonts w:hint="eastAsia" w:ascii="仿宋" w:hAnsi="仿宋" w:eastAsia="仿宋" w:cs="仿宋"/>
          <w:color w:val="000000" w:themeColor="text1"/>
          <w:sz w:val="24"/>
          <w:szCs w:val="24"/>
          <w14:textFill>
            <w14:solidFill>
              <w14:schemeClr w14:val="tx1"/>
            </w14:solidFill>
          </w14:textFill>
        </w:rPr>
        <w:t>：</w:t>
      </w:r>
      <w:bookmarkStart w:id="56" w:name="OLE_LINK68"/>
      <w:bookmarkStart w:id="57" w:name="OLE_LINK69"/>
      <w:r>
        <w:rPr>
          <w:rFonts w:hint="eastAsia" w:ascii="仿宋" w:hAnsi="仿宋" w:eastAsia="仿宋" w:cs="仿宋"/>
          <w:color w:val="000000" w:themeColor="text1"/>
          <w:sz w:val="24"/>
          <w:szCs w:val="24"/>
          <w14:textFill>
            <w14:solidFill>
              <w14:schemeClr w14:val="tx1"/>
            </w14:solidFill>
          </w14:textFill>
        </w:rPr>
        <w:t>_______</w:t>
      </w:r>
      <w:bookmarkEnd w:id="54"/>
      <w:bookmarkEnd w:id="55"/>
      <w:bookmarkEnd w:id="56"/>
      <w:bookmarkEnd w:id="57"/>
      <w:r>
        <w:rPr>
          <w:rFonts w:hint="eastAsia" w:ascii="仿宋" w:hAnsi="仿宋" w:eastAsia="仿宋" w:cs="仿宋"/>
          <w:color w:val="000000" w:themeColor="text1"/>
          <w:sz w:val="24"/>
          <w:szCs w:val="24"/>
          <w14:textFill>
            <w14:solidFill>
              <w14:schemeClr w14:val="tx1"/>
            </w14:solidFill>
          </w14:textFill>
        </w:rPr>
        <w:t>（采购人名称）：</w:t>
      </w:r>
    </w:p>
    <w:p w14:paraId="6D6A80E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_______（姓名）系_______（供应商名称）的（□法定代表人/□负责人/□自然人本人），现授权_______（姓名）以我方的名义参加_______项目的竞标活动，并代表我方全权办理针对上述项目的所有采购程序和环节的具体事务和签署相关文件。</w:t>
      </w:r>
    </w:p>
    <w:p w14:paraId="7C4322A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我方对委托代理人的签字或者电子签名事项负全部责任。</w:t>
      </w:r>
    </w:p>
    <w:p w14:paraId="7027474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F7613A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委托代理人无转委托权，特此委托。</w:t>
      </w:r>
    </w:p>
    <w:p w14:paraId="0DFF947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附：法定代表人身份证明书及委托代理人有效身份证正反面复印件</w:t>
      </w:r>
    </w:p>
    <w:p w14:paraId="42364ED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63ADDBB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委托代理人（签字或者电子签名）：</w:t>
      </w:r>
    </w:p>
    <w:p w14:paraId="58E55EE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委托代理人身份证号码：</w:t>
      </w:r>
    </w:p>
    <w:p w14:paraId="4229E81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法定代表人（签字或者盖章或者电子签名）：</w:t>
      </w:r>
    </w:p>
    <w:p w14:paraId="2A86C2C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2FBC616E">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0E85F327">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1ED56FE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0F1CFD0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注：1.法定代表人必须在授权委托书上签字或盖章，委托代理人必须在授权委托书上签字或盖章。</w:t>
      </w:r>
    </w:p>
    <w:p w14:paraId="311C4F0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2.供应商为其他组织或者自然人时，本采购文件规定的法定代表人指负责人或者自然人。本采购文件所称负责人是指参加竞标的其他组织营业执照上的负责人，本采购文件所称自然人指参与竞标的自然人本人。</w:t>
      </w:r>
    </w:p>
    <w:p w14:paraId="561AC05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3.法人、其他组织竞标时“我方”是指“我单位”，自然人竞标时“我方”是指“本人”。</w:t>
      </w:r>
    </w:p>
    <w:p w14:paraId="5084B5C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134" w:right="1134" w:bottom="1134" w:left="1134" w:header="851" w:footer="992" w:gutter="0"/>
          <w:pgNumType w:fmt="decimal"/>
          <w:cols w:space="425" w:num="1"/>
          <w:docGrid w:type="lines" w:linePitch="312" w:charSpace="0"/>
        </w:sectPr>
      </w:pPr>
    </w:p>
    <w:p w14:paraId="6E8CAE38">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（四）谈判保证金提交凭证</w:t>
      </w:r>
    </w:p>
    <w:p w14:paraId="7E55E2D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047166B">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（五）商务条款偏离表</w:t>
      </w:r>
    </w:p>
    <w:p w14:paraId="5635202E">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商务条款偏离表</w:t>
      </w:r>
    </w:p>
    <w:p w14:paraId="16958B4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分标号：_______（此处有分标时填写具体分标号，无分标时填写“无”）</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968"/>
        <w:gridCol w:w="2836"/>
        <w:gridCol w:w="1836"/>
      </w:tblGrid>
      <w:tr w14:paraId="1DC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03C4FA0">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项号</w:t>
            </w:r>
          </w:p>
        </w:tc>
        <w:tc>
          <w:tcPr>
            <w:tcW w:w="3968" w:type="dxa"/>
            <w:vAlign w:val="center"/>
          </w:tcPr>
          <w:p w14:paraId="62D49AE8">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竞争性谈判采购文件的商务需求</w:t>
            </w:r>
          </w:p>
        </w:tc>
        <w:tc>
          <w:tcPr>
            <w:tcW w:w="2836" w:type="dxa"/>
            <w:vAlign w:val="center"/>
          </w:tcPr>
          <w:p w14:paraId="5F683CDE">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响应文件承诺的商务条款</w:t>
            </w:r>
          </w:p>
        </w:tc>
        <w:tc>
          <w:tcPr>
            <w:tcW w:w="1836" w:type="dxa"/>
            <w:vAlign w:val="center"/>
          </w:tcPr>
          <w:p w14:paraId="406315D7">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偏离说明</w:t>
            </w:r>
          </w:p>
        </w:tc>
      </w:tr>
      <w:tr w14:paraId="2BE9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F48B7D3">
            <w:pPr>
              <w:jc w:val="center"/>
              <w:rPr>
                <w:rFonts w:hint="eastAsia" w:ascii="仿宋" w:hAnsi="仿宋" w:eastAsia="仿宋" w:cs="仿宋"/>
                <w:color w:val="000000" w:themeColor="text1"/>
                <w:sz w:val="24"/>
                <w:szCs w:val="24"/>
                <w14:textFill>
                  <w14:solidFill>
                    <w14:schemeClr w14:val="tx1"/>
                  </w14:solidFill>
                </w14:textFill>
              </w:rPr>
            </w:pPr>
            <w:bookmarkStart w:id="58" w:name="_Hlk193707329"/>
            <w:bookmarkStart w:id="59" w:name="_Hlk193707588"/>
            <w:r>
              <w:rPr>
                <w:rFonts w:hint="eastAsia" w:ascii="仿宋" w:hAnsi="仿宋" w:eastAsia="仿宋" w:cs="仿宋"/>
                <w:color w:val="000000" w:themeColor="text1"/>
                <w:sz w:val="24"/>
                <w:szCs w:val="24"/>
                <w14:textFill>
                  <w14:solidFill>
                    <w14:schemeClr w14:val="tx1"/>
                  </w14:solidFill>
                </w14:textFill>
              </w:rPr>
              <w:t>一</w:t>
            </w:r>
          </w:p>
        </w:tc>
        <w:tc>
          <w:tcPr>
            <w:tcW w:w="3968" w:type="dxa"/>
            <w:vAlign w:val="center"/>
          </w:tcPr>
          <w:p w14:paraId="650574D5">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14:paraId="20B0168D">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14:paraId="7861B980">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14:paraId="3D935B67">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2836" w:type="dxa"/>
            <w:vAlign w:val="center"/>
          </w:tcPr>
          <w:p w14:paraId="34020F2F">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14:paraId="6A87468A">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14:paraId="264B7E6D">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14:paraId="4D94DF21">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836" w:type="dxa"/>
            <w:vAlign w:val="center"/>
          </w:tcPr>
          <w:p w14:paraId="3693F56E">
            <w:pPr>
              <w:jc w:val="center"/>
              <w:rPr>
                <w:rFonts w:hint="eastAsia" w:ascii="仿宋" w:hAnsi="仿宋" w:eastAsia="仿宋" w:cs="仿宋"/>
                <w:color w:val="000000" w:themeColor="text1"/>
                <w:sz w:val="24"/>
                <w:szCs w:val="24"/>
                <w14:textFill>
                  <w14:solidFill>
                    <w14:schemeClr w14:val="tx1"/>
                  </w14:solidFill>
                </w14:textFill>
              </w:rPr>
            </w:pPr>
          </w:p>
        </w:tc>
      </w:tr>
      <w:bookmarkEnd w:id="58"/>
      <w:tr w14:paraId="23D0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E668D05">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w:t>
            </w:r>
          </w:p>
        </w:tc>
        <w:tc>
          <w:tcPr>
            <w:tcW w:w="3968" w:type="dxa"/>
            <w:vAlign w:val="center"/>
          </w:tcPr>
          <w:p w14:paraId="2CB573E3">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14:paraId="255F51C8">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14:paraId="097B808F">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14:paraId="0791DDBC">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2836" w:type="dxa"/>
            <w:vAlign w:val="center"/>
          </w:tcPr>
          <w:p w14:paraId="6F61AC23">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14:paraId="4672A7B3">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14:paraId="32DC1161">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14:paraId="40A63342">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836" w:type="dxa"/>
            <w:vAlign w:val="center"/>
          </w:tcPr>
          <w:p w14:paraId="7A7FF73C">
            <w:pPr>
              <w:jc w:val="center"/>
              <w:rPr>
                <w:rFonts w:hint="eastAsia" w:ascii="仿宋" w:hAnsi="仿宋" w:eastAsia="仿宋" w:cs="仿宋"/>
                <w:color w:val="000000" w:themeColor="text1"/>
                <w:sz w:val="24"/>
                <w:szCs w:val="24"/>
                <w14:textFill>
                  <w14:solidFill>
                    <w14:schemeClr w14:val="tx1"/>
                  </w14:solidFill>
                </w14:textFill>
              </w:rPr>
            </w:pPr>
          </w:p>
        </w:tc>
      </w:tr>
      <w:tr w14:paraId="2DFF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9371976">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968" w:type="dxa"/>
            <w:vAlign w:val="center"/>
          </w:tcPr>
          <w:p w14:paraId="22199FAB">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14:paraId="770D8268">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14:paraId="532AE019">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14:paraId="2479D9EB">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2836" w:type="dxa"/>
            <w:vAlign w:val="center"/>
          </w:tcPr>
          <w:p w14:paraId="05689DBE">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14:paraId="149D7525">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14:paraId="1ADE7F40">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14:paraId="44FDDFDA">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836" w:type="dxa"/>
            <w:vAlign w:val="center"/>
          </w:tcPr>
          <w:p w14:paraId="41442053">
            <w:pPr>
              <w:jc w:val="center"/>
              <w:rPr>
                <w:rFonts w:hint="eastAsia" w:ascii="仿宋" w:hAnsi="仿宋" w:eastAsia="仿宋" w:cs="仿宋"/>
                <w:color w:val="000000" w:themeColor="text1"/>
                <w:sz w:val="24"/>
                <w:szCs w:val="24"/>
                <w14:textFill>
                  <w14:solidFill>
                    <w14:schemeClr w14:val="tx1"/>
                  </w14:solidFill>
                </w14:textFill>
              </w:rPr>
            </w:pPr>
          </w:p>
        </w:tc>
      </w:tr>
      <w:bookmarkEnd w:id="59"/>
    </w:tbl>
    <w:p w14:paraId="3B7A12D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p w14:paraId="08277EC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1.应对照谈判文件“第三章采购需求”中的商务要求，逐条作出明确响应，并作出偏离说明。</w:t>
      </w:r>
    </w:p>
    <w:p w14:paraId="6EBAFD2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应根据自身的承诺，对照采购文件要求，在“偏离说明”中注明“正偏离”、“负偏离”或者“无偏离”。既不属于“正偏离”也不属于“负偏离”即为“无偏离”。当响应文件的商务内容低于采购文件要求时，供应商应当如实写明“负偏离”，否则视为虚假应标。</w:t>
      </w:r>
    </w:p>
    <w:p w14:paraId="18BA726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3.表格内容均需按要求填写，不得留空，否则按竞标无效处理。</w:t>
      </w:r>
    </w:p>
    <w:p w14:paraId="5B7F6D7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4.如果采购需求为小于、小于等于、大于或大于等于某个数值标准时，响应文件承诺不得直接复制采购需求，响应文件承诺内容应当写明竞标货物具体参数或商务响应承诺的具体数值，否则按竞标无效处理。</w:t>
      </w:r>
    </w:p>
    <w:p w14:paraId="7334B501">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bookmarkStart w:id="60" w:name="OLE_LINK75"/>
      <w:bookmarkStart w:id="61" w:name="OLE_LINK74"/>
      <w:r>
        <w:rPr>
          <w:rFonts w:hint="eastAsia" w:ascii="仿宋" w:hAnsi="仿宋" w:eastAsia="仿宋" w:cs="仿宋"/>
          <w:color w:val="000000" w:themeColor="text1"/>
          <w:sz w:val="24"/>
          <w:szCs w:val="24"/>
          <w14:textFill>
            <w14:solidFill>
              <w14:schemeClr w14:val="tx1"/>
            </w14:solidFill>
          </w14:textFill>
        </w:rPr>
        <w:t>法定代表人或者委托代理人（签字）：</w:t>
      </w:r>
    </w:p>
    <w:p w14:paraId="350BAEF6">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6FCA4EF6">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55EF5D07">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bookmarkEnd w:id="60"/>
    <w:bookmarkEnd w:id="61"/>
    <w:p w14:paraId="3F499BDE">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（六）竞标人情况介绍（格式自拟）</w:t>
      </w:r>
    </w:p>
    <w:p w14:paraId="63DE33C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77A999B">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5A4239DA">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75C67AA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174FA4DE">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（七）技术需求偏离表</w:t>
      </w:r>
    </w:p>
    <w:p w14:paraId="70E5277A">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技术需求偏离表</w:t>
      </w:r>
    </w:p>
    <w:p w14:paraId="5FE229B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所竞分标：_______（此处有分标时填写具体分标号，无分标时填写“无”）</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977"/>
        <w:gridCol w:w="3185"/>
        <w:gridCol w:w="2336"/>
      </w:tblGrid>
      <w:tr w14:paraId="6166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31A0CBE">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项号</w:t>
            </w:r>
          </w:p>
        </w:tc>
        <w:tc>
          <w:tcPr>
            <w:tcW w:w="2977" w:type="dxa"/>
            <w:vAlign w:val="center"/>
          </w:tcPr>
          <w:p w14:paraId="4FF2660D">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竞争性谈判采购文件需求</w:t>
            </w:r>
          </w:p>
        </w:tc>
        <w:tc>
          <w:tcPr>
            <w:tcW w:w="3185" w:type="dxa"/>
            <w:vAlign w:val="center"/>
          </w:tcPr>
          <w:p w14:paraId="71416E9E">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响应文件承诺</w:t>
            </w:r>
          </w:p>
        </w:tc>
        <w:tc>
          <w:tcPr>
            <w:tcW w:w="2336" w:type="dxa"/>
            <w:vAlign w:val="center"/>
          </w:tcPr>
          <w:p w14:paraId="5C9DB763">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偏离说明</w:t>
            </w:r>
          </w:p>
        </w:tc>
      </w:tr>
      <w:tr w14:paraId="3335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BB1D729">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w:t>
            </w:r>
          </w:p>
        </w:tc>
        <w:tc>
          <w:tcPr>
            <w:tcW w:w="2977" w:type="dxa"/>
            <w:vAlign w:val="center"/>
          </w:tcPr>
          <w:p w14:paraId="00DA2D44">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14:paraId="3BA452B6">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14:paraId="57CC5C9D">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14:paraId="53B6CAF3">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185" w:type="dxa"/>
            <w:vAlign w:val="center"/>
          </w:tcPr>
          <w:p w14:paraId="09A5047E">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14:paraId="109D73DD">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14:paraId="3F0A8936">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14:paraId="48D0371F">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2336" w:type="dxa"/>
            <w:vAlign w:val="center"/>
          </w:tcPr>
          <w:p w14:paraId="4652581E">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371A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A27FD66">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w:t>
            </w:r>
          </w:p>
        </w:tc>
        <w:tc>
          <w:tcPr>
            <w:tcW w:w="2977" w:type="dxa"/>
            <w:vAlign w:val="center"/>
          </w:tcPr>
          <w:p w14:paraId="494D10E1">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14:paraId="62308D08">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14:paraId="4EF7C698">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14:paraId="276AD161">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185" w:type="dxa"/>
            <w:vAlign w:val="center"/>
          </w:tcPr>
          <w:p w14:paraId="448E201C">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14:paraId="6C3D079F">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14:paraId="044C66A2">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14:paraId="22CE27C8">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2336" w:type="dxa"/>
            <w:vAlign w:val="center"/>
          </w:tcPr>
          <w:p w14:paraId="61375BF5">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4115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CE61019">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2977" w:type="dxa"/>
            <w:vAlign w:val="center"/>
          </w:tcPr>
          <w:p w14:paraId="5BB3C351">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14:paraId="00444013">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14:paraId="4B3388C8">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14:paraId="4DE35B06">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185" w:type="dxa"/>
            <w:vAlign w:val="center"/>
          </w:tcPr>
          <w:p w14:paraId="2F05EDE2">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14:paraId="0B482B03">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14:paraId="52FC3E65">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14:paraId="01E20274">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2336" w:type="dxa"/>
            <w:vAlign w:val="center"/>
          </w:tcPr>
          <w:p w14:paraId="1BFF7764">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bl>
    <w:p w14:paraId="45EC767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p w14:paraId="04A74FF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1.应对照谈判文件“第三章”中“采购需求”的技术需求，款逐条作出明确响应，并作出偏离说明。</w:t>
      </w:r>
    </w:p>
    <w:p w14:paraId="23CAE5F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应根据自身的承诺，对照采购文件要求，在“偏离说明”中注明“正偏离”、“负偏离”或者“无偏离”。既不属于“正偏离”也不属于“负偏离”即为“无偏离”。当响应文件的商务内容低于采购文件要求时，供应商应当如实写明“负偏离”，否则视为虚假应标</w:t>
      </w:r>
    </w:p>
    <w:p w14:paraId="29ABDBB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3.表格内容均需按要求填写并盖章，不得留空，否则按竞标无效处理。</w:t>
      </w:r>
    </w:p>
    <w:p w14:paraId="3F518A0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4.如果采购需求为小于、小于等于、大于或大于等于某个数值标准时，响应文件承诺不得直接复制采购需求，响应文件承诺内容应当写明竞标服务具体参数或商务响应承诺的具体数值，否则按竞标无效处理。</w:t>
      </w:r>
    </w:p>
    <w:p w14:paraId="5357189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5.如技术偏离表中的竞标响应与佐证材料不一致的，以佐证材料为准。</w:t>
      </w:r>
    </w:p>
    <w:p w14:paraId="74C2050F">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p>
    <w:p w14:paraId="1B6EDD7A">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法定代表人或者委托代理人（签字）：</w:t>
      </w:r>
    </w:p>
    <w:p w14:paraId="14B6896F">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726C8F78">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3DE8897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4BD660AB">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（八）施工组织设计</w:t>
      </w:r>
    </w:p>
    <w:p w14:paraId="4C8CAC0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bookmarkStart w:id="62" w:name="OLE_LINK78"/>
      <w:bookmarkStart w:id="63" w:name="OLE_LINK79"/>
      <w:r>
        <w:rPr>
          <w:rFonts w:hint="eastAsia" w:ascii="仿宋" w:hAnsi="仿宋" w:eastAsia="仿宋" w:cs="仿宋"/>
          <w:color w:val="000000" w:themeColor="text1"/>
          <w:sz w:val="24"/>
          <w:szCs w:val="24"/>
          <w14:textFill>
            <w14:solidFill>
              <w14:schemeClr w14:val="tx1"/>
            </w14:solidFill>
          </w14:textFill>
        </w:rPr>
        <w:t>格式自拟。</w:t>
      </w:r>
    </w:p>
    <w:bookmarkEnd w:id="62"/>
    <w:bookmarkEnd w:id="63"/>
    <w:p w14:paraId="3F160AF2">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4359708F">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221DC7B6">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（九）项目管理机构</w:t>
      </w:r>
    </w:p>
    <w:p w14:paraId="5795395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格式自拟。</w:t>
      </w:r>
    </w:p>
    <w:p w14:paraId="1A430F0E">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1860F180">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2FC69E87">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（十）供应商认为商务技术文件需要提供的其他有关资料</w:t>
      </w:r>
    </w:p>
    <w:p w14:paraId="630E9A2B">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4FDD5D95">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5254BD9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5EB4492E">
      <w:pPr>
        <w:pStyle w:val="2"/>
        <w:jc w:val="center"/>
        <w:rPr>
          <w:rFonts w:hint="eastAsia" w:ascii="仿宋" w:hAnsi="仿宋" w:eastAsia="仿宋" w:cs="仿宋"/>
          <w:color w:val="000000" w:themeColor="text1"/>
          <w14:textFill>
            <w14:solidFill>
              <w14:schemeClr w14:val="tx1"/>
            </w14:solidFill>
          </w14:textFill>
        </w:rPr>
      </w:pPr>
      <w:bookmarkStart w:id="64" w:name="_Toc193815620"/>
      <w:r>
        <w:rPr>
          <w:rFonts w:hint="eastAsia" w:ascii="仿宋" w:hAnsi="仿宋" w:eastAsia="仿宋" w:cs="仿宋"/>
          <w:color w:val="000000" w:themeColor="text1"/>
          <w14:textFill>
            <w14:solidFill>
              <w14:schemeClr w14:val="tx1"/>
            </w14:solidFill>
          </w14:textFill>
        </w:rPr>
        <w:t>三、首次报价文件格式</w:t>
      </w:r>
      <w:bookmarkEnd w:id="64"/>
    </w:p>
    <w:p w14:paraId="5427B4AE">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1.首次报价文件封面格式：</w:t>
      </w:r>
    </w:p>
    <w:p w14:paraId="24129B54">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84E77B8">
      <w:pPr>
        <w:spacing w:line="360" w:lineRule="auto"/>
        <w:jc w:val="center"/>
        <w:rPr>
          <w:rFonts w:hint="eastAsia" w:ascii="仿宋" w:hAnsi="仿宋" w:eastAsia="仿宋" w:cs="仿宋"/>
          <w:b/>
          <w:color w:val="000000" w:themeColor="text1"/>
          <w:sz w:val="84"/>
          <w:szCs w:val="84"/>
          <w14:textFill>
            <w14:solidFill>
              <w14:schemeClr w14:val="tx1"/>
            </w14:solidFill>
          </w14:textFill>
        </w:rPr>
      </w:pPr>
      <w:r>
        <w:rPr>
          <w:rFonts w:hint="eastAsia" w:ascii="仿宋" w:hAnsi="仿宋" w:eastAsia="仿宋" w:cs="仿宋"/>
          <w:b/>
          <w:color w:val="000000" w:themeColor="text1"/>
          <w:sz w:val="84"/>
          <w:szCs w:val="84"/>
          <w14:textFill>
            <w14:solidFill>
              <w14:schemeClr w14:val="tx1"/>
            </w14:solidFill>
          </w14:textFill>
        </w:rPr>
        <w:t>响应文件</w:t>
      </w:r>
    </w:p>
    <w:p w14:paraId="3168B71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DC83AEF">
      <w:pPr>
        <w:spacing w:line="360" w:lineRule="auto"/>
        <w:jc w:val="center"/>
        <w:rPr>
          <w:rFonts w:hint="eastAsia" w:ascii="仿宋" w:hAnsi="仿宋" w:eastAsia="仿宋" w:cs="仿宋"/>
          <w:b/>
          <w:color w:val="000000" w:themeColor="text1"/>
          <w:sz w:val="84"/>
          <w:szCs w:val="84"/>
          <w14:textFill>
            <w14:solidFill>
              <w14:schemeClr w14:val="tx1"/>
            </w14:solidFill>
          </w14:textFill>
        </w:rPr>
      </w:pPr>
      <w:r>
        <w:rPr>
          <w:rFonts w:hint="eastAsia" w:ascii="仿宋" w:hAnsi="仿宋" w:eastAsia="仿宋" w:cs="仿宋"/>
          <w:b/>
          <w:color w:val="000000" w:themeColor="text1"/>
          <w:sz w:val="84"/>
          <w:szCs w:val="84"/>
          <w14:textFill>
            <w14:solidFill>
              <w14:schemeClr w14:val="tx1"/>
            </w14:solidFill>
          </w14:textFill>
        </w:rPr>
        <w:t>首次报价文件</w:t>
      </w:r>
    </w:p>
    <w:p w14:paraId="72CF6B04">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67B13C9">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7117FD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20E890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11AC0B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ED2E640">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p>
    <w:p w14:paraId="3669AF1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CC7D548">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项目编号：</w:t>
      </w:r>
    </w:p>
    <w:p w14:paraId="7773A76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DE8A568">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所竞分标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如有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14:paraId="533BC23D">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19BEE65">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供应商名称：</w:t>
      </w:r>
    </w:p>
    <w:p w14:paraId="5A9E7E81">
      <w:pPr>
        <w:spacing w:line="360" w:lineRule="auto"/>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___年___月___日</w:t>
      </w:r>
    </w:p>
    <w:p w14:paraId="7B966F4D">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3F662309">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2.报价文件目录</w:t>
      </w:r>
    </w:p>
    <w:p w14:paraId="620F592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根据采购文件规定及供应商提供的材料自行编写目录（部分格式后附）。</w:t>
      </w:r>
    </w:p>
    <w:p w14:paraId="5EAF59D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587F5049">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（―）响应函</w:t>
      </w:r>
    </w:p>
    <w:p w14:paraId="088313F6">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响应函</w:t>
      </w:r>
    </w:p>
    <w:p w14:paraId="14075AD4">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_______（采购人名称）：</w:t>
      </w:r>
    </w:p>
    <w:p w14:paraId="29F0EEF8">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我方已仔细研究了_______（项目名称/项目编号）竞争性谈判文件的全部内容，愿意以人民币（大写）_______（¥_______）的竞标总报价，工期_______日历天，按合同约定实施和完成承包工程，修补工程中的任何缺陷，工程质量达到_______。</w:t>
      </w:r>
    </w:p>
    <w:p w14:paraId="757C1C00">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2.我方承诺在投标有效期内不补充、修改、替代或者撤回本响应文件。</w:t>
      </w:r>
    </w:p>
    <w:p w14:paraId="20056486">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3.如我方成交：</w:t>
      </w:r>
    </w:p>
    <w:p w14:paraId="05B79FEA">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（1）我方承诺在收到成交通知书后，在成交通知书规定的期限内与你方签订合同。</w:t>
      </w:r>
    </w:p>
    <w:p w14:paraId="2107AB01">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（2）随同本响应函递交的响应报价表属于合同文件的组成部分。</w:t>
      </w:r>
    </w:p>
    <w:p w14:paraId="26984C40">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（3）我方承诺按照竞争性谈判文件规定向你方递交履约担保。</w:t>
      </w:r>
    </w:p>
    <w:p w14:paraId="26C1AC1A">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（4）我方承诺在合同约定的期限内完成并移交全部合同工程。</w:t>
      </w:r>
    </w:p>
    <w:p w14:paraId="468A1FD3">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4.我方在此声明，所递交的响应文件及有关资料内容完整、真实和准确。</w:t>
      </w:r>
    </w:p>
    <w:p w14:paraId="3F2640C7">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5._______（其他补充说明）。</w:t>
      </w:r>
    </w:p>
    <w:p w14:paraId="23964FB7">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地址：____________________________________________</w:t>
      </w:r>
    </w:p>
    <w:p w14:paraId="031ACFD6">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电话：____________________________________________</w:t>
      </w:r>
    </w:p>
    <w:p w14:paraId="5A714083">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手机号码：________________________________________</w:t>
      </w:r>
    </w:p>
    <w:p w14:paraId="72F1C5CE">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传真：____________________________________________</w:t>
      </w:r>
    </w:p>
    <w:p w14:paraId="14179D46">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邮政编码：________________________________________</w:t>
      </w:r>
    </w:p>
    <w:p w14:paraId="454BBB81">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网址：____________________________________________</w:t>
      </w:r>
    </w:p>
    <w:p w14:paraId="5AEF6512">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开户名称：________________________________________</w:t>
      </w:r>
    </w:p>
    <w:p w14:paraId="390C3B73">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开户银行：________________________________________</w:t>
      </w:r>
    </w:p>
    <w:p w14:paraId="74329F39">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银行账号：________________________________________</w:t>
      </w:r>
    </w:p>
    <w:p w14:paraId="7CD4BA75">
      <w:pPr>
        <w:spacing w:line="360" w:lineRule="auto"/>
        <w:ind w:right="1575" w:rightChars="750" w:firstLine="480" w:firstLineChars="200"/>
        <w:jc w:val="left"/>
        <w:rPr>
          <w:rFonts w:hint="eastAsia" w:ascii="仿宋" w:hAnsi="仿宋" w:eastAsia="仿宋" w:cs="仿宋"/>
          <w:color w:val="000000" w:themeColor="text1"/>
          <w:sz w:val="24"/>
          <w:szCs w:val="24"/>
          <w14:textFill>
            <w14:solidFill>
              <w14:schemeClr w14:val="tx1"/>
            </w14:solidFill>
          </w14:textFill>
        </w:rPr>
      </w:pPr>
    </w:p>
    <w:p w14:paraId="78C28199">
      <w:pPr>
        <w:spacing w:line="360" w:lineRule="auto"/>
        <w:ind w:right="1575" w:rightChars="750"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04761BF3">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法定代表人或其委托代理人：_______（签字或电子签名）</w:t>
      </w:r>
    </w:p>
    <w:p w14:paraId="182DE992">
      <w:pPr>
        <w:spacing w:line="360" w:lineRule="auto"/>
        <w:ind w:firstLine="48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0EFE23E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31C8D6F9">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（二）响应报价表</w:t>
      </w:r>
    </w:p>
    <w:p w14:paraId="7907ADE0">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响应报价表</w:t>
      </w:r>
    </w:p>
    <w:p w14:paraId="18A9A2B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p w14:paraId="071EA19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p>
    <w:p w14:paraId="4057A11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分标（如有）：</w:t>
      </w:r>
    </w:p>
    <w:p w14:paraId="17379FD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144"/>
        <w:gridCol w:w="4363"/>
        <w:gridCol w:w="707"/>
      </w:tblGrid>
      <w:tr w14:paraId="0A85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gridSpan w:val="2"/>
            <w:vAlign w:val="center"/>
          </w:tcPr>
          <w:p w14:paraId="23BD9D90">
            <w:pPr>
              <w:spacing w:line="360" w:lineRule="auto"/>
              <w:jc w:val="center"/>
              <w:rPr>
                <w:rFonts w:hint="eastAsia" w:ascii="仿宋" w:hAnsi="仿宋" w:eastAsia="仿宋" w:cs="仿宋"/>
                <w:color w:val="000000" w:themeColor="text1"/>
                <w:sz w:val="24"/>
                <w:szCs w:val="24"/>
                <w14:textFill>
                  <w14:solidFill>
                    <w14:schemeClr w14:val="tx1"/>
                  </w14:solidFill>
                </w14:textFill>
              </w:rPr>
            </w:pPr>
            <w:bookmarkStart w:id="65" w:name="_Hlk193732273"/>
            <w:r>
              <w:rPr>
                <w:rFonts w:hint="eastAsia" w:ascii="仿宋" w:hAnsi="仿宋" w:eastAsia="仿宋" w:cs="仿宋"/>
                <w:color w:val="000000" w:themeColor="text1"/>
                <w:sz w:val="24"/>
                <w:szCs w:val="24"/>
                <w14:textFill>
                  <w14:solidFill>
                    <w14:schemeClr w14:val="tx1"/>
                  </w14:solidFill>
                </w14:textFill>
              </w:rPr>
              <w:t>竞标总价</w:t>
            </w:r>
          </w:p>
        </w:tc>
        <w:tc>
          <w:tcPr>
            <w:tcW w:w="4363" w:type="dxa"/>
            <w:vAlign w:val="center"/>
          </w:tcPr>
          <w:p w14:paraId="106DB157">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（大写）人民币___（小写）¥___</w:t>
            </w:r>
          </w:p>
        </w:tc>
        <w:tc>
          <w:tcPr>
            <w:tcW w:w="707" w:type="dxa"/>
            <w:vAlign w:val="center"/>
          </w:tcPr>
          <w:p w14:paraId="33A8DBA4">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bookmarkEnd w:id="65"/>
      <w:tr w14:paraId="6FB8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vAlign w:val="center"/>
          </w:tcPr>
          <w:p w14:paraId="43839BC2">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其中</w:t>
            </w:r>
          </w:p>
        </w:tc>
        <w:tc>
          <w:tcPr>
            <w:tcW w:w="3144" w:type="dxa"/>
            <w:vAlign w:val="center"/>
          </w:tcPr>
          <w:p w14:paraId="07D00D7C">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安全文明施工费</w:t>
            </w:r>
          </w:p>
        </w:tc>
        <w:tc>
          <w:tcPr>
            <w:tcW w:w="4363" w:type="dxa"/>
            <w:vAlign w:val="center"/>
          </w:tcPr>
          <w:p w14:paraId="3233F689">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（大写）人民币___（小写）¥___</w:t>
            </w:r>
          </w:p>
        </w:tc>
        <w:tc>
          <w:tcPr>
            <w:tcW w:w="707" w:type="dxa"/>
            <w:vAlign w:val="center"/>
          </w:tcPr>
          <w:p w14:paraId="1825560A">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3648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0AA23F1D">
            <w:pPr>
              <w:spacing w:line="360" w:lineRule="auto"/>
              <w:jc w:val="center"/>
              <w:rPr>
                <w:rFonts w:hint="eastAsia" w:ascii="仿宋" w:hAnsi="仿宋" w:eastAsia="仿宋" w:cs="仿宋"/>
                <w:color w:val="000000" w:themeColor="text1"/>
                <w:sz w:val="24"/>
                <w:szCs w:val="24"/>
                <w14:textFill>
                  <w14:solidFill>
                    <w14:schemeClr w14:val="tx1"/>
                  </w14:solidFill>
                </w14:textFill>
              </w:rPr>
            </w:pPr>
          </w:p>
          <w:p w14:paraId="67975D7F">
            <w:pPr>
              <w:pStyle w:val="2"/>
              <w:rPr>
                <w:rFonts w:hint="eastAsia"/>
              </w:rPr>
            </w:pPr>
          </w:p>
        </w:tc>
        <w:tc>
          <w:tcPr>
            <w:tcW w:w="3144" w:type="dxa"/>
            <w:vAlign w:val="center"/>
          </w:tcPr>
          <w:p w14:paraId="7329AAD5">
            <w:pPr>
              <w:spacing w:line="36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暂列金</w:t>
            </w:r>
          </w:p>
        </w:tc>
        <w:tc>
          <w:tcPr>
            <w:tcW w:w="4363" w:type="dxa"/>
            <w:vAlign w:val="center"/>
          </w:tcPr>
          <w:p w14:paraId="441F9D5E">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（大写）人民币___（小写）¥___</w:t>
            </w:r>
          </w:p>
        </w:tc>
        <w:tc>
          <w:tcPr>
            <w:tcW w:w="707" w:type="dxa"/>
            <w:vAlign w:val="center"/>
          </w:tcPr>
          <w:p w14:paraId="3C77FA23">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0188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1AE403DF">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3144" w:type="dxa"/>
            <w:vAlign w:val="center"/>
          </w:tcPr>
          <w:p w14:paraId="51AF1A9B">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安全生产责任保险费暂估价</w:t>
            </w:r>
          </w:p>
        </w:tc>
        <w:tc>
          <w:tcPr>
            <w:tcW w:w="4363" w:type="dxa"/>
            <w:vAlign w:val="center"/>
          </w:tcPr>
          <w:p w14:paraId="67C6632D">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（大写）人民币___（小写）¥___</w:t>
            </w:r>
          </w:p>
        </w:tc>
        <w:tc>
          <w:tcPr>
            <w:tcW w:w="707" w:type="dxa"/>
            <w:vAlign w:val="center"/>
          </w:tcPr>
          <w:p w14:paraId="208707DC">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23EC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gridSpan w:val="2"/>
            <w:vAlign w:val="center"/>
          </w:tcPr>
          <w:p w14:paraId="3BB1FDE3">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工期</w:t>
            </w:r>
          </w:p>
        </w:tc>
        <w:tc>
          <w:tcPr>
            <w:tcW w:w="4363" w:type="dxa"/>
            <w:vAlign w:val="center"/>
          </w:tcPr>
          <w:p w14:paraId="4CB711F9">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707" w:type="dxa"/>
            <w:vAlign w:val="center"/>
          </w:tcPr>
          <w:p w14:paraId="725EC973">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bl>
    <w:p w14:paraId="4D09497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p w14:paraId="03B1512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1.供应商需按本表格式填写，不得自行更改，也不得留空（备注除外），如有多分标，按分标分别提供响应报价表，否则其响应按无效响应处理。</w:t>
      </w:r>
    </w:p>
    <w:p w14:paraId="654F494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2.如为联合体响应的，“供应商名称”处必须列明联合体各方名称，并标注联合体牵头人名称，且盖章处须加盖联合体各方公章，否则其响应按无效响应处理。</w:t>
      </w:r>
    </w:p>
    <w:p w14:paraId="7B2BD5C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3.特别提示：采购代理机构将对项目名称和项目编号，成交供应商名称、成交金额、工期等予以公示。</w:t>
      </w:r>
    </w:p>
    <w:p w14:paraId="72EDF72E">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14D5D23B">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法定代表人或其委托代理人：      （签字或电子签名）</w:t>
      </w:r>
    </w:p>
    <w:p w14:paraId="2E6DEF12">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11D7BE44">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308CF552">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（三）已标价工程量清单</w:t>
      </w:r>
    </w:p>
    <w:p w14:paraId="2B2C01A7">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9C494B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已标价工程量清单按所提供的“招标工程量清单”中的相关清单表格式填写，否则竞标无效。构成合同文件的已标价工程量清单包括规范中的“招标工程量清单”有关招标工程量清单、竞标报价以及其他说明的内容。</w:t>
      </w:r>
    </w:p>
    <w:p w14:paraId="175B239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0F02C10">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（四）供应商针对报价需要说明的其他文件和说明</w:t>
      </w:r>
    </w:p>
    <w:p w14:paraId="0A40868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836466B">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5C2BF057">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6B8E3AE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5D4D9ED6">
      <w:pPr>
        <w:pStyle w:val="2"/>
        <w:jc w:val="center"/>
        <w:rPr>
          <w:rFonts w:hint="eastAsia" w:ascii="仿宋" w:hAnsi="仿宋" w:eastAsia="仿宋" w:cs="仿宋"/>
          <w:color w:val="000000" w:themeColor="text1"/>
          <w14:textFill>
            <w14:solidFill>
              <w14:schemeClr w14:val="tx1"/>
            </w14:solidFill>
          </w14:textFill>
        </w:rPr>
      </w:pPr>
      <w:bookmarkStart w:id="66" w:name="_Toc193815621"/>
      <w:r>
        <w:rPr>
          <w:rFonts w:hint="eastAsia" w:ascii="仿宋" w:hAnsi="仿宋" w:eastAsia="仿宋" w:cs="仿宋"/>
          <w:color w:val="000000" w:themeColor="text1"/>
          <w14:textFill>
            <w14:solidFill>
              <w14:schemeClr w14:val="tx1"/>
            </w14:solidFill>
          </w14:textFill>
        </w:rPr>
        <w:t>四、其他文书、文件格式</w:t>
      </w:r>
      <w:bookmarkEnd w:id="66"/>
    </w:p>
    <w:p w14:paraId="61129D44">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知识产权合规性声明</w:t>
      </w:r>
    </w:p>
    <w:p w14:paraId="68D142D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8640F6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企业自愿参与政府采购的_______项目，在此郑重承诺：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3A4E20C3">
      <w:pPr>
        <w:spacing w:line="360" w:lineRule="auto"/>
        <w:ind w:right="1575" w:rightChars="75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供应商名称（电子签章）：</w:t>
      </w:r>
    </w:p>
    <w:p w14:paraId="61417936">
      <w:pPr>
        <w:spacing w:line="360" w:lineRule="auto"/>
        <w:ind w:firstLine="480" w:firstLineChars="200"/>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日期：___年___月___日</w:t>
      </w:r>
    </w:p>
    <w:p w14:paraId="3FA81D2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77AA1B23">
      <w:pPr>
        <w:pStyle w:val="3"/>
        <w:jc w:val="center"/>
        <w:rPr>
          <w:rFonts w:hint="eastAsia" w:ascii="仿宋" w:hAnsi="仿宋" w:eastAsia="仿宋" w:cs="仿宋"/>
          <w:color w:val="000000" w:themeColor="text1"/>
          <w14:textFill>
            <w14:solidFill>
              <w14:schemeClr w14:val="tx1"/>
            </w14:solidFill>
          </w14:textFill>
        </w:rPr>
      </w:pPr>
      <w:bookmarkStart w:id="67" w:name="_Toc193815622"/>
      <w:r>
        <w:rPr>
          <w:rFonts w:hint="eastAsia" w:ascii="仿宋" w:hAnsi="仿宋" w:eastAsia="仿宋" w:cs="仿宋"/>
          <w:color w:val="000000" w:themeColor="text1"/>
          <w14:textFill>
            <w14:solidFill>
              <w14:schemeClr w14:val="tx1"/>
            </w14:solidFill>
          </w14:textFill>
        </w:rPr>
        <w:t>第六</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合同文本</w:t>
      </w:r>
      <w:bookmarkEnd w:id="67"/>
    </w:p>
    <w:p w14:paraId="33FB323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EEC761B">
      <w:pPr>
        <w:spacing w:line="960" w:lineRule="auto"/>
        <w:jc w:val="center"/>
        <w:rPr>
          <w:rFonts w:hint="eastAsia"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lang w:eastAsia="zh-CN"/>
          <w14:textFill>
            <w14:solidFill>
              <w14:schemeClr w14:val="tx1"/>
            </w14:solidFill>
          </w14:textFill>
        </w:rPr>
        <w:t>广西壮族自治区第五强制隔离戒毒所管理区排洪渠改造</w:t>
      </w:r>
    </w:p>
    <w:p w14:paraId="4FB1E645">
      <w:pPr>
        <w:spacing w:line="960" w:lineRule="auto"/>
        <w:jc w:val="center"/>
        <w:rPr>
          <w:rFonts w:hint="eastAsia"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施工合同</w:t>
      </w:r>
    </w:p>
    <w:p w14:paraId="45C2BEB9">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103C3F4">
      <w:pPr>
        <w:spacing w:line="9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项目编号：____________________________</w:t>
      </w:r>
    </w:p>
    <w:p w14:paraId="597D816A">
      <w:pPr>
        <w:spacing w:line="960" w:lineRule="auto"/>
        <w:ind w:firstLine="643" w:firstLineChars="200"/>
        <w:rPr>
          <w:rFonts w:hint="eastAsia" w:ascii="仿宋" w:hAnsi="仿宋" w:eastAsia="仿宋" w:cs="仿宋"/>
          <w:b/>
          <w:color w:val="000000" w:themeColor="text1"/>
          <w:sz w:val="32"/>
          <w:szCs w:val="32"/>
          <w:u w:val="single"/>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发包人：</w:t>
      </w:r>
      <w:r>
        <w:rPr>
          <w:rFonts w:hint="eastAsia" w:ascii="仿宋" w:hAnsi="仿宋" w:eastAsia="仿宋" w:cs="仿宋"/>
          <w:b/>
          <w:color w:val="000000" w:themeColor="text1"/>
          <w:sz w:val="32"/>
          <w:szCs w:val="32"/>
          <w:u w:val="single"/>
          <w:lang w:eastAsia="zh-CN"/>
          <w14:textFill>
            <w14:solidFill>
              <w14:schemeClr w14:val="tx1"/>
            </w14:solidFill>
          </w14:textFill>
        </w:rPr>
        <w:t>广西壮族自治区第五强制隔离戒毒所</w:t>
      </w:r>
    </w:p>
    <w:p w14:paraId="5EB2C362">
      <w:pPr>
        <w:spacing w:line="9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承包人：______________________________</w:t>
      </w:r>
    </w:p>
    <w:p w14:paraId="0DF1CE88">
      <w:pPr>
        <w:spacing w:line="9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合同签订日期：___年___月___日</w:t>
      </w:r>
    </w:p>
    <w:p w14:paraId="3F20EC7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6F1DCFA9">
      <w:pPr>
        <w:pStyle w:val="2"/>
        <w:spacing w:before="0" w:after="0" w:line="240" w:lineRule="auto"/>
        <w:jc w:val="center"/>
        <w:rPr>
          <w:rFonts w:hint="eastAsia" w:ascii="仿宋" w:hAnsi="仿宋" w:eastAsia="仿宋" w:cs="仿宋"/>
          <w:color w:val="000000" w:themeColor="text1"/>
          <w:sz w:val="30"/>
          <w:szCs w:val="30"/>
          <w14:textFill>
            <w14:solidFill>
              <w14:schemeClr w14:val="tx1"/>
            </w14:solidFill>
          </w14:textFill>
        </w:rPr>
      </w:pPr>
      <w:bookmarkStart w:id="68" w:name="_Toc193815623"/>
      <w:r>
        <w:rPr>
          <w:rFonts w:hint="eastAsia" w:ascii="仿宋" w:hAnsi="仿宋" w:eastAsia="仿宋" w:cs="仿宋"/>
          <w:color w:val="000000" w:themeColor="text1"/>
          <w:sz w:val="30"/>
          <w:szCs w:val="30"/>
          <w14:textFill>
            <w14:solidFill>
              <w14:schemeClr w14:val="tx1"/>
            </w14:solidFill>
          </w14:textFill>
        </w:rPr>
        <w:t>第一部</w:t>
      </w:r>
      <w:r>
        <w:rPr>
          <w:rFonts w:hint="eastAsia" w:ascii="仿宋" w:hAnsi="仿宋" w:eastAsia="仿宋" w:cs="仿宋"/>
          <w:color w:val="000000" w:themeColor="text1"/>
          <w:spacing w:val="100"/>
          <w:sz w:val="30"/>
          <w:szCs w:val="30"/>
          <w14:textFill>
            <w14:solidFill>
              <w14:schemeClr w14:val="tx1"/>
            </w14:solidFill>
          </w14:textFill>
        </w:rPr>
        <w:t>分</w:t>
      </w:r>
      <w:r>
        <w:rPr>
          <w:rFonts w:hint="eastAsia" w:ascii="仿宋" w:hAnsi="仿宋" w:eastAsia="仿宋" w:cs="仿宋"/>
          <w:color w:val="000000" w:themeColor="text1"/>
          <w:sz w:val="30"/>
          <w:szCs w:val="30"/>
          <w14:textFill>
            <w14:solidFill>
              <w14:schemeClr w14:val="tx1"/>
            </w14:solidFill>
          </w14:textFill>
        </w:rPr>
        <w:t>合同协议书</w:t>
      </w:r>
      <w:bookmarkEnd w:id="68"/>
    </w:p>
    <w:p w14:paraId="350226F9">
      <w:pPr>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发包人（全称）：</w:t>
      </w:r>
      <w:r>
        <w:rPr>
          <w:rFonts w:hint="eastAsia" w:ascii="仿宋" w:hAnsi="仿宋" w:eastAsia="仿宋" w:cs="仿宋"/>
          <w:color w:val="000000" w:themeColor="text1"/>
          <w:sz w:val="24"/>
          <w:szCs w:val="24"/>
          <w:u w:val="single"/>
          <w:lang w:eastAsia="zh-CN"/>
          <w14:textFill>
            <w14:solidFill>
              <w14:schemeClr w14:val="tx1"/>
            </w14:solidFill>
          </w14:textFill>
        </w:rPr>
        <w:t>广西壮族自治区第五强制隔离戒毒所</w:t>
      </w:r>
    </w:p>
    <w:p w14:paraId="73EE3DD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承包人（全称）：</w:t>
      </w:r>
      <w:bookmarkStart w:id="69" w:name="OLE_LINK134"/>
      <w:bookmarkStart w:id="70" w:name="OLE_LINK93"/>
      <w:bookmarkStart w:id="71" w:name="OLE_LINK94"/>
      <w:r>
        <w:rPr>
          <w:rFonts w:hint="eastAsia" w:ascii="仿宋" w:hAnsi="仿宋" w:eastAsia="仿宋" w:cs="仿宋"/>
          <w:color w:val="000000" w:themeColor="text1"/>
          <w:sz w:val="24"/>
          <w:szCs w:val="24"/>
          <w14:textFill>
            <w14:solidFill>
              <w14:schemeClr w14:val="tx1"/>
            </w14:solidFill>
          </w14:textFill>
        </w:rPr>
        <w:t>______</w:t>
      </w:r>
      <w:bookmarkEnd w:id="69"/>
      <w:bookmarkEnd w:id="70"/>
      <w:bookmarkEnd w:id="71"/>
    </w:p>
    <w:p w14:paraId="0813193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根据《中华人民共和国民法典》、《中华人民共和国建筑法》及有关法律规定，遵循平等、自愿、公平和诚实信用的原则，双方就</w:t>
      </w:r>
      <w:r>
        <w:rPr>
          <w:rFonts w:hint="eastAsia" w:ascii="仿宋" w:hAnsi="仿宋" w:eastAsia="仿宋" w:cs="仿宋"/>
          <w:color w:val="000000" w:themeColor="text1"/>
          <w:sz w:val="24"/>
          <w:szCs w:val="24"/>
          <w:u w:val="single"/>
          <w:lang w:eastAsia="zh-CN"/>
          <w14:textFill>
            <w14:solidFill>
              <w14:schemeClr w14:val="tx1"/>
            </w14:solidFill>
          </w14:textFill>
        </w:rPr>
        <w:t>广西壮族自治区第五强制隔离戒毒所管理区排洪渠改造</w:t>
      </w:r>
      <w:r>
        <w:rPr>
          <w:rFonts w:hint="eastAsia" w:ascii="仿宋" w:hAnsi="仿宋" w:eastAsia="仿宋" w:cs="仿宋"/>
          <w:color w:val="000000" w:themeColor="text1"/>
          <w:sz w:val="24"/>
          <w:szCs w:val="24"/>
          <w14:textFill>
            <w14:solidFill>
              <w14:schemeClr w14:val="tx1"/>
            </w14:solidFill>
          </w14:textFill>
        </w:rPr>
        <w:t>施工及有关事项协商一致，共同达成如下协议：</w:t>
      </w:r>
    </w:p>
    <w:p w14:paraId="3E3C1952">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一、工程概况</w:t>
      </w:r>
    </w:p>
    <w:p w14:paraId="3AA6D91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1.工程名称：</w:t>
      </w:r>
      <w:r>
        <w:rPr>
          <w:rFonts w:hint="eastAsia" w:ascii="仿宋" w:hAnsi="仿宋" w:eastAsia="仿宋" w:cs="仿宋"/>
          <w:color w:val="000000" w:themeColor="text1"/>
          <w:sz w:val="24"/>
          <w:szCs w:val="24"/>
          <w:u w:val="single"/>
          <w:lang w:eastAsia="zh-CN"/>
          <w14:textFill>
            <w14:solidFill>
              <w14:schemeClr w14:val="tx1"/>
            </w14:solidFill>
          </w14:textFill>
        </w:rPr>
        <w:t>广西壮族自治区第五强制隔离戒毒所管理区排洪渠改造</w:t>
      </w:r>
      <w:r>
        <w:rPr>
          <w:rFonts w:hint="eastAsia" w:ascii="仿宋" w:hAnsi="仿宋" w:eastAsia="仿宋" w:cs="仿宋"/>
          <w:color w:val="000000" w:themeColor="text1"/>
          <w:sz w:val="24"/>
          <w:szCs w:val="24"/>
          <w14:textFill>
            <w14:solidFill>
              <w14:schemeClr w14:val="tx1"/>
            </w14:solidFill>
          </w14:textFill>
        </w:rPr>
        <w:t>。</w:t>
      </w:r>
    </w:p>
    <w:p w14:paraId="01E0947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2.工程地点：</w:t>
      </w:r>
      <w:r>
        <w:rPr>
          <w:rFonts w:hint="eastAsia" w:ascii="仿宋" w:hAnsi="仿宋" w:eastAsia="仿宋" w:cs="仿宋"/>
          <w:color w:val="000000" w:themeColor="text1"/>
          <w:sz w:val="24"/>
          <w:szCs w:val="24"/>
          <w:u w:val="single"/>
          <w14:textFill>
            <w14:solidFill>
              <w14:schemeClr w14:val="tx1"/>
            </w14:solidFill>
          </w14:textFill>
        </w:rPr>
        <w:t>桂林市七星区横塘路31号</w:t>
      </w:r>
      <w:r>
        <w:rPr>
          <w:rFonts w:hint="eastAsia" w:ascii="仿宋" w:hAnsi="仿宋" w:eastAsia="仿宋" w:cs="仿宋"/>
          <w:color w:val="000000" w:themeColor="text1"/>
          <w:sz w:val="24"/>
          <w:szCs w:val="24"/>
          <w14:textFill>
            <w14:solidFill>
              <w14:schemeClr w14:val="tx1"/>
            </w14:solidFill>
          </w14:textFill>
        </w:rPr>
        <w:t>。</w:t>
      </w:r>
    </w:p>
    <w:p w14:paraId="159B516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3.工程立项批准文号：无。</w:t>
      </w:r>
    </w:p>
    <w:p w14:paraId="0A06FB0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4.资金来源：</w:t>
      </w:r>
      <w:r>
        <w:rPr>
          <w:rFonts w:hint="eastAsia" w:ascii="仿宋" w:hAnsi="仿宋" w:eastAsia="仿宋" w:cs="仿宋"/>
          <w:color w:val="000000" w:themeColor="text1"/>
          <w:sz w:val="24"/>
          <w:szCs w:val="24"/>
          <w:u w:val="single"/>
          <w14:textFill>
            <w14:solidFill>
              <w14:schemeClr w14:val="tx1"/>
            </w14:solidFill>
          </w14:textFill>
        </w:rPr>
        <w:t>财政资金</w:t>
      </w:r>
      <w:r>
        <w:rPr>
          <w:rFonts w:hint="eastAsia" w:ascii="仿宋" w:hAnsi="仿宋" w:eastAsia="仿宋" w:cs="仿宋"/>
          <w:color w:val="000000" w:themeColor="text1"/>
          <w:sz w:val="24"/>
          <w:szCs w:val="24"/>
          <w14:textFill>
            <w14:solidFill>
              <w14:schemeClr w14:val="tx1"/>
            </w14:solidFill>
          </w14:textFill>
        </w:rPr>
        <w:t>。</w:t>
      </w:r>
    </w:p>
    <w:p w14:paraId="31BD59D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5.工程内容：</w:t>
      </w:r>
      <w:r>
        <w:rPr>
          <w:rFonts w:hint="eastAsia" w:ascii="仿宋" w:hAnsi="仿宋" w:eastAsia="仿宋" w:cs="仿宋"/>
          <w:color w:val="000000" w:themeColor="text1"/>
          <w:sz w:val="24"/>
          <w:szCs w:val="24"/>
          <w:u w:val="single"/>
          <w14:textFill>
            <w14:solidFill>
              <w14:schemeClr w14:val="tx1"/>
            </w14:solidFill>
          </w14:textFill>
        </w:rPr>
        <w:t>本项目主要内容为新建挡土墙，毛石挡土墙、隔离网、混凝土垫层，具体内容详见工程量清单及图纸</w:t>
      </w:r>
      <w:r>
        <w:rPr>
          <w:rFonts w:hint="eastAsia" w:ascii="仿宋" w:hAnsi="仿宋" w:eastAsia="仿宋" w:cs="仿宋"/>
          <w:color w:val="000000" w:themeColor="text1"/>
          <w:sz w:val="24"/>
          <w:szCs w:val="24"/>
          <w14:textFill>
            <w14:solidFill>
              <w14:schemeClr w14:val="tx1"/>
            </w14:solidFill>
          </w14:textFill>
        </w:rPr>
        <w:t>。</w:t>
      </w:r>
    </w:p>
    <w:p w14:paraId="755E579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群体工程应附《承包人承揽工程项目一览表》（附件1）。</w:t>
      </w:r>
    </w:p>
    <w:p w14:paraId="66B162D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6.工程承包范围：</w:t>
      </w:r>
      <w:r>
        <w:rPr>
          <w:rFonts w:hint="eastAsia" w:ascii="仿宋" w:hAnsi="仿宋" w:eastAsia="仿宋" w:cs="仿宋"/>
          <w:color w:val="000000" w:themeColor="text1"/>
          <w:sz w:val="24"/>
          <w:szCs w:val="24"/>
          <w:u w:val="single"/>
          <w:lang w:val="en-US" w:eastAsia="zh-CN"/>
          <w14:textFill>
            <w14:solidFill>
              <w14:schemeClr w14:val="tx1"/>
            </w14:solidFill>
          </w14:textFill>
        </w:rPr>
        <w:t>广西壮族自治区第五强制隔离戒毒所管理区排洪渠改造</w:t>
      </w:r>
      <w:r>
        <w:rPr>
          <w:rFonts w:hint="eastAsia" w:ascii="仿宋" w:hAnsi="仿宋" w:eastAsia="仿宋" w:cs="仿宋"/>
          <w:color w:val="000000" w:themeColor="text1"/>
          <w:sz w:val="24"/>
          <w:szCs w:val="24"/>
          <w:u w:val="single"/>
          <w14:textFill>
            <w14:solidFill>
              <w14:schemeClr w14:val="tx1"/>
            </w14:solidFill>
          </w14:textFill>
        </w:rPr>
        <w:t>施工图纸和工程量清单所包含的内容，具体详见施工图和工程量清单包含的内容</w:t>
      </w:r>
      <w:r>
        <w:rPr>
          <w:rFonts w:hint="eastAsia" w:ascii="仿宋" w:hAnsi="仿宋" w:eastAsia="仿宋" w:cs="仿宋"/>
          <w:color w:val="000000" w:themeColor="text1"/>
          <w:sz w:val="24"/>
          <w:szCs w:val="24"/>
          <w14:textFill>
            <w14:solidFill>
              <w14:schemeClr w14:val="tx1"/>
            </w14:solidFill>
          </w14:textFill>
        </w:rPr>
        <w:t>。</w:t>
      </w:r>
    </w:p>
    <w:p w14:paraId="0E5A9899">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二、合同工期</w:t>
      </w:r>
    </w:p>
    <w:p w14:paraId="7948F77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计划开工日期：</w:t>
      </w:r>
      <w:bookmarkStart w:id="72" w:name="OLE_LINK197"/>
      <w:bookmarkStart w:id="73" w:name="OLE_LINK196"/>
      <w:r>
        <w:rPr>
          <w:rFonts w:hint="eastAsia" w:ascii="仿宋" w:hAnsi="仿宋" w:eastAsia="仿宋" w:cs="仿宋"/>
          <w:color w:val="000000" w:themeColor="text1"/>
          <w:sz w:val="24"/>
          <w:szCs w:val="24"/>
          <w14:textFill>
            <w14:solidFill>
              <w14:schemeClr w14:val="tx1"/>
            </w14:solidFill>
          </w14:textFill>
        </w:rPr>
        <w:t>______</w:t>
      </w:r>
      <w:bookmarkEnd w:id="72"/>
      <w:bookmarkEnd w:id="73"/>
      <w:r>
        <w:rPr>
          <w:rFonts w:hint="eastAsia" w:ascii="仿宋" w:hAnsi="仿宋" w:eastAsia="仿宋" w:cs="仿宋"/>
          <w:color w:val="000000" w:themeColor="text1"/>
          <w:sz w:val="24"/>
          <w:szCs w:val="24"/>
          <w14:textFill>
            <w14:solidFill>
              <w14:schemeClr w14:val="tx1"/>
            </w14:solidFill>
          </w14:textFill>
        </w:rPr>
        <w:t>年______月______日。（具体以发包人书面通知为准）</w:t>
      </w:r>
    </w:p>
    <w:p w14:paraId="0541E3B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计划竣工日期：______年______月______日。</w:t>
      </w:r>
    </w:p>
    <w:p w14:paraId="1CC6BEB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工期总日历天数：</w:t>
      </w: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日历天。工程开工日期以发包人签发的开工令日期为准。工期总日历天数与根据前述计划开竣工日期计算的工期天数不一致的，以工期总日历天数为准。根据通用条款第13.2.3条规定，竣工日期是指工程经竣工验收合格的，以承包人提交竣工验收申请报告且经发包人签字确认之日为实际竣工日期，并在工程接收证书中载明。</w:t>
      </w:r>
    </w:p>
    <w:p w14:paraId="2DE65DCD">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三、质量标准</w:t>
      </w:r>
    </w:p>
    <w:p w14:paraId="077A799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工程质量符合</w:t>
      </w:r>
      <w:r>
        <w:rPr>
          <w:rFonts w:hint="eastAsia" w:ascii="仿宋" w:hAnsi="仿宋" w:eastAsia="仿宋" w:cs="仿宋"/>
          <w:color w:val="000000" w:themeColor="text1"/>
          <w:sz w:val="24"/>
          <w:szCs w:val="24"/>
          <w:u w:val="single"/>
          <w14:textFill>
            <w14:solidFill>
              <w14:schemeClr w14:val="tx1"/>
            </w14:solidFill>
          </w14:textFill>
        </w:rPr>
        <w:t>达到国家施工质量验收规范合格标准，并通过地方供电部门和</w:t>
      </w:r>
      <w:r>
        <w:rPr>
          <w:rFonts w:hint="eastAsia" w:ascii="仿宋" w:hAnsi="仿宋" w:eastAsia="仿宋" w:cs="仿宋"/>
          <w:color w:val="000000" w:themeColor="text1"/>
          <w:sz w:val="24"/>
          <w:szCs w:val="24"/>
          <w14:textFill>
            <w14:solidFill>
              <w14:schemeClr w14:val="tx1"/>
            </w14:solidFill>
          </w14:textFill>
        </w:rPr>
        <w:t>照明中心</w:t>
      </w:r>
      <w:r>
        <w:rPr>
          <w:rFonts w:hint="eastAsia" w:ascii="仿宋" w:hAnsi="仿宋" w:eastAsia="仿宋" w:cs="仿宋"/>
          <w:color w:val="000000" w:themeColor="text1"/>
          <w:sz w:val="24"/>
          <w:szCs w:val="24"/>
          <w:u w:val="single"/>
          <w14:textFill>
            <w14:solidFill>
              <w14:schemeClr w14:val="tx1"/>
            </w14:solidFill>
          </w14:textFill>
        </w:rPr>
        <w:t>验收合格</w:t>
      </w:r>
      <w:r>
        <w:rPr>
          <w:rFonts w:hint="eastAsia" w:ascii="仿宋" w:hAnsi="仿宋" w:eastAsia="仿宋" w:cs="仿宋"/>
          <w:color w:val="000000" w:themeColor="text1"/>
          <w:sz w:val="24"/>
          <w:szCs w:val="24"/>
          <w14:textFill>
            <w14:solidFill>
              <w14:schemeClr w14:val="tx1"/>
            </w14:solidFill>
          </w14:textFill>
        </w:rPr>
        <w:t>标准。</w:t>
      </w:r>
    </w:p>
    <w:p w14:paraId="29371818">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四、签约合同价与合同价格形式</w:t>
      </w:r>
    </w:p>
    <w:p w14:paraId="2A65464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1.签约合同价为：</w:t>
      </w:r>
    </w:p>
    <w:p w14:paraId="041F664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人民币（大写）______（¥______元）（含税价格）；不含税价格为（¥_______元），增值税（¥_______元）（按_______%税金计算，如有变动以国家相关政策法规为准）；</w:t>
      </w:r>
    </w:p>
    <w:p w14:paraId="4462F4E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其中：</w:t>
      </w:r>
    </w:p>
    <w:p w14:paraId="22B26A9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（1）安全文明施工费：</w:t>
      </w:r>
    </w:p>
    <w:p w14:paraId="77EAE53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人民币（大写）______（¥______元）；</w:t>
      </w:r>
    </w:p>
    <w:p w14:paraId="12B302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（2）材料和工程设备暂估价金额：</w:t>
      </w:r>
    </w:p>
    <w:p w14:paraId="214A629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人民币（大写）______（¥______元）；</w:t>
      </w:r>
    </w:p>
    <w:p w14:paraId="1A55BA4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（3）专业工程暂估价金额：</w:t>
      </w:r>
    </w:p>
    <w:p w14:paraId="26F5C85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人民币（大写）______（¥______元）；</w:t>
      </w:r>
    </w:p>
    <w:p w14:paraId="20242E7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（4）暂列金额：</w:t>
      </w:r>
    </w:p>
    <w:p w14:paraId="367AA43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人民币（大写）______（¥______元）。</w:t>
      </w:r>
    </w:p>
    <w:p w14:paraId="5ED1871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.合同价格形式：</w:t>
      </w:r>
      <w:r>
        <w:rPr>
          <w:rFonts w:hint="eastAsia" w:ascii="仿宋" w:hAnsi="仿宋" w:eastAsia="仿宋" w:cs="仿宋"/>
          <w:color w:val="000000" w:themeColor="text1"/>
          <w:sz w:val="24"/>
          <w:szCs w:val="24"/>
          <w:u w:val="single"/>
          <w14:textFill>
            <w14:solidFill>
              <w14:schemeClr w14:val="tx1"/>
            </w14:solidFill>
          </w14:textFill>
        </w:rPr>
        <w:t>综合单价合同</w:t>
      </w:r>
      <w:r>
        <w:rPr>
          <w:rFonts w:hint="eastAsia" w:ascii="仿宋" w:hAnsi="仿宋" w:eastAsia="仿宋" w:cs="仿宋"/>
          <w:color w:val="000000" w:themeColor="text1"/>
          <w:sz w:val="24"/>
          <w:szCs w:val="24"/>
          <w14:textFill>
            <w14:solidFill>
              <w14:schemeClr w14:val="tx1"/>
            </w14:solidFill>
          </w14:textFill>
        </w:rPr>
        <w:t>。</w:t>
      </w:r>
    </w:p>
    <w:p w14:paraId="2BC27702">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五、项目经理</w:t>
      </w:r>
    </w:p>
    <w:p w14:paraId="49C7A8F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承包人项目经理：</w:t>
      </w:r>
      <w:bookmarkStart w:id="74" w:name="OLE_LINK34"/>
      <w:bookmarkStart w:id="75" w:name="OLE_LINK33"/>
      <w:r>
        <w:rPr>
          <w:rFonts w:hint="eastAsia" w:ascii="仿宋" w:hAnsi="仿宋" w:eastAsia="仿宋" w:cs="仿宋"/>
          <w:color w:val="000000" w:themeColor="text1"/>
          <w:sz w:val="24"/>
          <w:szCs w:val="24"/>
          <w14:textFill>
            <w14:solidFill>
              <w14:schemeClr w14:val="tx1"/>
            </w14:solidFill>
          </w14:textFill>
        </w:rPr>
        <w:t>______</w:t>
      </w:r>
      <w:bookmarkEnd w:id="74"/>
      <w:bookmarkEnd w:id="75"/>
      <w:r>
        <w:rPr>
          <w:rFonts w:hint="eastAsia" w:ascii="仿宋" w:hAnsi="仿宋" w:eastAsia="仿宋" w:cs="仿宋"/>
          <w:color w:val="000000" w:themeColor="text1"/>
          <w:sz w:val="24"/>
          <w:szCs w:val="24"/>
          <w14:textFill>
            <w14:solidFill>
              <w14:schemeClr w14:val="tx1"/>
            </w14:solidFill>
          </w14:textFill>
        </w:rPr>
        <w:t>（注册编号：______，身份证号：______）。</w:t>
      </w:r>
    </w:p>
    <w:p w14:paraId="40129935">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六、合同文件构成</w:t>
      </w:r>
    </w:p>
    <w:p w14:paraId="6C3F290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本协议书与下列文件一起构成合同文件：</w:t>
      </w:r>
    </w:p>
    <w:p w14:paraId="16659F1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（1）成交通知书；</w:t>
      </w:r>
    </w:p>
    <w:p w14:paraId="52B5129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（2）竞标函及响应报价表；</w:t>
      </w:r>
    </w:p>
    <w:p w14:paraId="6DDDFE8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（3）专用合同条款及其附件；</w:t>
      </w:r>
    </w:p>
    <w:p w14:paraId="0011B2D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（4）通用合同条款；</w:t>
      </w:r>
    </w:p>
    <w:p w14:paraId="494A8A7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（5）技术标准和要求；</w:t>
      </w:r>
    </w:p>
    <w:p w14:paraId="4B5C2D6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（6）已标价工程量清单；</w:t>
      </w:r>
    </w:p>
    <w:p w14:paraId="04B63F7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（7）图纸；</w:t>
      </w:r>
    </w:p>
    <w:p w14:paraId="005DB46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（8）其他合同文件：</w:t>
      </w:r>
      <w:r>
        <w:rPr>
          <w:rFonts w:hint="eastAsia" w:ascii="仿宋" w:hAnsi="仿宋" w:eastAsia="仿宋" w:cs="仿宋"/>
          <w:color w:val="000000" w:themeColor="text1"/>
          <w:sz w:val="24"/>
          <w:szCs w:val="24"/>
          <w:u w:val="single"/>
          <w14:textFill>
            <w14:solidFill>
              <w14:schemeClr w14:val="tx1"/>
            </w14:solidFill>
          </w14:textFill>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p>
    <w:p w14:paraId="3C39B76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违反采购文件实质性内容的约定除外）。专用合同条款及其附件须经合同当事人签字或盖章。</w:t>
      </w:r>
    </w:p>
    <w:p w14:paraId="77DE8E38">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七、承诺</w:t>
      </w:r>
    </w:p>
    <w:p w14:paraId="0876603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1.发包人承诺按照法律规定履行项目审批手续、筹集工程建设资金并按照合同约定的期限和方式支付合同价款。</w:t>
      </w:r>
    </w:p>
    <w:p w14:paraId="333DDE9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2.承包人承诺按照法律规定及合同约定组织完成工程施工，确保工程质量和安全，不进行转包及分包，并在缺陷责任期及保修期内承担相应的工程维修责任。</w:t>
      </w:r>
    </w:p>
    <w:p w14:paraId="0DE111D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3.发包人和承包人通过招投标形式签订合同的，双方理解并承诺不再就同一工程另行签订与合同实质性内容相背离的协议。</w:t>
      </w:r>
    </w:p>
    <w:p w14:paraId="6543B1F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67A03085">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八、词语含义</w:t>
      </w:r>
    </w:p>
    <w:p w14:paraId="7C310E4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本协议书中词语含义与第二部分通用合同条款中赋予的含义相同。</w:t>
      </w:r>
    </w:p>
    <w:p w14:paraId="53E3017B">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九、签订时间</w:t>
      </w:r>
    </w:p>
    <w:p w14:paraId="38C1E3E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本合同于______年______月______日签订。</w:t>
      </w:r>
    </w:p>
    <w:p w14:paraId="124BB103">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十、签订地点</w:t>
      </w:r>
    </w:p>
    <w:p w14:paraId="22F233C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本合同在</w:t>
      </w:r>
      <w:r>
        <w:rPr>
          <w:rFonts w:hint="eastAsia" w:ascii="仿宋" w:hAnsi="仿宋" w:eastAsia="仿宋" w:cs="仿宋"/>
          <w:color w:val="000000" w:themeColor="text1"/>
          <w:sz w:val="24"/>
          <w:szCs w:val="24"/>
          <w:u w:val="single"/>
          <w14:textFill>
            <w14:solidFill>
              <w14:schemeClr w14:val="tx1"/>
            </w14:solidFill>
          </w14:textFill>
        </w:rPr>
        <w:t>广西壮族自治区</w:t>
      </w:r>
      <w:r>
        <w:rPr>
          <w:rFonts w:hint="eastAsia" w:ascii="仿宋" w:hAnsi="仿宋" w:eastAsia="仿宋" w:cs="仿宋"/>
          <w:color w:val="000000" w:themeColor="text1"/>
          <w:sz w:val="24"/>
          <w:szCs w:val="24"/>
          <w:u w:val="single"/>
          <w:lang w:val="en-US" w:eastAsia="zh-CN"/>
          <w14:textFill>
            <w14:solidFill>
              <w14:schemeClr w14:val="tx1"/>
            </w14:solidFill>
          </w14:textFill>
        </w:rPr>
        <w:t>桂林市七星区</w:t>
      </w:r>
      <w:r>
        <w:rPr>
          <w:rFonts w:hint="eastAsia" w:ascii="仿宋" w:hAnsi="仿宋" w:eastAsia="仿宋" w:cs="仿宋"/>
          <w:color w:val="000000" w:themeColor="text1"/>
          <w:sz w:val="24"/>
          <w:szCs w:val="24"/>
          <w14:textFill>
            <w14:solidFill>
              <w14:schemeClr w14:val="tx1"/>
            </w14:solidFill>
          </w14:textFill>
        </w:rPr>
        <w:t>签订。</w:t>
      </w:r>
    </w:p>
    <w:p w14:paraId="72D8A2E7">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十一、补充协议</w:t>
      </w:r>
    </w:p>
    <w:p w14:paraId="592F0FC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合同未尽事宜，合同当事人另行签订补充协议，补充协议是合同的组成部分。</w:t>
      </w:r>
    </w:p>
    <w:p w14:paraId="17EE887A">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十二、合同生效</w:t>
      </w:r>
    </w:p>
    <w:p w14:paraId="25C738F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本合同自</w:t>
      </w:r>
      <w:r>
        <w:rPr>
          <w:rFonts w:hint="eastAsia" w:ascii="仿宋" w:hAnsi="仿宋" w:eastAsia="仿宋" w:cs="仿宋"/>
          <w:color w:val="000000" w:themeColor="text1"/>
          <w:sz w:val="24"/>
          <w:szCs w:val="24"/>
          <w:u w:val="single"/>
          <w14:textFill>
            <w14:solidFill>
              <w14:schemeClr w14:val="tx1"/>
            </w14:solidFill>
          </w14:textFill>
        </w:rPr>
        <w:t>双方法定代表人或委托代理人签字或盖章并加盖单位（公司）公章之日起</w:t>
      </w:r>
      <w:r>
        <w:rPr>
          <w:rFonts w:hint="eastAsia" w:ascii="仿宋" w:hAnsi="仿宋" w:eastAsia="仿宋" w:cs="仿宋"/>
          <w:color w:val="000000" w:themeColor="text1"/>
          <w:sz w:val="24"/>
          <w:szCs w:val="24"/>
          <w14:textFill>
            <w14:solidFill>
              <w14:schemeClr w14:val="tx1"/>
            </w14:solidFill>
          </w14:textFill>
        </w:rPr>
        <w:t>生效。</w:t>
      </w:r>
    </w:p>
    <w:p w14:paraId="5751D78C">
      <w:pPr>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十三、合同份数</w:t>
      </w:r>
    </w:p>
    <w:p w14:paraId="267452A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本合同一式捌份，均具有同等法律效力，发包人执肆份，承包人执</w:t>
      </w:r>
      <w:r>
        <w:rPr>
          <w:rFonts w:hint="eastAsia" w:ascii="仿宋" w:hAnsi="仿宋" w:eastAsia="仿宋" w:cs="仿宋"/>
          <w:color w:val="000000" w:themeColor="text1"/>
          <w:sz w:val="24"/>
          <w:szCs w:val="24"/>
          <w:lang w:val="en-US" w:eastAsia="zh-CN"/>
          <w14:textFill>
            <w14:solidFill>
              <w14:schemeClr w14:val="tx1"/>
            </w14:solidFill>
          </w14:textFill>
        </w:rPr>
        <w:t>叁</w:t>
      </w:r>
      <w:r>
        <w:rPr>
          <w:rFonts w:hint="eastAsia" w:ascii="仿宋" w:hAnsi="仿宋" w:eastAsia="仿宋" w:cs="仿宋"/>
          <w:color w:val="000000" w:themeColor="text1"/>
          <w:sz w:val="24"/>
          <w:szCs w:val="24"/>
          <w14:textFill>
            <w14:solidFill>
              <w14:schemeClr w14:val="tx1"/>
            </w14:solidFill>
          </w14:textFill>
        </w:rPr>
        <w:t>份</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代理机构一份</w:t>
      </w:r>
      <w:r>
        <w:rPr>
          <w:rFonts w:hint="eastAsia" w:ascii="仿宋" w:hAnsi="仿宋" w:eastAsia="仿宋" w:cs="仿宋"/>
          <w:color w:val="000000" w:themeColor="text1"/>
          <w:sz w:val="24"/>
          <w:szCs w:val="24"/>
          <w14:textFill>
            <w14:solidFill>
              <w14:schemeClr w14:val="tx1"/>
            </w14:solidFill>
          </w14:textFill>
        </w:rPr>
        <w:t>。</w:t>
      </w:r>
    </w:p>
    <w:p w14:paraId="5CAAAA2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tbl>
      <w:tblPr>
        <w:tblStyle w:val="39"/>
        <w:tblW w:w="0" w:type="auto"/>
        <w:jc w:val="center"/>
        <w:tblLayout w:type="autofit"/>
        <w:tblCellMar>
          <w:top w:w="0" w:type="dxa"/>
          <w:left w:w="108" w:type="dxa"/>
          <w:bottom w:w="0" w:type="dxa"/>
          <w:right w:w="108" w:type="dxa"/>
        </w:tblCellMar>
      </w:tblPr>
      <w:tblGrid>
        <w:gridCol w:w="4672"/>
        <w:gridCol w:w="4672"/>
      </w:tblGrid>
      <w:tr w14:paraId="7B18C165">
        <w:tblPrEx>
          <w:tblCellMar>
            <w:top w:w="0" w:type="dxa"/>
            <w:left w:w="108" w:type="dxa"/>
            <w:bottom w:w="0" w:type="dxa"/>
            <w:right w:w="108" w:type="dxa"/>
          </w:tblCellMar>
        </w:tblPrEx>
        <w:trPr>
          <w:trHeight w:val="567" w:hRule="atLeast"/>
          <w:jc w:val="center"/>
        </w:trPr>
        <w:tc>
          <w:tcPr>
            <w:tcW w:w="4672" w:type="dxa"/>
            <w:vAlign w:val="center"/>
          </w:tcPr>
          <w:p w14:paraId="5AC15294">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w:t>
            </w:r>
            <w:r>
              <w:rPr>
                <w:rFonts w:hint="eastAsia" w:ascii="仿宋" w:hAnsi="仿宋" w:eastAsia="仿宋" w:cs="仿宋"/>
                <w:color w:val="000000" w:themeColor="text1"/>
                <w:sz w:val="24"/>
                <w:szCs w:val="24"/>
                <w:lang w:eastAsia="zh-CN"/>
                <w14:textFill>
                  <w14:solidFill>
                    <w14:schemeClr w14:val="tx1"/>
                  </w14:solidFill>
                </w14:textFill>
              </w:rPr>
              <w:t>广西壮族自治区第五强制隔离戒毒所</w:t>
            </w:r>
            <w:r>
              <w:rPr>
                <w:rFonts w:hint="eastAsia" w:ascii="仿宋" w:hAnsi="仿宋" w:eastAsia="仿宋" w:cs="仿宋"/>
                <w:color w:val="000000" w:themeColor="text1"/>
                <w:sz w:val="24"/>
                <w:szCs w:val="24"/>
                <w14:textFill>
                  <w14:solidFill>
                    <w14:schemeClr w14:val="tx1"/>
                  </w14:solidFill>
                </w14:textFill>
              </w:rPr>
              <w:t>（公章）</w:t>
            </w:r>
          </w:p>
        </w:tc>
        <w:tc>
          <w:tcPr>
            <w:tcW w:w="4672" w:type="dxa"/>
            <w:vAlign w:val="center"/>
          </w:tcPr>
          <w:p w14:paraId="0C47F495">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承包人：（公章）</w:t>
            </w:r>
          </w:p>
        </w:tc>
      </w:tr>
      <w:tr w14:paraId="4EDA0B24">
        <w:tblPrEx>
          <w:tblCellMar>
            <w:top w:w="0" w:type="dxa"/>
            <w:left w:w="108" w:type="dxa"/>
            <w:bottom w:w="0" w:type="dxa"/>
            <w:right w:w="108" w:type="dxa"/>
          </w:tblCellMar>
        </w:tblPrEx>
        <w:trPr>
          <w:trHeight w:val="567" w:hRule="atLeast"/>
          <w:jc w:val="center"/>
        </w:trPr>
        <w:tc>
          <w:tcPr>
            <w:tcW w:w="4672" w:type="dxa"/>
            <w:vAlign w:val="center"/>
          </w:tcPr>
          <w:p w14:paraId="597809E2">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法定代表人或其委托代理人：</w:t>
            </w:r>
          </w:p>
          <w:p w14:paraId="48EECC5A">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（签字）</w:t>
            </w:r>
          </w:p>
        </w:tc>
        <w:tc>
          <w:tcPr>
            <w:tcW w:w="4672" w:type="dxa"/>
            <w:vAlign w:val="center"/>
          </w:tcPr>
          <w:p w14:paraId="7FEFA527">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法定代表人或其委托代理人：</w:t>
            </w:r>
          </w:p>
          <w:p w14:paraId="1378708F">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（签字）</w:t>
            </w:r>
          </w:p>
        </w:tc>
      </w:tr>
      <w:tr w14:paraId="11E82751">
        <w:tblPrEx>
          <w:tblCellMar>
            <w:top w:w="0" w:type="dxa"/>
            <w:left w:w="108" w:type="dxa"/>
            <w:bottom w:w="0" w:type="dxa"/>
            <w:right w:w="108" w:type="dxa"/>
          </w:tblCellMar>
        </w:tblPrEx>
        <w:trPr>
          <w:trHeight w:val="567" w:hRule="atLeast"/>
          <w:jc w:val="center"/>
        </w:trPr>
        <w:tc>
          <w:tcPr>
            <w:tcW w:w="4672" w:type="dxa"/>
            <w:vAlign w:val="center"/>
          </w:tcPr>
          <w:p w14:paraId="1F0CDE4B">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统一社会信用代码：</w:t>
            </w:r>
          </w:p>
        </w:tc>
        <w:tc>
          <w:tcPr>
            <w:tcW w:w="4672" w:type="dxa"/>
            <w:vAlign w:val="center"/>
          </w:tcPr>
          <w:p w14:paraId="36359304">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统一社会信用代码：</w:t>
            </w:r>
          </w:p>
        </w:tc>
      </w:tr>
      <w:tr w14:paraId="23A56380">
        <w:tblPrEx>
          <w:tblCellMar>
            <w:top w:w="0" w:type="dxa"/>
            <w:left w:w="108" w:type="dxa"/>
            <w:bottom w:w="0" w:type="dxa"/>
            <w:right w:w="108" w:type="dxa"/>
          </w:tblCellMar>
        </w:tblPrEx>
        <w:trPr>
          <w:trHeight w:val="567" w:hRule="atLeast"/>
          <w:jc w:val="center"/>
        </w:trPr>
        <w:tc>
          <w:tcPr>
            <w:tcW w:w="4672" w:type="dxa"/>
            <w:vAlign w:val="center"/>
          </w:tcPr>
          <w:p w14:paraId="795E6B40">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w:t>
            </w:r>
            <w:r>
              <w:rPr>
                <w:rFonts w:hint="eastAsia" w:ascii="仿宋" w:hAnsi="仿宋" w:eastAsia="仿宋" w:cs="仿宋"/>
                <w:sz w:val="24"/>
                <w:szCs w:val="24"/>
              </w:rPr>
              <w:t>桂林市七星区横塘路31号</w:t>
            </w:r>
          </w:p>
        </w:tc>
        <w:tc>
          <w:tcPr>
            <w:tcW w:w="4672" w:type="dxa"/>
            <w:vAlign w:val="center"/>
          </w:tcPr>
          <w:p w14:paraId="5EB2D82D">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w:t>
            </w:r>
          </w:p>
        </w:tc>
      </w:tr>
      <w:tr w14:paraId="2E2C8657">
        <w:tblPrEx>
          <w:tblCellMar>
            <w:top w:w="0" w:type="dxa"/>
            <w:left w:w="108" w:type="dxa"/>
            <w:bottom w:w="0" w:type="dxa"/>
            <w:right w:w="108" w:type="dxa"/>
          </w:tblCellMar>
        </w:tblPrEx>
        <w:trPr>
          <w:trHeight w:val="567" w:hRule="atLeast"/>
          <w:jc w:val="center"/>
        </w:trPr>
        <w:tc>
          <w:tcPr>
            <w:tcW w:w="4672" w:type="dxa"/>
            <w:vAlign w:val="center"/>
          </w:tcPr>
          <w:p w14:paraId="08138FB2">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邮政编码：</w:t>
            </w:r>
          </w:p>
        </w:tc>
        <w:tc>
          <w:tcPr>
            <w:tcW w:w="4672" w:type="dxa"/>
            <w:vAlign w:val="center"/>
          </w:tcPr>
          <w:p w14:paraId="334CBD03">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邮政编码：</w:t>
            </w:r>
          </w:p>
        </w:tc>
      </w:tr>
      <w:tr w14:paraId="7BCD7A2D">
        <w:tblPrEx>
          <w:tblCellMar>
            <w:top w:w="0" w:type="dxa"/>
            <w:left w:w="108" w:type="dxa"/>
            <w:bottom w:w="0" w:type="dxa"/>
            <w:right w:w="108" w:type="dxa"/>
          </w:tblCellMar>
        </w:tblPrEx>
        <w:trPr>
          <w:trHeight w:val="567" w:hRule="atLeast"/>
          <w:jc w:val="center"/>
        </w:trPr>
        <w:tc>
          <w:tcPr>
            <w:tcW w:w="4672" w:type="dxa"/>
            <w:vAlign w:val="center"/>
          </w:tcPr>
          <w:p w14:paraId="6A95EBAA">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w:t>
            </w:r>
          </w:p>
        </w:tc>
        <w:tc>
          <w:tcPr>
            <w:tcW w:w="4672" w:type="dxa"/>
            <w:vAlign w:val="center"/>
          </w:tcPr>
          <w:p w14:paraId="2000998A">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w:t>
            </w:r>
          </w:p>
        </w:tc>
      </w:tr>
      <w:tr w14:paraId="3CC85194">
        <w:tblPrEx>
          <w:tblCellMar>
            <w:top w:w="0" w:type="dxa"/>
            <w:left w:w="108" w:type="dxa"/>
            <w:bottom w:w="0" w:type="dxa"/>
            <w:right w:w="108" w:type="dxa"/>
          </w:tblCellMar>
        </w:tblPrEx>
        <w:trPr>
          <w:trHeight w:val="567" w:hRule="atLeast"/>
          <w:jc w:val="center"/>
        </w:trPr>
        <w:tc>
          <w:tcPr>
            <w:tcW w:w="4672" w:type="dxa"/>
            <w:vAlign w:val="center"/>
          </w:tcPr>
          <w:p w14:paraId="6DCBA2A6">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委托代理人：</w:t>
            </w:r>
          </w:p>
        </w:tc>
        <w:tc>
          <w:tcPr>
            <w:tcW w:w="4672" w:type="dxa"/>
            <w:vAlign w:val="center"/>
          </w:tcPr>
          <w:p w14:paraId="574D1794">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委托代理人：</w:t>
            </w:r>
          </w:p>
        </w:tc>
      </w:tr>
      <w:tr w14:paraId="386C6DDE">
        <w:tblPrEx>
          <w:tblCellMar>
            <w:top w:w="0" w:type="dxa"/>
            <w:left w:w="108" w:type="dxa"/>
            <w:bottom w:w="0" w:type="dxa"/>
            <w:right w:w="108" w:type="dxa"/>
          </w:tblCellMar>
        </w:tblPrEx>
        <w:trPr>
          <w:trHeight w:val="567" w:hRule="atLeast"/>
          <w:jc w:val="center"/>
        </w:trPr>
        <w:tc>
          <w:tcPr>
            <w:tcW w:w="4672" w:type="dxa"/>
            <w:vAlign w:val="center"/>
          </w:tcPr>
          <w:p w14:paraId="5BEFE65F">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w:t>
            </w:r>
          </w:p>
        </w:tc>
        <w:tc>
          <w:tcPr>
            <w:tcW w:w="4672" w:type="dxa"/>
            <w:vAlign w:val="center"/>
          </w:tcPr>
          <w:p w14:paraId="401FC268">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w:t>
            </w:r>
          </w:p>
        </w:tc>
      </w:tr>
      <w:tr w14:paraId="4D03BE7E">
        <w:tblPrEx>
          <w:tblCellMar>
            <w:top w:w="0" w:type="dxa"/>
            <w:left w:w="108" w:type="dxa"/>
            <w:bottom w:w="0" w:type="dxa"/>
            <w:right w:w="108" w:type="dxa"/>
          </w:tblCellMar>
        </w:tblPrEx>
        <w:trPr>
          <w:trHeight w:val="567" w:hRule="atLeast"/>
          <w:jc w:val="center"/>
        </w:trPr>
        <w:tc>
          <w:tcPr>
            <w:tcW w:w="4672" w:type="dxa"/>
            <w:vAlign w:val="center"/>
          </w:tcPr>
          <w:p w14:paraId="25255333">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传真：</w:t>
            </w:r>
          </w:p>
        </w:tc>
        <w:tc>
          <w:tcPr>
            <w:tcW w:w="4672" w:type="dxa"/>
            <w:vAlign w:val="center"/>
          </w:tcPr>
          <w:p w14:paraId="366A5D09">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传真：</w:t>
            </w:r>
          </w:p>
        </w:tc>
      </w:tr>
      <w:tr w14:paraId="5453FA64">
        <w:tblPrEx>
          <w:tblCellMar>
            <w:top w:w="0" w:type="dxa"/>
            <w:left w:w="108" w:type="dxa"/>
            <w:bottom w:w="0" w:type="dxa"/>
            <w:right w:w="108" w:type="dxa"/>
          </w:tblCellMar>
        </w:tblPrEx>
        <w:trPr>
          <w:trHeight w:val="567" w:hRule="atLeast"/>
          <w:jc w:val="center"/>
        </w:trPr>
        <w:tc>
          <w:tcPr>
            <w:tcW w:w="4672" w:type="dxa"/>
            <w:vAlign w:val="center"/>
          </w:tcPr>
          <w:p w14:paraId="388BDC12">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电子信箱：</w:t>
            </w:r>
          </w:p>
        </w:tc>
        <w:tc>
          <w:tcPr>
            <w:tcW w:w="4672" w:type="dxa"/>
            <w:vAlign w:val="center"/>
          </w:tcPr>
          <w:p w14:paraId="6CABF20C">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电子信箱：</w:t>
            </w:r>
          </w:p>
        </w:tc>
      </w:tr>
      <w:tr w14:paraId="78F03CA4">
        <w:tblPrEx>
          <w:tblCellMar>
            <w:top w:w="0" w:type="dxa"/>
            <w:left w:w="108" w:type="dxa"/>
            <w:bottom w:w="0" w:type="dxa"/>
            <w:right w:w="108" w:type="dxa"/>
          </w:tblCellMar>
        </w:tblPrEx>
        <w:trPr>
          <w:trHeight w:val="567" w:hRule="atLeast"/>
          <w:jc w:val="center"/>
        </w:trPr>
        <w:tc>
          <w:tcPr>
            <w:tcW w:w="4672" w:type="dxa"/>
            <w:vAlign w:val="center"/>
          </w:tcPr>
          <w:p w14:paraId="142B06DD">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w:t>
            </w:r>
          </w:p>
        </w:tc>
        <w:tc>
          <w:tcPr>
            <w:tcW w:w="4672" w:type="dxa"/>
            <w:vAlign w:val="center"/>
          </w:tcPr>
          <w:p w14:paraId="2EF2FDD2">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w:t>
            </w:r>
          </w:p>
        </w:tc>
      </w:tr>
      <w:tr w14:paraId="459EB467">
        <w:tblPrEx>
          <w:tblCellMar>
            <w:top w:w="0" w:type="dxa"/>
            <w:left w:w="108" w:type="dxa"/>
            <w:bottom w:w="0" w:type="dxa"/>
            <w:right w:w="108" w:type="dxa"/>
          </w:tblCellMar>
        </w:tblPrEx>
        <w:trPr>
          <w:trHeight w:val="567" w:hRule="atLeast"/>
          <w:jc w:val="center"/>
        </w:trPr>
        <w:tc>
          <w:tcPr>
            <w:tcW w:w="4672" w:type="dxa"/>
            <w:vAlign w:val="center"/>
          </w:tcPr>
          <w:p w14:paraId="1AD32442">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账号：</w:t>
            </w:r>
          </w:p>
        </w:tc>
        <w:tc>
          <w:tcPr>
            <w:tcW w:w="4672" w:type="dxa"/>
            <w:vAlign w:val="center"/>
          </w:tcPr>
          <w:p w14:paraId="44509647">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账号：</w:t>
            </w:r>
          </w:p>
        </w:tc>
      </w:tr>
    </w:tbl>
    <w:p w14:paraId="2654D08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2ED0842F">
      <w:pPr>
        <w:pStyle w:val="2"/>
        <w:spacing w:before="0" w:after="0" w:line="240" w:lineRule="auto"/>
        <w:jc w:val="center"/>
        <w:rPr>
          <w:rFonts w:hint="eastAsia" w:ascii="仿宋" w:hAnsi="仿宋" w:eastAsia="仿宋" w:cs="仿宋"/>
          <w:color w:val="000000" w:themeColor="text1"/>
          <w:sz w:val="30"/>
          <w:szCs w:val="30"/>
          <w14:textFill>
            <w14:solidFill>
              <w14:schemeClr w14:val="tx1"/>
            </w14:solidFill>
          </w14:textFill>
        </w:rPr>
      </w:pPr>
      <w:bookmarkStart w:id="76" w:name="_Toc193815624"/>
      <w:r>
        <w:rPr>
          <w:rFonts w:hint="eastAsia" w:ascii="仿宋" w:hAnsi="仿宋" w:eastAsia="仿宋" w:cs="仿宋"/>
          <w:color w:val="000000" w:themeColor="text1"/>
          <w:sz w:val="30"/>
          <w:szCs w:val="30"/>
          <w14:textFill>
            <w14:solidFill>
              <w14:schemeClr w14:val="tx1"/>
            </w14:solidFill>
          </w14:textFill>
        </w:rPr>
        <w:t>第二部</w:t>
      </w:r>
      <w:r>
        <w:rPr>
          <w:rFonts w:hint="eastAsia" w:ascii="仿宋" w:hAnsi="仿宋" w:eastAsia="仿宋" w:cs="仿宋"/>
          <w:color w:val="000000" w:themeColor="text1"/>
          <w:spacing w:val="100"/>
          <w:sz w:val="30"/>
          <w:szCs w:val="30"/>
          <w14:textFill>
            <w14:solidFill>
              <w14:schemeClr w14:val="tx1"/>
            </w14:solidFill>
          </w14:textFill>
        </w:rPr>
        <w:t>分</w:t>
      </w:r>
      <w:r>
        <w:rPr>
          <w:rFonts w:hint="eastAsia" w:ascii="仿宋" w:hAnsi="仿宋" w:eastAsia="仿宋" w:cs="仿宋"/>
          <w:color w:val="000000" w:themeColor="text1"/>
          <w:sz w:val="30"/>
          <w:szCs w:val="30"/>
          <w14:textFill>
            <w14:solidFill>
              <w14:schemeClr w14:val="tx1"/>
            </w14:solidFill>
          </w14:textFill>
        </w:rPr>
        <w:t>通用合同条款</w:t>
      </w:r>
      <w:bookmarkEnd w:id="76"/>
    </w:p>
    <w:p w14:paraId="1BCC1760">
      <w:pPr>
        <w:spacing w:line="360" w:lineRule="auto"/>
        <w:ind w:firstLine="420" w:firstLineChars="200"/>
        <w:rPr>
          <w:rFonts w:hint="eastAsia" w:ascii="仿宋" w:hAnsi="仿宋" w:eastAsia="仿宋" w:cs="仿宋"/>
          <w:color w:val="000000" w:themeColor="text1"/>
          <w:kern w:val="0"/>
          <w14:textFill>
            <w14:solidFill>
              <w14:schemeClr w14:val="tx1"/>
            </w14:solidFill>
          </w14:textFill>
        </w:rPr>
      </w:pPr>
    </w:p>
    <w:p w14:paraId="595C739E">
      <w:pPr>
        <w:spacing w:line="360" w:lineRule="auto"/>
        <w:ind w:firstLine="422" w:firstLineChars="200"/>
        <w:rPr>
          <w:rFonts w:hint="eastAsia" w:ascii="仿宋" w:hAnsi="仿宋" w:eastAsia="仿宋" w:cs="仿宋"/>
          <w:b/>
          <w:bCs/>
          <w:color w:val="000000" w:themeColor="text1"/>
          <w:kern w:val="0"/>
          <w14:textFill>
            <w14:solidFill>
              <w14:schemeClr w14:val="tx1"/>
            </w14:solidFill>
          </w14:textFill>
        </w:rPr>
      </w:pPr>
      <w:r>
        <w:rPr>
          <w:rFonts w:hint="eastAsia" w:ascii="仿宋" w:hAnsi="仿宋" w:eastAsia="仿宋" w:cs="仿宋"/>
          <w:b/>
          <w:bCs/>
          <w:color w:val="000000" w:themeColor="text1"/>
          <w:kern w:val="0"/>
          <w14:textFill>
            <w14:solidFill>
              <w14:schemeClr w14:val="tx1"/>
            </w14:solidFill>
          </w14:textFill>
        </w:rPr>
        <w:t>采用《建设工程施工合同（示范文本）》（GF—2017—0201）。</w:t>
      </w:r>
    </w:p>
    <w:p w14:paraId="09163061">
      <w:pPr>
        <w:pStyle w:val="4"/>
        <w:spacing w:line="240" w:lineRule="auto"/>
        <w:rPr>
          <w:rFonts w:hint="eastAsia" w:ascii="仿宋" w:hAnsi="仿宋" w:eastAsia="仿宋" w:cs="仿宋"/>
          <w:color w:val="000000" w:themeColor="text1"/>
          <w14:textFill>
            <w14:solidFill>
              <w14:schemeClr w14:val="tx1"/>
            </w14:solidFill>
          </w14:textFill>
        </w:rPr>
      </w:pPr>
      <w:bookmarkStart w:id="77" w:name="_Toc178007526"/>
      <w:bookmarkStart w:id="78" w:name="_Toc193815625"/>
      <w:r>
        <w:rPr>
          <w:rFonts w:hint="eastAsia" w:ascii="仿宋" w:hAnsi="仿宋" w:eastAsia="仿宋" w:cs="仿宋"/>
          <w:color w:val="000000" w:themeColor="text1"/>
          <w14:textFill>
            <w14:solidFill>
              <w14:schemeClr w14:val="tx1"/>
            </w14:solidFill>
          </w14:textFill>
        </w:rPr>
        <w:t>1.一般约定</w:t>
      </w:r>
      <w:bookmarkEnd w:id="77"/>
      <w:bookmarkEnd w:id="78"/>
    </w:p>
    <w:p w14:paraId="4C133121">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79" w:name="_Toc178007527"/>
      <w:r>
        <w:rPr>
          <w:rFonts w:hint="eastAsia" w:ascii="仿宋" w:hAnsi="仿宋" w:eastAsia="仿宋" w:cs="仿宋"/>
          <w:color w:val="000000" w:themeColor="text1"/>
          <w14:textFill>
            <w14:solidFill>
              <w14:schemeClr w14:val="tx1"/>
            </w14:solidFill>
          </w14:textFill>
        </w:rPr>
        <w:t>1.1词语定义与解释</w:t>
      </w:r>
      <w:bookmarkEnd w:id="79"/>
    </w:p>
    <w:p w14:paraId="7F5CF2B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合同协议书、通用合同条款、专用合同条款中的下列词语具有本款所赋予的含义：</w:t>
      </w:r>
    </w:p>
    <w:p w14:paraId="0E36569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1.1.1合同</w:t>
      </w:r>
    </w:p>
    <w:p w14:paraId="0248386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0C719C2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1.1.1.2合同协议书：是指构成合同的由发包人和承包人共同签署的称为“合同协议书”的书面文件。</w:t>
      </w:r>
    </w:p>
    <w:p w14:paraId="130DA51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1.1.1.3中标通知书：是指构成合同的由发包人通知承包人中标的书面文件。</w:t>
      </w:r>
    </w:p>
    <w:p w14:paraId="1B902F8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1.1.1.4投标函：是指构成合同的由承包人填写并签署的用于投标的称为“投标函”的文件。</w:t>
      </w:r>
    </w:p>
    <w:p w14:paraId="385110A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1.1.1.5投标函附录：是指构成合同的附在投标函后的称为“投标函附录”的文件。</w:t>
      </w:r>
    </w:p>
    <w:p w14:paraId="423D2E9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1.1.1.6技术标准和要求：是指构成合同的施工应当遵守的或指导施工的国家、行业或地方的技术标准和要求，以及合同约定的技术标准和要求。</w:t>
      </w:r>
    </w:p>
    <w:p w14:paraId="4BE242A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1.1.1.7图纸：是指构成合同的图纸，包括由发包人按照合同约定提供或经发包人批准的设计文件、施工图、鸟瞰图及模型等，以及在合同履行过程中形成的图纸文件。图纸应当按照法律规定审查合格。</w:t>
      </w:r>
    </w:p>
    <w:p w14:paraId="635DE2A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1.1.1.8已标价工程量清单：是指构成合同的由承包人按照规定的格式和要求填写并标明价格的工程量清单，包括说明和表格。</w:t>
      </w:r>
    </w:p>
    <w:p w14:paraId="54E97E5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1.1.1.9预算书：是指构成合同的由承包人按照发包人规定的格式和要求编制的工程预算文件。</w:t>
      </w:r>
    </w:p>
    <w:p w14:paraId="3925591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1.1.1.10其他合同文件：是指经合同当事人约定的与工程施工有关的具有合同约束力的文件或书面协议。合同当事人可以在专用合同条款中进行约定。</w:t>
      </w:r>
    </w:p>
    <w:p w14:paraId="5014942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1.1.2合同当事人及其他相关方</w:t>
      </w:r>
    </w:p>
    <w:p w14:paraId="2C0AE09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1.1.2.1合同当事人：是指发包人和（或）承包人。</w:t>
      </w:r>
    </w:p>
    <w:p w14:paraId="58D9F47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1.1.2.2发包人：是指与承包人签订合同协议书的当事人及取得该当事人资格的合法继承人。</w:t>
      </w:r>
    </w:p>
    <w:p w14:paraId="10D5673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1.1.2.3承包人：是指与发包人签订合同协议书的，具有相应工程施工承包资质的当事人及取得该当事人资格的合法继承人。</w:t>
      </w:r>
    </w:p>
    <w:p w14:paraId="277CAF8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1.1.2.4监理人：是指在专用合同条款中指明的，受发包人委托按照法律规定进行工程监督管理的法人或其他组织。</w:t>
      </w:r>
    </w:p>
    <w:p w14:paraId="0211410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1.1.2.5设计人：是指在专用合同条款中指明的，受发包人委托负责工程设计并具备相应工程设计资质的法人或其他组织。</w:t>
      </w:r>
    </w:p>
    <w:p w14:paraId="7585004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1.1.2.6分包人：是指按照法律规定和合同约定，分包部分工程或工作，并与承包人签订分包合同的具有相应资质的法人。</w:t>
      </w:r>
    </w:p>
    <w:p w14:paraId="6656223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1.1.2.7发包人代表：是指由发包人任命并派驻施工现场在发包人授权范围内行使发包人权利的人。</w:t>
      </w:r>
    </w:p>
    <w:p w14:paraId="4720D4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1.1.2.8项目经理：是指由承包人任命并派驻施工现场，在承包人授权范围内负责合同履行，且按照法律规定具有相应资格的项目负责人。</w:t>
      </w:r>
    </w:p>
    <w:p w14:paraId="51C06F3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1.1.2.9总监理工程师：是指由监理人任命并派驻施工现场进行工程监理的总负责人。</w:t>
      </w:r>
    </w:p>
    <w:p w14:paraId="0FF9B54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1.1.3工程和设备</w:t>
      </w:r>
    </w:p>
    <w:p w14:paraId="1316989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1.1.3.1工程：是指与合同协议书中工程承包范围对应的永久工程和（或）临时工程。</w:t>
      </w:r>
    </w:p>
    <w:p w14:paraId="6CC70D2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1.1.3.2永久工程：是指按合同约定建造并移交给发包人的工程，包括工程设备。</w:t>
      </w:r>
    </w:p>
    <w:p w14:paraId="4D09DA1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1.1.3.3临时工程：是指为完成合同约定的永久工程所修建的各类临时性工程，不包括施工设备。</w:t>
      </w:r>
    </w:p>
    <w:p w14:paraId="3D64E6B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1.1.3.4单位工程：是指在合同协议书中指明的，具备独立施工条件并能形成独立使用功能的永久工程。</w:t>
      </w:r>
    </w:p>
    <w:p w14:paraId="2DBB123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1.1.3.5工程设备：是指构成永久工程的机电设备、金属结构设备、仪器及其他类似的设备和装置。</w:t>
      </w:r>
    </w:p>
    <w:p w14:paraId="7E5DB69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1.1.3.6施工设备：是指为完成合同约定的各项工作所需的设备、器具和其他物品，但不包括工程设备、临时工程和材料。</w:t>
      </w:r>
    </w:p>
    <w:p w14:paraId="69DA5BB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1.1.3.7施工现场：是指用于工程施工的场所，以及在专用合同条款中指明作为施工场所组成部分的其他场所，包括永久占地和临时占地。</w:t>
      </w:r>
    </w:p>
    <w:p w14:paraId="41AAAB3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1.1.3.8临时设施：是指为完成合同约定的各项工作所服务的临时性生产和生活设施。</w:t>
      </w:r>
    </w:p>
    <w:p w14:paraId="7D9D217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1.1.3.9永久占地：是指专用合同条款中指明为实施工程需永久占用的土地。</w:t>
      </w:r>
    </w:p>
    <w:p w14:paraId="2CA9284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1.1.3.10临时占地：是指专用合同条款中指明为实施工程需要临时占用的土地。</w:t>
      </w:r>
    </w:p>
    <w:p w14:paraId="31CD6EE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1.1.4日期和期限</w:t>
      </w:r>
    </w:p>
    <w:p w14:paraId="6FDFF15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1.1.4.1开工日期：包括计划开工日期和实际开工日期。计划开工日期是指合同协议书约定的开工日期；实际开工日期是指监理人按照第7.3.2项〔开工通知〕约定发出的符合法律规定的开工通知中载明的开工日期。</w:t>
      </w:r>
    </w:p>
    <w:p w14:paraId="7FAF018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1.1.4.2竣工日期：包括计划竣工日期和实际竣工日期。计划竣工日期是指合同协议书约定的竣工日期；实际竣工日期按照第13.2.3项〔竣工日期〕的约定确定。</w:t>
      </w:r>
    </w:p>
    <w:p w14:paraId="5258FFE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1.1.4.3工期：是指在合同协议书约定的承包人完成工程所需的期限，包括按照合同约定所作的期限变更。</w:t>
      </w:r>
    </w:p>
    <w:p w14:paraId="0F149A5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1.1.4.4缺陷责任期：是指承包人按照合同约定承担缺陷修复义务，且发包人预留质量保证金（已缴纳履约保证金的除外）的期限，自工程实际竣工日期起计算。</w:t>
      </w:r>
    </w:p>
    <w:p w14:paraId="112A020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1.1.4.5保修期：是指承包人按照合同约定对工程承担保修责任的期限，从工程竣工验收合格之日起计算。</w:t>
      </w:r>
    </w:p>
    <w:p w14:paraId="7827AB1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1.1.4.6基准日期：招标发包的工程以投标截止日前28天的日期为基准日期，直接发包的工程以合同签订日前28天的日期为基准日期。</w:t>
      </w:r>
    </w:p>
    <w:p w14:paraId="69C21F2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1.1.4.7天：除特别指明外，均指日历天。合同中按天计算时间的，开始当天不计入，从次日开始计算，期限最后一天的截止时间为当天24：00时。</w:t>
      </w:r>
    </w:p>
    <w:p w14:paraId="0FF3C2E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1.1.5合同价格和费用</w:t>
      </w:r>
    </w:p>
    <w:p w14:paraId="5516ED9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1.1.5.1签约合同价：是指发包人和承包人在合同协议书中确定的总金额，包括安全文明施工费、暂估价及暂列金额等。</w:t>
      </w:r>
    </w:p>
    <w:p w14:paraId="1CD17DD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1.1.5.2合同价格：是指发包人用于支付承包人按照合同约定完成承包范围内全部工作的金额，包括合同履行过程中按合同约定发生的价格变化。</w:t>
      </w:r>
    </w:p>
    <w:p w14:paraId="112BA6A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1.1.5.3费用：是指为履行合同所发生的或将要发生的所有必需的开支，包括管理费和应分摊的其他费用，但不包括利润。</w:t>
      </w:r>
    </w:p>
    <w:p w14:paraId="64A2894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1.1.5.4暂估价：是指发包人在工程量清单或预算书中提供的用于支付必然发生但暂时不能确定价格的材料、工程设备的单价、专业工程以及服务工作的金额。</w:t>
      </w:r>
    </w:p>
    <w:p w14:paraId="0CC10F6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47DC50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1.1.5.6计日工：是指合同履行过程中，承包人完成发包人提出的零星工作或需要采用计日工计价的变更工作时，按合同中约定的单价计价的一种方式。</w:t>
      </w:r>
    </w:p>
    <w:p w14:paraId="232829D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1.1.5.7质量保证金：是指按照第15.3款〔质量保证金〕约定承包人用于保证其在缺陷责任期内履行缺陷修补义务的担保。</w:t>
      </w:r>
    </w:p>
    <w:p w14:paraId="278D866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1.1.5.8总价项目：是指在现行国家、行业以及地方的计量规则中无工程量计算规则，在已标价工程量清单或预算书中以总价或以费率形式计算的项目。</w:t>
      </w:r>
    </w:p>
    <w:p w14:paraId="10E1540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1.1.6其他</w:t>
      </w:r>
    </w:p>
    <w:p w14:paraId="44DC306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1.1.6.1书面形式：是指合同文件、信函、电报、传真等可以有形地表现所载内容的形式。</w:t>
      </w:r>
    </w:p>
    <w:p w14:paraId="31879009">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80" w:name="_Toc178007528"/>
      <w:r>
        <w:rPr>
          <w:rFonts w:hint="eastAsia" w:ascii="仿宋" w:hAnsi="仿宋" w:eastAsia="仿宋" w:cs="仿宋"/>
          <w:color w:val="000000" w:themeColor="text1"/>
          <w14:textFill>
            <w14:solidFill>
              <w14:schemeClr w14:val="tx1"/>
            </w14:solidFill>
          </w14:textFill>
        </w:rPr>
        <w:t>1.2语言文字</w:t>
      </w:r>
      <w:bookmarkEnd w:id="80"/>
    </w:p>
    <w:p w14:paraId="0A67254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合同以中国的汉语简体文字编写、解释和说明。合同当事人在专用合同条款中约定使用两种以上语言时，汉语为优先解释和说明合同的语言。</w:t>
      </w:r>
    </w:p>
    <w:p w14:paraId="30AD5AAE">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81" w:name="_Toc178007529"/>
      <w:r>
        <w:rPr>
          <w:rFonts w:hint="eastAsia" w:ascii="仿宋" w:hAnsi="仿宋" w:eastAsia="仿宋" w:cs="仿宋"/>
          <w:color w:val="000000" w:themeColor="text1"/>
          <w14:textFill>
            <w14:solidFill>
              <w14:schemeClr w14:val="tx1"/>
            </w14:solidFill>
          </w14:textFill>
        </w:rPr>
        <w:t>1.3法律</w:t>
      </w:r>
      <w:bookmarkEnd w:id="81"/>
    </w:p>
    <w:p w14:paraId="16899EB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合同所称法律是指中华人民共和国法律、行政法规、部门规章，以及工程所在地的地方性法规、自治条例、单行条例和地方政府规章等。</w:t>
      </w:r>
    </w:p>
    <w:p w14:paraId="234F4D8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合同当事人可以在专用合同条款中约定合同适用的其他规范性文件。</w:t>
      </w:r>
    </w:p>
    <w:p w14:paraId="762F1159">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82" w:name="_Toc178007530"/>
      <w:r>
        <w:rPr>
          <w:rFonts w:hint="eastAsia" w:ascii="仿宋" w:hAnsi="仿宋" w:eastAsia="仿宋" w:cs="仿宋"/>
          <w:color w:val="000000" w:themeColor="text1"/>
          <w14:textFill>
            <w14:solidFill>
              <w14:schemeClr w14:val="tx1"/>
            </w14:solidFill>
          </w14:textFill>
        </w:rPr>
        <w:t>1.4标准和规范</w:t>
      </w:r>
      <w:bookmarkEnd w:id="82"/>
    </w:p>
    <w:p w14:paraId="3487A8D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1.4.1适用于工程的国家标准、行业标准、工程所在地的地方性标准，以及相应的规范、规程等，合同当事人有特别要求的，应在专用合同条款中约定。</w:t>
      </w:r>
    </w:p>
    <w:p w14:paraId="6835DEC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1.4.2发包人要求使用国外标准、规范的，发包人负责提供原文版本和中文译本，并在专用合同条款中约定提供标准规范的名称、份数和时间。</w:t>
      </w:r>
    </w:p>
    <w:p w14:paraId="3E4F7CB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2F26A05">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83" w:name="_Toc178007531"/>
      <w:r>
        <w:rPr>
          <w:rFonts w:hint="eastAsia" w:ascii="仿宋" w:hAnsi="仿宋" w:eastAsia="仿宋" w:cs="仿宋"/>
          <w:color w:val="000000" w:themeColor="text1"/>
          <w14:textFill>
            <w14:solidFill>
              <w14:schemeClr w14:val="tx1"/>
            </w14:solidFill>
          </w14:textFill>
        </w:rPr>
        <w:t>1.5合同文件的优先顺序</w:t>
      </w:r>
      <w:bookmarkEnd w:id="83"/>
    </w:p>
    <w:p w14:paraId="3BB4215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组成合同的各项文件应互相解释，互为说明。除专用合同条款另有约定外，解释合同文件的优先顺序如下：</w:t>
      </w:r>
    </w:p>
    <w:p w14:paraId="65AC18E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（1）合同协议书；</w:t>
      </w:r>
    </w:p>
    <w:p w14:paraId="026E03B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（2）中标通知书（如果有）；</w:t>
      </w:r>
    </w:p>
    <w:p w14:paraId="4AB5B92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（3）投标函及其附录（如果有）；</w:t>
      </w:r>
    </w:p>
    <w:p w14:paraId="7909C1E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（4）专用合同条款及其附件；</w:t>
      </w:r>
    </w:p>
    <w:p w14:paraId="2A81D8B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（5）通用合同条款；</w:t>
      </w:r>
    </w:p>
    <w:p w14:paraId="2350401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（6）技术标准和要求；</w:t>
      </w:r>
    </w:p>
    <w:p w14:paraId="21B5304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（7）图纸；</w:t>
      </w:r>
    </w:p>
    <w:p w14:paraId="65592FE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（8）已标价工程量清单或预算书；</w:t>
      </w:r>
    </w:p>
    <w:p w14:paraId="59BCDC8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（9）其他合同文件。</w:t>
      </w:r>
    </w:p>
    <w:p w14:paraId="0D7494D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w:t>
      </w:r>
    </w:p>
    <w:p w14:paraId="51158C1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在合同订立及履行过程中形成的与合同有关的文件均构成合同文件组成部分，并根据其性质确定优先解释顺序。</w:t>
      </w:r>
    </w:p>
    <w:p w14:paraId="49E77AD9">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84" w:name="_Toc178007532"/>
      <w:r>
        <w:rPr>
          <w:rFonts w:hint="eastAsia" w:ascii="仿宋" w:hAnsi="仿宋" w:eastAsia="仿宋" w:cs="仿宋"/>
          <w:color w:val="000000" w:themeColor="text1"/>
          <w14:textFill>
            <w14:solidFill>
              <w14:schemeClr w14:val="tx1"/>
            </w14:solidFill>
          </w14:textFill>
        </w:rPr>
        <w:t>1.6图纸和承包人文件</w:t>
      </w:r>
      <w:bookmarkEnd w:id="84"/>
    </w:p>
    <w:p w14:paraId="54588A5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1.6.1图纸的提供和交底</w:t>
      </w:r>
    </w:p>
    <w:p w14:paraId="579B6F8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AD9A18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因发包人未按合同约定提供图纸导致承包人费用增加和（或）工期延误的，按照第7.5.1项〔因发包人原因导致工期延误〕约定办理。</w:t>
      </w:r>
    </w:p>
    <w:p w14:paraId="25405E1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1.6.2图纸的错误</w:t>
      </w:r>
    </w:p>
    <w:p w14:paraId="409A643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0E2F29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1.6.3图纸的修改和补充</w:t>
      </w:r>
    </w:p>
    <w:p w14:paraId="227AAB2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14:paraId="7B3B214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1.6.4承包人文件</w:t>
      </w:r>
    </w:p>
    <w:p w14:paraId="2AF6034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14:paraId="5D393EE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53D293B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1.6.5图纸和承包人文件的保管</w:t>
      </w:r>
    </w:p>
    <w:p w14:paraId="58DA13F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除专用合同条款另有约定外，承包人应在施工现场另外保存一套完整的图纸和承包人文件，供发包人、监理人及有关人员进行工程检查时使用。</w:t>
      </w:r>
    </w:p>
    <w:p w14:paraId="39F9213B">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85" w:name="_Toc178007533"/>
      <w:r>
        <w:rPr>
          <w:rFonts w:hint="eastAsia" w:ascii="仿宋" w:hAnsi="仿宋" w:eastAsia="仿宋" w:cs="仿宋"/>
          <w:color w:val="000000" w:themeColor="text1"/>
          <w14:textFill>
            <w14:solidFill>
              <w14:schemeClr w14:val="tx1"/>
            </w14:solidFill>
          </w14:textFill>
        </w:rPr>
        <w:t>1.7联络</w:t>
      </w:r>
      <w:bookmarkEnd w:id="85"/>
    </w:p>
    <w:p w14:paraId="03BAB24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1.7.1与合同有关的通知、批准、证明、证书、指示、指令、要求、请求、同意、意见、确定和决定等，均应采用书面形式，并应在合同约定的期限内送达接收人和送达地点。</w:t>
      </w:r>
    </w:p>
    <w:p w14:paraId="1423240A">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1.7.2发包人和承包人应在专用合同条款中约定各自的送达接收人和送达地点。任何一方合同当事人指定的接收人或送达地点发生变动的，应提前3天以书面形式通知对方。</w:t>
      </w:r>
    </w:p>
    <w:p w14:paraId="6288972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1.7.3发包人和承包人应当及时签收另一方送达至送达地点和指定接收人的来往信函。拒不签收的，由此增加的费用和（或）延误的工期由拒绝接收一方承担。</w:t>
      </w:r>
    </w:p>
    <w:p w14:paraId="7B8DEC56">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86" w:name="_Toc178007534"/>
      <w:r>
        <w:rPr>
          <w:rFonts w:hint="eastAsia" w:ascii="仿宋" w:hAnsi="仿宋" w:eastAsia="仿宋" w:cs="仿宋"/>
          <w:color w:val="000000" w:themeColor="text1"/>
          <w14:textFill>
            <w14:solidFill>
              <w14:schemeClr w14:val="tx1"/>
            </w14:solidFill>
          </w14:textFill>
        </w:rPr>
        <w:t>1.8严禁贿赂</w:t>
      </w:r>
      <w:bookmarkEnd w:id="86"/>
    </w:p>
    <w:p w14:paraId="2291CB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14:paraId="49B061F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14:paraId="43954017">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87" w:name="_Toc178007535"/>
      <w:r>
        <w:rPr>
          <w:rFonts w:hint="eastAsia" w:ascii="仿宋" w:hAnsi="仿宋" w:eastAsia="仿宋" w:cs="仿宋"/>
          <w:color w:val="000000" w:themeColor="text1"/>
          <w14:textFill>
            <w14:solidFill>
              <w14:schemeClr w14:val="tx1"/>
            </w14:solidFill>
          </w14:textFill>
        </w:rPr>
        <w:t>1.9化石、文物</w:t>
      </w:r>
      <w:bookmarkEnd w:id="87"/>
    </w:p>
    <w:p w14:paraId="00A859E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8DD5C4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发包人、监理人和承包人应按有关政府行政管理部门要求采取妥善的保护措施，由此增加的费用和（或）延误的工期由发包人承担。</w:t>
      </w:r>
    </w:p>
    <w:p w14:paraId="5951CA7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承包人发现文物后不及时报告或隐瞒不报，致使文物丢失或损坏的，应赔偿损失，并承担相应的法律责任。</w:t>
      </w:r>
    </w:p>
    <w:p w14:paraId="4CDB344A">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88" w:name="_Toc178007536"/>
      <w:r>
        <w:rPr>
          <w:rFonts w:hint="eastAsia" w:ascii="仿宋" w:hAnsi="仿宋" w:eastAsia="仿宋" w:cs="仿宋"/>
          <w:color w:val="000000" w:themeColor="text1"/>
          <w14:textFill>
            <w14:solidFill>
              <w14:schemeClr w14:val="tx1"/>
            </w14:solidFill>
          </w14:textFill>
        </w:rPr>
        <w:t>1.10交通运输</w:t>
      </w:r>
      <w:bookmarkEnd w:id="88"/>
    </w:p>
    <w:p w14:paraId="23BF55A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1.10.1出入现场的权利</w:t>
      </w:r>
    </w:p>
    <w:p w14:paraId="4226869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92530D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14:paraId="1BA9060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1.10.2场外交通</w:t>
      </w:r>
    </w:p>
    <w:p w14:paraId="633CDA7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96445F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1.10.3场内交通</w:t>
      </w:r>
    </w:p>
    <w:p w14:paraId="1ADD40F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31F6A3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CA52C3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场外交通和场内交通的边界由合同当事人在专用合同条款中约定。</w:t>
      </w:r>
    </w:p>
    <w:p w14:paraId="007B851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1.10.4超大件和超重件的运输</w:t>
      </w:r>
    </w:p>
    <w:p w14:paraId="29CD9D5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3E514C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1.10.5道路和桥梁的损坏责任</w:t>
      </w:r>
    </w:p>
    <w:p w14:paraId="5CE7004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因承包人运输造成施工场地内外公共道路和桥梁损坏的，由承包人承担修复损坏的全部费用和可能引起的赔偿。</w:t>
      </w:r>
    </w:p>
    <w:p w14:paraId="35779E1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1.10.6水路和航空运输</w:t>
      </w:r>
    </w:p>
    <w:p w14:paraId="26F0564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14:paraId="74FF489D">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89" w:name="_Toc178007537"/>
      <w:r>
        <w:rPr>
          <w:rFonts w:hint="eastAsia" w:ascii="仿宋" w:hAnsi="仿宋" w:eastAsia="仿宋" w:cs="仿宋"/>
          <w:color w:val="000000" w:themeColor="text1"/>
          <w14:textFill>
            <w14:solidFill>
              <w14:schemeClr w14:val="tx1"/>
            </w14:solidFill>
          </w14:textFill>
        </w:rPr>
        <w:t>1.11知识产权</w:t>
      </w:r>
      <w:bookmarkEnd w:id="89"/>
    </w:p>
    <w:p w14:paraId="58FF83C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488708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BBC74E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A3A40E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1.11.4除专用合同条款另有约定外，承包人在合同签订前和签订时已确定采用的专利、专有技术、技术秘密的使用费已包含在签约合同价中。</w:t>
      </w:r>
    </w:p>
    <w:p w14:paraId="2B033EEE">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90" w:name="_Toc178007538"/>
      <w:r>
        <w:rPr>
          <w:rFonts w:hint="eastAsia" w:ascii="仿宋" w:hAnsi="仿宋" w:eastAsia="仿宋" w:cs="仿宋"/>
          <w:color w:val="000000" w:themeColor="text1"/>
          <w14:textFill>
            <w14:solidFill>
              <w14:schemeClr w14:val="tx1"/>
            </w14:solidFill>
          </w14:textFill>
        </w:rPr>
        <w:t>1.12保密</w:t>
      </w:r>
      <w:bookmarkEnd w:id="90"/>
    </w:p>
    <w:p w14:paraId="41725BC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除法律规定或合同另有约定外，未经发包人同意，承包人不得将发包人提供的图纸、文件以及声明需要保密的资料信息等商业秘密泄露给第三方。</w:t>
      </w:r>
    </w:p>
    <w:p w14:paraId="70411BF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除法律规定或合同另有约定外，未经承包人同意，发包人不得将承包人提供的技术秘密及声明需要保密的资料信息等商业秘密泄露给第三方。</w:t>
      </w:r>
    </w:p>
    <w:p w14:paraId="42C3FC00">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91" w:name="_Toc178007539"/>
      <w:r>
        <w:rPr>
          <w:rFonts w:hint="eastAsia" w:ascii="仿宋" w:hAnsi="仿宋" w:eastAsia="仿宋" w:cs="仿宋"/>
          <w:color w:val="000000" w:themeColor="text1"/>
          <w14:textFill>
            <w14:solidFill>
              <w14:schemeClr w14:val="tx1"/>
            </w14:solidFill>
          </w14:textFill>
        </w:rPr>
        <w:t>1.13工程量清单错误的修正</w:t>
      </w:r>
      <w:bookmarkEnd w:id="91"/>
    </w:p>
    <w:p w14:paraId="228367F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除专用合同条款另有约定外，发包人提供的工程量清单，应被认为是准确的和完整的。出现下列情形之一时，发包人应予以修正，并相应调整合同价格：</w:t>
      </w:r>
    </w:p>
    <w:p w14:paraId="71D3EBC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（1）工程量清单存在缺项、漏项的；</w:t>
      </w:r>
    </w:p>
    <w:p w14:paraId="2000735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（2）工程量清单偏差超出专用合同条款约定的工程量偏差范围的；</w:t>
      </w:r>
    </w:p>
    <w:p w14:paraId="41185D8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（3）未按照国家现行计量规范强制性规定计量的。</w:t>
      </w:r>
    </w:p>
    <w:p w14:paraId="080A6BC1">
      <w:pPr>
        <w:pStyle w:val="4"/>
        <w:spacing w:line="240" w:lineRule="auto"/>
        <w:rPr>
          <w:rFonts w:hint="eastAsia" w:ascii="仿宋" w:hAnsi="仿宋" w:eastAsia="仿宋" w:cs="仿宋"/>
          <w:color w:val="000000" w:themeColor="text1"/>
          <w14:textFill>
            <w14:solidFill>
              <w14:schemeClr w14:val="tx1"/>
            </w14:solidFill>
          </w14:textFill>
        </w:rPr>
      </w:pPr>
      <w:bookmarkStart w:id="92" w:name="_Toc178007540"/>
      <w:bookmarkStart w:id="93" w:name="_Toc193815626"/>
      <w:r>
        <w:rPr>
          <w:rFonts w:hint="eastAsia" w:ascii="仿宋" w:hAnsi="仿宋" w:eastAsia="仿宋" w:cs="仿宋"/>
          <w:color w:val="000000" w:themeColor="text1"/>
          <w14:textFill>
            <w14:solidFill>
              <w14:schemeClr w14:val="tx1"/>
            </w14:solidFill>
          </w14:textFill>
        </w:rPr>
        <w:t>2.发包人</w:t>
      </w:r>
      <w:bookmarkEnd w:id="92"/>
      <w:bookmarkEnd w:id="93"/>
    </w:p>
    <w:p w14:paraId="61245B8A">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94" w:name="_Toc178007541"/>
      <w:r>
        <w:rPr>
          <w:rFonts w:hint="eastAsia" w:ascii="仿宋" w:hAnsi="仿宋" w:eastAsia="仿宋" w:cs="仿宋"/>
          <w:color w:val="000000" w:themeColor="text1"/>
          <w14:textFill>
            <w14:solidFill>
              <w14:schemeClr w14:val="tx1"/>
            </w14:solidFill>
          </w14:textFill>
        </w:rPr>
        <w:t>2.1许可或批准</w:t>
      </w:r>
      <w:bookmarkEnd w:id="94"/>
    </w:p>
    <w:p w14:paraId="3C6E586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295FD7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因发包人原因未能及时办理完毕前述许可、批准或备案，由发包人承担由此增加的费用和（或）延误的工期，并支付承包人合理的利润。</w:t>
      </w:r>
    </w:p>
    <w:p w14:paraId="3277BE20">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95" w:name="_Toc178007542"/>
      <w:r>
        <w:rPr>
          <w:rFonts w:hint="eastAsia" w:ascii="仿宋" w:hAnsi="仿宋" w:eastAsia="仿宋" w:cs="仿宋"/>
          <w:color w:val="000000" w:themeColor="text1"/>
          <w14:textFill>
            <w14:solidFill>
              <w14:schemeClr w14:val="tx1"/>
            </w14:solidFill>
          </w14:textFill>
        </w:rPr>
        <w:t>2.2发包人代表</w:t>
      </w:r>
      <w:bookmarkEnd w:id="95"/>
    </w:p>
    <w:p w14:paraId="5E15439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A88958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发包人代表不能按照合同约定履行其职责及义务，并导致合同无法继续正常履行的，承包人可以要求发包人撤换发包人代表。</w:t>
      </w:r>
    </w:p>
    <w:p w14:paraId="3AC0EFD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不属于法定必须监理的工程，监理人的职权可以由发包人代表或发包人指定的其他人员行使。</w:t>
      </w:r>
    </w:p>
    <w:p w14:paraId="47D4CC6D">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96" w:name="_Toc178007543"/>
      <w:r>
        <w:rPr>
          <w:rFonts w:hint="eastAsia" w:ascii="仿宋" w:hAnsi="仿宋" w:eastAsia="仿宋" w:cs="仿宋"/>
          <w:color w:val="000000" w:themeColor="text1"/>
          <w14:textFill>
            <w14:solidFill>
              <w14:schemeClr w14:val="tx1"/>
            </w14:solidFill>
          </w14:textFill>
        </w:rPr>
        <w:t>2.3发包人人员</w:t>
      </w:r>
      <w:bookmarkEnd w:id="96"/>
    </w:p>
    <w:p w14:paraId="10806EB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14:paraId="79C1EA9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发包人人员包括发包人代表及其他由发包人派驻施工现场的人员。</w:t>
      </w:r>
    </w:p>
    <w:p w14:paraId="77254C34">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97" w:name="_Toc178007544"/>
      <w:r>
        <w:rPr>
          <w:rFonts w:hint="eastAsia" w:ascii="仿宋" w:hAnsi="仿宋" w:eastAsia="仿宋" w:cs="仿宋"/>
          <w:color w:val="000000" w:themeColor="text1"/>
          <w14:textFill>
            <w14:solidFill>
              <w14:schemeClr w14:val="tx1"/>
            </w14:solidFill>
          </w14:textFill>
        </w:rPr>
        <w:t>2.4施工现场、施工条件和基础资料的提供</w:t>
      </w:r>
      <w:bookmarkEnd w:id="97"/>
    </w:p>
    <w:p w14:paraId="1D26C62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2.4.1提供施工现场</w:t>
      </w:r>
    </w:p>
    <w:p w14:paraId="05B732D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除专用合同条款另有约定外，发包人应最迟于开工日期7天前向承包人移交施工现场。</w:t>
      </w:r>
    </w:p>
    <w:p w14:paraId="5B445EF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2.4.2提供施工条件</w:t>
      </w:r>
    </w:p>
    <w:p w14:paraId="1E8780B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除专用合同条款另有约定外，发包人应负责提供施工所需要的条件，包括：</w:t>
      </w:r>
    </w:p>
    <w:p w14:paraId="64BE0D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（1）将施工用水、电力、通讯线路等施工所必需的条件接至施工现场内；</w:t>
      </w:r>
    </w:p>
    <w:p w14:paraId="3B95E93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（2）保证向承包人提供正常施工所需要的进入施工现场的交通条件；</w:t>
      </w:r>
    </w:p>
    <w:p w14:paraId="07D625A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（3）协调处理施工现场周围地下管线和邻近建筑物、构筑物、古树名木的保护工作，并承担相关费用；</w:t>
      </w:r>
    </w:p>
    <w:p w14:paraId="28959D1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（4）按照专用合同条款约定应提供的其他设施和条件。</w:t>
      </w:r>
    </w:p>
    <w:p w14:paraId="6F4044B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2.4.3提供基础资料</w:t>
      </w:r>
    </w:p>
    <w:p w14:paraId="510724B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E476ED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14:paraId="012759A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2.4.4逾期提供的责任</w:t>
      </w:r>
    </w:p>
    <w:p w14:paraId="4910B17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因发包人原因未能按合同约定及时向承包人提供施工现场、施工条件、基础资料的，由发包人承担由此增加的费用和（或）延误的工期。</w:t>
      </w:r>
    </w:p>
    <w:p w14:paraId="6E32F62C">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98" w:name="_Toc178007545"/>
      <w:r>
        <w:rPr>
          <w:rFonts w:hint="eastAsia" w:ascii="仿宋" w:hAnsi="仿宋" w:eastAsia="仿宋" w:cs="仿宋"/>
          <w:color w:val="000000" w:themeColor="text1"/>
          <w14:textFill>
            <w14:solidFill>
              <w14:schemeClr w14:val="tx1"/>
            </w14:solidFill>
          </w14:textFill>
        </w:rPr>
        <w:t>2.5资金来源证明及支付担保</w:t>
      </w:r>
      <w:bookmarkEnd w:id="98"/>
    </w:p>
    <w:p w14:paraId="533E870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14:paraId="42D13B72">
      <w:pPr>
        <w:spacing w:line="360" w:lineRule="auto"/>
        <w:ind w:firstLine="48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14:paraId="41E935A3">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99" w:name="_Toc178007546"/>
      <w:r>
        <w:rPr>
          <w:rFonts w:hint="eastAsia" w:ascii="仿宋" w:hAnsi="仿宋" w:eastAsia="仿宋" w:cs="仿宋"/>
          <w:color w:val="000000" w:themeColor="text1"/>
          <w14:textFill>
            <w14:solidFill>
              <w14:schemeClr w14:val="tx1"/>
            </w14:solidFill>
          </w14:textFill>
        </w:rPr>
        <w:t>2.6支付合同价款</w:t>
      </w:r>
      <w:bookmarkEnd w:id="99"/>
    </w:p>
    <w:p w14:paraId="0A43F5F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发包人应按合同约定向承包人及时支付合同价款。</w:t>
      </w:r>
    </w:p>
    <w:p w14:paraId="16DBDDE7">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00" w:name="_Toc178007547"/>
      <w:r>
        <w:rPr>
          <w:rFonts w:hint="eastAsia" w:ascii="仿宋" w:hAnsi="仿宋" w:eastAsia="仿宋" w:cs="仿宋"/>
          <w:color w:val="000000" w:themeColor="text1"/>
          <w14:textFill>
            <w14:solidFill>
              <w14:schemeClr w14:val="tx1"/>
            </w14:solidFill>
          </w14:textFill>
        </w:rPr>
        <w:t>2.7组织竣工验收</w:t>
      </w:r>
      <w:bookmarkEnd w:id="100"/>
    </w:p>
    <w:p w14:paraId="0179C68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发包人应按合同约定及时组织竣工验收。</w:t>
      </w:r>
    </w:p>
    <w:p w14:paraId="4C845E17">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01" w:name="_Toc178007548"/>
      <w:r>
        <w:rPr>
          <w:rFonts w:hint="eastAsia" w:ascii="仿宋" w:hAnsi="仿宋" w:eastAsia="仿宋" w:cs="仿宋"/>
          <w:color w:val="000000" w:themeColor="text1"/>
          <w14:textFill>
            <w14:solidFill>
              <w14:schemeClr w14:val="tx1"/>
            </w14:solidFill>
          </w14:textFill>
        </w:rPr>
        <w:t>2.8现场统一管理协议</w:t>
      </w:r>
      <w:bookmarkEnd w:id="101"/>
    </w:p>
    <w:p w14:paraId="00B6A74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14:paraId="033A6059">
      <w:pPr>
        <w:pStyle w:val="4"/>
        <w:spacing w:line="240" w:lineRule="auto"/>
        <w:rPr>
          <w:rFonts w:hint="eastAsia" w:ascii="仿宋" w:hAnsi="仿宋" w:eastAsia="仿宋" w:cs="仿宋"/>
          <w:color w:val="000000" w:themeColor="text1"/>
          <w14:textFill>
            <w14:solidFill>
              <w14:schemeClr w14:val="tx1"/>
            </w14:solidFill>
          </w14:textFill>
        </w:rPr>
      </w:pPr>
      <w:bookmarkStart w:id="102" w:name="_Toc193815627"/>
      <w:bookmarkStart w:id="103" w:name="_Toc178007549"/>
      <w:r>
        <w:rPr>
          <w:rFonts w:hint="eastAsia" w:ascii="仿宋" w:hAnsi="仿宋" w:eastAsia="仿宋" w:cs="仿宋"/>
          <w:color w:val="000000" w:themeColor="text1"/>
          <w14:textFill>
            <w14:solidFill>
              <w14:schemeClr w14:val="tx1"/>
            </w14:solidFill>
          </w14:textFill>
        </w:rPr>
        <w:t>3.承包人</w:t>
      </w:r>
      <w:bookmarkEnd w:id="102"/>
      <w:bookmarkEnd w:id="103"/>
    </w:p>
    <w:p w14:paraId="7BFE02EB">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04" w:name="_Toc178007550"/>
      <w:r>
        <w:rPr>
          <w:rFonts w:hint="eastAsia" w:ascii="仿宋" w:hAnsi="仿宋" w:eastAsia="仿宋" w:cs="仿宋"/>
          <w:color w:val="000000" w:themeColor="text1"/>
          <w14:textFill>
            <w14:solidFill>
              <w14:schemeClr w14:val="tx1"/>
            </w14:solidFill>
          </w14:textFill>
        </w:rPr>
        <w:t>3.1承包人的一般义务</w:t>
      </w:r>
      <w:bookmarkEnd w:id="104"/>
    </w:p>
    <w:p w14:paraId="3C45F13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承包人在履行合同过程中应遵守法律和工程建设标准规范，并履行以下义务：</w:t>
      </w:r>
    </w:p>
    <w:p w14:paraId="4B54CA84">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（1）办理法律规定应由承包人办理的许可和批准，并将办理结果书面报送发包人留存；</w:t>
      </w:r>
    </w:p>
    <w:p w14:paraId="158B17CA">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（2）按法律规定和合同约定完成工程，并在保修期内承担保修义务；</w:t>
      </w:r>
    </w:p>
    <w:p w14:paraId="2F7FB8D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（3）按法律规定和合同约定采取施工安全和环境保护措施，办理工伤保险，确保工程及人员、材料、设备和设施的安全；</w:t>
      </w:r>
    </w:p>
    <w:p w14:paraId="2CFCCB47">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（4）按合同约定的工作内容和施工进度要求，编制施工组织设计和施工措施计划，并对所有施工作业和施工方法的完备性和安全可靠性负责；</w:t>
      </w:r>
    </w:p>
    <w:p w14:paraId="12D40BF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F543324">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（6）按照第6.3款〔环境保护〕约定负责施工场地及其周边环境与生态的保护工作；</w:t>
      </w:r>
    </w:p>
    <w:p w14:paraId="63F1E0E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（7）按照第6.1款〔安全文明施工〕约定采取施工安全措施，确保工程及其人员、材料、设备和设施的安全，防止因工程施工造成的人身伤害和财产损失；</w:t>
      </w:r>
    </w:p>
    <w:p w14:paraId="328670F4">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（8）将发包人按合同约定支付的各项价款专用于合同工程，且应及时支付其雇用人员工资，并及时向分包人支付合同价款；</w:t>
      </w:r>
    </w:p>
    <w:p w14:paraId="75BD379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（9）按照法律规定和合同约定编制竣工资料，完成竣工资料立卷及归档，并按专用合同条款约定的竣工资料的套数、内容、时间等要求移交发包人；</w:t>
      </w:r>
    </w:p>
    <w:p w14:paraId="53C4D649">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（10）应履行的其他义务。</w:t>
      </w:r>
    </w:p>
    <w:p w14:paraId="39F84077">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05" w:name="_Toc178007551"/>
      <w:r>
        <w:rPr>
          <w:rFonts w:hint="eastAsia" w:ascii="仿宋" w:hAnsi="仿宋" w:eastAsia="仿宋" w:cs="仿宋"/>
          <w:color w:val="000000" w:themeColor="text1"/>
          <w14:textFill>
            <w14:solidFill>
              <w14:schemeClr w14:val="tx1"/>
            </w14:solidFill>
          </w14:textFill>
        </w:rPr>
        <w:t>3.2项目经理</w:t>
      </w:r>
      <w:bookmarkEnd w:id="105"/>
    </w:p>
    <w:p w14:paraId="24D1B3E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445A1D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64107D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承包人违反上述约定的，应按照专用合同条款的约定，承担违约责任。</w:t>
      </w:r>
    </w:p>
    <w:p w14:paraId="05D982F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02E2D0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A2564F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EDC131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3.2.5项目经理因特殊情况授权其下属人员履行其某项工作职责的，该下属人员应具备履行相应职责的能力，并应提前7天将上述人员的姓名和授权范围书面通知监理人，并征得发包人书面同意。</w:t>
      </w:r>
    </w:p>
    <w:p w14:paraId="6714697B">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06" w:name="_Toc178007552"/>
      <w:r>
        <w:rPr>
          <w:rFonts w:hint="eastAsia" w:ascii="仿宋" w:hAnsi="仿宋" w:eastAsia="仿宋" w:cs="仿宋"/>
          <w:color w:val="000000" w:themeColor="text1"/>
          <w14:textFill>
            <w14:solidFill>
              <w14:schemeClr w14:val="tx1"/>
            </w14:solidFill>
          </w14:textFill>
        </w:rPr>
        <w:t>3.3承包人人员</w:t>
      </w:r>
      <w:bookmarkEnd w:id="106"/>
    </w:p>
    <w:p w14:paraId="5B54D2C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5F478D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EE3247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特殊工种作业人员均应持有相应的资格证明，监理人可以随时检查。</w:t>
      </w:r>
    </w:p>
    <w:p w14:paraId="335D39F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E8F088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70698B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3.3.5承包人擅自更换主要施工管理人员，或前述人员未经监理人或发包人同意擅自离开施工现场的，应按照专用合同条款约定承担违约责任。</w:t>
      </w:r>
    </w:p>
    <w:p w14:paraId="77045667">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07" w:name="_Toc178007553"/>
      <w:r>
        <w:rPr>
          <w:rFonts w:hint="eastAsia" w:ascii="仿宋" w:hAnsi="仿宋" w:eastAsia="仿宋" w:cs="仿宋"/>
          <w:color w:val="000000" w:themeColor="text1"/>
          <w14:textFill>
            <w14:solidFill>
              <w14:schemeClr w14:val="tx1"/>
            </w14:solidFill>
          </w14:textFill>
        </w:rPr>
        <w:t>3.4承包人现场查勘</w:t>
      </w:r>
      <w:bookmarkEnd w:id="107"/>
    </w:p>
    <w:p w14:paraId="096D58A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14:paraId="7FBB70C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F0EAED5">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08" w:name="_Toc178007554"/>
      <w:r>
        <w:rPr>
          <w:rFonts w:hint="eastAsia" w:ascii="仿宋" w:hAnsi="仿宋" w:eastAsia="仿宋" w:cs="仿宋"/>
          <w:color w:val="000000" w:themeColor="text1"/>
          <w14:textFill>
            <w14:solidFill>
              <w14:schemeClr w14:val="tx1"/>
            </w14:solidFill>
          </w14:textFill>
        </w:rPr>
        <w:t>3.5分包</w:t>
      </w:r>
      <w:bookmarkEnd w:id="108"/>
    </w:p>
    <w:p w14:paraId="18346A9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3.5.1分包的一般约定</w:t>
      </w:r>
    </w:p>
    <w:p w14:paraId="79F5173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B10ECC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承包人不得以劳务分包的名义转包或违法分包工程。</w:t>
      </w:r>
    </w:p>
    <w:p w14:paraId="3AB9503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3.5.2分包的确定</w:t>
      </w:r>
    </w:p>
    <w:p w14:paraId="19421D3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31C03C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3.5.3分包管理</w:t>
      </w:r>
    </w:p>
    <w:p w14:paraId="2D70903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14:paraId="327A456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3.5.4分包合同价款</w:t>
      </w:r>
    </w:p>
    <w:p w14:paraId="7E56B98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14:paraId="295C332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（2）生效法律文书要求发包人向分包人支付分包合同价款的，发包人有权从应付承包人工程款中扣除该部分款项。</w:t>
      </w:r>
    </w:p>
    <w:p w14:paraId="65E93B8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3.5.5分包合同权益的转让</w:t>
      </w:r>
    </w:p>
    <w:p w14:paraId="18D9C6E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117666DC">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09" w:name="_Toc178007555"/>
      <w:r>
        <w:rPr>
          <w:rFonts w:hint="eastAsia" w:ascii="仿宋" w:hAnsi="仿宋" w:eastAsia="仿宋" w:cs="仿宋"/>
          <w:color w:val="000000" w:themeColor="text1"/>
          <w14:textFill>
            <w14:solidFill>
              <w14:schemeClr w14:val="tx1"/>
            </w14:solidFill>
          </w14:textFill>
        </w:rPr>
        <w:t>3.6工程照管与成品、半成品保护</w:t>
      </w:r>
      <w:bookmarkEnd w:id="109"/>
    </w:p>
    <w:p w14:paraId="78C8284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14:paraId="4C5101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（2）在承包人负责照管期间，因承包人原因造成工程、材料、工程设备损坏的，由承包人负责修复或更换，并承担由此增加的费用和（或）延误的工期。</w:t>
      </w:r>
    </w:p>
    <w:p w14:paraId="1E6E4BB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14:paraId="0785A48F">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10" w:name="_Toc178007556"/>
      <w:r>
        <w:rPr>
          <w:rFonts w:hint="eastAsia" w:ascii="仿宋" w:hAnsi="仿宋" w:eastAsia="仿宋" w:cs="仿宋"/>
          <w:color w:val="000000" w:themeColor="text1"/>
          <w14:textFill>
            <w14:solidFill>
              <w14:schemeClr w14:val="tx1"/>
            </w14:solidFill>
          </w14:textFill>
        </w:rPr>
        <w:t>3.7履约担保</w:t>
      </w:r>
      <w:bookmarkEnd w:id="110"/>
    </w:p>
    <w:p w14:paraId="2DE4A54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71C58B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14:paraId="1D29F9C5">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11" w:name="_Toc178007557"/>
      <w:r>
        <w:rPr>
          <w:rFonts w:hint="eastAsia" w:ascii="仿宋" w:hAnsi="仿宋" w:eastAsia="仿宋" w:cs="仿宋"/>
          <w:color w:val="000000" w:themeColor="text1"/>
          <w14:textFill>
            <w14:solidFill>
              <w14:schemeClr w14:val="tx1"/>
            </w14:solidFill>
          </w14:textFill>
        </w:rPr>
        <w:t>3.8联合体</w:t>
      </w:r>
      <w:bookmarkEnd w:id="111"/>
    </w:p>
    <w:p w14:paraId="6006B83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3.8.1联合体各方应共同与发包人签订合同协议书。联合体各方应为履行合同向发包人承担连带责任。</w:t>
      </w:r>
    </w:p>
    <w:p w14:paraId="7E7D986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3.8.2联合体协议经发包人确认后作为合同附件。在履行合同过程中，未经发包人同意，不得修改联合体协议。</w:t>
      </w:r>
    </w:p>
    <w:p w14:paraId="5FA1E32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3.8.3联合体牵头人负责与发包人和监理人联系，并接受指示，负责组织联合体各成员全面履行合同。</w:t>
      </w:r>
    </w:p>
    <w:p w14:paraId="75FDA0D8">
      <w:pPr>
        <w:pStyle w:val="4"/>
        <w:spacing w:line="240" w:lineRule="auto"/>
        <w:rPr>
          <w:rFonts w:hint="eastAsia" w:ascii="仿宋" w:hAnsi="仿宋" w:eastAsia="仿宋" w:cs="仿宋"/>
          <w:color w:val="000000" w:themeColor="text1"/>
          <w14:textFill>
            <w14:solidFill>
              <w14:schemeClr w14:val="tx1"/>
            </w14:solidFill>
          </w14:textFill>
        </w:rPr>
      </w:pPr>
      <w:bookmarkStart w:id="112" w:name="_Toc178007558"/>
      <w:bookmarkStart w:id="113" w:name="_Toc193815628"/>
      <w:r>
        <w:rPr>
          <w:rFonts w:hint="eastAsia" w:ascii="仿宋" w:hAnsi="仿宋" w:eastAsia="仿宋" w:cs="仿宋"/>
          <w:color w:val="000000" w:themeColor="text1"/>
          <w14:textFill>
            <w14:solidFill>
              <w14:schemeClr w14:val="tx1"/>
            </w14:solidFill>
          </w14:textFill>
        </w:rPr>
        <w:t>4.监理人</w:t>
      </w:r>
      <w:bookmarkEnd w:id="112"/>
      <w:bookmarkEnd w:id="113"/>
    </w:p>
    <w:p w14:paraId="0A902657">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14" w:name="_Toc178007559"/>
      <w:r>
        <w:rPr>
          <w:rFonts w:hint="eastAsia" w:ascii="仿宋" w:hAnsi="仿宋" w:eastAsia="仿宋" w:cs="仿宋"/>
          <w:color w:val="000000" w:themeColor="text1"/>
          <w14:textFill>
            <w14:solidFill>
              <w14:schemeClr w14:val="tx1"/>
            </w14:solidFill>
          </w14:textFill>
        </w:rPr>
        <w:t>4.1监理人的一般规定</w:t>
      </w:r>
      <w:bookmarkEnd w:id="114"/>
    </w:p>
    <w:p w14:paraId="2EDA9CD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FCE865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除专用合同条款另有约定外，监理人在施工现场的办公场所、生活场所由承包人提供，所发生的费用由发包人承担。</w:t>
      </w:r>
    </w:p>
    <w:p w14:paraId="5531EFFF">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15" w:name="_Toc178007560"/>
      <w:r>
        <w:rPr>
          <w:rFonts w:hint="eastAsia" w:ascii="仿宋" w:hAnsi="仿宋" w:eastAsia="仿宋" w:cs="仿宋"/>
          <w:color w:val="000000" w:themeColor="text1"/>
          <w14:textFill>
            <w14:solidFill>
              <w14:schemeClr w14:val="tx1"/>
            </w14:solidFill>
          </w14:textFill>
        </w:rPr>
        <w:t>4.2监理人员</w:t>
      </w:r>
      <w:bookmarkEnd w:id="115"/>
    </w:p>
    <w:p w14:paraId="77A572F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56506E06">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16" w:name="_Toc178007561"/>
      <w:r>
        <w:rPr>
          <w:rFonts w:hint="eastAsia" w:ascii="仿宋" w:hAnsi="仿宋" w:eastAsia="仿宋" w:cs="仿宋"/>
          <w:color w:val="000000" w:themeColor="text1"/>
          <w14:textFill>
            <w14:solidFill>
              <w14:schemeClr w14:val="tx1"/>
            </w14:solidFill>
          </w14:textFill>
        </w:rPr>
        <w:t>4.3监理人的指示</w:t>
      </w:r>
      <w:bookmarkEnd w:id="116"/>
    </w:p>
    <w:p w14:paraId="06BB13D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78AEF58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44AEA5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14:paraId="38C5B69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14:paraId="2855B337">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17" w:name="_Toc178007562"/>
      <w:r>
        <w:rPr>
          <w:rFonts w:hint="eastAsia" w:ascii="仿宋" w:hAnsi="仿宋" w:eastAsia="仿宋" w:cs="仿宋"/>
          <w:color w:val="000000" w:themeColor="text1"/>
          <w14:textFill>
            <w14:solidFill>
              <w14:schemeClr w14:val="tx1"/>
            </w14:solidFill>
          </w14:textFill>
        </w:rPr>
        <w:t>4.4商定或确定</w:t>
      </w:r>
      <w:bookmarkEnd w:id="117"/>
    </w:p>
    <w:p w14:paraId="194F22D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14:paraId="1464DC7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07F769D">
      <w:pPr>
        <w:pStyle w:val="4"/>
        <w:spacing w:line="240" w:lineRule="auto"/>
        <w:rPr>
          <w:rFonts w:hint="eastAsia" w:ascii="仿宋" w:hAnsi="仿宋" w:eastAsia="仿宋" w:cs="仿宋"/>
          <w:color w:val="000000" w:themeColor="text1"/>
          <w14:textFill>
            <w14:solidFill>
              <w14:schemeClr w14:val="tx1"/>
            </w14:solidFill>
          </w14:textFill>
        </w:rPr>
      </w:pPr>
      <w:bookmarkStart w:id="118" w:name="_Toc178007563"/>
      <w:bookmarkStart w:id="119" w:name="_Toc193815629"/>
      <w:r>
        <w:rPr>
          <w:rFonts w:hint="eastAsia" w:ascii="仿宋" w:hAnsi="仿宋" w:eastAsia="仿宋" w:cs="仿宋"/>
          <w:color w:val="000000" w:themeColor="text1"/>
          <w14:textFill>
            <w14:solidFill>
              <w14:schemeClr w14:val="tx1"/>
            </w14:solidFill>
          </w14:textFill>
        </w:rPr>
        <w:t>5.工程质量</w:t>
      </w:r>
      <w:bookmarkEnd w:id="118"/>
      <w:bookmarkEnd w:id="119"/>
    </w:p>
    <w:p w14:paraId="5546F14F">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20" w:name="_Toc178007564"/>
      <w:r>
        <w:rPr>
          <w:rFonts w:hint="eastAsia" w:ascii="仿宋" w:hAnsi="仿宋" w:eastAsia="仿宋" w:cs="仿宋"/>
          <w:color w:val="000000" w:themeColor="text1"/>
          <w14:textFill>
            <w14:solidFill>
              <w14:schemeClr w14:val="tx1"/>
            </w14:solidFill>
          </w14:textFill>
        </w:rPr>
        <w:t>5.1质量要求</w:t>
      </w:r>
      <w:bookmarkEnd w:id="120"/>
    </w:p>
    <w:p w14:paraId="0BE4875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5.1.1工程质量标准必须符合现行国家有关工程施工质量验收规范和标准的要求。有关工程质量的特殊标准或要求由合同当事人在专用合同条款中约定。</w:t>
      </w:r>
    </w:p>
    <w:p w14:paraId="7804BAC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5.1.2因发包人原因造成工程质量未达到合同约定标准的，由发包人承担由此增加的费用和（或）延误的工期，并支付承包人合理的利润。</w:t>
      </w:r>
    </w:p>
    <w:p w14:paraId="3946DA6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5.1.3因承包人原因造成工程质量未达到合同约定标准的，发包人有权要求承包人返工直至工程质量达到合同约定的标准为止，并由承包人承担由此增加的费用和（或）延误的工期。</w:t>
      </w:r>
    </w:p>
    <w:p w14:paraId="3E919261">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21" w:name="_Toc178007565"/>
      <w:r>
        <w:rPr>
          <w:rFonts w:hint="eastAsia" w:ascii="仿宋" w:hAnsi="仿宋" w:eastAsia="仿宋" w:cs="仿宋"/>
          <w:color w:val="000000" w:themeColor="text1"/>
          <w14:textFill>
            <w14:solidFill>
              <w14:schemeClr w14:val="tx1"/>
            </w14:solidFill>
          </w14:textFill>
        </w:rPr>
        <w:t>5.2质量保证措施</w:t>
      </w:r>
      <w:bookmarkEnd w:id="121"/>
    </w:p>
    <w:p w14:paraId="171AAE0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5.2.1发包人的质量管理</w:t>
      </w:r>
    </w:p>
    <w:p w14:paraId="45281E5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发包人应按照法律规定及合同约定完成与工程质量有关的各项工作。</w:t>
      </w:r>
    </w:p>
    <w:p w14:paraId="3A66B8C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5.2.2承包人的质量管理</w:t>
      </w:r>
    </w:p>
    <w:p w14:paraId="25736C5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08A751B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承包人应对施工人员进行质量教育和技术培训，定期考核施工人员的劳动技能，严格执行施工规范和操作规程。</w:t>
      </w:r>
    </w:p>
    <w:p w14:paraId="10C40CF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6C0D1D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5.2.3监理人的质量检查和检验</w:t>
      </w:r>
    </w:p>
    <w:p w14:paraId="26BCA6D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8A1A71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67A542D">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22" w:name="_Toc178007566"/>
      <w:r>
        <w:rPr>
          <w:rFonts w:hint="eastAsia" w:ascii="仿宋" w:hAnsi="仿宋" w:eastAsia="仿宋" w:cs="仿宋"/>
          <w:color w:val="000000" w:themeColor="text1"/>
          <w14:textFill>
            <w14:solidFill>
              <w14:schemeClr w14:val="tx1"/>
            </w14:solidFill>
          </w14:textFill>
        </w:rPr>
        <w:t>5.3隐蔽工程检查</w:t>
      </w:r>
      <w:bookmarkEnd w:id="122"/>
    </w:p>
    <w:p w14:paraId="559D3F6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5.3.1承包人自检</w:t>
      </w:r>
    </w:p>
    <w:p w14:paraId="2DC0F2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承包人应当对工程隐蔽部位进行自检，并经自检确认是否具备覆盖条件。</w:t>
      </w:r>
    </w:p>
    <w:p w14:paraId="5EE38C6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5.3.2检查程序</w:t>
      </w:r>
    </w:p>
    <w:p w14:paraId="73D351F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AA8AD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B74857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E7E1F0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5.3.3重新检查</w:t>
      </w:r>
    </w:p>
    <w:p w14:paraId="12E72C5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E16B41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5.3.4承包人私自覆盖</w:t>
      </w:r>
    </w:p>
    <w:p w14:paraId="3E9EC2D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14:paraId="5CFB94EE">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23" w:name="_Toc178007567"/>
      <w:r>
        <w:rPr>
          <w:rFonts w:hint="eastAsia" w:ascii="仿宋" w:hAnsi="仿宋" w:eastAsia="仿宋" w:cs="仿宋"/>
          <w:color w:val="000000" w:themeColor="text1"/>
          <w14:textFill>
            <w14:solidFill>
              <w14:schemeClr w14:val="tx1"/>
            </w14:solidFill>
          </w14:textFill>
        </w:rPr>
        <w:t>5.4不合格工程的处理</w:t>
      </w:r>
      <w:bookmarkEnd w:id="123"/>
    </w:p>
    <w:p w14:paraId="2CE6749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708740A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5.4.2因发包人原因造成工程不合格的，由此增加的费用和（或）延误的工期由发包人承担，并支付承包人合理的利润。</w:t>
      </w:r>
    </w:p>
    <w:p w14:paraId="6DD4A625">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24" w:name="_Toc178007568"/>
      <w:r>
        <w:rPr>
          <w:rFonts w:hint="eastAsia" w:ascii="仿宋" w:hAnsi="仿宋" w:eastAsia="仿宋" w:cs="仿宋"/>
          <w:color w:val="000000" w:themeColor="text1"/>
          <w14:textFill>
            <w14:solidFill>
              <w14:schemeClr w14:val="tx1"/>
            </w14:solidFill>
          </w14:textFill>
        </w:rPr>
        <w:t>5.5质量争议检测</w:t>
      </w:r>
      <w:bookmarkEnd w:id="124"/>
    </w:p>
    <w:p w14:paraId="2C96AC2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合同当事人对工程质量有争议的，由双方协商确定的工程质量检测机构鉴定，由此产生的费用及因此造成的损失，由责任方承担。</w:t>
      </w:r>
    </w:p>
    <w:p w14:paraId="7674CAD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合同当事人均有责任的，由双方根据其责任分别承担。合同当事人无法达成一致的，按照第4.4款〔商定或确定〕执行。</w:t>
      </w:r>
    </w:p>
    <w:p w14:paraId="07AEB942">
      <w:pPr>
        <w:pStyle w:val="4"/>
        <w:spacing w:line="240" w:lineRule="auto"/>
        <w:rPr>
          <w:rFonts w:hint="eastAsia" w:ascii="仿宋" w:hAnsi="仿宋" w:eastAsia="仿宋" w:cs="仿宋"/>
          <w:color w:val="000000" w:themeColor="text1"/>
          <w14:textFill>
            <w14:solidFill>
              <w14:schemeClr w14:val="tx1"/>
            </w14:solidFill>
          </w14:textFill>
        </w:rPr>
      </w:pPr>
      <w:bookmarkStart w:id="125" w:name="_Toc193815630"/>
      <w:bookmarkStart w:id="126" w:name="_Toc178007569"/>
      <w:r>
        <w:rPr>
          <w:rFonts w:hint="eastAsia" w:ascii="仿宋" w:hAnsi="仿宋" w:eastAsia="仿宋" w:cs="仿宋"/>
          <w:color w:val="000000" w:themeColor="text1"/>
          <w14:textFill>
            <w14:solidFill>
              <w14:schemeClr w14:val="tx1"/>
            </w14:solidFill>
          </w14:textFill>
        </w:rPr>
        <w:t>6.安全文明施工与环境保护</w:t>
      </w:r>
      <w:bookmarkEnd w:id="125"/>
      <w:bookmarkEnd w:id="126"/>
    </w:p>
    <w:p w14:paraId="3B40A83D">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27" w:name="_Toc178007570"/>
      <w:r>
        <w:rPr>
          <w:rFonts w:hint="eastAsia" w:ascii="仿宋" w:hAnsi="仿宋" w:eastAsia="仿宋" w:cs="仿宋"/>
          <w:color w:val="000000" w:themeColor="text1"/>
          <w14:textFill>
            <w14:solidFill>
              <w14:schemeClr w14:val="tx1"/>
            </w14:solidFill>
          </w14:textFill>
        </w:rPr>
        <w:t>6.1安全文明施工</w:t>
      </w:r>
      <w:bookmarkEnd w:id="127"/>
    </w:p>
    <w:p w14:paraId="1A35EDE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6.1.1安全生产要求</w:t>
      </w:r>
    </w:p>
    <w:p w14:paraId="7CBC854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DF1F48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在施工过程中，如遇到突发的地质变动、事先未知的地下施工障碍等影响施工安全的紧急情况，承包人应及时报告监理人和发包人，发包人应当及时下令停工并报政府有关行政管理部门采取应急措施。</w:t>
      </w:r>
    </w:p>
    <w:p w14:paraId="4E17932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因安全生产需要暂停施工的，按照第7.8款〔暂停施工〕的约定执行。</w:t>
      </w:r>
    </w:p>
    <w:p w14:paraId="0EC5DBD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6.1.2安全生产保证措施</w:t>
      </w:r>
    </w:p>
    <w:p w14:paraId="69423EB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438BBD0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6.1.3特别安全生产事项</w:t>
      </w:r>
    </w:p>
    <w:p w14:paraId="2B2DFE9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95F061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承包人在动力设备、输电线路、地下管道、密封防震车间、易燃易爆地段以及临街交通要道附近施工时，施工开始前应向发包人和监理人提出安全防护措施，经发包人认可后实施。</w:t>
      </w:r>
    </w:p>
    <w:p w14:paraId="0EAC04E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14:paraId="3082F07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14:paraId="0303A95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6.1.4治安保卫</w:t>
      </w:r>
    </w:p>
    <w:p w14:paraId="4306DAD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14:paraId="2C6B843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发包人和承包人除应协助现场治安管理机构或联防组织维护施工场地的社会治安外，还应做好包括生活区在内的各自管辖区的治安保卫工作。</w:t>
      </w:r>
    </w:p>
    <w:p w14:paraId="4903EC7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42AFF3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6.1.5文明施工</w:t>
      </w:r>
    </w:p>
    <w:p w14:paraId="23231E4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B1E301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C442A4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6.1.6安全文明施工费</w:t>
      </w:r>
    </w:p>
    <w:p w14:paraId="7F67FA9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14:paraId="4430D6F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53C25B5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0426DC0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44D863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6.1.7紧急情况处理</w:t>
      </w:r>
    </w:p>
    <w:p w14:paraId="7EE19D1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ED8EF3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6.1.8事故处理</w:t>
      </w:r>
    </w:p>
    <w:p w14:paraId="3542FE2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344520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6.1.9安全生产责任</w:t>
      </w:r>
    </w:p>
    <w:p w14:paraId="41FD6F5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6.1.9.1发包人的安全责任</w:t>
      </w:r>
    </w:p>
    <w:p w14:paraId="16216B5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发包人应负责赔偿以下各种情况造成的损失：</w:t>
      </w:r>
    </w:p>
    <w:p w14:paraId="53FC184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（1）工程或工程的任何部分对土地的占用所造成的第三者财产损失；</w:t>
      </w:r>
    </w:p>
    <w:p w14:paraId="731790D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（2）由于发包人原因在施工场地及其毗邻地带造成的第三者人身伤亡和财产损失；</w:t>
      </w:r>
    </w:p>
    <w:p w14:paraId="32C10D0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（3）由于发包人原因对承包人、监理人造成的人员人身伤亡和财产损失；</w:t>
      </w:r>
    </w:p>
    <w:p w14:paraId="7BBC01B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（4）由于发包人原因造成的发包人自身人员的人身伤害以及财产损失。</w:t>
      </w:r>
    </w:p>
    <w:p w14:paraId="361A56F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6.1.9.2承包人的安全责任</w:t>
      </w:r>
    </w:p>
    <w:p w14:paraId="5B42A36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由于承包人原因在施工场地内及其毗邻地带造成的发包人、监理人以及第三者人员伤亡和财产损失，由承包人负责赔偿。</w:t>
      </w:r>
    </w:p>
    <w:p w14:paraId="545374CD">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28" w:name="_Toc178007571"/>
      <w:r>
        <w:rPr>
          <w:rFonts w:hint="eastAsia" w:ascii="仿宋" w:hAnsi="仿宋" w:eastAsia="仿宋" w:cs="仿宋"/>
          <w:color w:val="000000" w:themeColor="text1"/>
          <w14:textFill>
            <w14:solidFill>
              <w14:schemeClr w14:val="tx1"/>
            </w14:solidFill>
          </w14:textFill>
        </w:rPr>
        <w:t>6.2职业健康</w:t>
      </w:r>
      <w:bookmarkEnd w:id="128"/>
    </w:p>
    <w:p w14:paraId="6A33D40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6.2.1劳动保护</w:t>
      </w:r>
    </w:p>
    <w:p w14:paraId="70B61F5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E61335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C34930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14:paraId="62E4A6A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6.2.2生活条件</w:t>
      </w:r>
    </w:p>
    <w:p w14:paraId="7E80674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68DF9DE4">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29" w:name="_Toc178007572"/>
      <w:r>
        <w:rPr>
          <w:rFonts w:hint="eastAsia" w:ascii="仿宋" w:hAnsi="仿宋" w:eastAsia="仿宋" w:cs="仿宋"/>
          <w:color w:val="000000" w:themeColor="text1"/>
          <w14:textFill>
            <w14:solidFill>
              <w14:schemeClr w14:val="tx1"/>
            </w14:solidFill>
          </w14:textFill>
        </w:rPr>
        <w:t>6.3环境保护</w:t>
      </w:r>
      <w:bookmarkEnd w:id="129"/>
    </w:p>
    <w:p w14:paraId="7ED425E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F7C0F4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14:paraId="4F95049E">
      <w:pPr>
        <w:pStyle w:val="4"/>
        <w:spacing w:line="240" w:lineRule="auto"/>
        <w:rPr>
          <w:rFonts w:hint="eastAsia" w:ascii="仿宋" w:hAnsi="仿宋" w:eastAsia="仿宋" w:cs="仿宋"/>
          <w:color w:val="000000" w:themeColor="text1"/>
          <w14:textFill>
            <w14:solidFill>
              <w14:schemeClr w14:val="tx1"/>
            </w14:solidFill>
          </w14:textFill>
        </w:rPr>
      </w:pPr>
      <w:bookmarkStart w:id="130" w:name="_Toc193815631"/>
      <w:bookmarkStart w:id="131" w:name="_Toc178007573"/>
      <w:r>
        <w:rPr>
          <w:rFonts w:hint="eastAsia" w:ascii="仿宋" w:hAnsi="仿宋" w:eastAsia="仿宋" w:cs="仿宋"/>
          <w:color w:val="000000" w:themeColor="text1"/>
          <w14:textFill>
            <w14:solidFill>
              <w14:schemeClr w14:val="tx1"/>
            </w14:solidFill>
          </w14:textFill>
        </w:rPr>
        <w:t>7.工期和进度</w:t>
      </w:r>
      <w:bookmarkEnd w:id="130"/>
      <w:bookmarkEnd w:id="131"/>
    </w:p>
    <w:p w14:paraId="3FDDE670">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32" w:name="_Toc178007574"/>
      <w:r>
        <w:rPr>
          <w:rFonts w:hint="eastAsia" w:ascii="仿宋" w:hAnsi="仿宋" w:eastAsia="仿宋" w:cs="仿宋"/>
          <w:color w:val="000000" w:themeColor="text1"/>
          <w14:textFill>
            <w14:solidFill>
              <w14:schemeClr w14:val="tx1"/>
            </w14:solidFill>
          </w14:textFill>
        </w:rPr>
        <w:t>7.1施工组织设计</w:t>
      </w:r>
      <w:bookmarkEnd w:id="132"/>
    </w:p>
    <w:p w14:paraId="0A9F9BE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7.1.1施工组织设计的内容</w:t>
      </w:r>
    </w:p>
    <w:p w14:paraId="73F99A4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施工组织设计应包含以下内容：</w:t>
      </w:r>
    </w:p>
    <w:p w14:paraId="09A4FC1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（1）施工方案；</w:t>
      </w:r>
    </w:p>
    <w:p w14:paraId="0E671FD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（2）施工现场平面布置图；</w:t>
      </w:r>
    </w:p>
    <w:p w14:paraId="43B2025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（3）施工进度计划和保证措施；</w:t>
      </w:r>
    </w:p>
    <w:p w14:paraId="1BCB84E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（4）劳动力及材料供应计划；</w:t>
      </w:r>
    </w:p>
    <w:p w14:paraId="6400D8B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（5）施工机械设备的选用；</w:t>
      </w:r>
    </w:p>
    <w:p w14:paraId="6F1EA77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（6）质量保证体系及措施；</w:t>
      </w:r>
    </w:p>
    <w:p w14:paraId="29C98B7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（7）安全生产、文明施工措施；</w:t>
      </w:r>
    </w:p>
    <w:p w14:paraId="48C1B57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（8）环境保护、成本控制措施；</w:t>
      </w:r>
    </w:p>
    <w:p w14:paraId="47B0275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（9）合同当事人约定的其他内容。</w:t>
      </w:r>
    </w:p>
    <w:p w14:paraId="7237922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7.1.2施工组织设计的提交和修改</w:t>
      </w:r>
    </w:p>
    <w:p w14:paraId="12B23FA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D4CA8A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施工进度计划的编制和修改按照第7.2款〔施工进度计划〕执行。</w:t>
      </w:r>
    </w:p>
    <w:p w14:paraId="3F30B6BF">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33" w:name="_Toc178007575"/>
      <w:r>
        <w:rPr>
          <w:rFonts w:hint="eastAsia" w:ascii="仿宋" w:hAnsi="仿宋" w:eastAsia="仿宋" w:cs="仿宋"/>
          <w:color w:val="000000" w:themeColor="text1"/>
          <w14:textFill>
            <w14:solidFill>
              <w14:schemeClr w14:val="tx1"/>
            </w14:solidFill>
          </w14:textFill>
        </w:rPr>
        <w:t>7.2施工进度计划</w:t>
      </w:r>
      <w:bookmarkEnd w:id="133"/>
    </w:p>
    <w:p w14:paraId="006489C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7.2.1施工进度计划的编制</w:t>
      </w:r>
    </w:p>
    <w:p w14:paraId="7B6C75F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436663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7.2.2施工进度计划的修订</w:t>
      </w:r>
    </w:p>
    <w:p w14:paraId="7F16324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1884336">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34" w:name="_Toc178007576"/>
      <w:r>
        <w:rPr>
          <w:rFonts w:hint="eastAsia" w:ascii="仿宋" w:hAnsi="仿宋" w:eastAsia="仿宋" w:cs="仿宋"/>
          <w:color w:val="000000" w:themeColor="text1"/>
          <w14:textFill>
            <w14:solidFill>
              <w14:schemeClr w14:val="tx1"/>
            </w14:solidFill>
          </w14:textFill>
        </w:rPr>
        <w:t>7.3开工</w:t>
      </w:r>
      <w:bookmarkEnd w:id="134"/>
    </w:p>
    <w:p w14:paraId="64AA064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7.3.1开工准备</w:t>
      </w:r>
    </w:p>
    <w:p w14:paraId="04A383C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AF9613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除专用合同条款另有约定外，合同当事人应按约定完成开工准备工作。</w:t>
      </w:r>
    </w:p>
    <w:p w14:paraId="0E71B21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7.3.2开工通知</w:t>
      </w:r>
    </w:p>
    <w:p w14:paraId="07B1E14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0D57341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586382C">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35" w:name="_Toc178007577"/>
      <w:r>
        <w:rPr>
          <w:rFonts w:hint="eastAsia" w:ascii="仿宋" w:hAnsi="仿宋" w:eastAsia="仿宋" w:cs="仿宋"/>
          <w:color w:val="000000" w:themeColor="text1"/>
          <w14:textFill>
            <w14:solidFill>
              <w14:schemeClr w14:val="tx1"/>
            </w14:solidFill>
          </w14:textFill>
        </w:rPr>
        <w:t>7.4测量放线</w:t>
      </w:r>
      <w:bookmarkEnd w:id="135"/>
    </w:p>
    <w:p w14:paraId="21AAA4D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EFE0A6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4E4A10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53C4D34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施工过程中对施工现场内水准点等测量标志物的保护工作由承包人负责。</w:t>
      </w:r>
    </w:p>
    <w:p w14:paraId="4E991418">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36" w:name="_Toc178007578"/>
      <w:r>
        <w:rPr>
          <w:rFonts w:hint="eastAsia" w:ascii="仿宋" w:hAnsi="仿宋" w:eastAsia="仿宋" w:cs="仿宋"/>
          <w:color w:val="000000" w:themeColor="text1"/>
          <w14:textFill>
            <w14:solidFill>
              <w14:schemeClr w14:val="tx1"/>
            </w14:solidFill>
          </w14:textFill>
        </w:rPr>
        <w:t>7.5工期延误</w:t>
      </w:r>
      <w:bookmarkEnd w:id="136"/>
    </w:p>
    <w:p w14:paraId="592C7E2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7.5.1因发包人原因导致工期延误</w:t>
      </w:r>
    </w:p>
    <w:p w14:paraId="1D6D8D3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在合同履行过程中，因下列情况导致工期延误和（或）费用增加的，由发包人承担由此延误的工期和（或）增加的费用，且发包人应支付承包人合理的利润：</w:t>
      </w:r>
    </w:p>
    <w:p w14:paraId="1C1C3A6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（1）发包人未能按合同约定提供图纸或所提供图纸不符合合同约定的；</w:t>
      </w:r>
    </w:p>
    <w:p w14:paraId="69BFF81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（2）发包人未能按合同约定提供施工现场、施工条件、基础资料、许可、批准等开工条件的；</w:t>
      </w:r>
    </w:p>
    <w:p w14:paraId="7A780DB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（3）发包人提供的测量基准点、基准线和水准点及其书面资料存在错误或疏漏的；</w:t>
      </w:r>
    </w:p>
    <w:p w14:paraId="52954D7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（4）发包人未能在计划开工日期之日起7天内同意下达开工通知的；</w:t>
      </w:r>
    </w:p>
    <w:p w14:paraId="7848F63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（5）发包人未能按合同约定日期支付工程预付款、进度款或竣工结算款的；</w:t>
      </w:r>
    </w:p>
    <w:p w14:paraId="573F9AF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（6）监理人未按合同约定发出指示、批准等文件的；</w:t>
      </w:r>
    </w:p>
    <w:p w14:paraId="30E0C95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（7）专用合同条款中约定的其他情形。</w:t>
      </w:r>
    </w:p>
    <w:p w14:paraId="5270856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372BFFE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7.5.2因承包人原因导致工期延误</w:t>
      </w:r>
    </w:p>
    <w:p w14:paraId="77A3849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因承包人原因造成工期延误的，可以在专用合同条款中约定逾期竣工违约金的计算方法和逾期竣工违约金的上限。承包人支付逾期竣工违约金后，不免除承包人继续完成工程及修补缺陷的义务。</w:t>
      </w:r>
    </w:p>
    <w:p w14:paraId="37B84E8A">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37" w:name="_Toc178007579"/>
      <w:r>
        <w:rPr>
          <w:rFonts w:hint="eastAsia" w:ascii="仿宋" w:hAnsi="仿宋" w:eastAsia="仿宋" w:cs="仿宋"/>
          <w:color w:val="000000" w:themeColor="text1"/>
          <w14:textFill>
            <w14:solidFill>
              <w14:schemeClr w14:val="tx1"/>
            </w14:solidFill>
          </w14:textFill>
        </w:rPr>
        <w:t>7.6不利物质条件</w:t>
      </w:r>
      <w:bookmarkEnd w:id="137"/>
    </w:p>
    <w:p w14:paraId="7BF8D0C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8F547F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A10011F">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38" w:name="_Toc178007580"/>
      <w:r>
        <w:rPr>
          <w:rFonts w:hint="eastAsia" w:ascii="仿宋" w:hAnsi="仿宋" w:eastAsia="仿宋" w:cs="仿宋"/>
          <w:color w:val="000000" w:themeColor="text1"/>
          <w14:textFill>
            <w14:solidFill>
              <w14:schemeClr w14:val="tx1"/>
            </w14:solidFill>
          </w14:textFill>
        </w:rPr>
        <w:t>7.7异常恶劣的气候条件</w:t>
      </w:r>
      <w:bookmarkEnd w:id="138"/>
    </w:p>
    <w:p w14:paraId="3F6BE96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DB7036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0D092F00">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39" w:name="_Toc178007581"/>
      <w:r>
        <w:rPr>
          <w:rFonts w:hint="eastAsia" w:ascii="仿宋" w:hAnsi="仿宋" w:eastAsia="仿宋" w:cs="仿宋"/>
          <w:color w:val="000000" w:themeColor="text1"/>
          <w14:textFill>
            <w14:solidFill>
              <w14:schemeClr w14:val="tx1"/>
            </w14:solidFill>
          </w14:textFill>
        </w:rPr>
        <w:t>7.8暂停施工</w:t>
      </w:r>
      <w:bookmarkEnd w:id="139"/>
    </w:p>
    <w:p w14:paraId="7EDA19F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7.8.1发包人原因引起的暂停施工</w:t>
      </w:r>
    </w:p>
    <w:p w14:paraId="1C5D41F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14:paraId="4071D7A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因发包人原因引起的暂停施工，发包人应承担由此增加的费用和（或）延误的工期，并支付承包人合理的利润。</w:t>
      </w:r>
    </w:p>
    <w:p w14:paraId="3F0F012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7.8.2承包人原因引起的暂停施工</w:t>
      </w:r>
    </w:p>
    <w:p w14:paraId="15E3C51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7BF8F4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7.8.3指示暂停施工</w:t>
      </w:r>
    </w:p>
    <w:p w14:paraId="2935A3E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监理人认为有必要时，并经发包人批准后，可向承包人作出暂停施工的指示，承包人应按监理人指示暂停施工。</w:t>
      </w:r>
    </w:p>
    <w:p w14:paraId="611AA90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7.8.4紧急情况下的暂停施工</w:t>
      </w:r>
    </w:p>
    <w:p w14:paraId="5DBDE3E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1AB6D20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7.8.5暂停施工后的复工</w:t>
      </w:r>
    </w:p>
    <w:p w14:paraId="26284B2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5A68CB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14:paraId="410736C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7.8.6暂停施工持续56天以上</w:t>
      </w:r>
    </w:p>
    <w:p w14:paraId="45F3332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6911672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F004E4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7.8.7暂停施工期间的工程照管</w:t>
      </w:r>
    </w:p>
    <w:p w14:paraId="7F8FBF5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暂停施工期间，承包人应负责妥善照管工程并提供安全保障，由此增加的费用由责任方承担。</w:t>
      </w:r>
    </w:p>
    <w:p w14:paraId="1DEE98D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7.8.8暂停施工的措施</w:t>
      </w:r>
    </w:p>
    <w:p w14:paraId="26CFB62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暂停施工期间，发包人和承包人均应采取必要的措施确保工程质量及安全，防止因暂停施工扩大损失。</w:t>
      </w:r>
    </w:p>
    <w:p w14:paraId="5D5DCC83">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40" w:name="_Toc178007582"/>
      <w:r>
        <w:rPr>
          <w:rFonts w:hint="eastAsia" w:ascii="仿宋" w:hAnsi="仿宋" w:eastAsia="仿宋" w:cs="仿宋"/>
          <w:color w:val="000000" w:themeColor="text1"/>
          <w14:textFill>
            <w14:solidFill>
              <w14:schemeClr w14:val="tx1"/>
            </w14:solidFill>
          </w14:textFill>
        </w:rPr>
        <w:t>7.9提前竣工</w:t>
      </w:r>
      <w:bookmarkEnd w:id="140"/>
    </w:p>
    <w:p w14:paraId="1B681ED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50DB0C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7.9.2发包人要求承包人提前竣工，或承包人提出提前竣工的建议能够给发包人带来效益的，合同当事人可以在专用合同条款中约定提前竣工的奖励。</w:t>
      </w:r>
    </w:p>
    <w:p w14:paraId="2367A5D5">
      <w:pPr>
        <w:pStyle w:val="4"/>
        <w:spacing w:line="240" w:lineRule="auto"/>
        <w:rPr>
          <w:rFonts w:hint="eastAsia" w:ascii="仿宋" w:hAnsi="仿宋" w:eastAsia="仿宋" w:cs="仿宋"/>
          <w:color w:val="000000" w:themeColor="text1"/>
          <w14:textFill>
            <w14:solidFill>
              <w14:schemeClr w14:val="tx1"/>
            </w14:solidFill>
          </w14:textFill>
        </w:rPr>
      </w:pPr>
      <w:bookmarkStart w:id="141" w:name="_Toc178007583"/>
      <w:bookmarkStart w:id="142" w:name="_Toc193815632"/>
      <w:r>
        <w:rPr>
          <w:rFonts w:hint="eastAsia" w:ascii="仿宋" w:hAnsi="仿宋" w:eastAsia="仿宋" w:cs="仿宋"/>
          <w:color w:val="000000" w:themeColor="text1"/>
          <w14:textFill>
            <w14:solidFill>
              <w14:schemeClr w14:val="tx1"/>
            </w14:solidFill>
          </w14:textFill>
        </w:rPr>
        <w:t>8.材料与设备</w:t>
      </w:r>
      <w:bookmarkEnd w:id="141"/>
      <w:bookmarkEnd w:id="142"/>
    </w:p>
    <w:p w14:paraId="1E665E43">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43" w:name="_Toc178007584"/>
      <w:r>
        <w:rPr>
          <w:rFonts w:hint="eastAsia" w:ascii="仿宋" w:hAnsi="仿宋" w:eastAsia="仿宋" w:cs="仿宋"/>
          <w:color w:val="000000" w:themeColor="text1"/>
          <w14:textFill>
            <w14:solidFill>
              <w14:schemeClr w14:val="tx1"/>
            </w14:solidFill>
          </w14:textFill>
        </w:rPr>
        <w:t>8.1发包人供应材料与工程设备</w:t>
      </w:r>
      <w:bookmarkEnd w:id="143"/>
    </w:p>
    <w:p w14:paraId="2F20E15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14:paraId="5C027DC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5A98E86">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44" w:name="_Toc178007585"/>
      <w:r>
        <w:rPr>
          <w:rFonts w:hint="eastAsia" w:ascii="仿宋" w:hAnsi="仿宋" w:eastAsia="仿宋" w:cs="仿宋"/>
          <w:color w:val="000000" w:themeColor="text1"/>
          <w14:textFill>
            <w14:solidFill>
              <w14:schemeClr w14:val="tx1"/>
            </w14:solidFill>
          </w14:textFill>
        </w:rPr>
        <w:t>8.2承包人采购材料与工程设备</w:t>
      </w:r>
      <w:bookmarkEnd w:id="144"/>
    </w:p>
    <w:p w14:paraId="1451F6D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4E79D5A">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45" w:name="_Toc178007586"/>
      <w:r>
        <w:rPr>
          <w:rFonts w:hint="eastAsia" w:ascii="仿宋" w:hAnsi="仿宋" w:eastAsia="仿宋" w:cs="仿宋"/>
          <w:color w:val="000000" w:themeColor="text1"/>
          <w14:textFill>
            <w14:solidFill>
              <w14:schemeClr w14:val="tx1"/>
            </w14:solidFill>
          </w14:textFill>
        </w:rPr>
        <w:t>8.3材料与工程设备的接收与拒收</w:t>
      </w:r>
      <w:bookmarkEnd w:id="145"/>
    </w:p>
    <w:p w14:paraId="513882D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92435B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14:paraId="3E66906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54B160E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557317E">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46" w:name="_Toc178007587"/>
      <w:r>
        <w:rPr>
          <w:rFonts w:hint="eastAsia" w:ascii="仿宋" w:hAnsi="仿宋" w:eastAsia="仿宋" w:cs="仿宋"/>
          <w:color w:val="000000" w:themeColor="text1"/>
          <w14:textFill>
            <w14:solidFill>
              <w14:schemeClr w14:val="tx1"/>
            </w14:solidFill>
          </w14:textFill>
        </w:rPr>
        <w:t>8.4材料与工程设备的保管与使用</w:t>
      </w:r>
      <w:bookmarkEnd w:id="146"/>
    </w:p>
    <w:p w14:paraId="37083B6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8.4.1发包人供应材料与工程设备的保管与使用</w:t>
      </w:r>
    </w:p>
    <w:p w14:paraId="43968D7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25BC97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发包人供应的材料和工程设备使用前，由承包人负责检验，检验费用由发包人承担，不合格的不得使用。</w:t>
      </w:r>
    </w:p>
    <w:p w14:paraId="4B9FCC2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8.4.2承包人采购材料与工程设备的保管与使用</w:t>
      </w:r>
    </w:p>
    <w:p w14:paraId="620DA1D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FB8DB9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14:paraId="3835BD88">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47" w:name="_Toc178007588"/>
      <w:r>
        <w:rPr>
          <w:rFonts w:hint="eastAsia" w:ascii="仿宋" w:hAnsi="仿宋" w:eastAsia="仿宋" w:cs="仿宋"/>
          <w:color w:val="000000" w:themeColor="text1"/>
          <w14:textFill>
            <w14:solidFill>
              <w14:schemeClr w14:val="tx1"/>
            </w14:solidFill>
          </w14:textFill>
        </w:rPr>
        <w:t>8.5禁止使用不合格的材料和工程设备</w:t>
      </w:r>
      <w:bookmarkEnd w:id="147"/>
    </w:p>
    <w:p w14:paraId="4E9E07C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8.5.1监理人有权拒绝承包人提供的不合格材料或工程设备，并要求承包人立即进行更换。监理人应在更换后再次进行检查和检验，由此增加的费用和（或）延误的工期由承包人承担。</w:t>
      </w:r>
    </w:p>
    <w:p w14:paraId="1313634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8.5.2监理人发现承包人使用了不合格的材料和工程设备，承包人应按照监理人的指示立即改正，并禁止在工程中继续使用不合格的材料和工程设备。</w:t>
      </w:r>
    </w:p>
    <w:p w14:paraId="68F8668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8.5.3发包人提供的材料或工程设备不符合合同要求的，承包人有权拒绝，并可要求发包人更换，由此增加的费用和（或）延误的工期由发包人承担，并支付承包人合理的利润。</w:t>
      </w:r>
    </w:p>
    <w:p w14:paraId="243B2559">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48" w:name="_Toc178007589"/>
      <w:r>
        <w:rPr>
          <w:rFonts w:hint="eastAsia" w:ascii="仿宋" w:hAnsi="仿宋" w:eastAsia="仿宋" w:cs="仿宋"/>
          <w:color w:val="000000" w:themeColor="text1"/>
          <w14:textFill>
            <w14:solidFill>
              <w14:schemeClr w14:val="tx1"/>
            </w14:solidFill>
          </w14:textFill>
        </w:rPr>
        <w:t>8.6样品</w:t>
      </w:r>
      <w:bookmarkEnd w:id="148"/>
    </w:p>
    <w:p w14:paraId="7EDBF4F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8.6.1样品的报送与封存</w:t>
      </w:r>
    </w:p>
    <w:p w14:paraId="00394E1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需要承包人报送样品的材料或工程设备，样品的种类、名称、规格、数量等要求均应在专用合同条款中约定。样品的报送程序如下：</w:t>
      </w:r>
    </w:p>
    <w:p w14:paraId="5D33E2B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6F9E70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1945816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14:paraId="474C9AF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0DD0F0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8.6.2样品的保管</w:t>
      </w:r>
    </w:p>
    <w:p w14:paraId="73A90D2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经批准的样品应由监理人负责封存于现场，承包人应在现场为保存样品提供适当和固定的场所并保持适当和良好的存储环境条件。</w:t>
      </w:r>
    </w:p>
    <w:p w14:paraId="21FB7B61">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49" w:name="_Toc178007590"/>
      <w:r>
        <w:rPr>
          <w:rFonts w:hint="eastAsia" w:ascii="仿宋" w:hAnsi="仿宋" w:eastAsia="仿宋" w:cs="仿宋"/>
          <w:color w:val="000000" w:themeColor="text1"/>
          <w14:textFill>
            <w14:solidFill>
              <w14:schemeClr w14:val="tx1"/>
            </w14:solidFill>
          </w14:textFill>
        </w:rPr>
        <w:t>8.7材料与工程设备的替代</w:t>
      </w:r>
      <w:bookmarkEnd w:id="149"/>
    </w:p>
    <w:p w14:paraId="36EED4E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8.7.1出现下列情况需要使用替代材料和工程设备的，承包人应按照第8.7.2项约定的程序执行：</w:t>
      </w:r>
    </w:p>
    <w:p w14:paraId="03D62CA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（1）基准日期后生效的法律规定禁止使用的；</w:t>
      </w:r>
    </w:p>
    <w:p w14:paraId="10AAB74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（2）发包人要求使用替代品的；</w:t>
      </w:r>
    </w:p>
    <w:p w14:paraId="12B387A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（3）因其他原因必须使用替代品的。</w:t>
      </w:r>
    </w:p>
    <w:p w14:paraId="48B9FDD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8.7.2承包人应在使用替代材料和工程设备28天前书面通知监理人，并附下列文件：</w:t>
      </w:r>
    </w:p>
    <w:p w14:paraId="0BA31EC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（1）被替代的材料和工程设备的名称、数量、规格、型号、品牌、性能、价格及其他相关资料；</w:t>
      </w:r>
    </w:p>
    <w:p w14:paraId="18C32D0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（2）替代品的名称、数量、规格、型号、品牌、性能、价格及其他相关资料；</w:t>
      </w:r>
    </w:p>
    <w:p w14:paraId="5349210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（3）替代品与被替代产品之间的差异以及使用替代品可能对工程产生的影响；</w:t>
      </w:r>
    </w:p>
    <w:p w14:paraId="3683F32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（4）替代品与被替代产品的价格差异；</w:t>
      </w:r>
    </w:p>
    <w:p w14:paraId="6ECE818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（5）使用替代品的理由和原因说明；</w:t>
      </w:r>
    </w:p>
    <w:p w14:paraId="4BB97CA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（6）监理人要求的其他文件。</w:t>
      </w:r>
    </w:p>
    <w:p w14:paraId="5CB899F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监理人应在收到通知后14天内向承包人发出经发包人签认的书面指示；监理人逾期发出书面指示的，视为发包人和监理人同意使用替代品。</w:t>
      </w:r>
    </w:p>
    <w:p w14:paraId="657FF44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E0A1AD4">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50" w:name="_Toc178007591"/>
      <w:r>
        <w:rPr>
          <w:rFonts w:hint="eastAsia" w:ascii="仿宋" w:hAnsi="仿宋" w:eastAsia="仿宋" w:cs="仿宋"/>
          <w:color w:val="000000" w:themeColor="text1"/>
          <w14:textFill>
            <w14:solidFill>
              <w14:schemeClr w14:val="tx1"/>
            </w14:solidFill>
          </w14:textFill>
        </w:rPr>
        <w:t>8.8施工设备和临时设施</w:t>
      </w:r>
      <w:bookmarkEnd w:id="150"/>
    </w:p>
    <w:p w14:paraId="29B50EF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8.8.1承包人提供的施工设备和临时设施</w:t>
      </w:r>
    </w:p>
    <w:p w14:paraId="5692811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14:paraId="75A5A6F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除专用合同条款另有约定外，承包人应自行承担修建临时设施的费用，需要临时占地的，应由发包人办理申请手续并承担相应费用。</w:t>
      </w:r>
    </w:p>
    <w:p w14:paraId="7FCD673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8.8.2发包人提供的施工设备和临时设施</w:t>
      </w:r>
    </w:p>
    <w:p w14:paraId="1F07A78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发包人提供的施工设备或临时设施在专用合同条款中约定。</w:t>
      </w:r>
    </w:p>
    <w:p w14:paraId="6E45BD4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8.8.3要求承包人增加或更换施工设备</w:t>
      </w:r>
    </w:p>
    <w:p w14:paraId="40638F0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14:paraId="168E08CA">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51" w:name="_Toc178007592"/>
      <w:r>
        <w:rPr>
          <w:rFonts w:hint="eastAsia" w:ascii="仿宋" w:hAnsi="仿宋" w:eastAsia="仿宋" w:cs="仿宋"/>
          <w:color w:val="000000" w:themeColor="text1"/>
          <w14:textFill>
            <w14:solidFill>
              <w14:schemeClr w14:val="tx1"/>
            </w14:solidFill>
          </w14:textFill>
        </w:rPr>
        <w:t>8.9材料与设备专用要求</w:t>
      </w:r>
      <w:bookmarkEnd w:id="151"/>
    </w:p>
    <w:p w14:paraId="476AE09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20F7DCCE">
      <w:pPr>
        <w:pStyle w:val="4"/>
        <w:spacing w:line="240" w:lineRule="auto"/>
        <w:rPr>
          <w:rFonts w:hint="eastAsia" w:ascii="仿宋" w:hAnsi="仿宋" w:eastAsia="仿宋" w:cs="仿宋"/>
          <w:color w:val="000000" w:themeColor="text1"/>
          <w14:textFill>
            <w14:solidFill>
              <w14:schemeClr w14:val="tx1"/>
            </w14:solidFill>
          </w14:textFill>
        </w:rPr>
      </w:pPr>
      <w:bookmarkStart w:id="152" w:name="_Toc178007593"/>
      <w:bookmarkStart w:id="153" w:name="_Toc193815633"/>
      <w:r>
        <w:rPr>
          <w:rFonts w:hint="eastAsia" w:ascii="仿宋" w:hAnsi="仿宋" w:eastAsia="仿宋" w:cs="仿宋"/>
          <w:color w:val="000000" w:themeColor="text1"/>
          <w14:textFill>
            <w14:solidFill>
              <w14:schemeClr w14:val="tx1"/>
            </w14:solidFill>
          </w14:textFill>
        </w:rPr>
        <w:t>9.试验与检验</w:t>
      </w:r>
      <w:bookmarkEnd w:id="152"/>
      <w:bookmarkEnd w:id="153"/>
    </w:p>
    <w:p w14:paraId="1D80FAC5">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54" w:name="_Toc178007594"/>
      <w:r>
        <w:rPr>
          <w:rFonts w:hint="eastAsia" w:ascii="仿宋" w:hAnsi="仿宋" w:eastAsia="仿宋" w:cs="仿宋"/>
          <w:color w:val="000000" w:themeColor="text1"/>
          <w14:textFill>
            <w14:solidFill>
              <w14:schemeClr w14:val="tx1"/>
            </w14:solidFill>
          </w14:textFill>
        </w:rPr>
        <w:t>9.1试验设备与试验人员</w:t>
      </w:r>
      <w:bookmarkEnd w:id="154"/>
    </w:p>
    <w:p w14:paraId="3F7AC22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F9D4D4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9.1.2承包人应按专用合同条款的约定提供试验设备、取样装置、试验场所和试验条件，并向监理人提交相应进场计划表。</w:t>
      </w:r>
    </w:p>
    <w:p w14:paraId="73637C5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14:paraId="5BA0D08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9.1.3承包人应向监理人提交试验人员的名单及其岗位、资格等证明资料，试验人员必须能够熟练进行相应的检测试验，承包人对试验人员的试验程序和试验结果的正确性负责。</w:t>
      </w:r>
    </w:p>
    <w:p w14:paraId="0B435F6A">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55" w:name="_Toc178007595"/>
      <w:r>
        <w:rPr>
          <w:rFonts w:hint="eastAsia" w:ascii="仿宋" w:hAnsi="仿宋" w:eastAsia="仿宋" w:cs="仿宋"/>
          <w:color w:val="000000" w:themeColor="text1"/>
          <w14:textFill>
            <w14:solidFill>
              <w14:schemeClr w14:val="tx1"/>
            </w14:solidFill>
          </w14:textFill>
        </w:rPr>
        <w:t>9.2取样</w:t>
      </w:r>
      <w:bookmarkEnd w:id="155"/>
    </w:p>
    <w:p w14:paraId="7DADE7B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试验属于自检性质的，承包人可以单独取样。试验属于监理人抽检性质的，可由监理人取样，也可由承包人的试验人员在监理人的监督下取样。</w:t>
      </w:r>
    </w:p>
    <w:p w14:paraId="4C14252D">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56" w:name="_Toc178007596"/>
      <w:r>
        <w:rPr>
          <w:rFonts w:hint="eastAsia" w:ascii="仿宋" w:hAnsi="仿宋" w:eastAsia="仿宋" w:cs="仿宋"/>
          <w:color w:val="000000" w:themeColor="text1"/>
          <w14:textFill>
            <w14:solidFill>
              <w14:schemeClr w14:val="tx1"/>
            </w14:solidFill>
          </w14:textFill>
        </w:rPr>
        <w:t>9.3材料、工程设备和工程的试验和检验</w:t>
      </w:r>
      <w:bookmarkEnd w:id="156"/>
    </w:p>
    <w:p w14:paraId="527607B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9A5FE7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3A5176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2C4207F">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57" w:name="_Toc178007597"/>
      <w:r>
        <w:rPr>
          <w:rFonts w:hint="eastAsia" w:ascii="仿宋" w:hAnsi="仿宋" w:eastAsia="仿宋" w:cs="仿宋"/>
          <w:color w:val="000000" w:themeColor="text1"/>
          <w14:textFill>
            <w14:solidFill>
              <w14:schemeClr w14:val="tx1"/>
            </w14:solidFill>
          </w14:textFill>
        </w:rPr>
        <w:t>9.4现场工艺试验</w:t>
      </w:r>
      <w:bookmarkEnd w:id="157"/>
    </w:p>
    <w:p w14:paraId="51DC4C6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14:paraId="5687A055">
      <w:pPr>
        <w:pStyle w:val="4"/>
        <w:spacing w:line="240" w:lineRule="auto"/>
        <w:rPr>
          <w:rFonts w:hint="eastAsia" w:ascii="仿宋" w:hAnsi="仿宋" w:eastAsia="仿宋" w:cs="仿宋"/>
          <w:color w:val="000000" w:themeColor="text1"/>
          <w14:textFill>
            <w14:solidFill>
              <w14:schemeClr w14:val="tx1"/>
            </w14:solidFill>
          </w14:textFill>
        </w:rPr>
      </w:pPr>
      <w:bookmarkStart w:id="158" w:name="_Toc193815634"/>
      <w:bookmarkStart w:id="159" w:name="_Toc178007598"/>
      <w:r>
        <w:rPr>
          <w:rFonts w:hint="eastAsia" w:ascii="仿宋" w:hAnsi="仿宋" w:eastAsia="仿宋" w:cs="仿宋"/>
          <w:color w:val="000000" w:themeColor="text1"/>
          <w14:textFill>
            <w14:solidFill>
              <w14:schemeClr w14:val="tx1"/>
            </w14:solidFill>
          </w14:textFill>
        </w:rPr>
        <w:t>10.变更</w:t>
      </w:r>
      <w:bookmarkEnd w:id="158"/>
      <w:bookmarkEnd w:id="159"/>
    </w:p>
    <w:p w14:paraId="05B22580">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60" w:name="_Toc178007599"/>
      <w:r>
        <w:rPr>
          <w:rFonts w:hint="eastAsia" w:ascii="仿宋" w:hAnsi="仿宋" w:eastAsia="仿宋" w:cs="仿宋"/>
          <w:color w:val="000000" w:themeColor="text1"/>
          <w14:textFill>
            <w14:solidFill>
              <w14:schemeClr w14:val="tx1"/>
            </w14:solidFill>
          </w14:textFill>
        </w:rPr>
        <w:t>10.1变更的范围</w:t>
      </w:r>
      <w:bookmarkEnd w:id="160"/>
    </w:p>
    <w:p w14:paraId="020CB95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除专用合同条款另有约定外，合同履行过程中发生以下情形的，应按照本条约定进行变更：</w:t>
      </w:r>
    </w:p>
    <w:p w14:paraId="6083E3E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（1）增加或减少合同中任何工作，或追加额外的工作；</w:t>
      </w:r>
    </w:p>
    <w:p w14:paraId="2462976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（2）取消合同中任何工作，但转由他人实施的工作除外；</w:t>
      </w:r>
    </w:p>
    <w:p w14:paraId="22192B2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（3）改变合同中任何工作的质量标准或其他特性；</w:t>
      </w:r>
    </w:p>
    <w:p w14:paraId="0906AAC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（4）改变工程的基线、标高、位置和尺寸；</w:t>
      </w:r>
    </w:p>
    <w:p w14:paraId="0BCEB8A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（5）改变工程的时间安排或实施顺序。</w:t>
      </w:r>
    </w:p>
    <w:p w14:paraId="7B805A2A">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61" w:name="_Toc178007600"/>
      <w:r>
        <w:rPr>
          <w:rFonts w:hint="eastAsia" w:ascii="仿宋" w:hAnsi="仿宋" w:eastAsia="仿宋" w:cs="仿宋"/>
          <w:color w:val="000000" w:themeColor="text1"/>
          <w14:textFill>
            <w14:solidFill>
              <w14:schemeClr w14:val="tx1"/>
            </w14:solidFill>
          </w14:textFill>
        </w:rPr>
        <w:t>10.2变更权</w:t>
      </w:r>
      <w:bookmarkEnd w:id="161"/>
    </w:p>
    <w:p w14:paraId="114D906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7250DD8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涉及设计变更的，应由设计人提供变更后的图纸和说明。如变更超过原设计标准或批准的建设规模时，发包人应及时办理规划、设计变更等审批手续。</w:t>
      </w:r>
    </w:p>
    <w:p w14:paraId="28AA46E0">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62" w:name="_Toc178007601"/>
      <w:r>
        <w:rPr>
          <w:rFonts w:hint="eastAsia" w:ascii="仿宋" w:hAnsi="仿宋" w:eastAsia="仿宋" w:cs="仿宋"/>
          <w:color w:val="000000" w:themeColor="text1"/>
          <w14:textFill>
            <w14:solidFill>
              <w14:schemeClr w14:val="tx1"/>
            </w14:solidFill>
          </w14:textFill>
        </w:rPr>
        <w:t>10.3变更程序</w:t>
      </w:r>
      <w:bookmarkEnd w:id="162"/>
    </w:p>
    <w:p w14:paraId="51257D0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10.3.1发包人提出变更</w:t>
      </w:r>
    </w:p>
    <w:p w14:paraId="3A45502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发包人提出变更的，应通过监理人向承包人发出变更指示，变更指示应说明计划变更的工程范围和变更的内容。</w:t>
      </w:r>
    </w:p>
    <w:p w14:paraId="4E7E449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10.3.2监理人提出变更建议</w:t>
      </w:r>
    </w:p>
    <w:p w14:paraId="3311109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467EF4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10.3.3变更执行</w:t>
      </w:r>
    </w:p>
    <w:p w14:paraId="13D738D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08299C9">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63" w:name="_Toc178007602"/>
      <w:r>
        <w:rPr>
          <w:rFonts w:hint="eastAsia" w:ascii="仿宋" w:hAnsi="仿宋" w:eastAsia="仿宋" w:cs="仿宋"/>
          <w:color w:val="000000" w:themeColor="text1"/>
          <w14:textFill>
            <w14:solidFill>
              <w14:schemeClr w14:val="tx1"/>
            </w14:solidFill>
          </w14:textFill>
        </w:rPr>
        <w:t>10.4变更估价</w:t>
      </w:r>
      <w:bookmarkEnd w:id="163"/>
    </w:p>
    <w:p w14:paraId="47767CD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10.4.1变更估价原则</w:t>
      </w:r>
    </w:p>
    <w:p w14:paraId="5F0F32F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除专用合同条款另有约定外，变更估价按照本款约定处理：</w:t>
      </w:r>
    </w:p>
    <w:p w14:paraId="025AA14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（1）已标价工程量清单或预算书有相同项目的，按照相同项目单价认定；</w:t>
      </w:r>
    </w:p>
    <w:p w14:paraId="5B3945F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（2）已标价工程量清单或预算书中无相同项目，但有类似项目的，参照类似项目的单价认定；</w:t>
      </w:r>
    </w:p>
    <w:p w14:paraId="41D802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9A8872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10.4.2变更估价程序</w:t>
      </w:r>
    </w:p>
    <w:p w14:paraId="1DDCA5D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C2B66C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因变更引起的价格调整应计入最近一期的进度款中支付。</w:t>
      </w:r>
    </w:p>
    <w:p w14:paraId="12DDF5A6">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64" w:name="_Toc178007603"/>
      <w:r>
        <w:rPr>
          <w:rFonts w:hint="eastAsia" w:ascii="仿宋" w:hAnsi="仿宋" w:eastAsia="仿宋" w:cs="仿宋"/>
          <w:color w:val="000000" w:themeColor="text1"/>
          <w14:textFill>
            <w14:solidFill>
              <w14:schemeClr w14:val="tx1"/>
            </w14:solidFill>
          </w14:textFill>
        </w:rPr>
        <w:t>10.5承包人的合理化建议</w:t>
      </w:r>
      <w:bookmarkEnd w:id="164"/>
    </w:p>
    <w:p w14:paraId="3A4A60F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承包人提出合理化建议的，应向监理人提交合理化建议说明，说明建议的内容和理由，以及实施该建议对合同价格和工期的影响。</w:t>
      </w:r>
    </w:p>
    <w:p w14:paraId="30F63B3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974864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合理化建议降低了合同价格或者提高了工程经济效益的，发包人可对承包人给予奖励，奖励的方法和金额在专用合同条款中约定。</w:t>
      </w:r>
    </w:p>
    <w:p w14:paraId="19025ABE">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65" w:name="_Toc178007604"/>
      <w:r>
        <w:rPr>
          <w:rFonts w:hint="eastAsia" w:ascii="仿宋" w:hAnsi="仿宋" w:eastAsia="仿宋" w:cs="仿宋"/>
          <w:color w:val="000000" w:themeColor="text1"/>
          <w14:textFill>
            <w14:solidFill>
              <w14:schemeClr w14:val="tx1"/>
            </w14:solidFill>
          </w14:textFill>
        </w:rPr>
        <w:t>10.6变更引起的工期调整</w:t>
      </w:r>
      <w:bookmarkEnd w:id="165"/>
    </w:p>
    <w:p w14:paraId="343FEB3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14:paraId="3F793F69">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66" w:name="_Toc178007605"/>
      <w:r>
        <w:rPr>
          <w:rFonts w:hint="eastAsia" w:ascii="仿宋" w:hAnsi="仿宋" w:eastAsia="仿宋" w:cs="仿宋"/>
          <w:color w:val="000000" w:themeColor="text1"/>
          <w14:textFill>
            <w14:solidFill>
              <w14:schemeClr w14:val="tx1"/>
            </w14:solidFill>
          </w14:textFill>
        </w:rPr>
        <w:t>10.7暂估价</w:t>
      </w:r>
      <w:bookmarkEnd w:id="166"/>
    </w:p>
    <w:p w14:paraId="49B5D1B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暂估价专业分包工程、服务、材料和工程设备的明细由合同当事人在专用合同条款中约定。</w:t>
      </w:r>
    </w:p>
    <w:p w14:paraId="7D59609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10.7.1依法必须招标的暂估价项目</w:t>
      </w:r>
    </w:p>
    <w:p w14:paraId="563DB4E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对于依法必须招标的暂估价项目，采取以下第1种方式确定。合同当事人也可以在专用合同条款中选择其他招标方式。</w:t>
      </w:r>
    </w:p>
    <w:p w14:paraId="3671670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第1种方式：对于依法必须招标的暂估价项目，由承包人招标，对该暂估价项目的确认和批准按照以下约定执行：</w:t>
      </w:r>
    </w:p>
    <w:p w14:paraId="720190B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42CC26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C68A07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35AB91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86606F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10.7.2不属于依法必须招标的暂估价项目</w:t>
      </w:r>
    </w:p>
    <w:p w14:paraId="68B751D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除专用合同条款另有约定外，对于不属于依法必须招标的暂估价项目，采取以下第1种方式确定：</w:t>
      </w:r>
    </w:p>
    <w:p w14:paraId="7C3A5B2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第1种方式：对于不属于依法必须招标的暂估价项目，按本项约定确认和批准：</w:t>
      </w:r>
    </w:p>
    <w:p w14:paraId="7F17CFF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C8E02C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（2）发包人认为承包人确定的供应商、分包人无法满足工程质量或合同要求的，发包人可以要求承包人重新确定暂估价项目的供应商、分包人;</w:t>
      </w:r>
    </w:p>
    <w:p w14:paraId="781CCC8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（3）承包人应当在签订暂估价合同后7天内，将暂估价合同副本报送发包人留存。</w:t>
      </w:r>
    </w:p>
    <w:p w14:paraId="0485B0A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第2种方式：承包人按照第10.7.1项〔依法必须招标的暂估价项目〕约定的第1种方式确定暂估价项目。</w:t>
      </w:r>
    </w:p>
    <w:p w14:paraId="3093083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第3种方式：承包人直接实施的暂估价项目</w:t>
      </w:r>
    </w:p>
    <w:p w14:paraId="27CBA14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14:paraId="5786DAF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21DB752">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67" w:name="_Toc178007606"/>
      <w:r>
        <w:rPr>
          <w:rFonts w:hint="eastAsia" w:ascii="仿宋" w:hAnsi="仿宋" w:eastAsia="仿宋" w:cs="仿宋"/>
          <w:color w:val="000000" w:themeColor="text1"/>
          <w14:textFill>
            <w14:solidFill>
              <w14:schemeClr w14:val="tx1"/>
            </w14:solidFill>
          </w14:textFill>
        </w:rPr>
        <w:t>10.8暂列金额</w:t>
      </w:r>
      <w:bookmarkEnd w:id="167"/>
    </w:p>
    <w:p w14:paraId="7969A4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暂列金额应按照发包人的要求使用，发包人的要求应通过监理人发出。合同当事人可以在专用合同条款中协商确定有关事项。</w:t>
      </w:r>
    </w:p>
    <w:p w14:paraId="1CB3C3D2">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68" w:name="_Toc178007607"/>
      <w:r>
        <w:rPr>
          <w:rFonts w:hint="eastAsia" w:ascii="仿宋" w:hAnsi="仿宋" w:eastAsia="仿宋" w:cs="仿宋"/>
          <w:color w:val="000000" w:themeColor="text1"/>
          <w14:textFill>
            <w14:solidFill>
              <w14:schemeClr w14:val="tx1"/>
            </w14:solidFill>
          </w14:textFill>
        </w:rPr>
        <w:t>10.9计日工</w:t>
      </w:r>
      <w:bookmarkEnd w:id="168"/>
    </w:p>
    <w:p w14:paraId="77407C8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07654FA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采用计日工计价的任何一项工作，承包人应在该项工作实施过程中，每天提交以下报表和有关凭证报送监理人审查：</w:t>
      </w:r>
    </w:p>
    <w:p w14:paraId="5B4C9CA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（1）工作名称、内容和数量；</w:t>
      </w:r>
    </w:p>
    <w:p w14:paraId="30D923D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（2）投入该工作的所有人员的姓名、专业、工种、级别和耗用工时；</w:t>
      </w:r>
    </w:p>
    <w:p w14:paraId="55489D1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（3）投入该工作的材料类别和数量；</w:t>
      </w:r>
    </w:p>
    <w:p w14:paraId="1BC1911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（4）投入该工作的施工设备型号、台数和耗用台时；</w:t>
      </w:r>
    </w:p>
    <w:p w14:paraId="75BAFF2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（5）其他有关资料和凭证。</w:t>
      </w:r>
    </w:p>
    <w:p w14:paraId="655EECE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计日工由承包人汇总后，列入最近一期进度付款申请单，由监理人审查并经发包人批准后列入进度付款。</w:t>
      </w:r>
    </w:p>
    <w:p w14:paraId="1655845B">
      <w:pPr>
        <w:pStyle w:val="4"/>
        <w:spacing w:line="240" w:lineRule="auto"/>
        <w:rPr>
          <w:rFonts w:hint="eastAsia" w:ascii="仿宋" w:hAnsi="仿宋" w:eastAsia="仿宋" w:cs="仿宋"/>
          <w:color w:val="000000" w:themeColor="text1"/>
          <w14:textFill>
            <w14:solidFill>
              <w14:schemeClr w14:val="tx1"/>
            </w14:solidFill>
          </w14:textFill>
        </w:rPr>
      </w:pPr>
      <w:bookmarkStart w:id="169" w:name="_Toc178007608"/>
      <w:bookmarkStart w:id="170" w:name="_Toc193815635"/>
      <w:r>
        <w:rPr>
          <w:rFonts w:hint="eastAsia" w:ascii="仿宋" w:hAnsi="仿宋" w:eastAsia="仿宋" w:cs="仿宋"/>
          <w:color w:val="000000" w:themeColor="text1"/>
          <w14:textFill>
            <w14:solidFill>
              <w14:schemeClr w14:val="tx1"/>
            </w14:solidFill>
          </w14:textFill>
        </w:rPr>
        <w:t>11.价格调整</w:t>
      </w:r>
      <w:bookmarkEnd w:id="169"/>
      <w:bookmarkEnd w:id="170"/>
    </w:p>
    <w:p w14:paraId="16F774F5">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71" w:name="_Toc178007609"/>
      <w:r>
        <w:rPr>
          <w:rFonts w:hint="eastAsia" w:ascii="仿宋" w:hAnsi="仿宋" w:eastAsia="仿宋" w:cs="仿宋"/>
          <w:color w:val="000000" w:themeColor="text1"/>
          <w14:textFill>
            <w14:solidFill>
              <w14:schemeClr w14:val="tx1"/>
            </w14:solidFill>
          </w14:textFill>
        </w:rPr>
        <w:t>11.1市场价格波动引起的调整</w:t>
      </w:r>
      <w:bookmarkEnd w:id="171"/>
    </w:p>
    <w:p w14:paraId="380BCAB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14:paraId="6962D16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第1种方式：采用价格指数进行价格调整。</w:t>
      </w:r>
    </w:p>
    <w:p w14:paraId="4D88EED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（1）价格调整公式</w:t>
      </w:r>
    </w:p>
    <w:p w14:paraId="3DFF111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因人工、材料和设备等价格波动影响合同价格时，根据专用合同条款中约定的数据，按以下公式计算差额并调整合同价格：</w:t>
      </w:r>
    </w:p>
    <w:p w14:paraId="7C7CB1E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公式中：ΔP——需调整的价格差额；</w:t>
      </w:r>
    </w:p>
    <w:p w14:paraId="653EF7C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——约定的付款证书中承包人应得到的已完成工程量的金额。此项金额应不包括价格调整、不计质量保证金的扣留和支付、预付款的支付和扣回。约定的变更及其他金额已按现行价格计价的，也不计在内；</w:t>
      </w:r>
    </w:p>
    <w:p w14:paraId="42AE8CB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A——定值权重（即不调部分的权重）；</w:t>
      </w:r>
    </w:p>
    <w:p w14:paraId="6BCFA99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——各可调因子的变值权重（即可调部分的权重），为各可调因子在签约合同价中所占的比例；</w:t>
      </w:r>
    </w:p>
    <w:p w14:paraId="5FD6CEF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——各可调因子的现行价格指数，指约定的付款证书相关周期最后一天的前42天的各可调因子的价格指数；</w:t>
      </w:r>
    </w:p>
    <w:p w14:paraId="0AE7EAB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——各可调因子的基本价格指数，指基准日期的各可调因子的价格指数。</w:t>
      </w:r>
    </w:p>
    <w:p w14:paraId="7082D45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AAE290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（2）暂时确定调整差额</w:t>
      </w:r>
    </w:p>
    <w:p w14:paraId="0C087BC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在计算调整差额时无现行价格指数的，合同当事人同意暂用前次价格指数计算。实际价格指数有调整的，合同当事人进行相应调整。</w:t>
      </w:r>
    </w:p>
    <w:p w14:paraId="6B27847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（3）权重的调整</w:t>
      </w:r>
    </w:p>
    <w:p w14:paraId="3104B50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因变更导致合同约定的权重不合理时，按照第4.4款〔商定或确定〕执行。</w:t>
      </w:r>
    </w:p>
    <w:p w14:paraId="3EA4249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（4）因承包人原因工期延误后的价格调整</w:t>
      </w:r>
    </w:p>
    <w:p w14:paraId="633081C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14:paraId="0F3BC89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第2种方式：采用造价信息进行价格调整。</w:t>
      </w:r>
    </w:p>
    <w:p w14:paraId="188BBB7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FBD493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11D117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（2）材料、工程设备价格变化的价款调整按照发包人提供的基准价格，按以下风险范围规定执行：</w:t>
      </w:r>
    </w:p>
    <w:p w14:paraId="667A81A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E4E67E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F26179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14:paraId="528AD3C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E87B59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14:paraId="577A0A2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（3）施工机械台班单价或施工机械使用费发生变化超过省级或行业建设主管部门或其授权的工程造价管理机构规定的范围时，按规定调整合同价格。</w:t>
      </w:r>
    </w:p>
    <w:p w14:paraId="7007B54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第3种方式：专用合同条款约定的其他方式。</w:t>
      </w:r>
    </w:p>
    <w:p w14:paraId="2A484D6F">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72" w:name="_Toc178007610"/>
      <w:r>
        <w:rPr>
          <w:rFonts w:hint="eastAsia" w:ascii="仿宋" w:hAnsi="仿宋" w:eastAsia="仿宋" w:cs="仿宋"/>
          <w:color w:val="000000" w:themeColor="text1"/>
          <w14:textFill>
            <w14:solidFill>
              <w14:schemeClr w14:val="tx1"/>
            </w14:solidFill>
          </w14:textFill>
        </w:rPr>
        <w:t>11.2法律变化引起的调整</w:t>
      </w:r>
      <w:bookmarkEnd w:id="172"/>
    </w:p>
    <w:p w14:paraId="1B4CDF7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12043F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因法律变化引起的合同价格和工期调整，合同当事人无法达成一致的，由总监理工程师按第4.4款〔商定或确定〕的约定处理。</w:t>
      </w:r>
    </w:p>
    <w:p w14:paraId="42A1668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因承包人原因造成工期延误，在工期延误期间出现法律变化的，由此增加的费用和（或）延误的工期由承包人承担。</w:t>
      </w:r>
    </w:p>
    <w:p w14:paraId="3B0BD650">
      <w:pPr>
        <w:pStyle w:val="4"/>
        <w:spacing w:line="240" w:lineRule="auto"/>
        <w:rPr>
          <w:rFonts w:hint="eastAsia" w:ascii="仿宋" w:hAnsi="仿宋" w:eastAsia="仿宋" w:cs="仿宋"/>
          <w:color w:val="000000" w:themeColor="text1"/>
          <w14:textFill>
            <w14:solidFill>
              <w14:schemeClr w14:val="tx1"/>
            </w14:solidFill>
          </w14:textFill>
        </w:rPr>
      </w:pPr>
      <w:bookmarkStart w:id="173" w:name="_Toc193815636"/>
      <w:bookmarkStart w:id="174" w:name="_Toc178007611"/>
      <w:r>
        <w:rPr>
          <w:rFonts w:hint="eastAsia" w:ascii="仿宋" w:hAnsi="仿宋" w:eastAsia="仿宋" w:cs="仿宋"/>
          <w:color w:val="000000" w:themeColor="text1"/>
          <w14:textFill>
            <w14:solidFill>
              <w14:schemeClr w14:val="tx1"/>
            </w14:solidFill>
          </w14:textFill>
        </w:rPr>
        <w:t>12.合同价格、计量与支付</w:t>
      </w:r>
      <w:bookmarkEnd w:id="173"/>
      <w:bookmarkEnd w:id="174"/>
    </w:p>
    <w:p w14:paraId="41CA8A6A">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75" w:name="_Toc178007612"/>
      <w:r>
        <w:rPr>
          <w:rFonts w:hint="eastAsia" w:ascii="仿宋" w:hAnsi="仿宋" w:eastAsia="仿宋" w:cs="仿宋"/>
          <w:color w:val="000000" w:themeColor="text1"/>
          <w14:textFill>
            <w14:solidFill>
              <w14:schemeClr w14:val="tx1"/>
            </w14:solidFill>
          </w14:textFill>
        </w:rPr>
        <w:t>12.1合同价格形式</w:t>
      </w:r>
      <w:bookmarkEnd w:id="175"/>
    </w:p>
    <w:p w14:paraId="6650D6A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发包人和承包人应在合同协议书中选择下列一种合同价格形式：</w:t>
      </w:r>
    </w:p>
    <w:p w14:paraId="033FA82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1.单价合同</w:t>
      </w:r>
    </w:p>
    <w:p w14:paraId="012CBB5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57FC00B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2.总价合同</w:t>
      </w:r>
    </w:p>
    <w:p w14:paraId="176712C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78A9B8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3.其它价格形式</w:t>
      </w:r>
    </w:p>
    <w:p w14:paraId="55E9BE5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合同当事人可在专用合同条款中约定其他合同价格形式。</w:t>
      </w:r>
    </w:p>
    <w:p w14:paraId="1575F82A">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76" w:name="_Toc178007613"/>
      <w:r>
        <w:rPr>
          <w:rFonts w:hint="eastAsia" w:ascii="仿宋" w:hAnsi="仿宋" w:eastAsia="仿宋" w:cs="仿宋"/>
          <w:color w:val="000000" w:themeColor="text1"/>
          <w14:textFill>
            <w14:solidFill>
              <w14:schemeClr w14:val="tx1"/>
            </w14:solidFill>
          </w14:textFill>
        </w:rPr>
        <w:t>12.2预付款</w:t>
      </w:r>
      <w:bookmarkEnd w:id="176"/>
    </w:p>
    <w:p w14:paraId="3CCF3AC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12.2.1预付款的支付</w:t>
      </w:r>
    </w:p>
    <w:p w14:paraId="1E0D88C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14:paraId="13F4B5C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除专用合同条款另有约定外，预付款在进度付款中同比例扣回。在颁发工程接收证书前，提前解除合同的，尚未扣完的预付款应与合同价款一并结算。</w:t>
      </w:r>
    </w:p>
    <w:p w14:paraId="04A2AFB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14:paraId="0B42470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12.2.2预付款担保</w:t>
      </w:r>
    </w:p>
    <w:p w14:paraId="32974DC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28925BD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发包人在工程款中逐期扣回预付款后，预付款担保额度应相应减少，但剩余的预付款担保金额不得低于未被扣回的预付款金额。</w:t>
      </w:r>
    </w:p>
    <w:p w14:paraId="522C0F54">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77" w:name="_Toc178007614"/>
      <w:r>
        <w:rPr>
          <w:rFonts w:hint="eastAsia" w:ascii="仿宋" w:hAnsi="仿宋" w:eastAsia="仿宋" w:cs="仿宋"/>
          <w:color w:val="000000" w:themeColor="text1"/>
          <w14:textFill>
            <w14:solidFill>
              <w14:schemeClr w14:val="tx1"/>
            </w14:solidFill>
          </w14:textFill>
        </w:rPr>
        <w:t>12.3计量</w:t>
      </w:r>
      <w:bookmarkEnd w:id="177"/>
    </w:p>
    <w:p w14:paraId="6337945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12.3.1计量原则</w:t>
      </w:r>
    </w:p>
    <w:p w14:paraId="43A4CE5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14:paraId="3398455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12.3.2计量周期</w:t>
      </w:r>
    </w:p>
    <w:p w14:paraId="2FCBB79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除专用合同条款另有约定外，工程量的计量按月进行。</w:t>
      </w:r>
    </w:p>
    <w:p w14:paraId="0F6CE56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12.3.3单价合同的计量</w:t>
      </w:r>
    </w:p>
    <w:p w14:paraId="6FE397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除专用合同条款另有约定外，单价合同的计量按照本项约定执行：</w:t>
      </w:r>
    </w:p>
    <w:p w14:paraId="7862E74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（1）承包人应于每月25日向监理人报送上月20日至当月19日已完成的工程量报告，并附具进度付款申请单、已完成工程量报表和有关资料。</w:t>
      </w:r>
    </w:p>
    <w:p w14:paraId="3A6EEF2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EA5690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14:paraId="009F5A1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12.3.4总价合同的计量</w:t>
      </w:r>
    </w:p>
    <w:p w14:paraId="4FDE9BD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除专用合同条款另有约定外，按月计量支付的总价合同，按照本项约定执行：</w:t>
      </w:r>
    </w:p>
    <w:p w14:paraId="7497AB2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（1）承包人应于每月25日向监理人报送上月20日至当月19日已完成的工程量报告，并附具进度付款申请单、已完成工程量报表和有关资料。</w:t>
      </w:r>
    </w:p>
    <w:p w14:paraId="5A47F7C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76544F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（3）监理人未在收到承包人提交的工程量报表后的7天内完成复核的，承包人提交的工程量报告中的工程量视为承包人实际完成的工程量。</w:t>
      </w:r>
    </w:p>
    <w:p w14:paraId="2576AC6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12.3.5总价合同采用支付分解表计量支付的，可以按照第12.3.4项〔总价合同的计量〕约定进行计量，但合同价款按照支付分解表进行支付。</w:t>
      </w:r>
    </w:p>
    <w:p w14:paraId="10463F7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12.3.6其他价格形式合同的计量</w:t>
      </w:r>
    </w:p>
    <w:p w14:paraId="4ADBE1A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合同当事人可在专用合同条款中约定其他价格形式合同的计量方式和程序。</w:t>
      </w:r>
    </w:p>
    <w:p w14:paraId="008F117E">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78" w:name="_Toc178007615"/>
      <w:r>
        <w:rPr>
          <w:rFonts w:hint="eastAsia" w:ascii="仿宋" w:hAnsi="仿宋" w:eastAsia="仿宋" w:cs="仿宋"/>
          <w:color w:val="000000" w:themeColor="text1"/>
          <w14:textFill>
            <w14:solidFill>
              <w14:schemeClr w14:val="tx1"/>
            </w14:solidFill>
          </w14:textFill>
        </w:rPr>
        <w:t>12.4工程进度款支付</w:t>
      </w:r>
      <w:bookmarkEnd w:id="178"/>
    </w:p>
    <w:p w14:paraId="36CC390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12.4.1付款周期</w:t>
      </w:r>
    </w:p>
    <w:p w14:paraId="0D06EC1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除专用合同条款另有约定外，付款周期应按照第12.3.2项〔计量周期〕的约定与计量周期保持一致。</w:t>
      </w:r>
    </w:p>
    <w:p w14:paraId="1B4EE73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12.4.2进度付款申请单的编制</w:t>
      </w:r>
    </w:p>
    <w:p w14:paraId="1C83046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除专用合同条款另有约定外，进度付款申请单应包括下列内容：</w:t>
      </w:r>
    </w:p>
    <w:p w14:paraId="478C75E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（1）截至本次付款周期已完成工作对应的金额；</w:t>
      </w:r>
    </w:p>
    <w:p w14:paraId="7C2A0DE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（2）根据第10条〔变更〕应增加和扣减的变更金额；</w:t>
      </w:r>
    </w:p>
    <w:p w14:paraId="24108AE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（3）根据第12.2款〔预付款〕约定应支付的预付款和扣减的返还预付款；</w:t>
      </w:r>
    </w:p>
    <w:p w14:paraId="4CD63C2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（4）根据第15.3款〔质量保证金〕约定应扣减的质量保证金；</w:t>
      </w:r>
    </w:p>
    <w:p w14:paraId="3A1196E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（5）根据第19条〔索赔〕应增加和扣减的索赔金额；</w:t>
      </w:r>
    </w:p>
    <w:p w14:paraId="3F37B70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（6）对已签发的进度款支付证书中出现错误的修正，应在本次进度付款中支付或扣除的金额；</w:t>
      </w:r>
    </w:p>
    <w:p w14:paraId="7EE60A9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（7）根据合同约定应增加和扣减的其他金额。</w:t>
      </w:r>
    </w:p>
    <w:p w14:paraId="7C53121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12.4.3进度付款申请单的提交</w:t>
      </w:r>
    </w:p>
    <w:p w14:paraId="6D636FD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（1）单价合同进度付款申请单的提交</w:t>
      </w:r>
    </w:p>
    <w:p w14:paraId="7730300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4ADDF3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（2）总价合同进度付款申请单的提交</w:t>
      </w:r>
    </w:p>
    <w:p w14:paraId="02B06F6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14:paraId="22F6160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总价合同按支付分解表支付的，承包人应按照第12.4.6项〔支付分解表〕及第12.4.2项〔进度付款申请单的编制〕的约定向监理人提交进度付款申请单。</w:t>
      </w:r>
    </w:p>
    <w:p w14:paraId="169DF14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（3）其他价格形式合同的进度付款申请单的提交</w:t>
      </w:r>
    </w:p>
    <w:p w14:paraId="75E19BE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合同当事人可在专用合同条款中约定其他价格形式合同的进度付款申请单的编制和提交程序。</w:t>
      </w:r>
    </w:p>
    <w:p w14:paraId="014DB91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12.4.4进度款审核和支付</w:t>
      </w:r>
    </w:p>
    <w:p w14:paraId="66D967E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DEB0E1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1B09E2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14:paraId="1277C6E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（3）发包人签发进度款支付证书或临时进度款支付证书，不表明发包人已同意、批准或接受了承包人完成的相应部分的工作。</w:t>
      </w:r>
    </w:p>
    <w:p w14:paraId="1541113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12.4.5进度付款的修正</w:t>
      </w:r>
    </w:p>
    <w:p w14:paraId="4070B0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14:paraId="389E3B1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12.4.6支付分解表</w:t>
      </w:r>
    </w:p>
    <w:p w14:paraId="2FC94A0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1.支付分解表的编制要求</w:t>
      </w:r>
    </w:p>
    <w:p w14:paraId="7210FEF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（1）支付分解表中所列的每期付款金额，应为第12.4.2项〔进度付款申请单的编制〕第（1）目的估算金额；</w:t>
      </w:r>
    </w:p>
    <w:p w14:paraId="65E45E0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（2）实际进度与施工进度计划不一致的，合同当事人可按照第4.4款〔商定或确定〕修改支付分解表；</w:t>
      </w:r>
    </w:p>
    <w:p w14:paraId="21BA049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（3）不采用支付分解表的，承包人应向发包人和监理人提交按季度编制的支付估算分解表，用于支付参考。</w:t>
      </w:r>
    </w:p>
    <w:p w14:paraId="21F8E6B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2.总价合同支付分解表的编制与审批</w:t>
      </w:r>
    </w:p>
    <w:p w14:paraId="17A8B3A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BBC6A7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14:paraId="42E4593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（3）发包人逾期未完成支付分解表审批的，也未及时要求承包人进行修正和提供补充资料的，则承包人提交的支付分解表视为已经获得发包人批准。</w:t>
      </w:r>
    </w:p>
    <w:p w14:paraId="1EA0FC9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3.单价合同的总价项目支付分解表的编制与审批</w:t>
      </w:r>
    </w:p>
    <w:p w14:paraId="63DEC53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13C063B">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79" w:name="_Toc178007616"/>
      <w:r>
        <w:rPr>
          <w:rFonts w:hint="eastAsia" w:ascii="仿宋" w:hAnsi="仿宋" w:eastAsia="仿宋" w:cs="仿宋"/>
          <w:color w:val="000000" w:themeColor="text1"/>
          <w14:textFill>
            <w14:solidFill>
              <w14:schemeClr w14:val="tx1"/>
            </w14:solidFill>
          </w14:textFill>
        </w:rPr>
        <w:t>12.5支付账户</w:t>
      </w:r>
      <w:bookmarkEnd w:id="179"/>
    </w:p>
    <w:p w14:paraId="0E8140F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发包人应将合同价款支付至合同协议书中约定的承包人账户。</w:t>
      </w:r>
    </w:p>
    <w:p w14:paraId="752F37AB">
      <w:pPr>
        <w:pStyle w:val="4"/>
        <w:spacing w:line="240" w:lineRule="auto"/>
        <w:rPr>
          <w:rFonts w:hint="eastAsia" w:ascii="仿宋" w:hAnsi="仿宋" w:eastAsia="仿宋" w:cs="仿宋"/>
          <w:color w:val="000000" w:themeColor="text1"/>
          <w14:textFill>
            <w14:solidFill>
              <w14:schemeClr w14:val="tx1"/>
            </w14:solidFill>
          </w14:textFill>
        </w:rPr>
      </w:pPr>
      <w:bookmarkStart w:id="180" w:name="_Toc178007617"/>
      <w:bookmarkStart w:id="181" w:name="_Toc193815637"/>
      <w:r>
        <w:rPr>
          <w:rFonts w:hint="eastAsia" w:ascii="仿宋" w:hAnsi="仿宋" w:eastAsia="仿宋" w:cs="仿宋"/>
          <w:color w:val="000000" w:themeColor="text1"/>
          <w14:textFill>
            <w14:solidFill>
              <w14:schemeClr w14:val="tx1"/>
            </w14:solidFill>
          </w14:textFill>
        </w:rPr>
        <w:t>13.验收和工程试车</w:t>
      </w:r>
      <w:bookmarkEnd w:id="180"/>
      <w:bookmarkEnd w:id="181"/>
    </w:p>
    <w:p w14:paraId="4A64767F">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82" w:name="_Toc178007618"/>
      <w:r>
        <w:rPr>
          <w:rFonts w:hint="eastAsia" w:ascii="仿宋" w:hAnsi="仿宋" w:eastAsia="仿宋" w:cs="仿宋"/>
          <w:color w:val="000000" w:themeColor="text1"/>
          <w14:textFill>
            <w14:solidFill>
              <w14:schemeClr w14:val="tx1"/>
            </w14:solidFill>
          </w14:textFill>
        </w:rPr>
        <w:t>13.1分部分项工程验收</w:t>
      </w:r>
      <w:bookmarkEnd w:id="182"/>
    </w:p>
    <w:p w14:paraId="2DFECE7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13.1.1分部分项工程质量应符合国家有关工程施工验收规范、标准及合同约定，承包人应按照施工组织设计的要求完成分部分项工程施工。</w:t>
      </w:r>
    </w:p>
    <w:p w14:paraId="3AECFBE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107B7D3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分部分项工程的验收资料应当作为竣工资料的组成部分。</w:t>
      </w:r>
    </w:p>
    <w:p w14:paraId="7937935D">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83" w:name="_Toc178007619"/>
      <w:r>
        <w:rPr>
          <w:rFonts w:hint="eastAsia" w:ascii="仿宋" w:hAnsi="仿宋" w:eastAsia="仿宋" w:cs="仿宋"/>
          <w:color w:val="000000" w:themeColor="text1"/>
          <w14:textFill>
            <w14:solidFill>
              <w14:schemeClr w14:val="tx1"/>
            </w14:solidFill>
          </w14:textFill>
        </w:rPr>
        <w:t>13.2竣工验收</w:t>
      </w:r>
      <w:bookmarkEnd w:id="183"/>
    </w:p>
    <w:p w14:paraId="67359DD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13.2.1竣工验收条件</w:t>
      </w:r>
    </w:p>
    <w:p w14:paraId="138AC17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工程具备以下条件的，承包人可以申请竣工验收：</w:t>
      </w:r>
    </w:p>
    <w:p w14:paraId="22225D4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14:paraId="736A93D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（2）已按合同约定编制了甩项工作和缺陷修补工作清单以及相应的施工计划；</w:t>
      </w:r>
    </w:p>
    <w:p w14:paraId="610C263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（3）已按合同约定的内容和份数备齐竣工资料。</w:t>
      </w:r>
    </w:p>
    <w:p w14:paraId="14AD743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13.2.2竣工验收程序</w:t>
      </w:r>
    </w:p>
    <w:p w14:paraId="6E34BE4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除专用合同条款另有约定外，承包人申请竣工验收的，应当按照以下程序进行：</w:t>
      </w:r>
    </w:p>
    <w:p w14:paraId="2BE9246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68FE8C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969376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14:paraId="0735C60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5DC1A3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9D03A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14:paraId="7490C62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13.2.3竣工日期</w:t>
      </w:r>
    </w:p>
    <w:p w14:paraId="64E68B3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0659027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13.2.4拒绝接收全部或部分工程</w:t>
      </w:r>
    </w:p>
    <w:p w14:paraId="68FF14D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1FCE28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13.2.5移交、接收全部与部分工程</w:t>
      </w:r>
    </w:p>
    <w:p w14:paraId="77CAD18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除专用合同条款另有约定外，合同当事人应当在颁发工程接收证书后7天内完成工程的移交。</w:t>
      </w:r>
    </w:p>
    <w:p w14:paraId="09E238E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14:paraId="15C12EA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14:paraId="4C19BAC4">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84" w:name="_Toc178007620"/>
      <w:r>
        <w:rPr>
          <w:rFonts w:hint="eastAsia" w:ascii="仿宋" w:hAnsi="仿宋" w:eastAsia="仿宋" w:cs="仿宋"/>
          <w:color w:val="000000" w:themeColor="text1"/>
          <w14:textFill>
            <w14:solidFill>
              <w14:schemeClr w14:val="tx1"/>
            </w14:solidFill>
          </w14:textFill>
        </w:rPr>
        <w:t>13.3工程试车</w:t>
      </w:r>
      <w:bookmarkEnd w:id="184"/>
    </w:p>
    <w:p w14:paraId="0F62BB4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13.3.1试车程序</w:t>
      </w:r>
    </w:p>
    <w:p w14:paraId="1ADC519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工程需要试车的，除专用合同条款另有约定外，试车内容应与承包人承包范围相一致，试车费用由承包人承担。工程试车应按如下程序进行：</w:t>
      </w:r>
    </w:p>
    <w:p w14:paraId="52F417B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70647D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51DFC6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267C10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13.3.2试车中的责任</w:t>
      </w:r>
    </w:p>
    <w:p w14:paraId="2D4018C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3BFE39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8D0AA8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13.3.3投料试车</w:t>
      </w:r>
    </w:p>
    <w:p w14:paraId="351F244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14:paraId="70088E6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CCF8D59">
      <w:pPr>
        <w:pStyle w:val="5"/>
        <w:spacing w:before="280" w:after="290" w:line="376" w:lineRule="auto"/>
        <w:rPr>
          <w:rFonts w:hint="eastAsia" w:ascii="仿宋" w:hAnsi="仿宋" w:eastAsia="仿宋" w:cs="仿宋"/>
          <w:color w:val="000000" w:themeColor="text1"/>
          <w:sz w:val="24"/>
          <w:szCs w:val="24"/>
          <w14:textFill>
            <w14:solidFill>
              <w14:schemeClr w14:val="tx1"/>
            </w14:solidFill>
          </w14:textFill>
        </w:rPr>
      </w:pPr>
      <w:bookmarkStart w:id="185" w:name="_Toc178007621"/>
      <w:r>
        <w:rPr>
          <w:rFonts w:hint="eastAsia" w:ascii="仿宋" w:hAnsi="仿宋" w:eastAsia="仿宋" w:cs="仿宋"/>
          <w:color w:val="000000" w:themeColor="text1"/>
          <w:sz w:val="24"/>
          <w:szCs w:val="24"/>
          <w14:textFill>
            <w14:solidFill>
              <w14:schemeClr w14:val="tx1"/>
            </w14:solidFill>
          </w14:textFill>
        </w:rPr>
        <w:t>13.4提前交付单位工程的验收</w:t>
      </w:r>
      <w:bookmarkEnd w:id="185"/>
    </w:p>
    <w:p w14:paraId="2D51470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13.4.1发包人需要在工程竣工前使用单位工程的，或承包人提出提前交付已经竣工的单位工程且经发包人同意的，可进行单位工程验收，验收的程序按照第13.2款〔竣工验收〕的约定进行。</w:t>
      </w:r>
    </w:p>
    <w:p w14:paraId="04C1408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14:paraId="105FC7E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13.4.2发包人要求在工程竣工前交付单位工程，由此导致承包人费用增加和（或）工期延误的，由发包人承担由此增加的费用和（或）延误的工期，并支付承包人合理的利润。</w:t>
      </w:r>
    </w:p>
    <w:p w14:paraId="05E8AB16">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86" w:name="_Toc178007622"/>
      <w:r>
        <w:rPr>
          <w:rFonts w:hint="eastAsia" w:ascii="仿宋" w:hAnsi="仿宋" w:eastAsia="仿宋" w:cs="仿宋"/>
          <w:color w:val="000000" w:themeColor="text1"/>
          <w14:textFill>
            <w14:solidFill>
              <w14:schemeClr w14:val="tx1"/>
            </w14:solidFill>
          </w14:textFill>
        </w:rPr>
        <w:t>13.5施工期运行</w:t>
      </w:r>
      <w:bookmarkEnd w:id="186"/>
    </w:p>
    <w:p w14:paraId="23BC28E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7DCED43B">
      <w:pPr>
        <w:spacing w:line="360" w:lineRule="auto"/>
        <w:ind w:firstLine="48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13.5.2在施工期运行中发现工程或工程设备损坏或存在缺陷的，由承包人按第15.2款〔缺陷责任期〕约定进行修复。</w:t>
      </w:r>
    </w:p>
    <w:p w14:paraId="2B7BAA33">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87" w:name="_Toc178007623"/>
      <w:r>
        <w:rPr>
          <w:rFonts w:hint="eastAsia" w:ascii="仿宋" w:hAnsi="仿宋" w:eastAsia="仿宋" w:cs="仿宋"/>
          <w:color w:val="000000" w:themeColor="text1"/>
          <w14:textFill>
            <w14:solidFill>
              <w14:schemeClr w14:val="tx1"/>
            </w14:solidFill>
          </w14:textFill>
        </w:rPr>
        <w:t>13.6竣工退场</w:t>
      </w:r>
      <w:bookmarkEnd w:id="187"/>
    </w:p>
    <w:p w14:paraId="2702976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13.6.1竣工退场</w:t>
      </w:r>
    </w:p>
    <w:p w14:paraId="0BA47FC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颁发工程接收证书后，承包人应按以下要求对施工现场进行清理：</w:t>
      </w:r>
    </w:p>
    <w:p w14:paraId="523E89B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（1）施工现场内残留的垃圾已全部清除出场；</w:t>
      </w:r>
    </w:p>
    <w:p w14:paraId="24899BA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（2）临时工程已拆除，场地已进行清理、平整或复原；</w:t>
      </w:r>
    </w:p>
    <w:p w14:paraId="387A06B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（3）按合同约定应撤离的人员、承包人施工设备和剩余的材料，包括废弃的施工设备和材料，已按计划撤离施工现场；</w:t>
      </w:r>
    </w:p>
    <w:p w14:paraId="56A6E9E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（4）施工现场周边及其附近道路、河道的施工堆积物，已全部清理；</w:t>
      </w:r>
    </w:p>
    <w:p w14:paraId="327CDF4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（5）施工现场其他场地清理工作已全部完成。</w:t>
      </w:r>
    </w:p>
    <w:p w14:paraId="7537DE3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03C665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13.6.2地表还原</w:t>
      </w:r>
    </w:p>
    <w:p w14:paraId="04BABA2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14:paraId="6D6A9649">
      <w:pPr>
        <w:pStyle w:val="4"/>
        <w:spacing w:line="240" w:lineRule="auto"/>
        <w:rPr>
          <w:rFonts w:hint="eastAsia" w:ascii="仿宋" w:hAnsi="仿宋" w:eastAsia="仿宋" w:cs="仿宋"/>
          <w:color w:val="000000" w:themeColor="text1"/>
          <w14:textFill>
            <w14:solidFill>
              <w14:schemeClr w14:val="tx1"/>
            </w14:solidFill>
          </w14:textFill>
        </w:rPr>
      </w:pPr>
      <w:bookmarkStart w:id="188" w:name="_Toc193815638"/>
      <w:bookmarkStart w:id="189" w:name="_Toc178007624"/>
      <w:r>
        <w:rPr>
          <w:rFonts w:hint="eastAsia" w:ascii="仿宋" w:hAnsi="仿宋" w:eastAsia="仿宋" w:cs="仿宋"/>
          <w:color w:val="000000" w:themeColor="text1"/>
          <w14:textFill>
            <w14:solidFill>
              <w14:schemeClr w14:val="tx1"/>
            </w14:solidFill>
          </w14:textFill>
        </w:rPr>
        <w:t>14.竣工结算</w:t>
      </w:r>
      <w:bookmarkEnd w:id="188"/>
      <w:bookmarkEnd w:id="189"/>
    </w:p>
    <w:p w14:paraId="4D1D4610">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90" w:name="_Toc178007625"/>
      <w:r>
        <w:rPr>
          <w:rFonts w:hint="eastAsia" w:ascii="仿宋" w:hAnsi="仿宋" w:eastAsia="仿宋" w:cs="仿宋"/>
          <w:color w:val="000000" w:themeColor="text1"/>
          <w14:textFill>
            <w14:solidFill>
              <w14:schemeClr w14:val="tx1"/>
            </w14:solidFill>
          </w14:textFill>
        </w:rPr>
        <w:t>14.1竣工结算申请</w:t>
      </w:r>
      <w:bookmarkEnd w:id="190"/>
    </w:p>
    <w:p w14:paraId="4A29B9F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D026A5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除专用合同条款另有约定外，竣工结算申请单应包括以下内容：</w:t>
      </w:r>
    </w:p>
    <w:p w14:paraId="7EB825B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（1）竣工结算合同价格；</w:t>
      </w:r>
    </w:p>
    <w:p w14:paraId="191A166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（2）发包人已支付承包人的款项；</w:t>
      </w:r>
    </w:p>
    <w:p w14:paraId="55106EC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（3）应扣留的质量保证金。已缴纳履约保证金的或提供其他工程质量担保方式的除外；</w:t>
      </w:r>
    </w:p>
    <w:p w14:paraId="157DC95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（4）发包人应支付承包人的合同价款。</w:t>
      </w:r>
    </w:p>
    <w:p w14:paraId="1317906A">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91" w:name="_Toc178007626"/>
      <w:r>
        <w:rPr>
          <w:rFonts w:hint="eastAsia" w:ascii="仿宋" w:hAnsi="仿宋" w:eastAsia="仿宋" w:cs="仿宋"/>
          <w:color w:val="000000" w:themeColor="text1"/>
          <w14:textFill>
            <w14:solidFill>
              <w14:schemeClr w14:val="tx1"/>
            </w14:solidFill>
          </w14:textFill>
        </w:rPr>
        <w:t>14.2竣工结算审核</w:t>
      </w:r>
      <w:bookmarkEnd w:id="191"/>
    </w:p>
    <w:p w14:paraId="5E1AAFB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194DDFB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26B98C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45D2098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6FDBB4AF">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92" w:name="_Toc178007627"/>
      <w:r>
        <w:rPr>
          <w:rFonts w:hint="eastAsia" w:ascii="仿宋" w:hAnsi="仿宋" w:eastAsia="仿宋" w:cs="仿宋"/>
          <w:color w:val="000000" w:themeColor="text1"/>
          <w14:textFill>
            <w14:solidFill>
              <w14:schemeClr w14:val="tx1"/>
            </w14:solidFill>
          </w14:textFill>
        </w:rPr>
        <w:t>14.3甩项竣工协议</w:t>
      </w:r>
      <w:bookmarkEnd w:id="192"/>
    </w:p>
    <w:p w14:paraId="5EDE0946">
      <w:pPr>
        <w:spacing w:line="360" w:lineRule="auto"/>
        <w:ind w:firstLine="48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14:paraId="4C5D2010">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93" w:name="_Toc178007628"/>
      <w:r>
        <w:rPr>
          <w:rFonts w:hint="eastAsia" w:ascii="仿宋" w:hAnsi="仿宋" w:eastAsia="仿宋" w:cs="仿宋"/>
          <w:color w:val="000000" w:themeColor="text1"/>
          <w14:textFill>
            <w14:solidFill>
              <w14:schemeClr w14:val="tx1"/>
            </w14:solidFill>
          </w14:textFill>
        </w:rPr>
        <w:t>14.4最终结清</w:t>
      </w:r>
      <w:bookmarkEnd w:id="193"/>
    </w:p>
    <w:p w14:paraId="7B78F44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14.4.1最终结清申请单</w:t>
      </w:r>
    </w:p>
    <w:p w14:paraId="01A16FC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14:paraId="2ACCA09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除专用合同条款另有约定外，最终结清申请单应列明质量保证金、应扣除的质量保证金、缺陷责任期内发生的增减费用。</w:t>
      </w:r>
    </w:p>
    <w:p w14:paraId="28BCBCC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（2）发包人对最终结清申请单内容有异议的，有权要求承包人进行修正和提供补充资料，承包人应向发包人提交修正后的最终结清申请单。</w:t>
      </w:r>
    </w:p>
    <w:p w14:paraId="6684291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14.4.2最终结清证书和支付</w:t>
      </w:r>
    </w:p>
    <w:p w14:paraId="3E14297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D49D33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CD7BAF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（3）承包人对发包人颁发的最终结清证书有异议的，按第20条〔争议解决〕的约定办理。</w:t>
      </w:r>
    </w:p>
    <w:p w14:paraId="074B3679">
      <w:pPr>
        <w:pStyle w:val="4"/>
        <w:spacing w:line="240" w:lineRule="auto"/>
        <w:rPr>
          <w:rFonts w:hint="eastAsia" w:ascii="仿宋" w:hAnsi="仿宋" w:eastAsia="仿宋" w:cs="仿宋"/>
          <w:color w:val="000000" w:themeColor="text1"/>
          <w14:textFill>
            <w14:solidFill>
              <w14:schemeClr w14:val="tx1"/>
            </w14:solidFill>
          </w14:textFill>
        </w:rPr>
      </w:pPr>
      <w:bookmarkStart w:id="194" w:name="_Toc178007629"/>
      <w:bookmarkStart w:id="195" w:name="_Toc193815639"/>
      <w:r>
        <w:rPr>
          <w:rFonts w:hint="eastAsia" w:ascii="仿宋" w:hAnsi="仿宋" w:eastAsia="仿宋" w:cs="仿宋"/>
          <w:color w:val="000000" w:themeColor="text1"/>
          <w14:textFill>
            <w14:solidFill>
              <w14:schemeClr w14:val="tx1"/>
            </w14:solidFill>
          </w14:textFill>
        </w:rPr>
        <w:t>15.缺陷责任与保修</w:t>
      </w:r>
      <w:bookmarkEnd w:id="194"/>
      <w:bookmarkEnd w:id="195"/>
    </w:p>
    <w:p w14:paraId="50031B58">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96" w:name="_Toc178007630"/>
      <w:r>
        <w:rPr>
          <w:rFonts w:hint="eastAsia" w:ascii="仿宋" w:hAnsi="仿宋" w:eastAsia="仿宋" w:cs="仿宋"/>
          <w:color w:val="000000" w:themeColor="text1"/>
          <w14:textFill>
            <w14:solidFill>
              <w14:schemeClr w14:val="tx1"/>
            </w14:solidFill>
          </w14:textFill>
        </w:rPr>
        <w:t>15.1工程保修的原则</w:t>
      </w:r>
      <w:bookmarkEnd w:id="196"/>
    </w:p>
    <w:p w14:paraId="1A6B423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14:paraId="5AAD0286">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97" w:name="_Toc178007631"/>
      <w:r>
        <w:rPr>
          <w:rFonts w:hint="eastAsia" w:ascii="仿宋" w:hAnsi="仿宋" w:eastAsia="仿宋" w:cs="仿宋"/>
          <w:color w:val="000000" w:themeColor="text1"/>
          <w14:textFill>
            <w14:solidFill>
              <w14:schemeClr w14:val="tx1"/>
            </w14:solidFill>
          </w14:textFill>
        </w:rPr>
        <w:t>15.2缺陷责任期</w:t>
      </w:r>
      <w:bookmarkEnd w:id="197"/>
    </w:p>
    <w:p w14:paraId="65F93C3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15.2.1缺陷责任期从工程通过竣工验收之日起计算，合同当事人应在专用合同条款约定缺陷责任期的具体期限，但该期限最长不超过24个月。</w:t>
      </w:r>
    </w:p>
    <w:p w14:paraId="761B202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7E49F5A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432984C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由他人原因造成的缺陷，发包人负责组织维修，承包人不承担费用，且发包人不得从保证金中扣除费用。</w:t>
      </w:r>
    </w:p>
    <w:p w14:paraId="4A3C986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15.2.3任何一项缺陷或损坏修复后，经检查证明其影响了工程或工程设备的使用性能，承包人应重新进行合同约定的试验和试运行，试验和试运行的全部费用应由责任方承担。</w:t>
      </w:r>
    </w:p>
    <w:p w14:paraId="76A7B06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A7313F4">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98" w:name="_Toc178007632"/>
      <w:r>
        <w:rPr>
          <w:rFonts w:hint="eastAsia" w:ascii="仿宋" w:hAnsi="仿宋" w:eastAsia="仿宋" w:cs="仿宋"/>
          <w:color w:val="000000" w:themeColor="text1"/>
          <w14:textFill>
            <w14:solidFill>
              <w14:schemeClr w14:val="tx1"/>
            </w14:solidFill>
          </w14:textFill>
        </w:rPr>
        <w:t>15.3质量保证金</w:t>
      </w:r>
      <w:bookmarkEnd w:id="198"/>
    </w:p>
    <w:p w14:paraId="215231E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经合同当事人协商一致扣留质量保证金的，应在专用合同条款中予以明确。</w:t>
      </w:r>
    </w:p>
    <w:p w14:paraId="44A5D68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在工程项目竣工前，承包人已经提供履约担保的，发包人不得同时预留工程质量保证金。</w:t>
      </w:r>
    </w:p>
    <w:p w14:paraId="24DFA7C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15.3.1承包人提供质量保证金的方式</w:t>
      </w:r>
    </w:p>
    <w:p w14:paraId="0944220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承包人提供质量保证金有以下三种方式：</w:t>
      </w:r>
    </w:p>
    <w:p w14:paraId="1F4FD15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（1）质量保证金保函；</w:t>
      </w:r>
    </w:p>
    <w:p w14:paraId="201F33D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（2）相应比例的工程款；</w:t>
      </w:r>
    </w:p>
    <w:p w14:paraId="5CC5DA0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（3）双方约定的其他方式。</w:t>
      </w:r>
    </w:p>
    <w:p w14:paraId="2DCF364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除专用合同条款另有约定外，质量保证金原则上采用上述第（1）种方式。</w:t>
      </w:r>
    </w:p>
    <w:p w14:paraId="74C2C0D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15.3.2质量保证金的扣留</w:t>
      </w:r>
    </w:p>
    <w:p w14:paraId="39D6915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质量保证金的扣留有以下三种方式：</w:t>
      </w:r>
    </w:p>
    <w:p w14:paraId="6B5F09E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（1）在支付工程进度款时逐次扣留，在此情形下，质量保证金的计算基数不包括预付款的支付、扣回以及价格调整的金额；</w:t>
      </w:r>
    </w:p>
    <w:p w14:paraId="43C0A39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（2）工程竣工结算时一次性扣留质量保证金；</w:t>
      </w:r>
    </w:p>
    <w:p w14:paraId="0B99A21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（3）双方约定的其他扣留方式。</w:t>
      </w:r>
    </w:p>
    <w:p w14:paraId="5ECB619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除专用合同条款另有约定外，质量保证金的扣留原则上采用上述第（1）种方式。</w:t>
      </w:r>
    </w:p>
    <w:p w14:paraId="1F234C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45F01B7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发包人在退还质量保证金的同时按照中国人民银行发布的同期同类贷款基准利率支付利息。</w:t>
      </w:r>
    </w:p>
    <w:p w14:paraId="12AB2FF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15.3.3质量保证金的退还</w:t>
      </w:r>
    </w:p>
    <w:p w14:paraId="2726FC9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缺陷责任期内，承包人认真履行合同约定的责任，到期后，承包人可向发包人申请返还保证金。</w:t>
      </w:r>
    </w:p>
    <w:p w14:paraId="440B3A5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192BE71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发包人和承包人对保证金预留、返还以及工程维修质量、费用有争议的，按本合同第20条约定的争议和纠纷解决程序处理。</w:t>
      </w:r>
    </w:p>
    <w:p w14:paraId="58F70EC0">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199" w:name="_Toc178007633"/>
      <w:r>
        <w:rPr>
          <w:rFonts w:hint="eastAsia" w:ascii="仿宋" w:hAnsi="仿宋" w:eastAsia="仿宋" w:cs="仿宋"/>
          <w:color w:val="000000" w:themeColor="text1"/>
          <w14:textFill>
            <w14:solidFill>
              <w14:schemeClr w14:val="tx1"/>
            </w14:solidFill>
          </w14:textFill>
        </w:rPr>
        <w:t>15.4保修</w:t>
      </w:r>
      <w:bookmarkEnd w:id="199"/>
    </w:p>
    <w:p w14:paraId="1C503B7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15.4.1保修责任</w:t>
      </w:r>
    </w:p>
    <w:p w14:paraId="472CC2A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E195B5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发包人未经竣工验收擅自使用工程的，保修期自转移占有之日起算。</w:t>
      </w:r>
    </w:p>
    <w:p w14:paraId="7928A89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15.4.2修复费用</w:t>
      </w:r>
    </w:p>
    <w:p w14:paraId="2F320D3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保修期内，修复的费用按照以下约定处理：</w:t>
      </w:r>
    </w:p>
    <w:p w14:paraId="3D6F338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（1）保修期内，因承包人原因造成工程的缺陷、损坏，承包人应负责修复，并承担修复的费用以及因工程的缺陷、损坏造成的人身伤害和财产损失；</w:t>
      </w:r>
    </w:p>
    <w:p w14:paraId="0168B38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（2）保修期内，因发包人使用不当造成工程的缺陷、损坏，可以委托承包人修复，但发包人应承担修复的费用，并支付承包人合理利润；</w:t>
      </w:r>
    </w:p>
    <w:p w14:paraId="1EFFC45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14:paraId="4A04A48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15.4.3修复通知</w:t>
      </w:r>
    </w:p>
    <w:p w14:paraId="3303F16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06D952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15.4.4未能修复</w:t>
      </w:r>
    </w:p>
    <w:p w14:paraId="1445C09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35A730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15.4.5承包人出入权</w:t>
      </w:r>
    </w:p>
    <w:p w14:paraId="6C93C19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DEC7DE3">
      <w:pPr>
        <w:pStyle w:val="4"/>
        <w:spacing w:line="240" w:lineRule="auto"/>
        <w:rPr>
          <w:rFonts w:hint="eastAsia" w:ascii="仿宋" w:hAnsi="仿宋" w:eastAsia="仿宋" w:cs="仿宋"/>
          <w:color w:val="000000" w:themeColor="text1"/>
          <w14:textFill>
            <w14:solidFill>
              <w14:schemeClr w14:val="tx1"/>
            </w14:solidFill>
          </w14:textFill>
        </w:rPr>
      </w:pPr>
      <w:bookmarkStart w:id="200" w:name="_Toc178007634"/>
      <w:bookmarkStart w:id="201" w:name="_Toc193815640"/>
      <w:r>
        <w:rPr>
          <w:rFonts w:hint="eastAsia" w:ascii="仿宋" w:hAnsi="仿宋" w:eastAsia="仿宋" w:cs="仿宋"/>
          <w:color w:val="000000" w:themeColor="text1"/>
          <w14:textFill>
            <w14:solidFill>
              <w14:schemeClr w14:val="tx1"/>
            </w14:solidFill>
          </w14:textFill>
        </w:rPr>
        <w:t>16.违约</w:t>
      </w:r>
      <w:bookmarkEnd w:id="200"/>
      <w:bookmarkEnd w:id="201"/>
    </w:p>
    <w:p w14:paraId="276F11EF">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02" w:name="_Toc178007635"/>
      <w:r>
        <w:rPr>
          <w:rFonts w:hint="eastAsia" w:ascii="仿宋" w:hAnsi="仿宋" w:eastAsia="仿宋" w:cs="仿宋"/>
          <w:color w:val="000000" w:themeColor="text1"/>
          <w14:textFill>
            <w14:solidFill>
              <w14:schemeClr w14:val="tx1"/>
            </w14:solidFill>
          </w14:textFill>
        </w:rPr>
        <w:t>16.1发包人违约</w:t>
      </w:r>
      <w:bookmarkEnd w:id="202"/>
    </w:p>
    <w:p w14:paraId="34F1418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16.1.1发包人违约的情形</w:t>
      </w:r>
    </w:p>
    <w:p w14:paraId="043F689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在合同履行过程中发生的下列情形，属于发包人违约：</w:t>
      </w:r>
    </w:p>
    <w:p w14:paraId="57839C0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（1）因发包人原因未能在计划开工日期前7天内下达开工通知的；</w:t>
      </w:r>
    </w:p>
    <w:p w14:paraId="5295F9F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（2）因发包人原因未能按合同约定支付合同价款的；</w:t>
      </w:r>
    </w:p>
    <w:p w14:paraId="5E2E152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（3）发包人违反第10.1款〔变更的范围〕第（2）项约定，自行实施被取消的工作或转由他人实施的；</w:t>
      </w:r>
    </w:p>
    <w:p w14:paraId="2DEE6AA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（4）发包人提供的材料、工程设备的规格、数量或质量不符合合同约定，或因发包人原因导致交货日期延误或交货地点变更等情况的；</w:t>
      </w:r>
    </w:p>
    <w:p w14:paraId="0230ABF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（5）因发包人违反合同约定造成暂停施工的；</w:t>
      </w:r>
    </w:p>
    <w:p w14:paraId="29A2DDD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（6）发包人无正当理由没有在约定期限内发出复工指示，导致承包人无法复工的；</w:t>
      </w:r>
    </w:p>
    <w:p w14:paraId="72C2BBB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（7）发包人明确表示或者以其行为表明不履行合同主要义务的；</w:t>
      </w:r>
    </w:p>
    <w:p w14:paraId="3E27681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（8）发包人未能按照合同约定履行其他义务的。</w:t>
      </w:r>
    </w:p>
    <w:p w14:paraId="7DBF234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0B7F4A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16.1.2发包人违约的责任</w:t>
      </w:r>
    </w:p>
    <w:p w14:paraId="6A200EF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14:paraId="0C1D0D9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16.1.3因发包人违约解除合同</w:t>
      </w:r>
    </w:p>
    <w:p w14:paraId="32A9112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36BEAA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16.1.4因发包人违约解除合同后的付款</w:t>
      </w:r>
    </w:p>
    <w:p w14:paraId="534D55A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承包人按照本款约定解除合同的，发包人应在解除合同后28天内支付下列款项，并解除履约担保：</w:t>
      </w:r>
    </w:p>
    <w:p w14:paraId="04D9686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（1）合同解除前所完成工作的价款；</w:t>
      </w:r>
    </w:p>
    <w:p w14:paraId="5DF5136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（2）承包人为工程施工订购并已付款的材料、工程设备和其他物品的价款；</w:t>
      </w:r>
    </w:p>
    <w:p w14:paraId="640D7B8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（3）承包人撤离施工现场以及遣散承包人人员的款项；</w:t>
      </w:r>
    </w:p>
    <w:p w14:paraId="5382DA3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（4）按照合同约定在合同解除前应支付的违约金；</w:t>
      </w:r>
    </w:p>
    <w:p w14:paraId="5AA3869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（5）按照合同约定应当支付给承包人的其他款项；</w:t>
      </w:r>
    </w:p>
    <w:p w14:paraId="00BA855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（6）按照合同约定应退还的质量保证金；</w:t>
      </w:r>
    </w:p>
    <w:p w14:paraId="0A3556D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（7）因解除合同给承包人造成的损失。</w:t>
      </w:r>
    </w:p>
    <w:p w14:paraId="1D79F1E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合同当事人未能就解除合同后的结清达成一致的，按照第20条〔争议解决〕的约定处理。</w:t>
      </w:r>
    </w:p>
    <w:p w14:paraId="059E35F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14:paraId="469B355D">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03" w:name="_Toc178007636"/>
      <w:r>
        <w:rPr>
          <w:rFonts w:hint="eastAsia" w:ascii="仿宋" w:hAnsi="仿宋" w:eastAsia="仿宋" w:cs="仿宋"/>
          <w:color w:val="000000" w:themeColor="text1"/>
          <w14:textFill>
            <w14:solidFill>
              <w14:schemeClr w14:val="tx1"/>
            </w14:solidFill>
          </w14:textFill>
        </w:rPr>
        <w:t>16.2承包人违约</w:t>
      </w:r>
      <w:bookmarkEnd w:id="203"/>
    </w:p>
    <w:p w14:paraId="4438EA7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16.2.1承包人违约的情形</w:t>
      </w:r>
    </w:p>
    <w:p w14:paraId="4E5B506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在合同履行过程中发生的下列情形，属于承包人违约：</w:t>
      </w:r>
    </w:p>
    <w:p w14:paraId="5B5A572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（1）承包人违反合同约定进行转包或违法分包的；</w:t>
      </w:r>
    </w:p>
    <w:p w14:paraId="0994819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（2）承包人违反合同约定采购和使用不合格的材料和工程设备的；</w:t>
      </w:r>
    </w:p>
    <w:p w14:paraId="3053877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（3）因承包人原因导致工程质量不符合合同要求的；</w:t>
      </w:r>
    </w:p>
    <w:p w14:paraId="150008F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（4）承包人违反第8.9款〔材料与设备专用要求〕的约定，未经批准，私自将已按照合同约定进入施工现场的材料或设备撤离施工现场的；</w:t>
      </w:r>
    </w:p>
    <w:p w14:paraId="5818831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（5）承包人未能按施工进度计划及时完成合同约定的工作，造成工期延误的；</w:t>
      </w:r>
    </w:p>
    <w:p w14:paraId="4B9010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（6）承包人在缺陷责任期及保修期内，未能在合理期限对工程缺陷进行修复，或拒绝按发包人要求进行修复的；</w:t>
      </w:r>
    </w:p>
    <w:p w14:paraId="2E08FAD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（7）承包人明确表示或者以其行为表明不履行合同主要义务的；</w:t>
      </w:r>
    </w:p>
    <w:p w14:paraId="4A3E9F2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（8）承包人未能按照合同约定履行其他义务的。</w:t>
      </w:r>
    </w:p>
    <w:p w14:paraId="04574CD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承包人发生除本项第（7）目约定以外的其他违约情况时，监理人可向承包人发出整改通知，要求其在指定的期限内改正。</w:t>
      </w:r>
    </w:p>
    <w:p w14:paraId="17AEC43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16.2.2承包人违约的责任</w:t>
      </w:r>
    </w:p>
    <w:p w14:paraId="4FF81BA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14:paraId="64CBBDF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16.2.3因承包人违约解除合同</w:t>
      </w:r>
    </w:p>
    <w:p w14:paraId="6D11F61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4A99623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16.2.4因承包人违约解除合同后的处理</w:t>
      </w:r>
    </w:p>
    <w:p w14:paraId="194988E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因承包人原因导致合同解除的，则合同当事人应在合同解除后28天内完成估价、付款和清算，并按以下约定执行：</w:t>
      </w:r>
    </w:p>
    <w:p w14:paraId="79677FF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14:paraId="4D50218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（2）合同解除后，承包人应支付的违约金；</w:t>
      </w:r>
    </w:p>
    <w:p w14:paraId="2B8D703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（3）合同解除后，因解除合同给发包人造成的损失；</w:t>
      </w:r>
    </w:p>
    <w:p w14:paraId="0454B92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（4）合同解除后，承包人应按照发包人要求和监理人的指示完成现场的清理和撤离；</w:t>
      </w:r>
    </w:p>
    <w:p w14:paraId="23C54F8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（5）发包人和承包人应在合同解除后进行清算，出具最终结清付款证书，结清全部款项。</w:t>
      </w:r>
    </w:p>
    <w:p w14:paraId="67A0C9A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14:paraId="7AC0215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16.2.5采购合同权益转让</w:t>
      </w:r>
    </w:p>
    <w:p w14:paraId="21C5791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50C62EA">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04" w:name="_Toc178007637"/>
      <w:r>
        <w:rPr>
          <w:rFonts w:hint="eastAsia" w:ascii="仿宋" w:hAnsi="仿宋" w:eastAsia="仿宋" w:cs="仿宋"/>
          <w:color w:val="000000" w:themeColor="text1"/>
          <w14:textFill>
            <w14:solidFill>
              <w14:schemeClr w14:val="tx1"/>
            </w14:solidFill>
          </w14:textFill>
        </w:rPr>
        <w:t>16.3第三人造成的违约</w:t>
      </w:r>
      <w:bookmarkEnd w:id="204"/>
    </w:p>
    <w:p w14:paraId="11410BB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3051C36F">
      <w:pPr>
        <w:pStyle w:val="4"/>
        <w:spacing w:line="240" w:lineRule="auto"/>
        <w:rPr>
          <w:rFonts w:hint="eastAsia" w:ascii="仿宋" w:hAnsi="仿宋" w:eastAsia="仿宋" w:cs="仿宋"/>
          <w:color w:val="000000" w:themeColor="text1"/>
          <w14:textFill>
            <w14:solidFill>
              <w14:schemeClr w14:val="tx1"/>
            </w14:solidFill>
          </w14:textFill>
        </w:rPr>
      </w:pPr>
      <w:bookmarkStart w:id="205" w:name="_Toc178007638"/>
      <w:bookmarkStart w:id="206" w:name="_Toc193815641"/>
      <w:r>
        <w:rPr>
          <w:rFonts w:hint="eastAsia" w:ascii="仿宋" w:hAnsi="仿宋" w:eastAsia="仿宋" w:cs="仿宋"/>
          <w:color w:val="000000" w:themeColor="text1"/>
          <w14:textFill>
            <w14:solidFill>
              <w14:schemeClr w14:val="tx1"/>
            </w14:solidFill>
          </w14:textFill>
        </w:rPr>
        <w:t>17.不可抗力</w:t>
      </w:r>
      <w:bookmarkEnd w:id="205"/>
      <w:bookmarkEnd w:id="206"/>
    </w:p>
    <w:p w14:paraId="705F469C">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07" w:name="_Toc178007639"/>
      <w:r>
        <w:rPr>
          <w:rFonts w:hint="eastAsia" w:ascii="仿宋" w:hAnsi="仿宋" w:eastAsia="仿宋" w:cs="仿宋"/>
          <w:color w:val="000000" w:themeColor="text1"/>
          <w14:textFill>
            <w14:solidFill>
              <w14:schemeClr w14:val="tx1"/>
            </w14:solidFill>
          </w14:textFill>
        </w:rPr>
        <w:t>17.1不可抗力的确认</w:t>
      </w:r>
      <w:bookmarkEnd w:id="207"/>
    </w:p>
    <w:p w14:paraId="45090B7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14:paraId="484C4C5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D0E6CDD">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08" w:name="_Toc178007640"/>
      <w:r>
        <w:rPr>
          <w:rFonts w:hint="eastAsia" w:ascii="仿宋" w:hAnsi="仿宋" w:eastAsia="仿宋" w:cs="仿宋"/>
          <w:color w:val="000000" w:themeColor="text1"/>
          <w14:textFill>
            <w14:solidFill>
              <w14:schemeClr w14:val="tx1"/>
            </w14:solidFill>
          </w14:textFill>
        </w:rPr>
        <w:t>17.2不可抗力的通知</w:t>
      </w:r>
      <w:bookmarkEnd w:id="208"/>
    </w:p>
    <w:p w14:paraId="55A3AC9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14:paraId="2240167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14:paraId="369885D4">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09" w:name="_Toc178007641"/>
      <w:r>
        <w:rPr>
          <w:rFonts w:hint="eastAsia" w:ascii="仿宋" w:hAnsi="仿宋" w:eastAsia="仿宋" w:cs="仿宋"/>
          <w:color w:val="000000" w:themeColor="text1"/>
          <w14:textFill>
            <w14:solidFill>
              <w14:schemeClr w14:val="tx1"/>
            </w14:solidFill>
          </w14:textFill>
        </w:rPr>
        <w:t>17.3不可抗力后果的承担</w:t>
      </w:r>
      <w:bookmarkEnd w:id="209"/>
    </w:p>
    <w:p w14:paraId="4C47E42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17.3.1不可抗力引起的后果及造成的损失由合同当事人按照法律规定及合同约定各自承担。不可抗力发生前已完成的工程应当按照合同约定进行计量支付。</w:t>
      </w:r>
    </w:p>
    <w:p w14:paraId="4C45A85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17.3.2不可抗力导致的人员伤亡、财产损失、费用增加和（或）工期延误等后果，由合同当事人按以下原则承担：</w:t>
      </w:r>
    </w:p>
    <w:p w14:paraId="1F8FD9D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（1）永久工程、已运至施工现场的材料和工程设备的损坏，以及因工程损坏造成的第三人人员伤亡和财产损失由发包人承担；</w:t>
      </w:r>
    </w:p>
    <w:p w14:paraId="63106CD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（2）承包人施工设备的损坏由承包人承担；</w:t>
      </w:r>
    </w:p>
    <w:p w14:paraId="6AB66CE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（3）发包人和承包人承担各自人员伤亡和财产的损失；</w:t>
      </w:r>
    </w:p>
    <w:p w14:paraId="5E16972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7F9806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（5）因不可抗力引起或将引起工期延误，发包人要求赶工的，由此增加的赶工费用由发包人承担；</w:t>
      </w:r>
    </w:p>
    <w:p w14:paraId="14F458A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（6）承包人在停工期间按照发包人要求照管、清理和修复工程的费用由发包人承担。</w:t>
      </w:r>
    </w:p>
    <w:p w14:paraId="0E94B04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20E538F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因合同一方迟延履行合同义务，在迟延履行期间遭遇不可抗力的，不免除其违约责任。</w:t>
      </w:r>
    </w:p>
    <w:p w14:paraId="4BC9040D">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10" w:name="_Toc178007642"/>
      <w:r>
        <w:rPr>
          <w:rFonts w:hint="eastAsia" w:ascii="仿宋" w:hAnsi="仿宋" w:eastAsia="仿宋" w:cs="仿宋"/>
          <w:color w:val="000000" w:themeColor="text1"/>
          <w14:textFill>
            <w14:solidFill>
              <w14:schemeClr w14:val="tx1"/>
            </w14:solidFill>
          </w14:textFill>
        </w:rPr>
        <w:t>17.4因不可抗力解除合同</w:t>
      </w:r>
      <w:bookmarkEnd w:id="210"/>
    </w:p>
    <w:p w14:paraId="4C94B07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14:paraId="2B2821E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（1）合同解除前承包人已完成工作的价款；</w:t>
      </w:r>
    </w:p>
    <w:p w14:paraId="20F30DC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（2）承包人为工程订购的并已交付给承包人，或承包人有责任接受交付的材料、工程设备和其他物品的价款；</w:t>
      </w:r>
    </w:p>
    <w:p w14:paraId="4E2A898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（3）发包人要求承包人退货或解除订货合同而产生的费用，或因不能退货或解除合同而产生的损失；</w:t>
      </w:r>
    </w:p>
    <w:p w14:paraId="4E1056C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（4）承包人撤离施工现场以及遣散承包人人员的费用；</w:t>
      </w:r>
    </w:p>
    <w:p w14:paraId="4EC2531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（5）按照合同约定在合同解除前应支付给承包人的其他款项；</w:t>
      </w:r>
    </w:p>
    <w:p w14:paraId="69B4E1F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（6）扣减承包人按照合同约定应向发包人支付的款项；</w:t>
      </w:r>
    </w:p>
    <w:p w14:paraId="75F6BB5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（7）双方商定或确定的其他款项。</w:t>
      </w:r>
    </w:p>
    <w:p w14:paraId="4410608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除专用合同条款另有约定外，合同解除后，发包人应在商定或确定上述款项后28天内完成上述款项的支付。</w:t>
      </w:r>
    </w:p>
    <w:p w14:paraId="228F6065">
      <w:pPr>
        <w:pStyle w:val="4"/>
        <w:spacing w:line="240" w:lineRule="auto"/>
        <w:rPr>
          <w:rFonts w:hint="eastAsia" w:ascii="仿宋" w:hAnsi="仿宋" w:eastAsia="仿宋" w:cs="仿宋"/>
          <w:color w:val="000000" w:themeColor="text1"/>
          <w14:textFill>
            <w14:solidFill>
              <w14:schemeClr w14:val="tx1"/>
            </w14:solidFill>
          </w14:textFill>
        </w:rPr>
      </w:pPr>
      <w:bookmarkStart w:id="211" w:name="_Toc178007643"/>
      <w:bookmarkStart w:id="212" w:name="_Toc193815642"/>
      <w:r>
        <w:rPr>
          <w:rFonts w:hint="eastAsia" w:ascii="仿宋" w:hAnsi="仿宋" w:eastAsia="仿宋" w:cs="仿宋"/>
          <w:color w:val="000000" w:themeColor="text1"/>
          <w14:textFill>
            <w14:solidFill>
              <w14:schemeClr w14:val="tx1"/>
            </w14:solidFill>
          </w14:textFill>
        </w:rPr>
        <w:t>18.保险</w:t>
      </w:r>
      <w:bookmarkEnd w:id="211"/>
      <w:bookmarkEnd w:id="212"/>
    </w:p>
    <w:p w14:paraId="223ED219">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13" w:name="_Toc178007644"/>
      <w:r>
        <w:rPr>
          <w:rFonts w:hint="eastAsia" w:ascii="仿宋" w:hAnsi="仿宋" w:eastAsia="仿宋" w:cs="仿宋"/>
          <w:color w:val="000000" w:themeColor="text1"/>
          <w14:textFill>
            <w14:solidFill>
              <w14:schemeClr w14:val="tx1"/>
            </w14:solidFill>
          </w14:textFill>
        </w:rPr>
        <w:t>18.1工程保险</w:t>
      </w:r>
      <w:bookmarkEnd w:id="213"/>
    </w:p>
    <w:p w14:paraId="3148ED7A">
      <w:pPr>
        <w:spacing w:line="360" w:lineRule="auto"/>
        <w:ind w:firstLine="48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14:paraId="7E852F2E">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14" w:name="_Toc178007645"/>
      <w:r>
        <w:rPr>
          <w:rFonts w:hint="eastAsia" w:ascii="仿宋" w:hAnsi="仿宋" w:eastAsia="仿宋" w:cs="仿宋"/>
          <w:color w:val="000000" w:themeColor="text1"/>
          <w14:textFill>
            <w14:solidFill>
              <w14:schemeClr w14:val="tx1"/>
            </w14:solidFill>
          </w14:textFill>
        </w:rPr>
        <w:t>18.2工伤保险</w:t>
      </w:r>
      <w:bookmarkEnd w:id="214"/>
    </w:p>
    <w:p w14:paraId="3281B49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18.2.1发包人应依照法律规定参加工伤保险，并为在施工现场的全部员工办理工伤保险，缴纳工伤保险费，并要求监理人及由发包人为履行合同聘请的第三方依法参加工伤保险。</w:t>
      </w:r>
    </w:p>
    <w:p w14:paraId="2DA9957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18.2.2承包人应依照法律规定参加工伤保险，并为其履行合同的全部员工办理工伤保险，缴纳工伤保险费，并要求分包人及由承包人为履行合同聘请的第三方依法参加工伤保险。</w:t>
      </w:r>
    </w:p>
    <w:p w14:paraId="0EDFB1C4">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15" w:name="_Toc178007646"/>
      <w:r>
        <w:rPr>
          <w:rFonts w:hint="eastAsia" w:ascii="仿宋" w:hAnsi="仿宋" w:eastAsia="仿宋" w:cs="仿宋"/>
          <w:color w:val="000000" w:themeColor="text1"/>
          <w14:textFill>
            <w14:solidFill>
              <w14:schemeClr w14:val="tx1"/>
            </w14:solidFill>
          </w14:textFill>
        </w:rPr>
        <w:t>18.3其他保险</w:t>
      </w:r>
      <w:bookmarkEnd w:id="215"/>
    </w:p>
    <w:p w14:paraId="04C085E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14:paraId="2EBA3A4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除专用合同条款另有约定外，承包人应为其施工设备等办理财产保险。</w:t>
      </w:r>
    </w:p>
    <w:p w14:paraId="10143904">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16" w:name="_Toc178007647"/>
      <w:r>
        <w:rPr>
          <w:rFonts w:hint="eastAsia" w:ascii="仿宋" w:hAnsi="仿宋" w:eastAsia="仿宋" w:cs="仿宋"/>
          <w:color w:val="000000" w:themeColor="text1"/>
          <w14:textFill>
            <w14:solidFill>
              <w14:schemeClr w14:val="tx1"/>
            </w14:solidFill>
          </w14:textFill>
        </w:rPr>
        <w:t>18.4持续保险</w:t>
      </w:r>
      <w:bookmarkEnd w:id="216"/>
    </w:p>
    <w:p w14:paraId="7669DF01">
      <w:pPr>
        <w:spacing w:line="360" w:lineRule="auto"/>
        <w:ind w:firstLine="48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合同当事人应与保险人保持联系，使保险人能够随时了解工程实施中的变动，并确保按保险合同条款要求持续保险。</w:t>
      </w:r>
    </w:p>
    <w:p w14:paraId="7D3298C7">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17" w:name="_Toc178007648"/>
      <w:r>
        <w:rPr>
          <w:rFonts w:hint="eastAsia" w:ascii="仿宋" w:hAnsi="仿宋" w:eastAsia="仿宋" w:cs="仿宋"/>
          <w:color w:val="000000" w:themeColor="text1"/>
          <w14:textFill>
            <w14:solidFill>
              <w14:schemeClr w14:val="tx1"/>
            </w14:solidFill>
          </w14:textFill>
        </w:rPr>
        <w:t>18.5保险凭证</w:t>
      </w:r>
      <w:bookmarkEnd w:id="217"/>
    </w:p>
    <w:p w14:paraId="5413A6D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合同当事人应及时向另一方当事人提交其已投保的各项保险的凭证和保险单复印件。</w:t>
      </w:r>
    </w:p>
    <w:p w14:paraId="6E1EB897">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18" w:name="_Toc178007649"/>
      <w:r>
        <w:rPr>
          <w:rFonts w:hint="eastAsia" w:ascii="仿宋" w:hAnsi="仿宋" w:eastAsia="仿宋" w:cs="仿宋"/>
          <w:color w:val="000000" w:themeColor="text1"/>
          <w14:textFill>
            <w14:solidFill>
              <w14:schemeClr w14:val="tx1"/>
            </w14:solidFill>
          </w14:textFill>
        </w:rPr>
        <w:t>18.6未按约定投保的补救</w:t>
      </w:r>
      <w:bookmarkEnd w:id="218"/>
    </w:p>
    <w:p w14:paraId="129C4AC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14:paraId="0AB5061B">
      <w:pPr>
        <w:spacing w:line="360" w:lineRule="auto"/>
        <w:ind w:firstLine="48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14:paraId="4717D79E">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19" w:name="_Toc178007650"/>
      <w:r>
        <w:rPr>
          <w:rFonts w:hint="eastAsia" w:ascii="仿宋" w:hAnsi="仿宋" w:eastAsia="仿宋" w:cs="仿宋"/>
          <w:color w:val="000000" w:themeColor="text1"/>
          <w14:textFill>
            <w14:solidFill>
              <w14:schemeClr w14:val="tx1"/>
            </w14:solidFill>
          </w14:textFill>
        </w:rPr>
        <w:t>18.7通知义务</w:t>
      </w:r>
      <w:bookmarkEnd w:id="219"/>
    </w:p>
    <w:p w14:paraId="513AEA0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14:paraId="62D0FD4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保险事故发生时，投保人应按照保险合同规定的条件和期限及时向保险人报告。发包人和承包人应当在知道保险事故发生后及时通知对方。</w:t>
      </w:r>
    </w:p>
    <w:p w14:paraId="1578B195">
      <w:pPr>
        <w:pStyle w:val="4"/>
        <w:spacing w:line="240" w:lineRule="auto"/>
        <w:rPr>
          <w:rFonts w:hint="eastAsia" w:ascii="仿宋" w:hAnsi="仿宋" w:eastAsia="仿宋" w:cs="仿宋"/>
          <w:color w:val="000000" w:themeColor="text1"/>
          <w14:textFill>
            <w14:solidFill>
              <w14:schemeClr w14:val="tx1"/>
            </w14:solidFill>
          </w14:textFill>
        </w:rPr>
      </w:pPr>
      <w:bookmarkStart w:id="220" w:name="_Toc178007651"/>
      <w:bookmarkStart w:id="221" w:name="_Toc193815643"/>
      <w:r>
        <w:rPr>
          <w:rFonts w:hint="eastAsia" w:ascii="仿宋" w:hAnsi="仿宋" w:eastAsia="仿宋" w:cs="仿宋"/>
          <w:color w:val="000000" w:themeColor="text1"/>
          <w14:textFill>
            <w14:solidFill>
              <w14:schemeClr w14:val="tx1"/>
            </w14:solidFill>
          </w14:textFill>
        </w:rPr>
        <w:t>19.索赔</w:t>
      </w:r>
      <w:bookmarkEnd w:id="220"/>
      <w:bookmarkEnd w:id="221"/>
    </w:p>
    <w:p w14:paraId="6CD31AA9">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22" w:name="_Toc178007652"/>
      <w:r>
        <w:rPr>
          <w:rFonts w:hint="eastAsia" w:ascii="仿宋" w:hAnsi="仿宋" w:eastAsia="仿宋" w:cs="仿宋"/>
          <w:color w:val="000000" w:themeColor="text1"/>
          <w14:textFill>
            <w14:solidFill>
              <w14:schemeClr w14:val="tx1"/>
            </w14:solidFill>
          </w14:textFill>
        </w:rPr>
        <w:t>19.1承包人的索赔</w:t>
      </w:r>
      <w:bookmarkEnd w:id="222"/>
    </w:p>
    <w:p w14:paraId="194FAB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根据合同约定，承包人认为有权得到追加付款和（或）延长工期的，应按以下程序向发包人提出索赔：</w:t>
      </w:r>
    </w:p>
    <w:p w14:paraId="6C4F9D5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5CBD55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14:paraId="6EFC2A9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14:paraId="4A7B3D7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14:paraId="3F4E21D5">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23" w:name="_Toc178007653"/>
      <w:r>
        <w:rPr>
          <w:rFonts w:hint="eastAsia" w:ascii="仿宋" w:hAnsi="仿宋" w:eastAsia="仿宋" w:cs="仿宋"/>
          <w:color w:val="000000" w:themeColor="text1"/>
          <w14:textFill>
            <w14:solidFill>
              <w14:schemeClr w14:val="tx1"/>
            </w14:solidFill>
          </w14:textFill>
        </w:rPr>
        <w:t>19.2对承包人索赔的处理</w:t>
      </w:r>
      <w:bookmarkEnd w:id="223"/>
    </w:p>
    <w:p w14:paraId="2CAE803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对承包人索赔的处理如下：</w:t>
      </w:r>
    </w:p>
    <w:p w14:paraId="3A228B3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（1）监理人应在收到索赔报告后14天内完成审查并报送发包人。监理人对索赔报告存在异议的，有权要求承包人提交全部原始记录副本；</w:t>
      </w:r>
    </w:p>
    <w:p w14:paraId="1D76C8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14:paraId="34F92F7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（3）承包人接受索赔处理结果的，索赔款项在当期进度款中进行支付；承包人不接受索赔处理结果的，按照第20条〔争议解决〕约定处理。</w:t>
      </w:r>
    </w:p>
    <w:p w14:paraId="34E7EEE4">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24" w:name="_Toc178007654"/>
      <w:r>
        <w:rPr>
          <w:rFonts w:hint="eastAsia" w:ascii="仿宋" w:hAnsi="仿宋" w:eastAsia="仿宋" w:cs="仿宋"/>
          <w:color w:val="000000" w:themeColor="text1"/>
          <w14:textFill>
            <w14:solidFill>
              <w14:schemeClr w14:val="tx1"/>
            </w14:solidFill>
          </w14:textFill>
        </w:rPr>
        <w:t>19.3发包人的索赔</w:t>
      </w:r>
      <w:bookmarkEnd w:id="224"/>
    </w:p>
    <w:p w14:paraId="55FDBFB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根据合同约定，发包人认为有权得到赔付金额和（或）延长缺陷责任期的，监理人应向承包人发出通知并附有详细的证明。</w:t>
      </w:r>
    </w:p>
    <w:p w14:paraId="560342C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2AC79CA">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25" w:name="_Toc178007655"/>
      <w:r>
        <w:rPr>
          <w:rFonts w:hint="eastAsia" w:ascii="仿宋" w:hAnsi="仿宋" w:eastAsia="仿宋" w:cs="仿宋"/>
          <w:color w:val="000000" w:themeColor="text1"/>
          <w14:textFill>
            <w14:solidFill>
              <w14:schemeClr w14:val="tx1"/>
            </w14:solidFill>
          </w14:textFill>
        </w:rPr>
        <w:t>19.4对发包人索赔的处理</w:t>
      </w:r>
      <w:bookmarkEnd w:id="225"/>
    </w:p>
    <w:p w14:paraId="0FA4A5E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对发包人索赔的处理如下：</w:t>
      </w:r>
    </w:p>
    <w:p w14:paraId="5E771F7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（1）承包人收到发包人提交的索赔报告后，应及时审查索赔报告的内容、查验发包人证明材料；</w:t>
      </w:r>
    </w:p>
    <w:p w14:paraId="73C81FC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14:paraId="50AC646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14:paraId="00C00398">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26" w:name="_Toc178007656"/>
      <w:r>
        <w:rPr>
          <w:rFonts w:hint="eastAsia" w:ascii="仿宋" w:hAnsi="仿宋" w:eastAsia="仿宋" w:cs="仿宋"/>
          <w:color w:val="000000" w:themeColor="text1"/>
          <w14:textFill>
            <w14:solidFill>
              <w14:schemeClr w14:val="tx1"/>
            </w14:solidFill>
          </w14:textFill>
        </w:rPr>
        <w:t>19.5提出索赔的期限</w:t>
      </w:r>
      <w:bookmarkEnd w:id="226"/>
    </w:p>
    <w:p w14:paraId="40001A6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（1）承包人按第14.2款〔竣工结算审核〕约定接收竣工付款证书后，应被视为已无权再提出在工程接收证书颁发前所发生的任何索赔。</w:t>
      </w:r>
    </w:p>
    <w:p w14:paraId="04671E7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（2）承包人按第14.4款〔最终结清〕提交的最终结清申请单中，只限于提出工程接收证书颁发后发生的索赔。提出索赔的期限自接受最终结清证书时终止。</w:t>
      </w:r>
    </w:p>
    <w:p w14:paraId="6F5ABFF4">
      <w:pPr>
        <w:pStyle w:val="4"/>
        <w:spacing w:line="240" w:lineRule="auto"/>
        <w:rPr>
          <w:rFonts w:hint="eastAsia" w:ascii="仿宋" w:hAnsi="仿宋" w:eastAsia="仿宋" w:cs="仿宋"/>
          <w:color w:val="000000" w:themeColor="text1"/>
          <w14:textFill>
            <w14:solidFill>
              <w14:schemeClr w14:val="tx1"/>
            </w14:solidFill>
          </w14:textFill>
        </w:rPr>
      </w:pPr>
      <w:bookmarkStart w:id="227" w:name="_Toc193815644"/>
      <w:bookmarkStart w:id="228" w:name="_Toc178007657"/>
      <w:r>
        <w:rPr>
          <w:rFonts w:hint="eastAsia" w:ascii="仿宋" w:hAnsi="仿宋" w:eastAsia="仿宋" w:cs="仿宋"/>
          <w:color w:val="000000" w:themeColor="text1"/>
          <w14:textFill>
            <w14:solidFill>
              <w14:schemeClr w14:val="tx1"/>
            </w14:solidFill>
          </w14:textFill>
        </w:rPr>
        <w:t>20.争议解决</w:t>
      </w:r>
      <w:bookmarkEnd w:id="227"/>
      <w:bookmarkEnd w:id="228"/>
    </w:p>
    <w:p w14:paraId="66C4B5F0">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29" w:name="_Toc178007658"/>
      <w:r>
        <w:rPr>
          <w:rFonts w:hint="eastAsia" w:ascii="仿宋" w:hAnsi="仿宋" w:eastAsia="仿宋" w:cs="仿宋"/>
          <w:color w:val="000000" w:themeColor="text1"/>
          <w14:textFill>
            <w14:solidFill>
              <w14:schemeClr w14:val="tx1"/>
            </w14:solidFill>
          </w14:textFill>
        </w:rPr>
        <w:t>20.1和解</w:t>
      </w:r>
      <w:bookmarkEnd w:id="229"/>
    </w:p>
    <w:p w14:paraId="1EE2719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合同当事人可以就争议自行和解，自行和解达成协议的经双方签字并盖章后作为合同补充文件，双方均应遵照执行。</w:t>
      </w:r>
    </w:p>
    <w:p w14:paraId="68097CBA">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30" w:name="_Toc178007659"/>
      <w:r>
        <w:rPr>
          <w:rFonts w:hint="eastAsia" w:ascii="仿宋" w:hAnsi="仿宋" w:eastAsia="仿宋" w:cs="仿宋"/>
          <w:color w:val="000000" w:themeColor="text1"/>
          <w14:textFill>
            <w14:solidFill>
              <w14:schemeClr w14:val="tx1"/>
            </w14:solidFill>
          </w14:textFill>
        </w:rPr>
        <w:t>20.2调解</w:t>
      </w:r>
      <w:bookmarkEnd w:id="230"/>
    </w:p>
    <w:p w14:paraId="1F441E6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14:paraId="203DD1EB">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31" w:name="_Toc178007660"/>
      <w:r>
        <w:rPr>
          <w:rFonts w:hint="eastAsia" w:ascii="仿宋" w:hAnsi="仿宋" w:eastAsia="仿宋" w:cs="仿宋"/>
          <w:color w:val="000000" w:themeColor="text1"/>
          <w14:textFill>
            <w14:solidFill>
              <w14:schemeClr w14:val="tx1"/>
            </w14:solidFill>
          </w14:textFill>
        </w:rPr>
        <w:t>20.3争议评审</w:t>
      </w:r>
      <w:bookmarkEnd w:id="231"/>
    </w:p>
    <w:p w14:paraId="472FD8E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合同当事人在专用合同条款中约定采取争议评审方式解决争议以及评审规则，并按下列约定执行：</w:t>
      </w:r>
    </w:p>
    <w:p w14:paraId="03154F1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20.3.1争议评审小组的确定</w:t>
      </w:r>
    </w:p>
    <w:p w14:paraId="10F75F5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14:paraId="470D74C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6929A1A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除专用合同条款另有约定外，评审员报酬由发包人和承包人各承担一半。</w:t>
      </w:r>
    </w:p>
    <w:p w14:paraId="5405EC1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20.3.2争议评审小组的决定</w:t>
      </w:r>
    </w:p>
    <w:p w14:paraId="31A5507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DC7007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20.3.3争议评审小组决定的效力</w:t>
      </w:r>
    </w:p>
    <w:p w14:paraId="674DFB7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争议评审小组作出的书面决定经合同当事人签字确认后，对双方具有约束力，双方应遵照执行。</w:t>
      </w:r>
    </w:p>
    <w:p w14:paraId="3E64B42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任何一方当事人不接受争议评审小组决定或不履行争议评审小组决定的，双方可选择采用其他争议解决方式。</w:t>
      </w:r>
    </w:p>
    <w:p w14:paraId="65729E1C">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32" w:name="_Toc178007661"/>
      <w:r>
        <w:rPr>
          <w:rFonts w:hint="eastAsia" w:ascii="仿宋" w:hAnsi="仿宋" w:eastAsia="仿宋" w:cs="仿宋"/>
          <w:color w:val="000000" w:themeColor="text1"/>
          <w14:textFill>
            <w14:solidFill>
              <w14:schemeClr w14:val="tx1"/>
            </w14:solidFill>
          </w14:textFill>
        </w:rPr>
        <w:t>20.4仲裁或诉讼</w:t>
      </w:r>
      <w:bookmarkEnd w:id="232"/>
    </w:p>
    <w:p w14:paraId="519830D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因合同及合同有关事项产生的争议，合同当事人可以在专用合同条款中约定以下一种方式解决争议：</w:t>
      </w:r>
    </w:p>
    <w:p w14:paraId="56252BF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（1）向约定的仲裁委员会申请仲裁；</w:t>
      </w:r>
    </w:p>
    <w:p w14:paraId="233B566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（2）向有管辖权的人民法院起诉。</w:t>
      </w:r>
    </w:p>
    <w:p w14:paraId="60D1D089">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33" w:name="_Toc178007662"/>
      <w:r>
        <w:rPr>
          <w:rFonts w:hint="eastAsia" w:ascii="仿宋" w:hAnsi="仿宋" w:eastAsia="仿宋" w:cs="仿宋"/>
          <w:color w:val="000000" w:themeColor="text1"/>
          <w14:textFill>
            <w14:solidFill>
              <w14:schemeClr w14:val="tx1"/>
            </w14:solidFill>
          </w14:textFill>
        </w:rPr>
        <w:t>20.5争议解决条款效力</w:t>
      </w:r>
      <w:bookmarkEnd w:id="233"/>
    </w:p>
    <w:p w14:paraId="68F5A59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合同有关争议解决的条款独立存在，合同的变更、解除、终止、无效或者被撤销均不影响其效力。</w:t>
      </w:r>
    </w:p>
    <w:p w14:paraId="1208C7B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20E521FA">
      <w:pPr>
        <w:pStyle w:val="2"/>
        <w:spacing w:before="0" w:after="0" w:line="240" w:lineRule="auto"/>
        <w:jc w:val="center"/>
        <w:rPr>
          <w:rFonts w:hint="eastAsia" w:ascii="仿宋" w:hAnsi="仿宋" w:eastAsia="仿宋" w:cs="仿宋"/>
          <w:color w:val="000000" w:themeColor="text1"/>
          <w:sz w:val="30"/>
          <w:szCs w:val="30"/>
          <w14:textFill>
            <w14:solidFill>
              <w14:schemeClr w14:val="tx1"/>
            </w14:solidFill>
          </w14:textFill>
        </w:rPr>
      </w:pPr>
      <w:bookmarkStart w:id="234" w:name="_Toc193815645"/>
      <w:r>
        <w:rPr>
          <w:rFonts w:hint="eastAsia" w:ascii="仿宋" w:hAnsi="仿宋" w:eastAsia="仿宋" w:cs="仿宋"/>
          <w:color w:val="000000" w:themeColor="text1"/>
          <w:sz w:val="30"/>
          <w:szCs w:val="30"/>
          <w14:textFill>
            <w14:solidFill>
              <w14:schemeClr w14:val="tx1"/>
            </w14:solidFill>
          </w14:textFill>
        </w:rPr>
        <w:t>第三部</w:t>
      </w:r>
      <w:r>
        <w:rPr>
          <w:rFonts w:hint="eastAsia" w:ascii="仿宋" w:hAnsi="仿宋" w:eastAsia="仿宋" w:cs="仿宋"/>
          <w:color w:val="000000" w:themeColor="text1"/>
          <w:spacing w:val="100"/>
          <w:sz w:val="30"/>
          <w:szCs w:val="30"/>
          <w14:textFill>
            <w14:solidFill>
              <w14:schemeClr w14:val="tx1"/>
            </w14:solidFill>
          </w14:textFill>
        </w:rPr>
        <w:t>分</w:t>
      </w:r>
      <w:r>
        <w:rPr>
          <w:rFonts w:hint="eastAsia" w:ascii="仿宋" w:hAnsi="仿宋" w:eastAsia="仿宋" w:cs="仿宋"/>
          <w:color w:val="000000" w:themeColor="text1"/>
          <w:sz w:val="30"/>
          <w:szCs w:val="30"/>
          <w14:textFill>
            <w14:solidFill>
              <w14:schemeClr w14:val="tx1"/>
            </w14:solidFill>
          </w14:textFill>
        </w:rPr>
        <w:t>专用合同条款</w:t>
      </w:r>
      <w:bookmarkEnd w:id="234"/>
    </w:p>
    <w:p w14:paraId="083CC526">
      <w:pPr>
        <w:pStyle w:val="4"/>
        <w:spacing w:line="240" w:lineRule="auto"/>
        <w:rPr>
          <w:rFonts w:hint="eastAsia" w:ascii="仿宋" w:hAnsi="仿宋" w:eastAsia="仿宋" w:cs="仿宋"/>
          <w:color w:val="000000" w:themeColor="text1"/>
          <w14:textFill>
            <w14:solidFill>
              <w14:schemeClr w14:val="tx1"/>
            </w14:solidFill>
          </w14:textFill>
        </w:rPr>
      </w:pPr>
      <w:bookmarkStart w:id="235" w:name="_Toc193815646"/>
      <w:r>
        <w:rPr>
          <w:rFonts w:hint="eastAsia" w:ascii="仿宋" w:hAnsi="仿宋" w:eastAsia="仿宋" w:cs="仿宋"/>
          <w:color w:val="000000" w:themeColor="text1"/>
          <w14:textFill>
            <w14:solidFill>
              <w14:schemeClr w14:val="tx1"/>
            </w14:solidFill>
          </w14:textFill>
        </w:rPr>
        <w:t>1.一般约定</w:t>
      </w:r>
      <w:bookmarkEnd w:id="235"/>
    </w:p>
    <w:p w14:paraId="5E1E04F1">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1.1词语定义</w:t>
      </w:r>
    </w:p>
    <w:p w14:paraId="5BE3237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1.1.1合同</w:t>
      </w:r>
    </w:p>
    <w:p w14:paraId="5B1F15A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1.1.1.10其他合同文件包括：</w:t>
      </w:r>
      <w:r>
        <w:rPr>
          <w:rFonts w:hint="eastAsia" w:ascii="仿宋" w:hAnsi="仿宋" w:eastAsia="仿宋" w:cs="仿宋"/>
          <w:color w:val="000000" w:themeColor="text1"/>
          <w:sz w:val="24"/>
          <w:szCs w:val="24"/>
          <w:u w:val="single"/>
          <w14:textFill>
            <w14:solidFill>
              <w14:schemeClr w14:val="tx1"/>
            </w14:solidFill>
          </w14:textFill>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Pr>
          <w:rFonts w:hint="eastAsia" w:ascii="仿宋" w:hAnsi="仿宋" w:eastAsia="仿宋" w:cs="仿宋"/>
          <w:color w:val="000000" w:themeColor="text1"/>
          <w:sz w:val="24"/>
          <w:szCs w:val="24"/>
          <w14:textFill>
            <w14:solidFill>
              <w14:schemeClr w14:val="tx1"/>
            </w14:solidFill>
          </w14:textFill>
        </w:rPr>
        <w:t>。</w:t>
      </w:r>
    </w:p>
    <w:p w14:paraId="296A65E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1.1.2合同当事人及其他相关方</w:t>
      </w:r>
    </w:p>
    <w:p w14:paraId="5AC4950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1.1.2.4监理人：</w:t>
      </w:r>
    </w:p>
    <w:p w14:paraId="4C3E0F0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名称：______；</w:t>
      </w:r>
    </w:p>
    <w:p w14:paraId="724511A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资质类别和等级：______；</w:t>
      </w:r>
    </w:p>
    <w:p w14:paraId="1C9DF1B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联系电话：______；</w:t>
      </w:r>
    </w:p>
    <w:p w14:paraId="0C5B4F0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电子信箱：______；</w:t>
      </w:r>
    </w:p>
    <w:p w14:paraId="12E6ABB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通信地址：______。</w:t>
      </w:r>
    </w:p>
    <w:p w14:paraId="6497A9F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1.1.2.5设计人：</w:t>
      </w:r>
    </w:p>
    <w:p w14:paraId="1E6DAB9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名称：______；</w:t>
      </w:r>
    </w:p>
    <w:p w14:paraId="4DA146E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资质类别和等级：______；</w:t>
      </w:r>
    </w:p>
    <w:p w14:paraId="10FEFD5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联系电话：______；</w:t>
      </w:r>
    </w:p>
    <w:p w14:paraId="1534CBC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电子信箱：______；</w:t>
      </w:r>
    </w:p>
    <w:p w14:paraId="25AA088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通信地址：______。</w:t>
      </w:r>
    </w:p>
    <w:p w14:paraId="4223EBA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1.1.3工程和设备</w:t>
      </w:r>
    </w:p>
    <w:p w14:paraId="3DE26FC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1.1.3.7作为施工现场组成部分的其他场所包括：</w:t>
      </w:r>
      <w:r>
        <w:rPr>
          <w:rFonts w:hint="eastAsia" w:ascii="仿宋" w:hAnsi="仿宋" w:eastAsia="仿宋" w:cs="仿宋"/>
          <w:color w:val="000000" w:themeColor="text1"/>
          <w:sz w:val="24"/>
          <w:szCs w:val="24"/>
          <w:u w:val="single"/>
          <w14:textFill>
            <w14:solidFill>
              <w14:schemeClr w14:val="tx1"/>
            </w14:solidFill>
          </w14:textFill>
        </w:rPr>
        <w:t>指为完成合同约定的各项工作所服务的临时性生产和生活设施及临时用地</w:t>
      </w:r>
      <w:r>
        <w:rPr>
          <w:rFonts w:hint="eastAsia" w:ascii="仿宋" w:hAnsi="仿宋" w:eastAsia="仿宋" w:cs="仿宋"/>
          <w:color w:val="000000" w:themeColor="text1"/>
          <w:sz w:val="24"/>
          <w:szCs w:val="24"/>
          <w14:textFill>
            <w14:solidFill>
              <w14:schemeClr w14:val="tx1"/>
            </w14:solidFill>
          </w14:textFill>
        </w:rPr>
        <w:t>。</w:t>
      </w:r>
    </w:p>
    <w:p w14:paraId="047AEC8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1.1.3.9永久占地包括：</w:t>
      </w:r>
      <w:r>
        <w:rPr>
          <w:rFonts w:hint="eastAsia" w:ascii="仿宋" w:hAnsi="仿宋" w:eastAsia="仿宋" w:cs="仿宋"/>
          <w:color w:val="000000" w:themeColor="text1"/>
          <w:sz w:val="24"/>
          <w:szCs w:val="24"/>
          <w:u w:val="single"/>
          <w14:textFill>
            <w14:solidFill>
              <w14:schemeClr w14:val="tx1"/>
            </w14:solidFill>
          </w14:textFill>
        </w:rPr>
        <w:t>执行本合同通用条款</w:t>
      </w:r>
      <w:r>
        <w:rPr>
          <w:rFonts w:hint="eastAsia" w:ascii="仿宋" w:hAnsi="仿宋" w:eastAsia="仿宋" w:cs="仿宋"/>
          <w:color w:val="000000" w:themeColor="text1"/>
          <w:sz w:val="24"/>
          <w:szCs w:val="24"/>
          <w14:textFill>
            <w14:solidFill>
              <w14:schemeClr w14:val="tx1"/>
            </w14:solidFill>
          </w14:textFill>
        </w:rPr>
        <w:t>。</w:t>
      </w:r>
    </w:p>
    <w:p w14:paraId="2322089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1.1.3.10临时占地包括：</w:t>
      </w:r>
      <w:r>
        <w:rPr>
          <w:rFonts w:hint="eastAsia" w:ascii="仿宋" w:hAnsi="仿宋" w:eastAsia="仿宋" w:cs="仿宋"/>
          <w:color w:val="000000" w:themeColor="text1"/>
          <w:sz w:val="24"/>
          <w:szCs w:val="24"/>
          <w:u w:val="single"/>
          <w14:textFill>
            <w14:solidFill>
              <w14:schemeClr w14:val="tx1"/>
            </w14:solidFill>
          </w14:textFill>
        </w:rPr>
        <w:t>临时设施、运料通道、材料堆放、材料加工等为实施合同工程需临时占用的土地</w:t>
      </w:r>
      <w:r>
        <w:rPr>
          <w:rFonts w:hint="eastAsia" w:ascii="仿宋" w:hAnsi="仿宋" w:eastAsia="仿宋" w:cs="仿宋"/>
          <w:color w:val="000000" w:themeColor="text1"/>
          <w:sz w:val="24"/>
          <w:szCs w:val="24"/>
          <w14:textFill>
            <w14:solidFill>
              <w14:schemeClr w14:val="tx1"/>
            </w14:solidFill>
          </w14:textFill>
        </w:rPr>
        <w:t>。</w:t>
      </w:r>
    </w:p>
    <w:p w14:paraId="7DD4D3BC">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1.3法律</w:t>
      </w:r>
    </w:p>
    <w:p w14:paraId="35ED17C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适用于合同的其他规范性文件：</w:t>
      </w:r>
      <w:r>
        <w:rPr>
          <w:rFonts w:hint="eastAsia" w:ascii="仿宋" w:hAnsi="仿宋" w:eastAsia="仿宋" w:cs="仿宋"/>
          <w:color w:val="000000" w:themeColor="text1"/>
          <w:sz w:val="24"/>
          <w:szCs w:val="24"/>
          <w:u w:val="single"/>
          <w14:textFill>
            <w14:solidFill>
              <w14:schemeClr w14:val="tx1"/>
            </w14:solidFill>
          </w14:textFill>
        </w:rPr>
        <w:t>现行的国家法律和行政法规、部门规章，广西壮族自治区及</w:t>
      </w:r>
      <w:r>
        <w:rPr>
          <w:rFonts w:hint="eastAsia" w:ascii="仿宋" w:hAnsi="仿宋" w:eastAsia="仿宋" w:cs="仿宋"/>
          <w:color w:val="000000" w:themeColor="text1"/>
          <w:sz w:val="24"/>
          <w:szCs w:val="24"/>
          <w:u w:val="single"/>
          <w:lang w:val="en-US" w:eastAsia="zh-CN"/>
          <w14:textFill>
            <w14:solidFill>
              <w14:schemeClr w14:val="tx1"/>
            </w14:solidFill>
          </w14:textFill>
        </w:rPr>
        <w:t>桂林</w:t>
      </w:r>
      <w:r>
        <w:rPr>
          <w:rFonts w:hint="eastAsia" w:ascii="仿宋" w:hAnsi="仿宋" w:eastAsia="仿宋" w:cs="仿宋"/>
          <w:color w:val="000000" w:themeColor="text1"/>
          <w:sz w:val="24"/>
          <w:szCs w:val="24"/>
          <w:u w:val="single"/>
          <w14:textFill>
            <w14:solidFill>
              <w14:schemeClr w14:val="tx1"/>
            </w14:solidFill>
          </w14:textFill>
        </w:rPr>
        <w:t>市的地方性法规和规章。但是有关工程竣工结算或工程造价审定的期限、后果等相关事项，只适用于中华人民共和国法律和行政法规及部门规章和省（自治区）一级的地方性法规和地方政府规章</w:t>
      </w:r>
      <w:r>
        <w:rPr>
          <w:rFonts w:hint="eastAsia" w:ascii="仿宋" w:hAnsi="仿宋" w:eastAsia="仿宋" w:cs="仿宋"/>
          <w:color w:val="000000" w:themeColor="text1"/>
          <w:sz w:val="24"/>
          <w:szCs w:val="24"/>
          <w14:textFill>
            <w14:solidFill>
              <w14:schemeClr w14:val="tx1"/>
            </w14:solidFill>
          </w14:textFill>
        </w:rPr>
        <w:t>。</w:t>
      </w:r>
    </w:p>
    <w:p w14:paraId="319A39F5">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1.4标准和规范</w:t>
      </w:r>
    </w:p>
    <w:p w14:paraId="1C41AD8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1.4.1适用于工程的标准规范包括：</w:t>
      </w:r>
      <w:r>
        <w:rPr>
          <w:rFonts w:hint="eastAsia" w:ascii="仿宋" w:hAnsi="仿宋" w:eastAsia="仿宋" w:cs="仿宋"/>
          <w:color w:val="000000" w:themeColor="text1"/>
          <w:sz w:val="24"/>
          <w:szCs w:val="24"/>
          <w:u w:val="single"/>
          <w14:textFill>
            <w14:solidFill>
              <w14:schemeClr w14:val="tx1"/>
            </w14:solidFill>
          </w14:textFill>
        </w:rPr>
        <w:t>《建筑工程施工质量验收统一标准》GB50300-2013等适用于本工程的国家标准、行业标准、工程所在地的地方性标准，以及相应的规范、规程</w:t>
      </w:r>
      <w:r>
        <w:rPr>
          <w:rFonts w:hint="eastAsia" w:ascii="仿宋" w:hAnsi="仿宋" w:eastAsia="仿宋" w:cs="仿宋"/>
          <w:color w:val="000000" w:themeColor="text1"/>
          <w:sz w:val="24"/>
          <w:szCs w:val="24"/>
          <w14:textFill>
            <w14:solidFill>
              <w14:schemeClr w14:val="tx1"/>
            </w14:solidFill>
          </w14:textFill>
        </w:rPr>
        <w:t>。</w:t>
      </w:r>
    </w:p>
    <w:p w14:paraId="5652E6E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1.4.2发包人提供国外标准、规范的名称：</w:t>
      </w:r>
      <w:r>
        <w:rPr>
          <w:rFonts w:hint="eastAsia" w:ascii="仿宋" w:hAnsi="仿宋" w:eastAsia="仿宋" w:cs="仿宋"/>
          <w:color w:val="000000" w:themeColor="text1"/>
          <w:sz w:val="24"/>
          <w:szCs w:val="24"/>
          <w:u w:val="single"/>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14:paraId="53924FF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发包人提供国外标准、规范的份数：</w:t>
      </w:r>
      <w:r>
        <w:rPr>
          <w:rFonts w:hint="eastAsia" w:ascii="仿宋" w:hAnsi="仿宋" w:eastAsia="仿宋" w:cs="仿宋"/>
          <w:color w:val="000000" w:themeColor="text1"/>
          <w:sz w:val="24"/>
          <w:szCs w:val="24"/>
          <w:u w:val="single"/>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14:paraId="77D2246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发包人提供国外标准、规范的名称：</w:t>
      </w:r>
      <w:bookmarkStart w:id="236" w:name="OLE_LINK170"/>
      <w:r>
        <w:rPr>
          <w:rFonts w:hint="eastAsia" w:ascii="仿宋" w:hAnsi="仿宋" w:eastAsia="仿宋" w:cs="仿宋"/>
          <w:color w:val="000000" w:themeColor="text1"/>
          <w:sz w:val="24"/>
          <w:szCs w:val="24"/>
          <w:u w:val="single"/>
          <w14:textFill>
            <w14:solidFill>
              <w14:schemeClr w14:val="tx1"/>
            </w14:solidFill>
          </w14:textFill>
        </w:rPr>
        <w:t>无</w:t>
      </w:r>
      <w:bookmarkEnd w:id="236"/>
      <w:r>
        <w:rPr>
          <w:rFonts w:hint="eastAsia" w:ascii="仿宋" w:hAnsi="仿宋" w:eastAsia="仿宋" w:cs="仿宋"/>
          <w:color w:val="000000" w:themeColor="text1"/>
          <w:sz w:val="24"/>
          <w:szCs w:val="24"/>
          <w14:textFill>
            <w14:solidFill>
              <w14:schemeClr w14:val="tx1"/>
            </w14:solidFill>
          </w14:textFill>
        </w:rPr>
        <w:t>。</w:t>
      </w:r>
    </w:p>
    <w:p w14:paraId="2F4086B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1.4.3发包人对工程的技术标准和功能要求的特殊要求：</w:t>
      </w:r>
      <w:r>
        <w:rPr>
          <w:rFonts w:hint="eastAsia" w:ascii="仿宋" w:hAnsi="仿宋" w:eastAsia="仿宋" w:cs="仿宋"/>
          <w:color w:val="000000" w:themeColor="text1"/>
          <w:sz w:val="24"/>
          <w:szCs w:val="24"/>
          <w:u w:val="single"/>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14:paraId="54005AC2">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1.5合同文件的优先顺序</w:t>
      </w:r>
    </w:p>
    <w:p w14:paraId="048F46B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合同文件组成及优先顺序为：</w:t>
      </w:r>
    </w:p>
    <w:p w14:paraId="615CEA8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（1）合同协议书；</w:t>
      </w:r>
    </w:p>
    <w:p w14:paraId="03A6937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（2）成交通知书；</w:t>
      </w:r>
    </w:p>
    <w:p w14:paraId="663462A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（3）竞标函及响应报价表；</w:t>
      </w:r>
    </w:p>
    <w:p w14:paraId="6A9A572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（4）专用合同条款；</w:t>
      </w:r>
    </w:p>
    <w:p w14:paraId="122981F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（5）通用合同条款；</w:t>
      </w:r>
    </w:p>
    <w:p w14:paraId="3DA4DC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（6）技术标准和要求；</w:t>
      </w:r>
    </w:p>
    <w:p w14:paraId="7205AF5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（7）已标价工程量清单；</w:t>
      </w:r>
    </w:p>
    <w:p w14:paraId="5C8BF35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（8）图纸；</w:t>
      </w:r>
    </w:p>
    <w:p w14:paraId="676A1B5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（9）其他合同文件：</w:t>
      </w:r>
      <w:r>
        <w:rPr>
          <w:rFonts w:hint="eastAsia" w:ascii="仿宋" w:hAnsi="仿宋" w:eastAsia="仿宋" w:cs="仿宋"/>
          <w:color w:val="000000" w:themeColor="text1"/>
          <w:sz w:val="24"/>
          <w:szCs w:val="24"/>
          <w:u w:val="single"/>
          <w14:textFill>
            <w14:solidFill>
              <w14:schemeClr w14:val="tx1"/>
            </w14:solidFill>
          </w14:textFill>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r>
        <w:rPr>
          <w:rFonts w:hint="eastAsia" w:ascii="仿宋" w:hAnsi="仿宋" w:eastAsia="仿宋" w:cs="仿宋"/>
          <w:color w:val="000000" w:themeColor="text1"/>
          <w:sz w:val="24"/>
          <w:szCs w:val="24"/>
          <w14:textFill>
            <w14:solidFill>
              <w14:schemeClr w14:val="tx1"/>
            </w14:solidFill>
          </w14:textFill>
        </w:rPr>
        <w:t>。</w:t>
      </w:r>
    </w:p>
    <w:p w14:paraId="3FDC35E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违反竞争性谈判文件实质性内容的约定除外）。专用合同条款及其附件须经合同当事人签字或盖章。</w:t>
      </w:r>
    </w:p>
    <w:p w14:paraId="76152631">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1.6图纸和承包人文件</w:t>
      </w:r>
    </w:p>
    <w:p w14:paraId="5088723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1.6.1图纸的提供</w:t>
      </w:r>
    </w:p>
    <w:p w14:paraId="3B455DD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发包人向承包人提供图纸的期限：</w:t>
      </w:r>
      <w:r>
        <w:rPr>
          <w:rFonts w:hint="eastAsia" w:ascii="仿宋" w:hAnsi="仿宋" w:eastAsia="仿宋" w:cs="仿宋"/>
          <w:color w:val="000000" w:themeColor="text1"/>
          <w:sz w:val="24"/>
          <w:szCs w:val="24"/>
          <w:u w:val="single"/>
          <w14:textFill>
            <w14:solidFill>
              <w14:schemeClr w14:val="tx1"/>
            </w14:solidFill>
          </w14:textFill>
        </w:rPr>
        <w:t>合同生效后7天内</w:t>
      </w:r>
      <w:r>
        <w:rPr>
          <w:rFonts w:hint="eastAsia" w:ascii="仿宋" w:hAnsi="仿宋" w:eastAsia="仿宋" w:cs="仿宋"/>
          <w:color w:val="000000" w:themeColor="text1"/>
          <w:sz w:val="24"/>
          <w:szCs w:val="24"/>
          <w14:textFill>
            <w14:solidFill>
              <w14:schemeClr w14:val="tx1"/>
            </w14:solidFill>
          </w14:textFill>
        </w:rPr>
        <w:t>；</w:t>
      </w:r>
    </w:p>
    <w:p w14:paraId="4335DA1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发包人向承包人提供图纸的数量：</w:t>
      </w:r>
      <w:r>
        <w:rPr>
          <w:rFonts w:hint="eastAsia" w:ascii="仿宋" w:hAnsi="仿宋" w:eastAsia="仿宋" w:cs="仿宋"/>
          <w:color w:val="000000" w:themeColor="text1"/>
          <w:sz w:val="24"/>
          <w:szCs w:val="24"/>
          <w:u w:val="single"/>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套（承包人需要增加图纸套数的，发包人应代为复制，复制费用由承包人承担）；</w:t>
      </w:r>
    </w:p>
    <w:p w14:paraId="4DFC66C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发包人向承包人提供图纸的内容：</w:t>
      </w:r>
      <w:r>
        <w:rPr>
          <w:rFonts w:hint="eastAsia" w:ascii="仿宋" w:hAnsi="仿宋" w:eastAsia="仿宋" w:cs="仿宋"/>
          <w:color w:val="000000" w:themeColor="text1"/>
          <w:sz w:val="24"/>
          <w:szCs w:val="24"/>
          <w:u w:val="single"/>
          <w14:textFill>
            <w14:solidFill>
              <w14:schemeClr w14:val="tx1"/>
            </w14:solidFill>
          </w14:textFill>
        </w:rPr>
        <w:t>经政府部门相关机构审核合格后本工程完整的设计施工图纸、设计变更图等涉及工程施工所需的所有图纸</w:t>
      </w:r>
      <w:r>
        <w:rPr>
          <w:rFonts w:hint="eastAsia" w:ascii="仿宋" w:hAnsi="仿宋" w:eastAsia="仿宋" w:cs="仿宋"/>
          <w:color w:val="000000" w:themeColor="text1"/>
          <w:sz w:val="24"/>
          <w:szCs w:val="24"/>
          <w14:textFill>
            <w14:solidFill>
              <w14:schemeClr w14:val="tx1"/>
            </w14:solidFill>
          </w14:textFill>
        </w:rPr>
        <w:t>。</w:t>
      </w:r>
    </w:p>
    <w:p w14:paraId="148D519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1.6.4承包人文件</w:t>
      </w:r>
    </w:p>
    <w:p w14:paraId="02DBF3F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需要由承包人提供的文件，包括：</w:t>
      </w:r>
      <w:r>
        <w:rPr>
          <w:rFonts w:hint="eastAsia" w:ascii="仿宋" w:hAnsi="仿宋" w:eastAsia="仿宋" w:cs="仿宋"/>
          <w:color w:val="000000" w:themeColor="text1"/>
          <w:sz w:val="24"/>
          <w:szCs w:val="24"/>
          <w:u w:val="single"/>
          <w14:textFill>
            <w14:solidFill>
              <w14:schemeClr w14:val="tx1"/>
            </w14:solidFill>
          </w14:textFill>
        </w:rPr>
        <w:t>工程施工组织设计；各专项施工方案；施工进度计划表；总平面布置及临水、临电及场地布置方案；专项深化设计图、必要的加工图和大样图；项目现场管理人员名单及证件；企业资质及相关审批资料等发包人要求提供的文件</w:t>
      </w:r>
      <w:r>
        <w:rPr>
          <w:rFonts w:hint="eastAsia" w:ascii="仿宋" w:hAnsi="仿宋" w:eastAsia="仿宋" w:cs="仿宋"/>
          <w:color w:val="000000" w:themeColor="text1"/>
          <w:sz w:val="24"/>
          <w:szCs w:val="24"/>
          <w14:textFill>
            <w14:solidFill>
              <w14:schemeClr w14:val="tx1"/>
            </w14:solidFill>
          </w14:textFill>
        </w:rPr>
        <w:t>；</w:t>
      </w:r>
    </w:p>
    <w:p w14:paraId="188348B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承包人提供的文件的期限为：</w:t>
      </w:r>
      <w:r>
        <w:rPr>
          <w:rFonts w:hint="eastAsia" w:ascii="仿宋" w:hAnsi="仿宋" w:eastAsia="仿宋" w:cs="仿宋"/>
          <w:color w:val="000000" w:themeColor="text1"/>
          <w:sz w:val="24"/>
          <w:szCs w:val="24"/>
          <w:u w:val="single"/>
          <w14:textFill>
            <w14:solidFill>
              <w14:schemeClr w14:val="tx1"/>
            </w14:solidFill>
          </w14:textFill>
        </w:rPr>
        <w:t>根据工程进度提供，由发包人确定，应给予承包人合理的时间</w:t>
      </w:r>
      <w:r>
        <w:rPr>
          <w:rFonts w:hint="eastAsia" w:ascii="仿宋" w:hAnsi="仿宋" w:eastAsia="仿宋" w:cs="仿宋"/>
          <w:color w:val="000000" w:themeColor="text1"/>
          <w:sz w:val="24"/>
          <w:szCs w:val="24"/>
          <w14:textFill>
            <w14:solidFill>
              <w14:schemeClr w14:val="tx1"/>
            </w14:solidFill>
          </w14:textFill>
        </w:rPr>
        <w:t>；</w:t>
      </w:r>
    </w:p>
    <w:p w14:paraId="59B159C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承包人提供的文件的数量为：</w:t>
      </w:r>
      <w:r>
        <w:rPr>
          <w:rFonts w:hint="eastAsia" w:ascii="仿宋" w:hAnsi="仿宋" w:eastAsia="仿宋" w:cs="仿宋"/>
          <w:color w:val="000000" w:themeColor="text1"/>
          <w:sz w:val="24"/>
          <w:szCs w:val="24"/>
          <w:u w:val="single"/>
          <w14:textFill>
            <w14:solidFill>
              <w14:schemeClr w14:val="tx1"/>
            </w14:solidFill>
          </w14:textFill>
        </w:rPr>
        <w:t>按发包人要求的数量提供</w:t>
      </w:r>
      <w:r>
        <w:rPr>
          <w:rFonts w:hint="eastAsia" w:ascii="仿宋" w:hAnsi="仿宋" w:eastAsia="仿宋" w:cs="仿宋"/>
          <w:color w:val="000000" w:themeColor="text1"/>
          <w:sz w:val="24"/>
          <w:szCs w:val="24"/>
          <w14:textFill>
            <w14:solidFill>
              <w14:schemeClr w14:val="tx1"/>
            </w14:solidFill>
          </w14:textFill>
        </w:rPr>
        <w:t>；</w:t>
      </w:r>
    </w:p>
    <w:p w14:paraId="5C6C0C3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承包人提供的文件的形式为：</w:t>
      </w:r>
      <w:r>
        <w:rPr>
          <w:rFonts w:hint="eastAsia" w:ascii="仿宋" w:hAnsi="仿宋" w:eastAsia="仿宋" w:cs="仿宋"/>
          <w:color w:val="000000" w:themeColor="text1"/>
          <w:sz w:val="24"/>
          <w:szCs w:val="24"/>
          <w:u w:val="single"/>
          <w14:textFill>
            <w14:solidFill>
              <w14:schemeClr w14:val="tx1"/>
            </w14:solidFill>
          </w14:textFill>
        </w:rPr>
        <w:t>书面形式（纸质版）和电子版</w:t>
      </w:r>
      <w:r>
        <w:rPr>
          <w:rFonts w:hint="eastAsia" w:ascii="仿宋" w:hAnsi="仿宋" w:eastAsia="仿宋" w:cs="仿宋"/>
          <w:color w:val="000000" w:themeColor="text1"/>
          <w:sz w:val="24"/>
          <w:szCs w:val="24"/>
          <w14:textFill>
            <w14:solidFill>
              <w14:schemeClr w14:val="tx1"/>
            </w14:solidFill>
          </w14:textFill>
        </w:rPr>
        <w:t>；</w:t>
      </w:r>
    </w:p>
    <w:p w14:paraId="674DE73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发包人审批承包人文件的期限：</w:t>
      </w:r>
      <w:r>
        <w:rPr>
          <w:rFonts w:hint="eastAsia" w:ascii="仿宋" w:hAnsi="仿宋" w:eastAsia="仿宋" w:cs="仿宋"/>
          <w:color w:val="000000" w:themeColor="text1"/>
          <w:sz w:val="24"/>
          <w:szCs w:val="24"/>
          <w:u w:val="single"/>
          <w14:textFill>
            <w14:solidFill>
              <w14:schemeClr w14:val="tx1"/>
            </w14:solidFill>
          </w14:textFill>
        </w:rPr>
        <w:t>从收到之日起7个有效工作日内给予确认</w:t>
      </w:r>
      <w:r>
        <w:rPr>
          <w:rFonts w:hint="eastAsia" w:ascii="仿宋" w:hAnsi="仿宋" w:eastAsia="仿宋" w:cs="仿宋"/>
          <w:color w:val="000000" w:themeColor="text1"/>
          <w:sz w:val="24"/>
          <w:szCs w:val="24"/>
          <w14:textFill>
            <w14:solidFill>
              <w14:schemeClr w14:val="tx1"/>
            </w14:solidFill>
          </w14:textFill>
        </w:rPr>
        <w:t>。</w:t>
      </w:r>
    </w:p>
    <w:p w14:paraId="3383FAC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1.6.5现场图纸准备</w:t>
      </w:r>
    </w:p>
    <w:p w14:paraId="4E0EBB0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关于现场图纸准备的约定：</w:t>
      </w:r>
      <w:r>
        <w:rPr>
          <w:rFonts w:hint="eastAsia" w:ascii="仿宋" w:hAnsi="仿宋" w:eastAsia="仿宋" w:cs="仿宋"/>
          <w:color w:val="000000" w:themeColor="text1"/>
          <w:sz w:val="24"/>
          <w:szCs w:val="24"/>
          <w:u w:val="single"/>
          <w14:textFill>
            <w14:solidFill>
              <w14:schemeClr w14:val="tx1"/>
            </w14:solidFill>
          </w14:textFill>
        </w:rPr>
        <w:t>执行本合同通用条款</w:t>
      </w:r>
      <w:r>
        <w:rPr>
          <w:rFonts w:hint="eastAsia" w:ascii="仿宋" w:hAnsi="仿宋" w:eastAsia="仿宋" w:cs="仿宋"/>
          <w:color w:val="000000" w:themeColor="text1"/>
          <w:sz w:val="24"/>
          <w:szCs w:val="24"/>
          <w14:textFill>
            <w14:solidFill>
              <w14:schemeClr w14:val="tx1"/>
            </w14:solidFill>
          </w14:textFill>
        </w:rPr>
        <w:t>。</w:t>
      </w:r>
    </w:p>
    <w:p w14:paraId="2EEFB48A">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1.7联络</w:t>
      </w:r>
    </w:p>
    <w:p w14:paraId="54C7395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1.7.1发包人和承包人应当在</w:t>
      </w:r>
      <w:r>
        <w:rPr>
          <w:rFonts w:hint="eastAsia" w:ascii="仿宋" w:hAnsi="仿宋" w:eastAsia="仿宋" w:cs="仿宋"/>
          <w:color w:val="000000" w:themeColor="text1"/>
          <w:sz w:val="24"/>
          <w:szCs w:val="24"/>
          <w:u w:val="single"/>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天内将与合同有关的通知、批准、证明、证书、指示、指令、要求、请求、同意、意见、确定和决定等书面函件送达对方当事人。</w:t>
      </w:r>
    </w:p>
    <w:p w14:paraId="14816EC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1.7.2发包人接收文件的地点：</w:t>
      </w:r>
      <w:r>
        <w:rPr>
          <w:rFonts w:hint="eastAsia" w:ascii="仿宋" w:hAnsi="仿宋" w:eastAsia="仿宋" w:cs="仿宋"/>
          <w:color w:val="000000" w:themeColor="text1"/>
          <w:sz w:val="24"/>
          <w:szCs w:val="24"/>
          <w:u w:val="single"/>
          <w14:textFill>
            <w14:solidFill>
              <w14:schemeClr w14:val="tx1"/>
            </w14:solidFill>
          </w14:textFill>
        </w:rPr>
        <w:t>建设单位施工现场管理机构的办公地点</w:t>
      </w:r>
      <w:r>
        <w:rPr>
          <w:rFonts w:hint="eastAsia" w:ascii="仿宋" w:hAnsi="仿宋" w:eastAsia="仿宋" w:cs="仿宋"/>
          <w:color w:val="000000" w:themeColor="text1"/>
          <w:sz w:val="24"/>
          <w:szCs w:val="24"/>
          <w14:textFill>
            <w14:solidFill>
              <w14:schemeClr w14:val="tx1"/>
            </w14:solidFill>
          </w14:textFill>
        </w:rPr>
        <w:t>；</w:t>
      </w:r>
    </w:p>
    <w:p w14:paraId="0E10BE0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发包人指定的接收人为：</w:t>
      </w:r>
      <w:r>
        <w:rPr>
          <w:rFonts w:hint="eastAsia" w:ascii="仿宋" w:hAnsi="仿宋" w:eastAsia="仿宋" w:cs="仿宋"/>
          <w:color w:val="000000" w:themeColor="text1"/>
          <w:sz w:val="24"/>
          <w:szCs w:val="24"/>
          <w:u w:val="single"/>
          <w14:textFill>
            <w14:solidFill>
              <w14:schemeClr w14:val="tx1"/>
            </w14:solidFill>
          </w14:textFill>
        </w:rPr>
        <w:t>建设单位现场代表</w:t>
      </w:r>
      <w:r>
        <w:rPr>
          <w:rFonts w:hint="eastAsia" w:ascii="仿宋" w:hAnsi="仿宋" w:eastAsia="仿宋" w:cs="仿宋"/>
          <w:color w:val="000000" w:themeColor="text1"/>
          <w:sz w:val="24"/>
          <w:szCs w:val="24"/>
          <w14:textFill>
            <w14:solidFill>
              <w14:schemeClr w14:val="tx1"/>
            </w14:solidFill>
          </w14:textFill>
        </w:rPr>
        <w:t>。</w:t>
      </w:r>
    </w:p>
    <w:p w14:paraId="4FD462B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承包人接收文件的地点：</w:t>
      </w:r>
      <w:r>
        <w:rPr>
          <w:rFonts w:hint="eastAsia" w:ascii="仿宋" w:hAnsi="仿宋" w:eastAsia="仿宋" w:cs="仿宋"/>
          <w:color w:val="000000" w:themeColor="text1"/>
          <w:sz w:val="24"/>
          <w:szCs w:val="24"/>
          <w:u w:val="single"/>
          <w14:textFill>
            <w14:solidFill>
              <w14:schemeClr w14:val="tx1"/>
            </w14:solidFill>
          </w14:textFill>
        </w:rPr>
        <w:t>承包人施工现场管理机构的办公地点</w:t>
      </w:r>
      <w:r>
        <w:rPr>
          <w:rFonts w:hint="eastAsia" w:ascii="仿宋" w:hAnsi="仿宋" w:eastAsia="仿宋" w:cs="仿宋"/>
          <w:color w:val="000000" w:themeColor="text1"/>
          <w:sz w:val="24"/>
          <w:szCs w:val="24"/>
          <w14:textFill>
            <w14:solidFill>
              <w14:schemeClr w14:val="tx1"/>
            </w14:solidFill>
          </w14:textFill>
        </w:rPr>
        <w:t>；</w:t>
      </w:r>
    </w:p>
    <w:p w14:paraId="0933E83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承包人指定的接收人为：</w:t>
      </w:r>
      <w:r>
        <w:rPr>
          <w:rFonts w:hint="eastAsia" w:ascii="仿宋" w:hAnsi="仿宋" w:eastAsia="仿宋" w:cs="仿宋"/>
          <w:color w:val="000000" w:themeColor="text1"/>
          <w:sz w:val="24"/>
          <w:szCs w:val="24"/>
          <w:u w:val="single"/>
          <w14:textFill>
            <w14:solidFill>
              <w14:schemeClr w14:val="tx1"/>
            </w14:solidFill>
          </w14:textFill>
        </w:rPr>
        <w:t>项目经理或技术（现场）负责人</w:t>
      </w:r>
      <w:r>
        <w:rPr>
          <w:rFonts w:hint="eastAsia" w:ascii="仿宋" w:hAnsi="仿宋" w:eastAsia="仿宋" w:cs="仿宋"/>
          <w:color w:val="000000" w:themeColor="text1"/>
          <w:sz w:val="24"/>
          <w:szCs w:val="24"/>
          <w14:textFill>
            <w14:solidFill>
              <w14:schemeClr w14:val="tx1"/>
            </w14:solidFill>
          </w14:textFill>
        </w:rPr>
        <w:t>。</w:t>
      </w:r>
    </w:p>
    <w:p w14:paraId="25B99D0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监理人接收文件的地点：</w:t>
      </w:r>
      <w:r>
        <w:rPr>
          <w:rFonts w:hint="eastAsia" w:ascii="仿宋" w:hAnsi="仿宋" w:eastAsia="仿宋" w:cs="仿宋"/>
          <w:color w:val="000000" w:themeColor="text1"/>
          <w:sz w:val="24"/>
          <w:szCs w:val="24"/>
          <w:u w:val="single"/>
          <w14:textFill>
            <w14:solidFill>
              <w14:schemeClr w14:val="tx1"/>
            </w14:solidFill>
          </w14:textFill>
        </w:rPr>
        <w:t>合同协议书中载明的承包人项目经理本人或者项目经理的授权代表</w:t>
      </w:r>
      <w:r>
        <w:rPr>
          <w:rFonts w:hint="eastAsia" w:ascii="仿宋" w:hAnsi="仿宋" w:eastAsia="仿宋" w:cs="仿宋"/>
          <w:color w:val="000000" w:themeColor="text1"/>
          <w:sz w:val="24"/>
          <w:szCs w:val="24"/>
          <w14:textFill>
            <w14:solidFill>
              <w14:schemeClr w14:val="tx1"/>
            </w14:solidFill>
          </w14:textFill>
        </w:rPr>
        <w:t>；</w:t>
      </w:r>
    </w:p>
    <w:p w14:paraId="159135B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监理人指定的接收人为：</w:t>
      </w:r>
      <w:r>
        <w:rPr>
          <w:rFonts w:hint="eastAsia" w:ascii="仿宋" w:hAnsi="仿宋" w:eastAsia="仿宋" w:cs="仿宋"/>
          <w:color w:val="000000" w:themeColor="text1"/>
          <w:sz w:val="24"/>
          <w:szCs w:val="24"/>
          <w:u w:val="single"/>
          <w14:textFill>
            <w14:solidFill>
              <w14:schemeClr w14:val="tx1"/>
            </w14:solidFill>
          </w14:textFill>
        </w:rPr>
        <w:t>监理工程师或监理人委派驻本工程的监理工作人员</w:t>
      </w:r>
      <w:r>
        <w:rPr>
          <w:rFonts w:hint="eastAsia" w:ascii="仿宋" w:hAnsi="仿宋" w:eastAsia="仿宋" w:cs="仿宋"/>
          <w:color w:val="000000" w:themeColor="text1"/>
          <w:sz w:val="24"/>
          <w:szCs w:val="24"/>
          <w14:textFill>
            <w14:solidFill>
              <w14:schemeClr w14:val="tx1"/>
            </w14:solidFill>
          </w14:textFill>
        </w:rPr>
        <w:t>。</w:t>
      </w:r>
    </w:p>
    <w:p w14:paraId="631EACCA">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1.10交通运输</w:t>
      </w:r>
    </w:p>
    <w:p w14:paraId="0C0EF47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1.10.1出入现场的权利</w:t>
      </w:r>
    </w:p>
    <w:p w14:paraId="2DBBD68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关于出入现场的权利的约定：</w:t>
      </w:r>
      <w:r>
        <w:rPr>
          <w:rFonts w:hint="eastAsia" w:ascii="仿宋" w:hAnsi="仿宋" w:eastAsia="仿宋" w:cs="仿宋"/>
          <w:color w:val="000000" w:themeColor="text1"/>
          <w:sz w:val="24"/>
          <w:szCs w:val="24"/>
          <w:u w:val="single"/>
          <w14:textFill>
            <w14:solidFill>
              <w14:schemeClr w14:val="tx1"/>
            </w14:solidFill>
          </w14:textFill>
        </w:rPr>
        <w:t>由承包人按发包人及政府相关部门的办理，负责取得出入施工现场所需的批准手续和全部权利并承担相关手续费用和建设费用</w:t>
      </w:r>
      <w:r>
        <w:rPr>
          <w:rFonts w:hint="eastAsia" w:ascii="仿宋" w:hAnsi="仿宋" w:eastAsia="仿宋" w:cs="仿宋"/>
          <w:color w:val="000000" w:themeColor="text1"/>
          <w:sz w:val="24"/>
          <w:szCs w:val="24"/>
          <w14:textFill>
            <w14:solidFill>
              <w14:schemeClr w14:val="tx1"/>
            </w14:solidFill>
          </w14:textFill>
        </w:rPr>
        <w:t>。</w:t>
      </w:r>
    </w:p>
    <w:p w14:paraId="0A318B8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1.10.3场内交通</w:t>
      </w:r>
    </w:p>
    <w:p w14:paraId="47082CB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关于场外交通和场内交通的边界的约定：</w:t>
      </w:r>
      <w:r>
        <w:rPr>
          <w:rFonts w:hint="eastAsia" w:ascii="仿宋" w:hAnsi="仿宋" w:eastAsia="仿宋" w:cs="仿宋"/>
          <w:color w:val="000000" w:themeColor="text1"/>
          <w:sz w:val="24"/>
          <w:szCs w:val="24"/>
          <w:u w:val="single"/>
          <w14:textFill>
            <w14:solidFill>
              <w14:schemeClr w14:val="tx1"/>
            </w14:solidFill>
          </w14:textFill>
        </w:rPr>
        <w:t>以本合同施工图纸为准</w:t>
      </w:r>
      <w:r>
        <w:rPr>
          <w:rFonts w:hint="eastAsia" w:ascii="仿宋" w:hAnsi="仿宋" w:eastAsia="仿宋" w:cs="仿宋"/>
          <w:color w:val="000000" w:themeColor="text1"/>
          <w:sz w:val="24"/>
          <w:szCs w:val="24"/>
          <w14:textFill>
            <w14:solidFill>
              <w14:schemeClr w14:val="tx1"/>
            </w14:solidFill>
          </w14:textFill>
        </w:rPr>
        <w:t>。</w:t>
      </w:r>
    </w:p>
    <w:p w14:paraId="05B8EBA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关于发包人向承包人免费提供满足工程施工需要的场内道路和交通设施的约定：</w:t>
      </w:r>
      <w:r>
        <w:rPr>
          <w:rFonts w:hint="eastAsia" w:ascii="仿宋" w:hAnsi="仿宋" w:eastAsia="仿宋" w:cs="仿宋"/>
          <w:color w:val="000000" w:themeColor="text1"/>
          <w:sz w:val="24"/>
          <w:szCs w:val="24"/>
          <w:u w:val="single"/>
          <w14:textFill>
            <w14:solidFill>
              <w14:schemeClr w14:val="tx1"/>
            </w14:solidFill>
          </w14:textFill>
        </w:rPr>
        <w:t>由承包人自行解决</w:t>
      </w:r>
      <w:r>
        <w:rPr>
          <w:rFonts w:hint="eastAsia" w:ascii="仿宋" w:hAnsi="仿宋" w:eastAsia="仿宋" w:cs="仿宋"/>
          <w:color w:val="000000" w:themeColor="text1"/>
          <w:sz w:val="24"/>
          <w:szCs w:val="24"/>
          <w14:textFill>
            <w14:solidFill>
              <w14:schemeClr w14:val="tx1"/>
            </w14:solidFill>
          </w14:textFill>
        </w:rPr>
        <w:t>。</w:t>
      </w:r>
    </w:p>
    <w:p w14:paraId="1232939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1.10.4超大件和超重件的运输</w:t>
      </w:r>
    </w:p>
    <w:p w14:paraId="400BD31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运输超大件或超重件所需的道路和桥梁临时加固改造费用和其他有关费用由</w:t>
      </w:r>
      <w:r>
        <w:rPr>
          <w:rFonts w:hint="eastAsia" w:ascii="仿宋" w:hAnsi="仿宋" w:eastAsia="仿宋" w:cs="仿宋"/>
          <w:color w:val="000000" w:themeColor="text1"/>
          <w:sz w:val="24"/>
          <w:szCs w:val="24"/>
          <w:u w:val="single"/>
          <w14:textFill>
            <w14:solidFill>
              <w14:schemeClr w14:val="tx1"/>
            </w14:solidFill>
          </w14:textFill>
        </w:rPr>
        <w:t>承包人</w:t>
      </w:r>
      <w:r>
        <w:rPr>
          <w:rFonts w:hint="eastAsia" w:ascii="仿宋" w:hAnsi="仿宋" w:eastAsia="仿宋" w:cs="仿宋"/>
          <w:color w:val="000000" w:themeColor="text1"/>
          <w:sz w:val="24"/>
          <w:szCs w:val="24"/>
          <w14:textFill>
            <w14:solidFill>
              <w14:schemeClr w14:val="tx1"/>
            </w14:solidFill>
          </w14:textFill>
        </w:rPr>
        <w:t>承担。</w:t>
      </w:r>
    </w:p>
    <w:p w14:paraId="6AD43418">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1.11知识产权</w:t>
      </w:r>
    </w:p>
    <w:p w14:paraId="458C62F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themeColor="text1"/>
          <w:sz w:val="24"/>
          <w:szCs w:val="24"/>
          <w:u w:val="single"/>
          <w14:textFill>
            <w14:solidFill>
              <w14:schemeClr w14:val="tx1"/>
            </w14:solidFill>
          </w14:textFill>
        </w:rPr>
        <w:t>按通用合同条款执行</w:t>
      </w:r>
      <w:r>
        <w:rPr>
          <w:rFonts w:hint="eastAsia" w:ascii="仿宋" w:hAnsi="仿宋" w:eastAsia="仿宋" w:cs="仿宋"/>
          <w:color w:val="000000" w:themeColor="text1"/>
          <w:sz w:val="24"/>
          <w:szCs w:val="24"/>
          <w14:textFill>
            <w14:solidFill>
              <w14:schemeClr w14:val="tx1"/>
            </w14:solidFill>
          </w14:textFill>
        </w:rPr>
        <w:t>。</w:t>
      </w:r>
    </w:p>
    <w:p w14:paraId="3E5F555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关于发包人提供的上述文件的使用限制的要求：</w:t>
      </w:r>
      <w:r>
        <w:rPr>
          <w:rFonts w:hint="eastAsia" w:ascii="仿宋" w:hAnsi="仿宋" w:eastAsia="仿宋" w:cs="仿宋"/>
          <w:color w:val="000000" w:themeColor="text1"/>
          <w:sz w:val="24"/>
          <w:szCs w:val="24"/>
          <w:u w:val="single"/>
          <w14:textFill>
            <w14:solidFill>
              <w14:schemeClr w14:val="tx1"/>
            </w14:solidFill>
          </w14:textFill>
        </w:rPr>
        <w:t>按通用合同条款执行</w:t>
      </w:r>
      <w:r>
        <w:rPr>
          <w:rFonts w:hint="eastAsia" w:ascii="仿宋" w:hAnsi="仿宋" w:eastAsia="仿宋" w:cs="仿宋"/>
          <w:color w:val="000000" w:themeColor="text1"/>
          <w:sz w:val="24"/>
          <w:szCs w:val="24"/>
          <w14:textFill>
            <w14:solidFill>
              <w14:schemeClr w14:val="tx1"/>
            </w14:solidFill>
          </w14:textFill>
        </w:rPr>
        <w:t>。</w:t>
      </w:r>
    </w:p>
    <w:p w14:paraId="344BEF6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1.11.2关于承包人为实施工程所编制文件的著作权的归属：</w:t>
      </w:r>
      <w:r>
        <w:rPr>
          <w:rFonts w:hint="eastAsia" w:ascii="仿宋" w:hAnsi="仿宋" w:eastAsia="仿宋" w:cs="仿宋"/>
          <w:color w:val="000000" w:themeColor="text1"/>
          <w:sz w:val="24"/>
          <w:szCs w:val="24"/>
          <w:u w:val="single"/>
          <w14:textFill>
            <w14:solidFill>
              <w14:schemeClr w14:val="tx1"/>
            </w14:solidFill>
          </w14:textFill>
        </w:rPr>
        <w:t>按通用合同条款执行</w:t>
      </w:r>
      <w:r>
        <w:rPr>
          <w:rFonts w:hint="eastAsia" w:ascii="仿宋" w:hAnsi="仿宋" w:eastAsia="仿宋" w:cs="仿宋"/>
          <w:color w:val="000000" w:themeColor="text1"/>
          <w:sz w:val="24"/>
          <w:szCs w:val="24"/>
          <w14:textFill>
            <w14:solidFill>
              <w14:schemeClr w14:val="tx1"/>
            </w14:solidFill>
          </w14:textFill>
        </w:rPr>
        <w:t>。</w:t>
      </w:r>
    </w:p>
    <w:p w14:paraId="1D4B33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关于承包人提供的上述文件的使用限制的要求：</w:t>
      </w:r>
      <w:r>
        <w:rPr>
          <w:rFonts w:hint="eastAsia" w:ascii="仿宋" w:hAnsi="仿宋" w:eastAsia="仿宋" w:cs="仿宋"/>
          <w:color w:val="000000" w:themeColor="text1"/>
          <w:sz w:val="24"/>
          <w:szCs w:val="24"/>
          <w:u w:val="single"/>
          <w14:textFill>
            <w14:solidFill>
              <w14:schemeClr w14:val="tx1"/>
            </w14:solidFill>
          </w14:textFill>
        </w:rPr>
        <w:t>未经过发包人同意不得转借他人使用或向第三方透露上述文件内容</w:t>
      </w:r>
      <w:r>
        <w:rPr>
          <w:rFonts w:hint="eastAsia" w:ascii="仿宋" w:hAnsi="仿宋" w:eastAsia="仿宋" w:cs="仿宋"/>
          <w:color w:val="000000" w:themeColor="text1"/>
          <w:sz w:val="24"/>
          <w:szCs w:val="24"/>
          <w14:textFill>
            <w14:solidFill>
              <w14:schemeClr w14:val="tx1"/>
            </w14:solidFill>
          </w14:textFill>
        </w:rPr>
        <w:t>。</w:t>
      </w:r>
    </w:p>
    <w:p w14:paraId="2253D2D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1.11.4承包人在施工过程中所采用的专利、专有技术、技术秘密的使用费的承担方式：</w:t>
      </w:r>
      <w:r>
        <w:rPr>
          <w:rFonts w:hint="eastAsia" w:ascii="仿宋" w:hAnsi="仿宋" w:eastAsia="仿宋" w:cs="仿宋"/>
          <w:color w:val="000000" w:themeColor="text1"/>
          <w:sz w:val="24"/>
          <w:szCs w:val="24"/>
          <w:u w:val="single"/>
          <w14:textFill>
            <w14:solidFill>
              <w14:schemeClr w14:val="tx1"/>
            </w14:solidFill>
          </w14:textFill>
        </w:rPr>
        <w:t>按通用合同条款执行</w:t>
      </w:r>
      <w:r>
        <w:rPr>
          <w:rFonts w:hint="eastAsia" w:ascii="仿宋" w:hAnsi="仿宋" w:eastAsia="仿宋" w:cs="仿宋"/>
          <w:color w:val="000000" w:themeColor="text1"/>
          <w:sz w:val="24"/>
          <w:szCs w:val="24"/>
          <w14:textFill>
            <w14:solidFill>
              <w14:schemeClr w14:val="tx1"/>
            </w14:solidFill>
          </w14:textFill>
        </w:rPr>
        <w:t>。</w:t>
      </w:r>
    </w:p>
    <w:p w14:paraId="1F018704">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1.13工程量清单错误的修正</w:t>
      </w:r>
    </w:p>
    <w:p w14:paraId="11FA261C">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发包人提供的工程量清单，出现下列情形之一时，发包人应予以修正，并相应调整合同价格：</w:t>
      </w:r>
    </w:p>
    <w:p w14:paraId="28C5AB5E">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（1）工程量清单偏差超出专用合同条款约定的工程量偏差范围的；</w:t>
      </w:r>
    </w:p>
    <w:p w14:paraId="0716123D">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（2）未按照国家现行计量规范强制性规定计量的。</w:t>
      </w:r>
    </w:p>
    <w:p w14:paraId="58C21AAE">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允许调整合同价格的工程量偏差范围及其调整办法：</w:t>
      </w:r>
    </w:p>
    <w:p w14:paraId="05351485">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承包人实际完成的某单项清单项目工程量与招标工程量清单工程量偏差超过15%且该单项清单造价超过合同总价1%以上的，超过后增加部分工程量或减少后剩余部分工程量的综合单价按以下方法调整：由承包人对增加的工程量或减少后剩余的工程量的综合单价按10.4.1（3）变更估价原则计算。经发包人确认调整后，作为结算依据。当以上变化引起的相关总价措施项目发生变化时，以项计算的总价措施项目应按实际发生变化的措施项目进行调整，以计算基础乘费率计算的总价措施项目按照实际发生变化的计算基础及投标报价费率进行调整。</w:t>
      </w:r>
    </w:p>
    <w:p w14:paraId="6D06759F">
      <w:pPr>
        <w:pStyle w:val="4"/>
        <w:spacing w:line="240" w:lineRule="auto"/>
        <w:rPr>
          <w:rFonts w:hint="eastAsia" w:ascii="仿宋" w:hAnsi="仿宋" w:eastAsia="仿宋" w:cs="仿宋"/>
          <w:color w:val="000000" w:themeColor="text1"/>
          <w14:textFill>
            <w14:solidFill>
              <w14:schemeClr w14:val="tx1"/>
            </w14:solidFill>
          </w14:textFill>
        </w:rPr>
      </w:pPr>
      <w:bookmarkStart w:id="237" w:name="_Toc193815647"/>
      <w:r>
        <w:rPr>
          <w:rFonts w:hint="eastAsia" w:ascii="仿宋" w:hAnsi="仿宋" w:eastAsia="仿宋" w:cs="仿宋"/>
          <w:color w:val="000000" w:themeColor="text1"/>
          <w14:textFill>
            <w14:solidFill>
              <w14:schemeClr w14:val="tx1"/>
            </w14:solidFill>
          </w14:textFill>
        </w:rPr>
        <w:t>2.发包人</w:t>
      </w:r>
      <w:bookmarkEnd w:id="237"/>
    </w:p>
    <w:p w14:paraId="501E94EF">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38" w:name="_Toc166155232"/>
      <w:bookmarkStart w:id="239" w:name="_Toc178007675"/>
      <w:r>
        <w:rPr>
          <w:rFonts w:hint="eastAsia" w:ascii="仿宋" w:hAnsi="仿宋" w:eastAsia="仿宋" w:cs="仿宋"/>
          <w:color w:val="000000" w:themeColor="text1"/>
          <w14:textFill>
            <w14:solidFill>
              <w14:schemeClr w14:val="tx1"/>
            </w14:solidFill>
          </w14:textFill>
        </w:rPr>
        <w:t>2.1许可或批准</w:t>
      </w:r>
      <w:bookmarkEnd w:id="238"/>
      <w:bookmarkEnd w:id="239"/>
    </w:p>
    <w:p w14:paraId="48F6B7CA">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规划核实、消防验收等许可和批准。发包人应协助承包人办理法律规定的有关施工证件和批件。因发包人原因未能及时办理完毕前述许可、批准或备案，造成工期延误的，由发包人承担。</w:t>
      </w:r>
    </w:p>
    <w:p w14:paraId="63D45A84">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2.2发包人代表</w:t>
      </w:r>
    </w:p>
    <w:p w14:paraId="61D924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发包人代表：</w:t>
      </w:r>
    </w:p>
    <w:p w14:paraId="6C0B3FD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姓名：______；</w:t>
      </w:r>
    </w:p>
    <w:p w14:paraId="1C7AFAD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身份证号：______；</w:t>
      </w:r>
    </w:p>
    <w:p w14:paraId="4B83EAE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职务：______；</w:t>
      </w:r>
    </w:p>
    <w:p w14:paraId="489C43C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联系电话：______；</w:t>
      </w:r>
    </w:p>
    <w:p w14:paraId="3E2FB7F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电子信箱：______；</w:t>
      </w:r>
    </w:p>
    <w:p w14:paraId="11404E2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通信地址：</w:t>
      </w:r>
      <w:r>
        <w:rPr>
          <w:rFonts w:hint="eastAsia" w:ascii="仿宋" w:hAnsi="仿宋" w:eastAsia="仿宋" w:cs="仿宋"/>
          <w:color w:val="000000" w:themeColor="text1"/>
          <w:sz w:val="24"/>
          <w:szCs w:val="24"/>
          <w:u w:val="single"/>
          <w14:textFill>
            <w14:solidFill>
              <w14:schemeClr w14:val="tx1"/>
            </w14:solidFill>
          </w14:textFill>
        </w:rPr>
        <w:t>广西壮族自治区桂林市七星区横塘路31号</w:t>
      </w:r>
      <w:r>
        <w:rPr>
          <w:rFonts w:hint="eastAsia" w:ascii="仿宋" w:hAnsi="仿宋" w:eastAsia="仿宋" w:cs="仿宋"/>
          <w:color w:val="000000" w:themeColor="text1"/>
          <w:sz w:val="24"/>
          <w:szCs w:val="24"/>
          <w14:textFill>
            <w14:solidFill>
              <w14:schemeClr w14:val="tx1"/>
            </w14:solidFill>
          </w14:textFill>
        </w:rPr>
        <w:t>。</w:t>
      </w:r>
    </w:p>
    <w:p w14:paraId="630C13E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发包人对发包人代表的授权范围如下：</w:t>
      </w:r>
      <w:r>
        <w:rPr>
          <w:rFonts w:hint="eastAsia" w:ascii="仿宋" w:hAnsi="仿宋" w:eastAsia="仿宋" w:cs="仿宋"/>
          <w:color w:val="000000" w:themeColor="text1"/>
          <w:sz w:val="24"/>
          <w:szCs w:val="24"/>
          <w:u w:val="single"/>
          <w14:textFill>
            <w14:solidFill>
              <w14:schemeClr w14:val="tx1"/>
            </w14:solidFill>
          </w14:textFill>
        </w:rPr>
        <w:t>负责根据主管部门和发包人的有关文件要求开展工程项目建设施工的全过程管理，统筹本工程项目的质量、进度、投资、安全、信息等事宜；协调与施工、监理、检测等有关单位的关系；监督承包人履行合同中的职责和义务；统筹项目三通一平、办理相关许可、批准或备案，包括但不限于建设工程施工许可证、临时占用土地等许可和批准。</w:t>
      </w:r>
    </w:p>
    <w:p w14:paraId="595EC8E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项目现场代表：服从发包人代表的统筹安排，根据专业分工协助发包人代表开展工程项目建设施工的全过程管理。</w:t>
      </w:r>
    </w:p>
    <w:p w14:paraId="38569AAE">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2.4施工现场、施工条件和基础资料的提供</w:t>
      </w:r>
    </w:p>
    <w:p w14:paraId="5D8E9EF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2.4.1提供施工现场</w:t>
      </w:r>
    </w:p>
    <w:p w14:paraId="0B9CFEE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关于发包人移交施工现场的期限要求：</w:t>
      </w:r>
      <w:r>
        <w:rPr>
          <w:rFonts w:hint="eastAsia" w:ascii="仿宋" w:hAnsi="仿宋" w:eastAsia="仿宋" w:cs="仿宋"/>
          <w:color w:val="000000" w:themeColor="text1"/>
          <w:sz w:val="24"/>
          <w:szCs w:val="24"/>
          <w:u w:val="single"/>
          <w14:textFill>
            <w14:solidFill>
              <w14:schemeClr w14:val="tx1"/>
            </w14:solidFill>
          </w14:textFill>
        </w:rPr>
        <w:t>计划开工日前7天</w:t>
      </w:r>
      <w:r>
        <w:rPr>
          <w:rFonts w:hint="eastAsia" w:ascii="仿宋" w:hAnsi="仿宋" w:eastAsia="仿宋" w:cs="仿宋"/>
          <w:color w:val="000000" w:themeColor="text1"/>
          <w:sz w:val="24"/>
          <w:szCs w:val="24"/>
          <w14:textFill>
            <w14:solidFill>
              <w14:schemeClr w14:val="tx1"/>
            </w14:solidFill>
          </w14:textFill>
        </w:rPr>
        <w:t>。</w:t>
      </w:r>
    </w:p>
    <w:p w14:paraId="7B13F27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2.4.2提供施工条件</w:t>
      </w:r>
    </w:p>
    <w:p w14:paraId="721BC3C9">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关于发包人应负责提供施工所需要的条件，包括：</w:t>
      </w:r>
      <w:r>
        <w:rPr>
          <w:rFonts w:hint="eastAsia" w:ascii="仿宋" w:hAnsi="仿宋" w:eastAsia="仿宋" w:cs="仿宋"/>
          <w:color w:val="000000" w:themeColor="text1"/>
          <w:sz w:val="24"/>
          <w:szCs w:val="24"/>
          <w:u w:val="single"/>
          <w14:textFill>
            <w14:solidFill>
              <w14:schemeClr w14:val="tx1"/>
            </w14:solidFill>
          </w14:textFill>
        </w:rPr>
        <w:t>承包人负责项目开挖报建，接火申请等全部事宜，发包人仅提供必要的协助，费用由承包人负责。开工前，发包人应将电缆路径与相关单位协调好，不影响电缆的敷设</w:t>
      </w:r>
      <w:r>
        <w:rPr>
          <w:rFonts w:hint="eastAsia" w:ascii="仿宋" w:hAnsi="仿宋" w:eastAsia="仿宋" w:cs="仿宋"/>
          <w:color w:val="000000" w:themeColor="text1"/>
          <w:sz w:val="24"/>
          <w:szCs w:val="24"/>
          <w14:textFill>
            <w14:solidFill>
              <w14:schemeClr w14:val="tx1"/>
            </w14:solidFill>
          </w14:textFill>
        </w:rPr>
        <w:t>。</w:t>
      </w:r>
    </w:p>
    <w:p w14:paraId="7335996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施工水电费用约定：（1）承包人在签订施工合同后，项目进场前与发包人签订《施工用水、用电及原基础设施质保协议》并以现金转账方式缴纳文明施工保证金，发包人开通用水用电；（2）施工过程中如承包人安装预付费电表，则由承包人自行缴存电费，如承包人安装后付费电表，则由发包人每月进行抄表并发单给承包人，承包人按照要求及时缴纳费用，如逾期未缴纳费用，发包人有权停水停电，造成的一切后果由承包人承担；（3）项目竣工验收后，承包人应与发包人结算水电费用，待结算完成后，由承包人申请，发包人15个工作日内退还文明施工保证金（无息）。</w:t>
      </w:r>
    </w:p>
    <w:p w14:paraId="174496BE">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2.5资金来源证明及支付担保</w:t>
      </w:r>
    </w:p>
    <w:p w14:paraId="0721C16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发包人提供资金来源证明的期限要求：</w:t>
      </w:r>
      <w:r>
        <w:rPr>
          <w:rFonts w:hint="eastAsia" w:ascii="仿宋" w:hAnsi="仿宋" w:eastAsia="仿宋" w:cs="仿宋"/>
          <w:color w:val="000000" w:themeColor="text1"/>
          <w:sz w:val="24"/>
          <w:szCs w:val="24"/>
          <w:u w:val="single"/>
          <w14:textFill>
            <w14:solidFill>
              <w14:schemeClr w14:val="tx1"/>
            </w14:solidFill>
          </w14:textFill>
        </w:rPr>
        <w:t>不提供</w:t>
      </w:r>
      <w:r>
        <w:rPr>
          <w:rFonts w:hint="eastAsia" w:ascii="仿宋" w:hAnsi="仿宋" w:eastAsia="仿宋" w:cs="仿宋"/>
          <w:color w:val="000000" w:themeColor="text1"/>
          <w:sz w:val="24"/>
          <w:szCs w:val="24"/>
          <w14:textFill>
            <w14:solidFill>
              <w14:schemeClr w14:val="tx1"/>
            </w14:solidFill>
          </w14:textFill>
        </w:rPr>
        <w:t>。</w:t>
      </w:r>
    </w:p>
    <w:p w14:paraId="00173BE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发包人是否提供支付担保：</w:t>
      </w:r>
      <w:r>
        <w:rPr>
          <w:rFonts w:hint="eastAsia" w:ascii="仿宋" w:hAnsi="仿宋" w:eastAsia="仿宋" w:cs="仿宋"/>
          <w:color w:val="000000" w:themeColor="text1"/>
          <w:sz w:val="24"/>
          <w:szCs w:val="24"/>
          <w:u w:val="single"/>
          <w14:textFill>
            <w14:solidFill>
              <w14:schemeClr w14:val="tx1"/>
            </w14:solidFill>
          </w14:textFill>
        </w:rPr>
        <w:t>不提供</w:t>
      </w:r>
      <w:r>
        <w:rPr>
          <w:rFonts w:hint="eastAsia" w:ascii="仿宋" w:hAnsi="仿宋" w:eastAsia="仿宋" w:cs="仿宋"/>
          <w:color w:val="000000" w:themeColor="text1"/>
          <w:sz w:val="24"/>
          <w:szCs w:val="24"/>
          <w14:textFill>
            <w14:solidFill>
              <w14:schemeClr w14:val="tx1"/>
            </w14:solidFill>
          </w14:textFill>
        </w:rPr>
        <w:t>。</w:t>
      </w:r>
    </w:p>
    <w:p w14:paraId="16A2027D">
      <w:pPr>
        <w:pStyle w:val="4"/>
        <w:spacing w:line="240" w:lineRule="auto"/>
        <w:rPr>
          <w:rFonts w:hint="eastAsia" w:ascii="仿宋" w:hAnsi="仿宋" w:eastAsia="仿宋" w:cs="仿宋"/>
          <w:color w:val="000000" w:themeColor="text1"/>
          <w14:textFill>
            <w14:solidFill>
              <w14:schemeClr w14:val="tx1"/>
            </w14:solidFill>
          </w14:textFill>
        </w:rPr>
      </w:pPr>
      <w:bookmarkStart w:id="240" w:name="_Toc193815648"/>
      <w:r>
        <w:rPr>
          <w:rFonts w:hint="eastAsia" w:ascii="仿宋" w:hAnsi="仿宋" w:eastAsia="仿宋" w:cs="仿宋"/>
          <w:color w:val="000000" w:themeColor="text1"/>
          <w14:textFill>
            <w14:solidFill>
              <w14:schemeClr w14:val="tx1"/>
            </w14:solidFill>
          </w14:textFill>
        </w:rPr>
        <w:t>3.承包人</w:t>
      </w:r>
      <w:bookmarkEnd w:id="240"/>
    </w:p>
    <w:p w14:paraId="63C0CEFC">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3.1承包人的一般义务</w:t>
      </w:r>
    </w:p>
    <w:p w14:paraId="27260F5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（9）承包人提交的竣工资料的内容：</w:t>
      </w:r>
      <w:r>
        <w:rPr>
          <w:rFonts w:hint="eastAsia" w:ascii="仿宋" w:hAnsi="仿宋" w:eastAsia="仿宋" w:cs="仿宋"/>
          <w:color w:val="000000" w:themeColor="text1"/>
          <w:sz w:val="24"/>
          <w:szCs w:val="24"/>
          <w:u w:val="single"/>
          <w14:textFill>
            <w14:solidFill>
              <w14:schemeClr w14:val="tx1"/>
            </w14:solidFill>
          </w14:textFill>
        </w:rPr>
        <w:t>符合法律规定和合同约定的工程建设竣工验收要求</w:t>
      </w:r>
      <w:r>
        <w:rPr>
          <w:rFonts w:hint="eastAsia" w:ascii="仿宋" w:hAnsi="仿宋" w:eastAsia="仿宋" w:cs="仿宋"/>
          <w:color w:val="000000" w:themeColor="text1"/>
          <w:sz w:val="24"/>
          <w:szCs w:val="24"/>
          <w14:textFill>
            <w14:solidFill>
              <w14:schemeClr w14:val="tx1"/>
            </w14:solidFill>
          </w14:textFill>
        </w:rPr>
        <w:t>。</w:t>
      </w:r>
    </w:p>
    <w:p w14:paraId="13277B4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承包人需要提交的竣工资料套数：</w:t>
      </w:r>
      <w:r>
        <w:rPr>
          <w:rFonts w:hint="eastAsia" w:ascii="仿宋" w:hAnsi="仿宋" w:eastAsia="仿宋" w:cs="仿宋"/>
          <w:color w:val="000000" w:themeColor="text1"/>
          <w:sz w:val="24"/>
          <w:szCs w:val="24"/>
          <w:u w:val="single"/>
          <w14:textFill>
            <w14:solidFill>
              <w14:schemeClr w14:val="tx1"/>
            </w14:solidFill>
          </w14:textFill>
        </w:rPr>
        <w:t>陆套</w:t>
      </w:r>
      <w:r>
        <w:rPr>
          <w:rFonts w:hint="eastAsia" w:ascii="仿宋" w:hAnsi="仿宋" w:eastAsia="仿宋" w:cs="仿宋"/>
          <w:color w:val="000000" w:themeColor="text1"/>
          <w:sz w:val="24"/>
          <w:szCs w:val="24"/>
          <w14:textFill>
            <w14:solidFill>
              <w14:schemeClr w14:val="tx1"/>
            </w14:solidFill>
          </w14:textFill>
        </w:rPr>
        <w:t>。</w:t>
      </w:r>
    </w:p>
    <w:p w14:paraId="3912952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承包人提交的竣工资料的费用承担：</w:t>
      </w:r>
      <w:r>
        <w:rPr>
          <w:rFonts w:hint="eastAsia" w:ascii="仿宋" w:hAnsi="仿宋" w:eastAsia="仿宋" w:cs="仿宋"/>
          <w:color w:val="000000" w:themeColor="text1"/>
          <w:sz w:val="24"/>
          <w:szCs w:val="24"/>
          <w:u w:val="single"/>
          <w14:textFill>
            <w14:solidFill>
              <w14:schemeClr w14:val="tx1"/>
            </w14:solidFill>
          </w14:textFill>
        </w:rPr>
        <w:t>由承包人承担</w:t>
      </w:r>
      <w:r>
        <w:rPr>
          <w:rFonts w:hint="eastAsia" w:ascii="仿宋" w:hAnsi="仿宋" w:eastAsia="仿宋" w:cs="仿宋"/>
          <w:color w:val="000000" w:themeColor="text1"/>
          <w:sz w:val="24"/>
          <w:szCs w:val="24"/>
          <w14:textFill>
            <w14:solidFill>
              <w14:schemeClr w14:val="tx1"/>
            </w14:solidFill>
          </w14:textFill>
        </w:rPr>
        <w:t>。</w:t>
      </w:r>
    </w:p>
    <w:p w14:paraId="4AB57B1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承包人提交的竣工资料移交时间：</w:t>
      </w:r>
      <w:r>
        <w:rPr>
          <w:rFonts w:hint="eastAsia" w:ascii="仿宋" w:hAnsi="仿宋" w:eastAsia="仿宋" w:cs="仿宋"/>
          <w:color w:val="000000" w:themeColor="text1"/>
          <w:sz w:val="24"/>
          <w:szCs w:val="24"/>
          <w:u w:val="single"/>
          <w14:textFill>
            <w14:solidFill>
              <w14:schemeClr w14:val="tx1"/>
            </w14:solidFill>
          </w14:textFill>
        </w:rPr>
        <w:t>竣工验收之日起30天内</w:t>
      </w:r>
      <w:r>
        <w:rPr>
          <w:rFonts w:hint="eastAsia" w:ascii="仿宋" w:hAnsi="仿宋" w:eastAsia="仿宋" w:cs="仿宋"/>
          <w:color w:val="000000" w:themeColor="text1"/>
          <w:sz w:val="24"/>
          <w:szCs w:val="24"/>
          <w14:textFill>
            <w14:solidFill>
              <w14:schemeClr w14:val="tx1"/>
            </w14:solidFill>
          </w14:textFill>
        </w:rPr>
        <w:t>。</w:t>
      </w:r>
    </w:p>
    <w:p w14:paraId="0456AC3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承包人提交的竣工资料形式要求：</w:t>
      </w:r>
      <w:r>
        <w:rPr>
          <w:rFonts w:hint="eastAsia" w:ascii="仿宋" w:hAnsi="仿宋" w:eastAsia="仿宋" w:cs="仿宋"/>
          <w:color w:val="000000" w:themeColor="text1"/>
          <w:sz w:val="24"/>
          <w:szCs w:val="24"/>
          <w:u w:val="single"/>
          <w14:textFill>
            <w14:solidFill>
              <w14:schemeClr w14:val="tx1"/>
            </w14:solidFill>
          </w14:textFill>
        </w:rPr>
        <w:t>纸质文件和电子文件</w:t>
      </w:r>
      <w:r>
        <w:rPr>
          <w:rFonts w:hint="eastAsia" w:ascii="仿宋" w:hAnsi="仿宋" w:eastAsia="仿宋" w:cs="仿宋"/>
          <w:color w:val="000000" w:themeColor="text1"/>
          <w:sz w:val="24"/>
          <w:szCs w:val="24"/>
          <w14:textFill>
            <w14:solidFill>
              <w14:schemeClr w14:val="tx1"/>
            </w14:solidFill>
          </w14:textFill>
        </w:rPr>
        <w:t>。</w:t>
      </w:r>
    </w:p>
    <w:p w14:paraId="429F6EA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（10）承包人应履行的其他义务：</w:t>
      </w:r>
    </w:p>
    <w:p w14:paraId="221BD6D3">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1）承包人必须如期开工、竣工并按时保质移交整个工程。在任何情况下（除发生不可抗力之外），未经发包人书面同意承包人均不能擅自停工。</w:t>
      </w:r>
    </w:p>
    <w:p w14:paraId="62BBC08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2）执行发包人项目现场代表和总监理工程师的指令，如有异议，应立即向发包人的项目现场代表、总监理工程师提出。</w:t>
      </w:r>
    </w:p>
    <w:p w14:paraId="7B930A47">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3）承包人必须严格执行发包人现场代表和总监理工程师的指令，如承包人对发出指令存有异议的，应立即向发包人现场代表、总监理工程师提出，但不得拒绝执行或消极执行。</w:t>
      </w:r>
    </w:p>
    <w:p w14:paraId="60C9DDDA">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4）承包人要听从发包人、监理人现场管理人员的统筹指挥，认真做好施工组织设计，涉及到与其他施工单位配合的，应服从发包人、监理人现场管理人员的统筹安排。</w:t>
      </w:r>
    </w:p>
    <w:p w14:paraId="7CD4DA66">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5）须按发包人或监理人通知要求的人员、时间、地点参加发包人或监理人组织的工程会议，否则每迟到1人次按（人民币）500元/人▪次向发包人支付违约金，每缺席1人次按（人民币）1000元/人▪次向发包人支付违约金，迟到超过1小时的视为缺席；与会人员需按发包人或监理人的要求，及时在达成一致意见的会议记录（或会议纪要或会议备忘录）上签字，否则按（人民币）1000元/人▪次向发包人支付违约金。</w:t>
      </w:r>
    </w:p>
    <w:p w14:paraId="466330D0">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6）施工时全面协调好周边关系，如因承包人原因未处理好周边环境关系而导致工程停工的后果由承包人自行承担，发包人将不承担由此引起的工期延误及其他损失。</w:t>
      </w:r>
    </w:p>
    <w:p w14:paraId="3242AA3F">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7）承包人应在货物发运前对其进行满足运输距离、防潮、防震、防锈和防破损装卸等要求包装，以保证货物安全运达发包人指定地点。</w:t>
      </w:r>
    </w:p>
    <w:p w14:paraId="25B0A9EC">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8）使用说明书、质量检验证明书、随配附件和工具以及清单一并附于货物内。</w:t>
      </w:r>
    </w:p>
    <w:p w14:paraId="5EDC67FD">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9）承包人在货物发运手续办理完毕后24小时内或货到发包人48小时前通知发包人，以准备接货。</w:t>
      </w:r>
    </w:p>
    <w:p w14:paraId="43D7656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10）货物在交付发包人前发生的风险均由承包人负责。</w:t>
      </w:r>
    </w:p>
    <w:p w14:paraId="11B181F4">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11）货物在规定的交付期限内由承包人送达发包人指定的地点并取得发包人签收后，视为交付。</w:t>
      </w:r>
    </w:p>
    <w:p w14:paraId="6A641390">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12）承包人交货前应对产品作出全面检查和对验收文件进行整理，并列出清单，作为发包人收货验收和使用的技术条件依据，检验的结果应随货物交发包人。</w:t>
      </w:r>
    </w:p>
    <w:p w14:paraId="74023ED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13）发包人对承包人提供的货物在使用前进行调试时，承包人需负责安装并培训发包人的使用操作人员，并协助发包人一起调试，直到符合技术要求，发包人才做最终验收。</w:t>
      </w:r>
    </w:p>
    <w:p w14:paraId="5DBCC42C">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14）对技术复杂的货物，发包人应请国家认可的专业检测机构参与初步验收及最终验收，并由其出具质量检测报告。验收费用由承包人负责。</w:t>
      </w:r>
    </w:p>
    <w:p w14:paraId="5FCB652D">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15）验收时承包人必须在现场，验收完毕后作出验收结果报告；验收费用由承包人负责。</w:t>
      </w:r>
    </w:p>
    <w:p w14:paraId="77856A50">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16）项目如出现场内挖方区土方不能利用至回填区（土方不能场内平衡）的情况，承包人应配合发包人、设计单位、地勘单位等相关单位履行内部控制职责，对土方挖运方案和金额进行论证，并提供相关证明材料。</w:t>
      </w:r>
    </w:p>
    <w:p w14:paraId="12B392D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17）承包人发生的土石方工程费用，应提供经发包人等相关单位核实的真实、完整有效的发票、银行转账凭证、账户或收据、合同等资料。</w:t>
      </w:r>
    </w:p>
    <w:p w14:paraId="4212E80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18）承包人对实际施工与报送竣工结算相符情况负责，如因此出现较大的争议，在不影响工程结构安全的条件下，应配合进行随机钻芯取样抽查，并按设计图纸和抽查结果由点及面推算实际工程量进行竣工结算。</w:t>
      </w:r>
    </w:p>
    <w:p w14:paraId="31D81B6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19）土石方工程的取土场、弃土场的租用、青苗补偿、场地恢复、平整、压实、检测、临时道路等一切作业费用由承包人自行考虑。施工过程不对土石方类别、施工机械、转运、降水、排水等其他费用，含政府临时性管制政策影响因素而发生的费用，如城乡清洁工程管理要求等因素进行费用签证。</w:t>
      </w:r>
    </w:p>
    <w:p w14:paraId="38C95E93">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20）验收产生的一切费用由承包人承担。</w:t>
      </w:r>
    </w:p>
    <w:p w14:paraId="690A1F5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21）地面（路面）不允许积水，若因承包人原因出现积水，承包人应无条件进行整改直至该地面（路面）通过发包人验收，整改产生的费用由承包人自行承担。</w:t>
      </w:r>
    </w:p>
    <w:p w14:paraId="60F69D69">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3.2项目经理</w:t>
      </w:r>
    </w:p>
    <w:p w14:paraId="7859C6F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3.2.1项目经理：</w:t>
      </w:r>
    </w:p>
    <w:p w14:paraId="3948A96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姓名：______，签名：</w:t>
      </w:r>
      <w:r>
        <w:rPr>
          <w:rFonts w:hint="eastAsia" w:ascii="仿宋" w:hAnsi="仿宋" w:eastAsia="仿宋" w:cs="仿宋"/>
          <w:b/>
          <w:color w:val="000000" w:themeColor="text1"/>
          <w:sz w:val="24"/>
          <w:szCs w:val="24"/>
          <w14:textFill>
            <w14:solidFill>
              <w14:schemeClr w14:val="tx1"/>
            </w14:solidFill>
          </w14:textFill>
        </w:rPr>
        <w:t>__________________</w:t>
      </w:r>
      <w:r>
        <w:rPr>
          <w:rFonts w:hint="eastAsia" w:ascii="仿宋" w:hAnsi="仿宋" w:eastAsia="仿宋" w:cs="仿宋"/>
          <w:color w:val="000000" w:themeColor="text1"/>
          <w:sz w:val="24"/>
          <w:szCs w:val="24"/>
          <w14:textFill>
            <w14:solidFill>
              <w14:schemeClr w14:val="tx1"/>
            </w14:solidFill>
          </w14:textFill>
        </w:rPr>
        <w:t>（本人手写）；</w:t>
      </w:r>
    </w:p>
    <w:p w14:paraId="423D492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身份证号：______；</w:t>
      </w:r>
    </w:p>
    <w:p w14:paraId="7737DC7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建造师执业资格等级：______；</w:t>
      </w:r>
    </w:p>
    <w:p w14:paraId="1E61AA5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建造师注册证书号：______；</w:t>
      </w:r>
    </w:p>
    <w:p w14:paraId="595F3B2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安全生产考核合格证书号：______；</w:t>
      </w:r>
    </w:p>
    <w:p w14:paraId="3517662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联系电话：______；</w:t>
      </w:r>
    </w:p>
    <w:p w14:paraId="5DA906D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电子信箱：______；</w:t>
      </w:r>
    </w:p>
    <w:p w14:paraId="0E45083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通信地址：______；</w:t>
      </w:r>
    </w:p>
    <w:p w14:paraId="7777203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承包人对项目经理的授权范围如下：</w:t>
      </w:r>
      <w:r>
        <w:rPr>
          <w:rFonts w:hint="eastAsia" w:ascii="仿宋" w:hAnsi="仿宋" w:eastAsia="仿宋" w:cs="仿宋"/>
          <w:color w:val="000000" w:themeColor="text1"/>
          <w:sz w:val="24"/>
          <w:szCs w:val="24"/>
          <w:u w:val="single"/>
          <w14:textFill>
            <w14:solidFill>
              <w14:schemeClr w14:val="tx1"/>
            </w14:solidFill>
          </w14:textFill>
        </w:rPr>
        <w:t>项目经理其职权仅限于施工管理，未经承包人书面授权或盖章同意，不得代表承包人或者以承包人名义向外采购材料设备、租用周转材等、雇佣劳动力、签订各种合同或协议以及一切为承包人设立义务或责任的行为</w:t>
      </w:r>
      <w:r>
        <w:rPr>
          <w:rFonts w:hint="eastAsia" w:ascii="仿宋" w:hAnsi="仿宋" w:eastAsia="仿宋" w:cs="仿宋"/>
          <w:color w:val="000000" w:themeColor="text1"/>
          <w:sz w:val="24"/>
          <w:szCs w:val="24"/>
          <w14:textFill>
            <w14:solidFill>
              <w14:schemeClr w14:val="tx1"/>
            </w14:solidFill>
          </w14:textFill>
        </w:rPr>
        <w:t>。</w:t>
      </w:r>
    </w:p>
    <w:p w14:paraId="253A47C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施工期间关于项目经理每月在施工现场的时间要求：</w:t>
      </w:r>
      <w:r>
        <w:rPr>
          <w:rFonts w:hint="eastAsia" w:ascii="仿宋" w:hAnsi="仿宋" w:eastAsia="仿宋" w:cs="仿宋"/>
          <w:color w:val="000000" w:themeColor="text1"/>
          <w:sz w:val="24"/>
          <w:szCs w:val="24"/>
          <w:u w:val="single"/>
          <w14:textFill>
            <w14:solidFill>
              <w14:schemeClr w14:val="tx1"/>
            </w14:solidFill>
          </w14:textFill>
        </w:rPr>
        <w:t>建筑工程施工许可证颁发之日起到工程竣工验收合格之日止，每月不少于22天，每天不少于8小时，以发包人提供的指纹考勤机考勤记录为准，考勤记录没有的按不在现场处理，若出现考勤时弄虚作假的，当月均按不在现场处理</w:t>
      </w:r>
      <w:r>
        <w:rPr>
          <w:rFonts w:hint="eastAsia" w:ascii="仿宋" w:hAnsi="仿宋" w:eastAsia="仿宋" w:cs="仿宋"/>
          <w:color w:val="000000" w:themeColor="text1"/>
          <w:sz w:val="24"/>
          <w:szCs w:val="24"/>
          <w14:textFill>
            <w14:solidFill>
              <w14:schemeClr w14:val="tx1"/>
            </w14:solidFill>
          </w14:textFill>
        </w:rPr>
        <w:t>。</w:t>
      </w:r>
    </w:p>
    <w:p w14:paraId="53B5A5D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承包人未提交劳动合同，以及没有为项目经理缴纳社会保险证明的违约责任：</w:t>
      </w:r>
      <w:r>
        <w:rPr>
          <w:rFonts w:hint="eastAsia" w:ascii="仿宋" w:hAnsi="仿宋" w:eastAsia="仿宋" w:cs="仿宋"/>
          <w:color w:val="000000" w:themeColor="text1"/>
          <w:sz w:val="24"/>
          <w:szCs w:val="24"/>
          <w:u w:val="single"/>
          <w14:textFill>
            <w14:solidFill>
              <w14:schemeClr w14:val="tx1"/>
            </w14:solidFill>
          </w14:textFill>
        </w:rPr>
        <w:t>承包人需在开工期前20日内提交项目经理的劳动合同和社会保险证明，逾期未提交，承包人向发包人支付违约金（人民币）5万元/人•日，且发包人有权书面通知承包人更换项目经理</w:t>
      </w:r>
      <w:r>
        <w:rPr>
          <w:rFonts w:hint="eastAsia" w:ascii="仿宋" w:hAnsi="仿宋" w:eastAsia="仿宋" w:cs="仿宋"/>
          <w:color w:val="000000" w:themeColor="text1"/>
          <w:sz w:val="24"/>
          <w:szCs w:val="24"/>
          <w14:textFill>
            <w14:solidFill>
              <w14:schemeClr w14:val="tx1"/>
            </w14:solidFill>
          </w14:textFill>
        </w:rPr>
        <w:t>。</w:t>
      </w:r>
    </w:p>
    <w:p w14:paraId="16A72EF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施工期间项目经理未经批准，擅自离开施工现场的违约责任：</w:t>
      </w:r>
      <w:r>
        <w:rPr>
          <w:rFonts w:hint="eastAsia" w:ascii="仿宋" w:hAnsi="仿宋" w:eastAsia="仿宋" w:cs="仿宋"/>
          <w:color w:val="000000" w:themeColor="text1"/>
          <w:sz w:val="24"/>
          <w:szCs w:val="24"/>
          <w:u w:val="single"/>
          <w14:textFill>
            <w14:solidFill>
              <w14:schemeClr w14:val="tx1"/>
            </w14:solidFill>
          </w14:textFill>
        </w:rPr>
        <w:t>项目经理每月在岗带班时间不得少于当月施工时间的80%。未经发包人同意或正当理由，项目经理每月在岗带班时间少于当月施工时间80%的，少在岗带班一天，发包人有权按（人民币）1000元/日的标准计收（扣）违约金；项目经理确需离开施工现场时，必须事前书面请假，由项目总监理工程师审核后，经发包人项目现场代表、发包人分管该项目副处长签字同意后，才能有效请假，否则按不在现场处理。不得事后补办请假手续</w:t>
      </w:r>
      <w:r>
        <w:rPr>
          <w:rFonts w:hint="eastAsia" w:ascii="仿宋" w:hAnsi="仿宋" w:eastAsia="仿宋" w:cs="仿宋"/>
          <w:color w:val="000000" w:themeColor="text1"/>
          <w:sz w:val="24"/>
          <w:szCs w:val="24"/>
          <w14:textFill>
            <w14:solidFill>
              <w14:schemeClr w14:val="tx1"/>
            </w14:solidFill>
          </w14:textFill>
        </w:rPr>
        <w:t>。</w:t>
      </w:r>
    </w:p>
    <w:p w14:paraId="275F032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3.2.3承包人擅自更换项目经理的违约责任：</w:t>
      </w:r>
      <w:r>
        <w:rPr>
          <w:rFonts w:hint="eastAsia" w:ascii="仿宋" w:hAnsi="仿宋" w:eastAsia="仿宋" w:cs="仿宋"/>
          <w:color w:val="000000" w:themeColor="text1"/>
          <w:sz w:val="24"/>
          <w:szCs w:val="24"/>
          <w:u w:val="single"/>
          <w14:textFill>
            <w14:solidFill>
              <w14:schemeClr w14:val="tx1"/>
            </w14:solidFill>
          </w14:textFill>
        </w:rPr>
        <w:t>承包人项目经理必须与承包人投标时所承诺的人员一致，并在开工前到任，如开工后不能到任，视为违约，发包人有权解除合同。在监理人向承包人颁发竣工验收证明前，项目经理不得同时兼任其他任何项目的项目经理（符合《广西壮族自治区建筑市场诚信卡管理暂行办法》第十六条第一款及桂建管﹝2016﹞70号、桂建管〔2020〕11号文除外）。未经发包人书面同意，承包人擅自更换项目经理的视为违约，发包人有权解除合同并追究违约责任，违约金为（人民币）10万元/人•次</w:t>
      </w:r>
      <w:r>
        <w:rPr>
          <w:rFonts w:hint="eastAsia" w:ascii="仿宋" w:hAnsi="仿宋" w:eastAsia="仿宋" w:cs="仿宋"/>
          <w:color w:val="000000" w:themeColor="text1"/>
          <w:sz w:val="24"/>
          <w:szCs w:val="24"/>
          <w14:textFill>
            <w14:solidFill>
              <w14:schemeClr w14:val="tx1"/>
            </w14:solidFill>
          </w14:textFill>
        </w:rPr>
        <w:t>。</w:t>
      </w:r>
    </w:p>
    <w:p w14:paraId="3C53E693">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3.2.4经发包人书面同意，承包人更换项目经理，除健康状况不能正常履职及其他不可抗力因素以外，承包人还需向发包人做出经济补偿：更换项目经理的补偿按8万元/人•次。</w:t>
      </w:r>
    </w:p>
    <w:p w14:paraId="030C25E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3.2.5承包人无正当理由拒绝更换项目经理的违约责任：</w:t>
      </w:r>
      <w:r>
        <w:rPr>
          <w:rFonts w:hint="eastAsia" w:ascii="仿宋" w:hAnsi="仿宋" w:eastAsia="仿宋" w:cs="仿宋"/>
          <w:color w:val="000000" w:themeColor="text1"/>
          <w:sz w:val="24"/>
          <w:szCs w:val="24"/>
          <w:u w:val="single"/>
          <w14:textFill>
            <w14:solidFill>
              <w14:schemeClr w14:val="tx1"/>
            </w14:solidFill>
          </w14:textFill>
        </w:rPr>
        <w:t>因承包人项目经理不称职，发包人要求调换而15天内未调换的，视为承包人违约，必须立即更换并向发包人支付违约金（人民币）5</w:t>
      </w:r>
      <w:bookmarkStart w:id="241" w:name="OLE_LINK39"/>
      <w:bookmarkStart w:id="242" w:name="OLE_LINK38"/>
      <w:r>
        <w:rPr>
          <w:rFonts w:hint="eastAsia" w:ascii="仿宋" w:hAnsi="仿宋" w:eastAsia="仿宋" w:cs="仿宋"/>
          <w:color w:val="000000" w:themeColor="text1"/>
          <w:sz w:val="24"/>
          <w:szCs w:val="24"/>
          <w:u w:val="single"/>
          <w14:textFill>
            <w14:solidFill>
              <w14:schemeClr w14:val="tx1"/>
            </w14:solidFill>
          </w14:textFill>
        </w:rPr>
        <w:t>万</w:t>
      </w:r>
      <w:bookmarkEnd w:id="241"/>
      <w:bookmarkEnd w:id="242"/>
      <w:r>
        <w:rPr>
          <w:rFonts w:hint="eastAsia" w:ascii="仿宋" w:hAnsi="仿宋" w:eastAsia="仿宋" w:cs="仿宋"/>
          <w:color w:val="000000" w:themeColor="text1"/>
          <w:sz w:val="24"/>
          <w:szCs w:val="24"/>
          <w:u w:val="single"/>
          <w14:textFill>
            <w14:solidFill>
              <w14:schemeClr w14:val="tx1"/>
            </w14:solidFill>
          </w14:textFill>
        </w:rPr>
        <w:t>元/人•次</w:t>
      </w:r>
      <w:r>
        <w:rPr>
          <w:rFonts w:hint="eastAsia" w:ascii="仿宋" w:hAnsi="仿宋" w:eastAsia="仿宋" w:cs="仿宋"/>
          <w:color w:val="000000" w:themeColor="text1"/>
          <w:sz w:val="24"/>
          <w:szCs w:val="24"/>
          <w14:textFill>
            <w14:solidFill>
              <w14:schemeClr w14:val="tx1"/>
            </w14:solidFill>
          </w14:textFill>
        </w:rPr>
        <w:t>。</w:t>
      </w:r>
    </w:p>
    <w:p w14:paraId="650CD128">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3.3承包人人员</w:t>
      </w:r>
    </w:p>
    <w:p w14:paraId="065646A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3.3.1承包人提交项目管理机构及施工现场管理人员安排表（格式见合同附件5）的期限：</w:t>
      </w:r>
      <w:r>
        <w:rPr>
          <w:rFonts w:hint="eastAsia" w:ascii="仿宋" w:hAnsi="仿宋" w:eastAsia="仿宋" w:cs="仿宋"/>
          <w:color w:val="000000" w:themeColor="text1"/>
          <w:sz w:val="24"/>
          <w:szCs w:val="24"/>
          <w:u w:val="single"/>
          <w14:textFill>
            <w14:solidFill>
              <w14:schemeClr w14:val="tx1"/>
            </w14:solidFill>
          </w14:textFill>
        </w:rPr>
        <w:t>监理工程师下发开工令且进场施工前7天内</w:t>
      </w:r>
      <w:r>
        <w:rPr>
          <w:rFonts w:hint="eastAsia" w:ascii="仿宋" w:hAnsi="仿宋" w:eastAsia="仿宋" w:cs="仿宋"/>
          <w:color w:val="000000" w:themeColor="text1"/>
          <w:sz w:val="24"/>
          <w:szCs w:val="24"/>
          <w14:textFill>
            <w14:solidFill>
              <w14:schemeClr w14:val="tx1"/>
            </w14:solidFill>
          </w14:textFill>
        </w:rPr>
        <w:t>。</w:t>
      </w:r>
    </w:p>
    <w:p w14:paraId="1FA178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3.3.3承包人无正当理由拒绝撤换主要施工管理人员的违约责任：</w:t>
      </w:r>
      <w:r>
        <w:rPr>
          <w:rFonts w:hint="eastAsia" w:ascii="仿宋" w:hAnsi="仿宋" w:eastAsia="仿宋" w:cs="仿宋"/>
          <w:color w:val="000000" w:themeColor="text1"/>
          <w:sz w:val="24"/>
          <w:szCs w:val="24"/>
          <w:u w:val="single"/>
          <w14:textFill>
            <w14:solidFill>
              <w14:schemeClr w14:val="tx1"/>
            </w14:solidFill>
          </w14:textFill>
        </w:rPr>
        <w:t>因承包人主要施工管理人员不称职，发包人要求调换而无正当理由拒绝撤换或未及时调换的，视为承包人违约，必须立即更换并向发包人支付违约金，违约金标准：技术负责人（人民币）3万元/人•次；其他管理人员（人民币）2万元/人•次。主要施工管理人员（以投标文件中承诺的项目管理机构配备人员）详见附件5</w:t>
      </w:r>
      <w:r>
        <w:rPr>
          <w:rFonts w:hint="eastAsia" w:ascii="仿宋" w:hAnsi="仿宋" w:eastAsia="仿宋" w:cs="仿宋"/>
          <w:color w:val="000000" w:themeColor="text1"/>
          <w:sz w:val="24"/>
          <w:szCs w:val="24"/>
          <w14:textFill>
            <w14:solidFill>
              <w14:schemeClr w14:val="tx1"/>
            </w14:solidFill>
          </w14:textFill>
        </w:rPr>
        <w:t>。</w:t>
      </w:r>
    </w:p>
    <w:p w14:paraId="7D93C64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3.3.4承包人主要施工管理人员离开施工现场的批准要求：</w:t>
      </w:r>
      <w:r>
        <w:rPr>
          <w:rFonts w:hint="eastAsia" w:ascii="仿宋" w:hAnsi="仿宋" w:eastAsia="仿宋" w:cs="仿宋"/>
          <w:color w:val="000000" w:themeColor="text1"/>
          <w:sz w:val="24"/>
          <w:szCs w:val="24"/>
          <w:u w:val="single"/>
          <w14:textFill>
            <w14:solidFill>
              <w14:schemeClr w14:val="tx1"/>
            </w14:solidFill>
          </w14:textFill>
        </w:rPr>
        <w:t>建筑工程施工许可证颁发之日起到工程竣工验收合格之日止的施工过程，项目技术负责人、专职安全生产管理人员、施工员、质检员每周至少5天、每天不少于8小时在现场组织项目实施，其他管理人员，每月至少15天、每天不少于8小时在现场。以发包人提供的指纹考勤机考勤记录为准，考勤记录没有的按不在现场处理，若出现考勤时弄虚作假的，当月均按不在现场处理；确需离开施工现场时，必须事前书面请假，由项目总监理工程师审核后，经发包人项目现场代表、发包人分管该项目副处长签字同意后，才能有效请假，否则按不在现场处理。不得事后补办请假手续</w:t>
      </w:r>
      <w:r>
        <w:rPr>
          <w:rFonts w:hint="eastAsia" w:ascii="仿宋" w:hAnsi="仿宋" w:eastAsia="仿宋" w:cs="仿宋"/>
          <w:color w:val="000000" w:themeColor="text1"/>
          <w:sz w:val="24"/>
          <w:szCs w:val="24"/>
          <w14:textFill>
            <w14:solidFill>
              <w14:schemeClr w14:val="tx1"/>
            </w14:solidFill>
          </w14:textFill>
        </w:rPr>
        <w:t>。</w:t>
      </w:r>
    </w:p>
    <w:p w14:paraId="70EA677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3.3.5承包人擅自更换主要施工管理人员的违约责任：</w:t>
      </w:r>
      <w:r>
        <w:rPr>
          <w:rFonts w:hint="eastAsia" w:ascii="仿宋" w:hAnsi="仿宋" w:eastAsia="仿宋" w:cs="仿宋"/>
          <w:color w:val="000000" w:themeColor="text1"/>
          <w:sz w:val="24"/>
          <w:szCs w:val="24"/>
          <w:u w:val="single"/>
          <w14:textFill>
            <w14:solidFill>
              <w14:schemeClr w14:val="tx1"/>
            </w14:solidFill>
          </w14:textFill>
        </w:rPr>
        <w:t>项目技术负责人、专职安全生产管理人员及其承诺的其他在场管理人员未经发包人书面同意不准擅自更换，擅自更换项目技术负责人的，发包人有权按5万元/人•次的标准计收（扣）违约金；擅自更换专职安全生产管理人员的，发包人有权按（人民币）1万元/人•次的标准计收（扣）违约金；擅自更换其他在场管理人员的，发包人有权按（人民币）5000元/人•次的标准计收（扣）违约金</w:t>
      </w:r>
      <w:r>
        <w:rPr>
          <w:rFonts w:hint="eastAsia" w:ascii="仿宋" w:hAnsi="仿宋" w:eastAsia="仿宋" w:cs="仿宋"/>
          <w:color w:val="000000" w:themeColor="text1"/>
          <w:sz w:val="24"/>
          <w:szCs w:val="24"/>
          <w14:textFill>
            <w14:solidFill>
              <w14:schemeClr w14:val="tx1"/>
            </w14:solidFill>
          </w14:textFill>
        </w:rPr>
        <w:t>。</w:t>
      </w:r>
    </w:p>
    <w:p w14:paraId="73F8D831">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3.3.6经发包人书面同意，承包人更换主要施工管理人员，除健康状况不能正常履职及其他不可抗力因素以外，承包人还需向发包人做出经济补偿：更换项目技术负责人的，补偿5万元/人•次；更换专职安全生产管理人员的，补偿1万元/人•次；更换其他在场管理人员的，补偿5000元/人•次。</w:t>
      </w:r>
    </w:p>
    <w:p w14:paraId="352D898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3.3.7承包人主要施工管理人员擅自离开施工现场的违约责任：</w:t>
      </w:r>
      <w:r>
        <w:rPr>
          <w:rFonts w:hint="eastAsia" w:ascii="仿宋" w:hAnsi="仿宋" w:eastAsia="仿宋" w:cs="仿宋"/>
          <w:color w:val="000000" w:themeColor="text1"/>
          <w:sz w:val="24"/>
          <w:szCs w:val="24"/>
          <w:u w:val="single"/>
          <w14:textFill>
            <w14:solidFill>
              <w14:schemeClr w14:val="tx1"/>
            </w14:solidFill>
          </w14:textFill>
        </w:rPr>
        <w:t>未经发包人同意，项目技术负责人擅自离岗的，视为承包人违约，发包人有权按（人民币）5000元/人•次的标准计收（扣）违约金；未经发包人同意，专职安全生产管理人员擅自离岗的，视为承包人违约，发包人有权按（人民币）500元/人•次的标准计收（扣）违约金；其他在场管理人员擅自离岗的，视为承包人违约，发包人有权按（人民币）300元/人•次的标准计收（扣）违约金</w:t>
      </w:r>
      <w:r>
        <w:rPr>
          <w:rFonts w:hint="eastAsia" w:ascii="仿宋" w:hAnsi="仿宋" w:eastAsia="仿宋" w:cs="仿宋"/>
          <w:color w:val="000000" w:themeColor="text1"/>
          <w:sz w:val="24"/>
          <w:szCs w:val="24"/>
          <w14:textFill>
            <w14:solidFill>
              <w14:schemeClr w14:val="tx1"/>
            </w14:solidFill>
          </w14:textFill>
        </w:rPr>
        <w:t>。</w:t>
      </w:r>
    </w:p>
    <w:p w14:paraId="6ED369DD">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3.5分包</w:t>
      </w:r>
    </w:p>
    <w:p w14:paraId="76CDB0B3">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3.5.1分包的一般约定</w:t>
      </w:r>
    </w:p>
    <w:p w14:paraId="2515E5F2">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禁止分包的工程包括：</w:t>
      </w:r>
      <w:r>
        <w:rPr>
          <w:rFonts w:hint="eastAsia" w:ascii="仿宋" w:hAnsi="仿宋" w:eastAsia="仿宋" w:cs="仿宋"/>
          <w:color w:val="000000" w:themeColor="text1"/>
          <w:sz w:val="24"/>
          <w:szCs w:val="24"/>
          <w:u w:val="single"/>
          <w14:textFill>
            <w14:solidFill>
              <w14:schemeClr w14:val="tx1"/>
            </w14:solidFill>
          </w14:textFill>
        </w:rPr>
        <w:t>按通用条款执行</w:t>
      </w:r>
      <w:r>
        <w:rPr>
          <w:rFonts w:hint="eastAsia" w:ascii="仿宋" w:hAnsi="仿宋" w:eastAsia="仿宋" w:cs="仿宋"/>
          <w:color w:val="000000" w:themeColor="text1"/>
          <w:sz w:val="24"/>
          <w:szCs w:val="24"/>
          <w14:textFill>
            <w14:solidFill>
              <w14:schemeClr w14:val="tx1"/>
            </w14:solidFill>
          </w14:textFill>
        </w:rPr>
        <w:t>。</w:t>
      </w:r>
    </w:p>
    <w:p w14:paraId="3FD99C24">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主体结构、关键性工作的范围：</w:t>
      </w:r>
      <w:r>
        <w:rPr>
          <w:rFonts w:hint="eastAsia" w:ascii="仿宋" w:hAnsi="仿宋" w:eastAsia="仿宋" w:cs="仿宋"/>
          <w:color w:val="000000" w:themeColor="text1"/>
          <w:sz w:val="24"/>
          <w:szCs w:val="24"/>
          <w:u w:val="single"/>
          <w14:textFill>
            <w14:solidFill>
              <w14:schemeClr w14:val="tx1"/>
            </w14:solidFill>
          </w14:textFill>
        </w:rPr>
        <w:t>按法律、法规的规定</w:t>
      </w:r>
      <w:r>
        <w:rPr>
          <w:rFonts w:hint="eastAsia" w:ascii="仿宋" w:hAnsi="仿宋" w:eastAsia="仿宋" w:cs="仿宋"/>
          <w:color w:val="000000" w:themeColor="text1"/>
          <w:sz w:val="24"/>
          <w:szCs w:val="24"/>
          <w14:textFill>
            <w14:solidFill>
              <w14:schemeClr w14:val="tx1"/>
            </w14:solidFill>
          </w14:textFill>
        </w:rPr>
        <w:t>。</w:t>
      </w:r>
    </w:p>
    <w:p w14:paraId="4390153F">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3.5.2分包的确定</w:t>
      </w:r>
    </w:p>
    <w:p w14:paraId="20BC772D">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允许分包的专业工程包括：</w:t>
      </w:r>
      <w:r>
        <w:rPr>
          <w:rFonts w:hint="eastAsia" w:ascii="仿宋" w:hAnsi="仿宋" w:eastAsia="仿宋" w:cs="仿宋"/>
          <w:color w:val="000000" w:themeColor="text1"/>
          <w:sz w:val="24"/>
          <w:szCs w:val="24"/>
          <w:u w:val="single"/>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14:paraId="379251D4">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其他关于分包的约定：</w:t>
      </w:r>
    </w:p>
    <w:p w14:paraId="226531B5">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46DD8276">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（2）在相关分包合同签订并报送有关建设行政主管部门备案后7天内，承包人应当将一份副本提交给监理人，承包人应保障分包工作不得再次分包。</w:t>
      </w:r>
    </w:p>
    <w:p w14:paraId="145A5C36">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（3）未经发包人和监理人审批同意的分包工程和分包人，发包人有权拒绝验收分包工程和支付相应款项，由此引起的发包人费用增加和（或）延误的工期由承包人承担。</w:t>
      </w:r>
    </w:p>
    <w:p w14:paraId="78808BBF">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（4）承包人有以下情况之一者，发包人有权解除合同：</w:t>
      </w:r>
    </w:p>
    <w:p w14:paraId="729D7336">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①个人承包工程，包括本人单位及外单位人员承包，发包人不承认其个人拥有任何资质等级及营业许可资格。</w:t>
      </w:r>
    </w:p>
    <w:p w14:paraId="2D2400CD">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②几个人联合承包工程，就地组织暗分包队伍，不具备完成本工程的技术、机械能力，被发包人判定为没有能力履行的承包人。</w:t>
      </w:r>
    </w:p>
    <w:p w14:paraId="31A9F620">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③就地转包全部的工程，以谋取高额转让费、管理费的承包人。</w:t>
      </w:r>
    </w:p>
    <w:p w14:paraId="60CEBA99">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④承包人有部分分包现象（其中包括冒充承包人下属单位的挂勾单位，凭口头协议参与施工的分包人及其他暗分包个体户），一经发现核实，发包人将采取驱逐该暗分包人措施。</w:t>
      </w:r>
    </w:p>
    <w:p w14:paraId="4EBB58DA">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3.5.4分包合同价款</w:t>
      </w:r>
    </w:p>
    <w:p w14:paraId="1EC4EDB7">
      <w:pPr>
        <w:pStyle w:val="169"/>
        <w:spacing w:line="360" w:lineRule="auto"/>
        <w:ind w:firstLine="48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关于分包合同价款支付的约定：</w:t>
      </w:r>
      <w:r>
        <w:rPr>
          <w:rFonts w:hint="eastAsia" w:ascii="仿宋" w:hAnsi="仿宋" w:eastAsia="仿宋" w:cs="仿宋"/>
          <w:color w:val="000000" w:themeColor="text1"/>
          <w:sz w:val="24"/>
          <w:szCs w:val="24"/>
          <w:u w:val="single"/>
          <w14:textFill>
            <w14:solidFill>
              <w14:schemeClr w14:val="tx1"/>
            </w14:solidFill>
          </w14:textFill>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仿宋" w:hAnsi="仿宋" w:eastAsia="仿宋" w:cs="仿宋"/>
          <w:color w:val="000000" w:themeColor="text1"/>
          <w:sz w:val="24"/>
          <w:szCs w:val="24"/>
          <w14:textFill>
            <w14:solidFill>
              <w14:schemeClr w14:val="tx1"/>
            </w14:solidFill>
          </w14:textFill>
        </w:rPr>
        <w:t>。</w:t>
      </w:r>
    </w:p>
    <w:p w14:paraId="6B2FCF06">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3.6工程照管与成品、半成品保护</w:t>
      </w:r>
    </w:p>
    <w:p w14:paraId="6405F4C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承包人负责照管工程及工程相关的材料、工程设备的起始时间：</w:t>
      </w:r>
      <w:r>
        <w:rPr>
          <w:rFonts w:hint="eastAsia" w:ascii="仿宋" w:hAnsi="仿宋" w:eastAsia="仿宋" w:cs="仿宋"/>
          <w:color w:val="000000" w:themeColor="text1"/>
          <w:sz w:val="24"/>
          <w:szCs w:val="24"/>
          <w:u w:val="single"/>
          <w14:textFill>
            <w14:solidFill>
              <w14:schemeClr w14:val="tx1"/>
            </w14:solidFill>
          </w14:textFill>
        </w:rPr>
        <w:t>工程接收证书颁发前，承包人负责照管和维护工程。工程接收证书颁发时尚有部分未竣工工程的，承包人负责该未竣工工程的照管和维护工作，直到竣工后移交给发包人为止</w:t>
      </w:r>
      <w:r>
        <w:rPr>
          <w:rFonts w:hint="eastAsia" w:ascii="仿宋" w:hAnsi="仿宋" w:eastAsia="仿宋" w:cs="仿宋"/>
          <w:color w:val="000000" w:themeColor="text1"/>
          <w:sz w:val="24"/>
          <w:szCs w:val="24"/>
          <w14:textFill>
            <w14:solidFill>
              <w14:schemeClr w14:val="tx1"/>
            </w14:solidFill>
          </w14:textFill>
        </w:rPr>
        <w:t>。</w:t>
      </w:r>
    </w:p>
    <w:p w14:paraId="4187A8DB">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3.7履约保证金</w:t>
      </w:r>
    </w:p>
    <w:p w14:paraId="442884A8">
      <w:pPr>
        <w:spacing w:line="420" w:lineRule="exact"/>
        <w:ind w:firstLine="480" w:firstLineChars="200"/>
        <w:jc w:val="left"/>
        <w:rPr>
          <w:rFonts w:hint="default" w:ascii="仿宋" w:hAnsi="仿宋" w:eastAsia="仿宋" w:cs="仿宋"/>
          <w:color w:val="auto"/>
          <w:sz w:val="24"/>
          <w:szCs w:val="24"/>
          <w:highlight w:val="none"/>
          <w:u w:val="none"/>
          <w:lang w:val="en-US" w:eastAsia="zh-CN"/>
        </w:rPr>
      </w:pPr>
      <w:bookmarkStart w:id="243" w:name="_Toc193815649"/>
      <w:r>
        <w:rPr>
          <w:rFonts w:hint="eastAsia" w:ascii="仿宋" w:hAnsi="仿宋" w:eastAsia="仿宋" w:cs="仿宋"/>
          <w:color w:val="auto"/>
          <w:sz w:val="24"/>
          <w:szCs w:val="24"/>
          <w:highlight w:val="none"/>
          <w:u w:val="none"/>
        </w:rPr>
        <w:t>承包人是否提供履约担保：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金额为</w:t>
      </w:r>
      <w:r>
        <w:rPr>
          <w:rFonts w:hint="eastAsia" w:ascii="仿宋" w:hAnsi="仿宋" w:eastAsia="仿宋" w:cs="仿宋"/>
          <w:sz w:val="24"/>
          <w:szCs w:val="24"/>
          <w:lang w:val="en-US" w:eastAsia="zh-CN"/>
        </w:rPr>
        <w:t>合同价款的</w:t>
      </w:r>
      <w:r>
        <w:rPr>
          <w:rFonts w:hint="eastAsia" w:ascii="仿宋" w:hAnsi="仿宋" w:eastAsia="仿宋" w:cs="仿宋"/>
          <w:sz w:val="24"/>
          <w:szCs w:val="24"/>
          <w:u w:val="single"/>
          <w:lang w:val="en-US" w:eastAsia="zh-CN"/>
        </w:rPr>
        <w:t xml:space="preserve">  2  </w:t>
      </w:r>
      <w:r>
        <w:rPr>
          <w:rFonts w:hint="eastAsia" w:ascii="仿宋" w:hAnsi="仿宋" w:eastAsia="仿宋" w:cs="仿宋"/>
          <w:sz w:val="24"/>
          <w:szCs w:val="24"/>
          <w:lang w:val="en-US" w:eastAsia="zh-CN"/>
        </w:rPr>
        <w:t>%，即人民币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p w14:paraId="15101144">
      <w:pPr>
        <w:pStyle w:val="176"/>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承包人提供履约担保的形式、金额及期限的：可以采用现金、银行保函、工程担保或保证保险等形式，金额为合同价款扣除发包人材料设备价款、暂估专业工程、暂列金额后的5%　。</w:t>
      </w:r>
    </w:p>
    <w:p w14:paraId="2BB6ED00">
      <w:pPr>
        <w:spacing w:line="420" w:lineRule="exact"/>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承包人提供履约担保的形式、金额及期限的：承包人在合同签订前，从承包人的基本帐户向发包人指定的帐户里，足额存入履约担保金，如承包人违约，则罚没全部履约保证金充作工程投资。工程通过竣工验收合格并完成相关交接手续后14个工作日内全额退还（无息）,但如因违约被扣除且未补齐的，被扣除部分不予退还。</w:t>
      </w:r>
    </w:p>
    <w:p w14:paraId="73AB5113">
      <w:pPr>
        <w:spacing w:line="420" w:lineRule="exact"/>
        <w:ind w:firstLine="488" w:firstLineChars="200"/>
        <w:jc w:val="left"/>
        <w:rPr>
          <w:rFonts w:hint="eastAsia" w:ascii="仿宋" w:hAnsi="仿宋" w:eastAsia="仿宋" w:cs="仿宋"/>
          <w:color w:val="auto"/>
          <w:spacing w:val="2"/>
          <w:sz w:val="24"/>
          <w:szCs w:val="24"/>
          <w:highlight w:val="none"/>
          <w:u w:val="none"/>
          <w:lang w:eastAsia="zh-CN"/>
        </w:rPr>
      </w:pPr>
      <w:r>
        <w:rPr>
          <w:rFonts w:hint="eastAsia" w:ascii="仿宋" w:hAnsi="仿宋" w:eastAsia="仿宋" w:cs="仿宋"/>
          <w:color w:val="auto"/>
          <w:spacing w:val="2"/>
          <w:sz w:val="24"/>
          <w:szCs w:val="24"/>
          <w:highlight w:val="none"/>
          <w:u w:val="none"/>
        </w:rPr>
        <w:t>开户名称：</w:t>
      </w:r>
    </w:p>
    <w:p w14:paraId="069D7ECA">
      <w:pPr>
        <w:spacing w:line="420" w:lineRule="exact"/>
        <w:ind w:firstLine="488" w:firstLineChars="200"/>
        <w:jc w:val="left"/>
        <w:rPr>
          <w:rFonts w:hint="eastAsia" w:ascii="仿宋" w:hAnsi="仿宋" w:eastAsia="仿宋" w:cs="仿宋"/>
          <w:color w:val="auto"/>
          <w:spacing w:val="2"/>
          <w:sz w:val="24"/>
          <w:szCs w:val="24"/>
          <w:highlight w:val="none"/>
          <w:u w:val="none"/>
        </w:rPr>
      </w:pPr>
      <w:r>
        <w:rPr>
          <w:rFonts w:hint="eastAsia" w:ascii="仿宋" w:hAnsi="仿宋" w:eastAsia="仿宋" w:cs="仿宋"/>
          <w:color w:val="auto"/>
          <w:spacing w:val="2"/>
          <w:sz w:val="24"/>
          <w:szCs w:val="24"/>
          <w:highlight w:val="none"/>
          <w:u w:val="none"/>
        </w:rPr>
        <w:t>开户银行：</w:t>
      </w:r>
    </w:p>
    <w:p w14:paraId="37FFFDDA">
      <w:pPr>
        <w:spacing w:line="420" w:lineRule="exact"/>
        <w:ind w:firstLine="488" w:firstLineChars="200"/>
        <w:jc w:val="left"/>
        <w:rPr>
          <w:rFonts w:hint="eastAsia" w:ascii="仿宋" w:hAnsi="仿宋" w:eastAsia="仿宋" w:cs="仿宋"/>
          <w:color w:val="auto"/>
          <w:spacing w:val="2"/>
          <w:sz w:val="24"/>
          <w:szCs w:val="24"/>
          <w:highlight w:val="none"/>
          <w:u w:val="none"/>
        </w:rPr>
      </w:pPr>
      <w:r>
        <w:rPr>
          <w:rFonts w:hint="eastAsia" w:ascii="仿宋" w:hAnsi="仿宋" w:eastAsia="仿宋" w:cs="仿宋"/>
          <w:color w:val="auto"/>
          <w:spacing w:val="2"/>
          <w:sz w:val="24"/>
          <w:szCs w:val="24"/>
          <w:highlight w:val="none"/>
          <w:u w:val="none"/>
        </w:rPr>
        <w:t>账    号：</w:t>
      </w:r>
    </w:p>
    <w:p w14:paraId="043372E3">
      <w:pPr>
        <w:spacing w:line="420" w:lineRule="exact"/>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承包人在</w:t>
      </w:r>
      <w:r>
        <w:rPr>
          <w:rFonts w:hint="eastAsia" w:ascii="仿宋" w:hAnsi="仿宋" w:eastAsia="仿宋" w:cs="仿宋"/>
          <w:color w:val="auto"/>
          <w:sz w:val="24"/>
          <w:szCs w:val="24"/>
          <w:highlight w:val="none"/>
          <w:u w:val="none"/>
          <w:lang w:val="en-US" w:eastAsia="zh-CN"/>
        </w:rPr>
        <w:t>成交</w:t>
      </w:r>
      <w:r>
        <w:rPr>
          <w:rFonts w:hint="eastAsia" w:ascii="仿宋" w:hAnsi="仿宋" w:eastAsia="仿宋" w:cs="仿宋"/>
          <w:color w:val="auto"/>
          <w:sz w:val="24"/>
          <w:szCs w:val="24"/>
          <w:highlight w:val="none"/>
          <w:u w:val="none"/>
        </w:rPr>
        <w:t>后7个工作日内，按（各市住房城乡建设行政主管部门规定）规定将农民工工资保障金存入帐户。工程竣工验收结算经审定后，按照规定程序，将农民工工资保障金没有使用或剩余的金额退还给承包人。</w:t>
      </w:r>
    </w:p>
    <w:p w14:paraId="20F9F195">
      <w:pPr>
        <w:pStyle w:val="4"/>
        <w:spacing w:line="24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4.监理人</w:t>
      </w:r>
      <w:bookmarkEnd w:id="243"/>
    </w:p>
    <w:p w14:paraId="49C6FE58">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4.1监理人的一般规定</w:t>
      </w:r>
    </w:p>
    <w:p w14:paraId="4FF027B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关于监理人的监理内容：</w:t>
      </w:r>
      <w:r>
        <w:rPr>
          <w:rFonts w:hint="eastAsia" w:ascii="仿宋" w:hAnsi="仿宋" w:eastAsia="仿宋" w:cs="仿宋"/>
          <w:color w:val="000000" w:themeColor="text1"/>
          <w:sz w:val="24"/>
          <w:szCs w:val="24"/>
          <w:u w:val="single"/>
          <w14:textFill>
            <w14:solidFill>
              <w14:schemeClr w14:val="tx1"/>
            </w14:solidFill>
          </w14:textFill>
        </w:rPr>
        <w:t>质量、进度、投资控制；合同管理、信息管理、安全管理；项目有关单位的协调。具体以监理合同约定为准</w:t>
      </w:r>
      <w:r>
        <w:rPr>
          <w:rFonts w:hint="eastAsia" w:ascii="仿宋" w:hAnsi="仿宋" w:eastAsia="仿宋" w:cs="仿宋"/>
          <w:color w:val="000000" w:themeColor="text1"/>
          <w:sz w:val="24"/>
          <w:szCs w:val="24"/>
          <w14:textFill>
            <w14:solidFill>
              <w14:schemeClr w14:val="tx1"/>
            </w14:solidFill>
          </w14:textFill>
        </w:rPr>
        <w:t>。</w:t>
      </w:r>
    </w:p>
    <w:p w14:paraId="76B3F15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关于监理人的监理权限：</w:t>
      </w:r>
      <w:r>
        <w:rPr>
          <w:rFonts w:hint="eastAsia" w:ascii="仿宋" w:hAnsi="仿宋" w:eastAsia="仿宋" w:cs="仿宋"/>
          <w:color w:val="000000" w:themeColor="text1"/>
          <w:sz w:val="24"/>
          <w:szCs w:val="24"/>
          <w:u w:val="single"/>
          <w14:textFill>
            <w14:solidFill>
              <w14:schemeClr w14:val="tx1"/>
            </w14:solidFill>
          </w14:textFill>
        </w:rPr>
        <w:t>对施工中的质量、进度、安全、投资进行监督控制，收集整理与施工有关的信息，协助发包人处理与施工相关的问题；对于涉及设计、工期、造价等变更文件的确认，须由发包人盖章及项目现场代表、总监理工程师签字后方能生效</w:t>
      </w:r>
      <w:r>
        <w:rPr>
          <w:rFonts w:hint="eastAsia" w:ascii="仿宋" w:hAnsi="仿宋" w:eastAsia="仿宋" w:cs="仿宋"/>
          <w:color w:val="000000" w:themeColor="text1"/>
          <w:sz w:val="24"/>
          <w:szCs w:val="24"/>
          <w14:textFill>
            <w14:solidFill>
              <w14:schemeClr w14:val="tx1"/>
            </w14:solidFill>
          </w14:textFill>
        </w:rPr>
        <w:t>。</w:t>
      </w:r>
    </w:p>
    <w:p w14:paraId="150CA9D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关于监理人在施工现场的办公场所、生活场所的提供和费用承担的约定：</w:t>
      </w:r>
      <w:r>
        <w:rPr>
          <w:rFonts w:hint="eastAsia" w:ascii="仿宋" w:hAnsi="仿宋" w:eastAsia="仿宋" w:cs="仿宋"/>
          <w:color w:val="000000" w:themeColor="text1"/>
          <w:sz w:val="24"/>
          <w:szCs w:val="24"/>
          <w:u w:val="single"/>
          <w14:textFill>
            <w14:solidFill>
              <w14:schemeClr w14:val="tx1"/>
            </w14:solidFill>
          </w14:textFill>
        </w:rPr>
        <w:t>监理人进场前提供经过与发包人、承包人协商认可的施工现场办公、住宿场所的需用计划给承包人，承包人根据计划提供且承担所发生的费用</w:t>
      </w:r>
      <w:r>
        <w:rPr>
          <w:rFonts w:hint="eastAsia" w:ascii="仿宋" w:hAnsi="仿宋" w:eastAsia="仿宋" w:cs="仿宋"/>
          <w:color w:val="000000" w:themeColor="text1"/>
          <w:sz w:val="24"/>
          <w:szCs w:val="24"/>
          <w14:textFill>
            <w14:solidFill>
              <w14:schemeClr w14:val="tx1"/>
            </w14:solidFill>
          </w14:textFill>
        </w:rPr>
        <w:t>。</w:t>
      </w:r>
    </w:p>
    <w:p w14:paraId="156A86F0">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4.2监理人员</w:t>
      </w:r>
    </w:p>
    <w:p w14:paraId="45F4A4D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总监理工程师：</w:t>
      </w:r>
    </w:p>
    <w:p w14:paraId="0FCC4F2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姓名：______；</w:t>
      </w:r>
    </w:p>
    <w:p w14:paraId="63E024B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职务：______；</w:t>
      </w:r>
    </w:p>
    <w:p w14:paraId="4B6D763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监理工程师注册证书号：______；</w:t>
      </w:r>
    </w:p>
    <w:p w14:paraId="0A72406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联系电话：______；</w:t>
      </w:r>
    </w:p>
    <w:p w14:paraId="2317F08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电子信箱：______；</w:t>
      </w:r>
    </w:p>
    <w:p w14:paraId="2D9462F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通信地址：______；</w:t>
      </w:r>
    </w:p>
    <w:p w14:paraId="32FC74C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关于监理人的其他约定：______。</w:t>
      </w:r>
    </w:p>
    <w:p w14:paraId="207623C7">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4.4商定或确定</w:t>
      </w:r>
    </w:p>
    <w:p w14:paraId="4B55794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在发包人和承包人不能通过协商达成一致意见时，发包人授权监理人对以下事项进行确定：</w:t>
      </w:r>
      <w:r>
        <w:rPr>
          <w:rFonts w:hint="eastAsia" w:ascii="仿宋" w:hAnsi="仿宋" w:eastAsia="仿宋" w:cs="仿宋"/>
          <w:color w:val="000000" w:themeColor="text1"/>
          <w:sz w:val="24"/>
          <w:szCs w:val="24"/>
          <w:u w:val="single"/>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14:paraId="1BBA9A72">
      <w:pPr>
        <w:pStyle w:val="4"/>
        <w:spacing w:line="240" w:lineRule="auto"/>
        <w:rPr>
          <w:rFonts w:hint="eastAsia" w:ascii="仿宋" w:hAnsi="仿宋" w:eastAsia="仿宋" w:cs="仿宋"/>
          <w:color w:val="000000" w:themeColor="text1"/>
          <w14:textFill>
            <w14:solidFill>
              <w14:schemeClr w14:val="tx1"/>
            </w14:solidFill>
          </w14:textFill>
        </w:rPr>
      </w:pPr>
      <w:bookmarkStart w:id="244" w:name="_Toc193815650"/>
      <w:r>
        <w:rPr>
          <w:rFonts w:hint="eastAsia" w:ascii="仿宋" w:hAnsi="仿宋" w:eastAsia="仿宋" w:cs="仿宋"/>
          <w:color w:val="000000" w:themeColor="text1"/>
          <w14:textFill>
            <w14:solidFill>
              <w14:schemeClr w14:val="tx1"/>
            </w14:solidFill>
          </w14:textFill>
        </w:rPr>
        <w:t>5.工程质量</w:t>
      </w:r>
      <w:bookmarkEnd w:id="244"/>
    </w:p>
    <w:p w14:paraId="5613EF06">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5.1质量要求</w:t>
      </w:r>
    </w:p>
    <w:p w14:paraId="487AF36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5.1.1特殊质量标准和要求：</w:t>
      </w:r>
      <w:r>
        <w:rPr>
          <w:rFonts w:hint="eastAsia" w:ascii="仿宋" w:hAnsi="仿宋" w:eastAsia="仿宋" w:cs="仿宋"/>
          <w:color w:val="000000" w:themeColor="text1"/>
          <w:sz w:val="24"/>
          <w:szCs w:val="24"/>
          <w:u w:val="single"/>
          <w14:textFill>
            <w14:solidFill>
              <w14:schemeClr w14:val="tx1"/>
            </w14:solidFill>
          </w14:textFill>
        </w:rPr>
        <w:t>工程质量标准必须符合现行国家有关工程施工质量验收规范和标准的要求达到合格标准。严格执行广西壮族自治区住房和城乡建设厅《关于严格实行房屋建筑和市政基础设施工程质量终身责任承诺、永久性质量责任标牌、终身责任信息档案等制度的通知》（桂建管[2014]96号）要求，落实建设工程质量终身责任</w:t>
      </w:r>
      <w:r>
        <w:rPr>
          <w:rFonts w:hint="eastAsia" w:ascii="仿宋" w:hAnsi="仿宋" w:eastAsia="仿宋" w:cs="仿宋"/>
          <w:color w:val="000000" w:themeColor="text1"/>
          <w:sz w:val="24"/>
          <w:szCs w:val="24"/>
          <w14:textFill>
            <w14:solidFill>
              <w14:schemeClr w14:val="tx1"/>
            </w14:solidFill>
          </w14:textFill>
        </w:rPr>
        <w:t>。</w:t>
      </w:r>
    </w:p>
    <w:p w14:paraId="057CBCB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关于工程奖项的约定：</w:t>
      </w:r>
      <w:r>
        <w:rPr>
          <w:rFonts w:hint="eastAsia" w:ascii="仿宋" w:hAnsi="仿宋" w:eastAsia="仿宋" w:cs="仿宋"/>
          <w:color w:val="000000" w:themeColor="text1"/>
          <w:sz w:val="24"/>
          <w:szCs w:val="24"/>
          <w:u w:val="single"/>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14:paraId="3024E7CC">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5.3隐蔽工程检查</w:t>
      </w:r>
    </w:p>
    <w:p w14:paraId="0F6FDC7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定时限内修改后按上述循序重新验收。</w:t>
      </w:r>
    </w:p>
    <w:p w14:paraId="75E1F82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监理人不能按时进行检查时，应提前</w:t>
      </w:r>
      <w:r>
        <w:rPr>
          <w:rFonts w:hint="eastAsia" w:ascii="仿宋" w:hAnsi="仿宋" w:eastAsia="仿宋" w:cs="仿宋"/>
          <w:color w:val="000000" w:themeColor="text1"/>
          <w:sz w:val="24"/>
          <w:szCs w:val="24"/>
          <w:u w:val="single"/>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小时提交书面延期要求。</w:t>
      </w:r>
    </w:p>
    <w:p w14:paraId="7826525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关于延期最长不得超过：</w:t>
      </w:r>
      <w:r>
        <w:rPr>
          <w:rFonts w:hint="eastAsia" w:ascii="仿宋" w:hAnsi="仿宋" w:eastAsia="仿宋" w:cs="仿宋"/>
          <w:color w:val="000000" w:themeColor="text1"/>
          <w:sz w:val="24"/>
          <w:szCs w:val="24"/>
          <w:u w:val="single"/>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w:t>
      </w:r>
    </w:p>
    <w:p w14:paraId="78F97DC3">
      <w:pPr>
        <w:pStyle w:val="4"/>
        <w:spacing w:line="240" w:lineRule="auto"/>
        <w:rPr>
          <w:rFonts w:hint="eastAsia" w:ascii="仿宋" w:hAnsi="仿宋" w:eastAsia="仿宋" w:cs="仿宋"/>
          <w:color w:val="000000" w:themeColor="text1"/>
          <w14:textFill>
            <w14:solidFill>
              <w14:schemeClr w14:val="tx1"/>
            </w14:solidFill>
          </w14:textFill>
        </w:rPr>
      </w:pPr>
      <w:bookmarkStart w:id="245" w:name="_Toc193815651"/>
      <w:r>
        <w:rPr>
          <w:rFonts w:hint="eastAsia" w:ascii="仿宋" w:hAnsi="仿宋" w:eastAsia="仿宋" w:cs="仿宋"/>
          <w:color w:val="000000" w:themeColor="text1"/>
          <w14:textFill>
            <w14:solidFill>
              <w14:schemeClr w14:val="tx1"/>
            </w14:solidFill>
          </w14:textFill>
        </w:rPr>
        <w:t>6.安全文明施工与环境保护</w:t>
      </w:r>
      <w:bookmarkEnd w:id="245"/>
    </w:p>
    <w:p w14:paraId="43C9B1DF">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6.1安全文明施工</w:t>
      </w:r>
    </w:p>
    <w:p w14:paraId="38F5A04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6.1.1项目安全生产的达标目标及相应事项的约定：</w:t>
      </w:r>
      <w:r>
        <w:rPr>
          <w:rFonts w:hint="eastAsia" w:ascii="仿宋" w:hAnsi="仿宋" w:eastAsia="仿宋" w:cs="仿宋"/>
          <w:color w:val="000000" w:themeColor="text1"/>
          <w:sz w:val="24"/>
          <w:szCs w:val="24"/>
          <w:u w:val="single"/>
          <w14:textFill>
            <w14:solidFill>
              <w14:schemeClr w14:val="tx1"/>
            </w14:solidFill>
          </w14:textFill>
        </w:rPr>
        <w:t>承包人对项目的施工应达到《建筑施工安全检查标准》（JGJ59-2011）要求，同时承包人应严格遵守《建设工程安全生产管理条例》和建设部《建筑工程安全防护、文明施工措施费及使用管理规定》、《广西壮族自治区建筑工程安全防护、文明施工措施费及使用管理细则》的有关规定，严格组织实施，并随时接受行业安全检查人员依法实施的监督检查，采取必要的安全防护措施，消除事故隐患，确保无安全生产事故发生，承包人承担因承包人责任而引发的任何事故</w:t>
      </w:r>
      <w:r>
        <w:rPr>
          <w:rFonts w:hint="eastAsia" w:ascii="仿宋" w:hAnsi="仿宋" w:eastAsia="仿宋" w:cs="仿宋"/>
          <w:color w:val="000000" w:themeColor="text1"/>
          <w:sz w:val="24"/>
          <w:szCs w:val="24"/>
          <w14:textFill>
            <w14:solidFill>
              <w14:schemeClr w14:val="tx1"/>
            </w14:solidFill>
          </w14:textFill>
        </w:rPr>
        <w:t>。</w:t>
      </w:r>
    </w:p>
    <w:p w14:paraId="29D0240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关于安全文明施工奖项的约定：</w:t>
      </w:r>
      <w:r>
        <w:rPr>
          <w:rFonts w:hint="eastAsia" w:ascii="仿宋" w:hAnsi="仿宋" w:eastAsia="仿宋" w:cs="仿宋"/>
          <w:color w:val="000000" w:themeColor="text1"/>
          <w:sz w:val="24"/>
          <w:szCs w:val="24"/>
          <w:u w:val="single"/>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14:paraId="66F8AA9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6.1.4关于治安保卫的特别约定：</w:t>
      </w:r>
      <w:r>
        <w:rPr>
          <w:rFonts w:hint="eastAsia" w:ascii="仿宋" w:hAnsi="仿宋" w:eastAsia="仿宋" w:cs="仿宋"/>
          <w:color w:val="000000" w:themeColor="text1"/>
          <w:sz w:val="24"/>
          <w:szCs w:val="24"/>
          <w:u w:val="single"/>
          <w14:textFill>
            <w14:solidFill>
              <w14:schemeClr w14:val="tx1"/>
            </w14:solidFill>
          </w14:textFill>
        </w:rPr>
        <w:t>承包人应承担施工安全保卫工作及非夜间施工照明的责任，承包人应采取一切合理的预防措施，防止人员伤亡、财产损失事故，费用由承包人承担。承包人生活设施及施工场地应自费配备消防设备，防止火灾发生。同时承包人应按照发包人相关规定做好安全管理工作。承包人承担因承包人责任而引发的任何事故</w:t>
      </w:r>
      <w:r>
        <w:rPr>
          <w:rFonts w:hint="eastAsia" w:ascii="仿宋" w:hAnsi="仿宋" w:eastAsia="仿宋" w:cs="仿宋"/>
          <w:color w:val="000000" w:themeColor="text1"/>
          <w:sz w:val="24"/>
          <w:szCs w:val="24"/>
          <w14:textFill>
            <w14:solidFill>
              <w14:schemeClr w14:val="tx1"/>
            </w14:solidFill>
          </w14:textFill>
        </w:rPr>
        <w:t>。</w:t>
      </w:r>
    </w:p>
    <w:p w14:paraId="53F73EC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关于编制施工场地治安管理计划的约定：</w:t>
      </w:r>
      <w:r>
        <w:rPr>
          <w:rFonts w:hint="eastAsia" w:ascii="仿宋" w:hAnsi="仿宋" w:eastAsia="仿宋" w:cs="仿宋"/>
          <w:color w:val="000000" w:themeColor="text1"/>
          <w:sz w:val="24"/>
          <w:szCs w:val="24"/>
          <w:u w:val="single"/>
          <w14:textFill>
            <w14:solidFill>
              <w14:schemeClr w14:val="tx1"/>
            </w14:solidFill>
          </w14:textFill>
        </w:rPr>
        <w:t>必须严格按照《中华人民共和国治安管理法》及《广西壮族自治区社会治安综合治理条例》要求编制治安管理计划，开工前提供经发包人同意的施工场地治安管理计划</w:t>
      </w:r>
      <w:r>
        <w:rPr>
          <w:rFonts w:hint="eastAsia" w:ascii="仿宋" w:hAnsi="仿宋" w:eastAsia="仿宋" w:cs="仿宋"/>
          <w:color w:val="000000" w:themeColor="text1"/>
          <w:sz w:val="24"/>
          <w:szCs w:val="24"/>
          <w14:textFill>
            <w14:solidFill>
              <w14:schemeClr w14:val="tx1"/>
            </w14:solidFill>
          </w14:textFill>
        </w:rPr>
        <w:t>。</w:t>
      </w:r>
    </w:p>
    <w:p w14:paraId="058CA6F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6.1.5文明施工</w:t>
      </w:r>
    </w:p>
    <w:p w14:paraId="1036CB8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13CD9C8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r>
        <w:rPr>
          <w:rFonts w:hint="eastAsia" w:ascii="仿宋" w:hAnsi="仿宋" w:eastAsia="仿宋" w:cs="仿宋"/>
          <w:color w:val="000000" w:themeColor="text1"/>
          <w:sz w:val="24"/>
          <w:szCs w:val="24"/>
          <w:lang w:eastAsia="zh-CN"/>
          <w14:textFill>
            <w14:solidFill>
              <w14:schemeClr w14:val="tx1"/>
            </w14:solidFill>
          </w14:textFill>
        </w:rPr>
        <w:t>。</w:t>
      </w:r>
    </w:p>
    <w:p w14:paraId="3BF35C3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6.1.6关于安全生产费总额、支付比例、支付期限、转入和结余收回的约定：</w:t>
      </w:r>
    </w:p>
    <w:p w14:paraId="655033C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（1）本合同价款已包含安全文明施工费______元。</w:t>
      </w:r>
    </w:p>
    <w:p w14:paraId="34B106F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（2）使用要求：专款专用。具体按</w:t>
      </w:r>
      <w:r>
        <w:rPr>
          <w:rFonts w:hint="eastAsia" w:ascii="仿宋" w:hAnsi="仿宋" w:eastAsia="仿宋" w:cs="仿宋"/>
          <w:color w:val="000000" w:themeColor="text1"/>
          <w:sz w:val="24"/>
          <w:szCs w:val="24"/>
          <w:u w:val="single"/>
          <w14:textFill>
            <w14:solidFill>
              <w14:schemeClr w14:val="tx1"/>
            </w14:solidFill>
          </w14:textFill>
        </w:rPr>
        <w:t>《广西壮族自治区建设工程安全文明施工费使用管理细则》（桂建质〔2015〕16号）</w:t>
      </w:r>
      <w:r>
        <w:rPr>
          <w:rFonts w:hint="eastAsia" w:ascii="仿宋" w:hAnsi="仿宋" w:eastAsia="仿宋" w:cs="仿宋"/>
          <w:color w:val="000000" w:themeColor="text1"/>
          <w:sz w:val="24"/>
          <w:szCs w:val="24"/>
          <w14:textFill>
            <w14:solidFill>
              <w14:schemeClr w14:val="tx1"/>
            </w14:solidFill>
          </w14:textFill>
        </w:rPr>
        <w:t>和</w:t>
      </w:r>
      <w:r>
        <w:rPr>
          <w:rFonts w:hint="eastAsia" w:ascii="仿宋" w:hAnsi="仿宋" w:eastAsia="仿宋" w:cs="仿宋"/>
          <w:color w:val="000000" w:themeColor="text1"/>
          <w:sz w:val="24"/>
          <w:szCs w:val="24"/>
          <w:u w:val="single"/>
          <w14:textFill>
            <w14:solidFill>
              <w14:schemeClr w14:val="tx1"/>
            </w14:solidFill>
          </w14:textFill>
        </w:rPr>
        <w:t>《广西壮族自治区建筑工程安全生产管理办法》（广西壮族自治区人民政府令第124号）等</w:t>
      </w:r>
      <w:r>
        <w:rPr>
          <w:rFonts w:hint="eastAsia" w:ascii="仿宋" w:hAnsi="仿宋" w:eastAsia="仿宋" w:cs="仿宋"/>
          <w:color w:val="000000" w:themeColor="text1"/>
          <w:sz w:val="24"/>
          <w:szCs w:val="24"/>
          <w14:textFill>
            <w14:solidFill>
              <w14:schemeClr w14:val="tx1"/>
            </w14:solidFill>
          </w14:textFill>
        </w:rPr>
        <w:t>相关规定执行。</w:t>
      </w:r>
    </w:p>
    <w:p w14:paraId="4D33928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（3）支付约定：</w:t>
      </w:r>
      <w:r>
        <w:rPr>
          <w:rFonts w:hint="eastAsia" w:ascii="仿宋" w:hAnsi="仿宋" w:eastAsia="仿宋" w:cs="仿宋"/>
          <w:color w:val="000000" w:themeColor="text1"/>
          <w:sz w:val="24"/>
          <w:szCs w:val="24"/>
          <w:u w:val="single"/>
          <w14:textFill>
            <w14:solidFill>
              <w14:schemeClr w14:val="tx1"/>
            </w14:solidFill>
          </w14:textFill>
        </w:rPr>
        <w:t>安全文明施工费预付款包含在本项目预付款中，其余部分与进度款同期支付</w:t>
      </w:r>
      <w:r>
        <w:rPr>
          <w:rFonts w:hint="eastAsia" w:ascii="仿宋" w:hAnsi="仿宋" w:eastAsia="仿宋" w:cs="仿宋"/>
          <w:color w:val="000000" w:themeColor="text1"/>
          <w:sz w:val="24"/>
          <w:szCs w:val="24"/>
          <w14:textFill>
            <w14:solidFill>
              <w14:schemeClr w14:val="tx1"/>
            </w14:solidFill>
          </w14:textFill>
        </w:rPr>
        <w:t>。</w:t>
      </w:r>
    </w:p>
    <w:p w14:paraId="349F9E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（4）工程施工完成后安全生产费用尚有结余的，结余部分由建设单位收回。</w:t>
      </w:r>
    </w:p>
    <w:p w14:paraId="07255E2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（5）施工单位将安全生产费用使用情况定期报告建设单位和监理单位，并提供相应的材料接受建设行政主管部门对此事项监管。</w:t>
      </w:r>
    </w:p>
    <w:p w14:paraId="2F2AEAF1">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6.3环境保护</w:t>
      </w:r>
    </w:p>
    <w:p w14:paraId="64DBBAAD">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因施工需要，经发包人批准，由承包人办理有关施工场地交通、环卫和施工噪音管理等手续，费用由承包人负责。</w:t>
      </w:r>
    </w:p>
    <w:p w14:paraId="576AAFE4">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经过城市道路的施工车辆，必须按交警、城管、运输等部门相关规定执行。由于施工车辆造成的道路、环境等污染，其责任和费用均由承包人承担。</w:t>
      </w:r>
    </w:p>
    <w:p w14:paraId="647AB3B2">
      <w:pPr>
        <w:pStyle w:val="4"/>
        <w:spacing w:line="240" w:lineRule="auto"/>
        <w:rPr>
          <w:rFonts w:hint="eastAsia" w:ascii="仿宋" w:hAnsi="仿宋" w:eastAsia="仿宋" w:cs="仿宋"/>
          <w:color w:val="000000" w:themeColor="text1"/>
          <w14:textFill>
            <w14:solidFill>
              <w14:schemeClr w14:val="tx1"/>
            </w14:solidFill>
          </w14:textFill>
        </w:rPr>
      </w:pPr>
      <w:bookmarkStart w:id="246" w:name="_Toc193815652"/>
      <w:r>
        <w:rPr>
          <w:rFonts w:hint="eastAsia" w:ascii="仿宋" w:hAnsi="仿宋" w:eastAsia="仿宋" w:cs="仿宋"/>
          <w:color w:val="000000" w:themeColor="text1"/>
          <w14:textFill>
            <w14:solidFill>
              <w14:schemeClr w14:val="tx1"/>
            </w14:solidFill>
          </w14:textFill>
        </w:rPr>
        <w:t>7.工期和进度</w:t>
      </w:r>
      <w:bookmarkEnd w:id="246"/>
    </w:p>
    <w:p w14:paraId="0B893823">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7.1施工组织设计</w:t>
      </w:r>
    </w:p>
    <w:p w14:paraId="67EDCBC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7.1.1合同当事人约定的施工组织设计应包括的其他内容：</w:t>
      </w:r>
      <w:r>
        <w:rPr>
          <w:rFonts w:hint="eastAsia" w:ascii="仿宋" w:hAnsi="仿宋" w:eastAsia="仿宋" w:cs="仿宋"/>
          <w:color w:val="000000" w:themeColor="text1"/>
          <w:sz w:val="24"/>
          <w:szCs w:val="24"/>
          <w:u w:val="single"/>
          <w14:textFill>
            <w14:solidFill>
              <w14:schemeClr w14:val="tx1"/>
            </w14:solidFill>
          </w14:textFill>
        </w:rPr>
        <w:t>按通用条款执行，无其他内容要求</w:t>
      </w:r>
      <w:r>
        <w:rPr>
          <w:rFonts w:hint="eastAsia" w:ascii="仿宋" w:hAnsi="仿宋" w:eastAsia="仿宋" w:cs="仿宋"/>
          <w:color w:val="000000" w:themeColor="text1"/>
          <w:sz w:val="24"/>
          <w:szCs w:val="24"/>
          <w14:textFill>
            <w14:solidFill>
              <w14:schemeClr w14:val="tx1"/>
            </w14:solidFill>
          </w14:textFill>
        </w:rPr>
        <w:t>。</w:t>
      </w:r>
    </w:p>
    <w:p w14:paraId="0D3CF26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7.1.2施工组织设计的提交和修改</w:t>
      </w:r>
    </w:p>
    <w:p w14:paraId="4DACC79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承包人提交详细施工组织设计的期限的约定：</w:t>
      </w:r>
      <w:r>
        <w:rPr>
          <w:rFonts w:hint="eastAsia" w:ascii="仿宋" w:hAnsi="仿宋" w:eastAsia="仿宋" w:cs="仿宋"/>
          <w:color w:val="000000" w:themeColor="text1"/>
          <w:sz w:val="24"/>
          <w:szCs w:val="24"/>
          <w:u w:val="single"/>
          <w14:textFill>
            <w14:solidFill>
              <w14:schemeClr w14:val="tx1"/>
            </w14:solidFill>
          </w14:textFill>
        </w:rPr>
        <w:t>承包人应在合同签订后5天内，但最迟不得晚于第7.3.2项〔开工通知〕载明的开工日期前7天，向监理人提交详细的施工组织设计，并由监理人报送发包人</w:t>
      </w:r>
      <w:r>
        <w:rPr>
          <w:rFonts w:hint="eastAsia" w:ascii="仿宋" w:hAnsi="仿宋" w:eastAsia="仿宋" w:cs="仿宋"/>
          <w:color w:val="000000" w:themeColor="text1"/>
          <w:sz w:val="24"/>
          <w:szCs w:val="24"/>
          <w14:textFill>
            <w14:solidFill>
              <w14:schemeClr w14:val="tx1"/>
            </w14:solidFill>
          </w14:textFill>
        </w:rPr>
        <w:t>。</w:t>
      </w:r>
    </w:p>
    <w:p w14:paraId="6691308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发包人和监理人在收到详细的施工组织设计后确认或提出修改意见的期限：</w:t>
      </w:r>
      <w:r>
        <w:rPr>
          <w:rFonts w:hint="eastAsia" w:ascii="仿宋" w:hAnsi="仿宋" w:eastAsia="仿宋" w:cs="仿宋"/>
          <w:color w:val="000000" w:themeColor="text1"/>
          <w:sz w:val="24"/>
          <w:szCs w:val="24"/>
          <w:u w:val="single"/>
          <w14:textFill>
            <w14:solidFill>
              <w14:schemeClr w14:val="tx1"/>
            </w14:solidFill>
          </w14:textFill>
        </w:rPr>
        <w:t>7天</w:t>
      </w:r>
      <w:r>
        <w:rPr>
          <w:rFonts w:hint="eastAsia" w:ascii="仿宋" w:hAnsi="仿宋" w:eastAsia="仿宋" w:cs="仿宋"/>
          <w:color w:val="000000" w:themeColor="text1"/>
          <w:sz w:val="24"/>
          <w:szCs w:val="24"/>
          <w14:textFill>
            <w14:solidFill>
              <w14:schemeClr w14:val="tx1"/>
            </w14:solidFill>
          </w14:textFill>
        </w:rPr>
        <w:t>。</w:t>
      </w:r>
    </w:p>
    <w:p w14:paraId="6D3513E0">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7.2施工进度计划</w:t>
      </w:r>
    </w:p>
    <w:p w14:paraId="3DF0E30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7.2.2施工进度计划的修订</w:t>
      </w:r>
    </w:p>
    <w:p w14:paraId="26B7D27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发包人和监理人在收到修订的施工进度计划后确认或提出修改意见的期限：</w:t>
      </w:r>
      <w:r>
        <w:rPr>
          <w:rFonts w:hint="eastAsia" w:ascii="仿宋" w:hAnsi="仿宋" w:eastAsia="仿宋" w:cs="仿宋"/>
          <w:color w:val="000000" w:themeColor="text1"/>
          <w:sz w:val="24"/>
          <w:szCs w:val="24"/>
          <w:u w:val="single"/>
          <w14:textFill>
            <w14:solidFill>
              <w14:schemeClr w14:val="tx1"/>
            </w14:solidFill>
          </w14:textFill>
        </w:rPr>
        <w:t>7天</w:t>
      </w:r>
      <w:r>
        <w:rPr>
          <w:rFonts w:hint="eastAsia" w:ascii="仿宋" w:hAnsi="仿宋" w:eastAsia="仿宋" w:cs="仿宋"/>
          <w:color w:val="000000" w:themeColor="text1"/>
          <w:sz w:val="24"/>
          <w:szCs w:val="24"/>
          <w14:textFill>
            <w14:solidFill>
              <w14:schemeClr w14:val="tx1"/>
            </w14:solidFill>
          </w14:textFill>
        </w:rPr>
        <w:t>。</w:t>
      </w:r>
    </w:p>
    <w:p w14:paraId="2CE8A004">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7.3开工</w:t>
      </w:r>
    </w:p>
    <w:p w14:paraId="57B8EC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7.3.1开工准备</w:t>
      </w:r>
    </w:p>
    <w:p w14:paraId="1FB61D7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关于承包人提交工程开工报审表的期限：</w:t>
      </w:r>
      <w:r>
        <w:rPr>
          <w:rFonts w:hint="eastAsia" w:ascii="仿宋" w:hAnsi="仿宋" w:eastAsia="仿宋" w:cs="仿宋"/>
          <w:color w:val="000000" w:themeColor="text1"/>
          <w:sz w:val="24"/>
          <w:szCs w:val="24"/>
          <w:u w:val="single"/>
          <w14:textFill>
            <w14:solidFill>
              <w14:schemeClr w14:val="tx1"/>
            </w14:solidFill>
          </w14:textFill>
        </w:rPr>
        <w:t>发包人应按照法律规定获得工程施工所需的许可。经发包人同意后，监理人发出的开工通知应符合法律规定。监理人应在计划开工日期3天前向承包人发出开工通知，工期自开工通知中载明的开工日期起算</w:t>
      </w:r>
      <w:r>
        <w:rPr>
          <w:rFonts w:hint="eastAsia" w:ascii="仿宋" w:hAnsi="仿宋" w:eastAsia="仿宋" w:cs="仿宋"/>
          <w:color w:val="000000" w:themeColor="text1"/>
          <w:sz w:val="24"/>
          <w:szCs w:val="24"/>
          <w14:textFill>
            <w14:solidFill>
              <w14:schemeClr w14:val="tx1"/>
            </w14:solidFill>
          </w14:textFill>
        </w:rPr>
        <w:t>。</w:t>
      </w:r>
    </w:p>
    <w:p w14:paraId="4877816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关于发包人应完成的其他开工准备工作及期限：</w:t>
      </w:r>
      <w:r>
        <w:rPr>
          <w:rFonts w:hint="eastAsia" w:ascii="仿宋" w:hAnsi="仿宋" w:eastAsia="仿宋" w:cs="仿宋"/>
          <w:color w:val="000000" w:themeColor="text1"/>
          <w:sz w:val="24"/>
          <w:szCs w:val="24"/>
          <w:u w:val="single"/>
          <w14:textFill>
            <w14:solidFill>
              <w14:schemeClr w14:val="tx1"/>
            </w14:solidFill>
          </w14:textFill>
        </w:rPr>
        <w:t>开工通知发出前</w:t>
      </w:r>
      <w:r>
        <w:rPr>
          <w:rFonts w:hint="eastAsia" w:ascii="仿宋" w:hAnsi="仿宋" w:eastAsia="仿宋" w:cs="仿宋"/>
          <w:color w:val="000000" w:themeColor="text1"/>
          <w:sz w:val="24"/>
          <w:szCs w:val="24"/>
          <w14:textFill>
            <w14:solidFill>
              <w14:schemeClr w14:val="tx1"/>
            </w14:solidFill>
          </w14:textFill>
        </w:rPr>
        <w:t>。</w:t>
      </w:r>
    </w:p>
    <w:p w14:paraId="22983A8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关于承包人应完成的其他开工准备工作及期限：</w:t>
      </w:r>
      <w:r>
        <w:rPr>
          <w:rFonts w:hint="eastAsia" w:ascii="仿宋" w:hAnsi="仿宋" w:eastAsia="仿宋" w:cs="仿宋"/>
          <w:color w:val="000000" w:themeColor="text1"/>
          <w:sz w:val="24"/>
          <w:szCs w:val="24"/>
          <w:u w:val="single"/>
          <w14:textFill>
            <w14:solidFill>
              <w14:schemeClr w14:val="tx1"/>
            </w14:solidFill>
          </w14:textFill>
        </w:rPr>
        <w:t>开工通知发出前</w:t>
      </w:r>
      <w:r>
        <w:rPr>
          <w:rFonts w:hint="eastAsia" w:ascii="仿宋" w:hAnsi="仿宋" w:eastAsia="仿宋" w:cs="仿宋"/>
          <w:color w:val="000000" w:themeColor="text1"/>
          <w:sz w:val="24"/>
          <w:szCs w:val="24"/>
          <w14:textFill>
            <w14:solidFill>
              <w14:schemeClr w14:val="tx1"/>
            </w14:solidFill>
          </w14:textFill>
        </w:rPr>
        <w:t>。</w:t>
      </w:r>
    </w:p>
    <w:p w14:paraId="72A1484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7.3.2开工通知</w:t>
      </w:r>
    </w:p>
    <w:p w14:paraId="00D0C82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因发包人原因造成监理人未能在计划开工日期之日起</w:t>
      </w:r>
      <w:r>
        <w:rPr>
          <w:rFonts w:hint="eastAsia" w:ascii="仿宋" w:hAnsi="仿宋" w:eastAsia="仿宋" w:cs="仿宋"/>
          <w:color w:val="000000" w:themeColor="text1"/>
          <w:sz w:val="24"/>
          <w:szCs w:val="24"/>
          <w:u w:val="single"/>
          <w14:textFill>
            <w14:solidFill>
              <w14:schemeClr w14:val="tx1"/>
            </w14:solidFill>
          </w14:textFill>
        </w:rPr>
        <w:t>180</w:t>
      </w:r>
      <w:r>
        <w:rPr>
          <w:rFonts w:hint="eastAsia" w:ascii="仿宋" w:hAnsi="仿宋" w:eastAsia="仿宋" w:cs="仿宋"/>
          <w:color w:val="000000" w:themeColor="text1"/>
          <w:sz w:val="24"/>
          <w:szCs w:val="24"/>
          <w14:textFill>
            <w14:solidFill>
              <w14:schemeClr w14:val="tx1"/>
            </w14:solidFill>
          </w14:textFill>
        </w:rPr>
        <w:t>天内发出开工通知的，承包人有权提出价格调整要求，或者解除合同。</w:t>
      </w:r>
    </w:p>
    <w:p w14:paraId="738B25B7">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7.4测量放线</w:t>
      </w:r>
    </w:p>
    <w:p w14:paraId="1AFD1B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7.4.1发包人通过监理人向承包人提供测量基准点、基准线和水准点及其书面资料的期限：</w:t>
      </w:r>
      <w:r>
        <w:rPr>
          <w:rFonts w:hint="eastAsia" w:ascii="仿宋" w:hAnsi="仿宋" w:eastAsia="仿宋" w:cs="仿宋"/>
          <w:color w:val="000000" w:themeColor="text1"/>
          <w:sz w:val="24"/>
          <w:szCs w:val="24"/>
          <w:u w:val="single"/>
          <w14:textFill>
            <w14:solidFill>
              <w14:schemeClr w14:val="tx1"/>
            </w14:solidFill>
          </w14:textFill>
        </w:rPr>
        <w:t>发包人应不得晚于开工通知载明的开工日期前7天，以书面形式交给承包人，双方现场进行交验</w:t>
      </w:r>
      <w:r>
        <w:rPr>
          <w:rFonts w:hint="eastAsia" w:ascii="仿宋" w:hAnsi="仿宋" w:eastAsia="仿宋" w:cs="仿宋"/>
          <w:color w:val="000000" w:themeColor="text1"/>
          <w:sz w:val="24"/>
          <w:szCs w:val="24"/>
          <w14:textFill>
            <w14:solidFill>
              <w14:schemeClr w14:val="tx1"/>
            </w14:solidFill>
          </w14:textFill>
        </w:rPr>
        <w:t>。</w:t>
      </w:r>
    </w:p>
    <w:p w14:paraId="277154D4">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7.5工期延误</w:t>
      </w:r>
    </w:p>
    <w:p w14:paraId="47485B0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7.5.1因发包人原因导致工期延误</w:t>
      </w:r>
    </w:p>
    <w:p w14:paraId="0A175C3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（7）因发包人原因导致工期延误的其他情形：</w:t>
      </w:r>
      <w:r>
        <w:rPr>
          <w:rFonts w:hint="eastAsia" w:ascii="仿宋" w:hAnsi="仿宋" w:eastAsia="仿宋" w:cs="仿宋"/>
          <w:color w:val="000000" w:themeColor="text1"/>
          <w:sz w:val="24"/>
          <w:szCs w:val="24"/>
          <w:u w:val="single"/>
          <w14:textFill>
            <w14:solidFill>
              <w14:schemeClr w14:val="tx1"/>
            </w14:solidFill>
          </w14:textFill>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仿宋" w:hAnsi="仿宋" w:eastAsia="仿宋" w:cs="仿宋"/>
          <w:color w:val="000000" w:themeColor="text1"/>
          <w:sz w:val="24"/>
          <w:szCs w:val="24"/>
          <w14:textFill>
            <w14:solidFill>
              <w14:schemeClr w14:val="tx1"/>
            </w14:solidFill>
          </w14:textFill>
        </w:rPr>
        <w:t>。</w:t>
      </w:r>
    </w:p>
    <w:p w14:paraId="2E9610AE">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非承包人的责任影响关键线路工序施工，导致工期延误的，承包人每月底提交工期延误签证单，并附上相关证明材料，由发包人签证确认，作为工程结算的依据，逾期不再办理。</w:t>
      </w:r>
    </w:p>
    <w:p w14:paraId="03B64B8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7.5.2因承包人原因导致工期延误</w:t>
      </w:r>
    </w:p>
    <w:p w14:paraId="43F502D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双方约定经监理工程师确认，工期相应顺延的情况：</w:t>
      </w:r>
      <w:r>
        <w:rPr>
          <w:rFonts w:hint="eastAsia" w:ascii="仿宋" w:hAnsi="仿宋" w:eastAsia="仿宋" w:cs="仿宋"/>
          <w:color w:val="000000" w:themeColor="text1"/>
          <w:sz w:val="24"/>
          <w:szCs w:val="24"/>
          <w:u w:val="single"/>
          <w14:textFill>
            <w14:solidFill>
              <w14:schemeClr w14:val="tx1"/>
            </w14:solidFill>
          </w14:textFill>
        </w:rPr>
        <w:t>拆迁延期、设计变更、工程量增加、基础地质情况和勘察报告不符、甲供设备延期、工程款支付不及时、天气变化（7.7款约定的异常恶劣的气候条件）等不可抗力因素、社会环境因素或承包人有证据证明的可顺延工期的其他情况</w:t>
      </w:r>
      <w:r>
        <w:rPr>
          <w:rFonts w:hint="eastAsia" w:ascii="仿宋" w:hAnsi="仿宋" w:eastAsia="仿宋" w:cs="仿宋"/>
          <w:color w:val="000000" w:themeColor="text1"/>
          <w:sz w:val="24"/>
          <w:szCs w:val="24"/>
          <w14:textFill>
            <w14:solidFill>
              <w14:schemeClr w14:val="tx1"/>
            </w14:solidFill>
          </w14:textFill>
        </w:rPr>
        <w:t>。</w:t>
      </w:r>
    </w:p>
    <w:p w14:paraId="01A6270E">
      <w:pPr>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因承包人原因造成工期延误，逾期竣工违约金的计算方法为：</w:t>
      </w:r>
      <w:r>
        <w:rPr>
          <w:rFonts w:hint="eastAsia" w:ascii="仿宋" w:hAnsi="仿宋" w:eastAsia="仿宋" w:cs="仿宋"/>
          <w:color w:val="000000" w:themeColor="text1"/>
          <w:sz w:val="24"/>
          <w:szCs w:val="24"/>
          <w:u w:val="single"/>
          <w14:textFill>
            <w14:solidFill>
              <w14:schemeClr w14:val="tx1"/>
            </w14:solidFill>
          </w14:textFill>
        </w:rPr>
        <w:t>每延误1日，承包人按合同总价的1‰/日向发包人支付违约金，并赔偿发包人因此而遭受的其它损失（包括但不限于因此造成发包人对第三方的违约而应支付的赔偿款、补偿款、违约金及诉讼或仲裁中产生的诉讼仲裁费、评估费、鉴定费、律师费等，下同），对于该违约金，发包人可从应向承包人支付的任何金额中扣除，此赔偿款的支付并不能解除承包人应完成工程的责任或合同规定的其他责任。逾期时间从规定竣工日期起直到实际竣工日期的天数（扣除发包人批准顺延的工期）。</w:t>
      </w:r>
    </w:p>
    <w:p w14:paraId="7DAD331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因承包人原因造成工期延误，逾期竣工违约金的上限：</w:t>
      </w:r>
      <w:r>
        <w:rPr>
          <w:rFonts w:hint="eastAsia" w:ascii="仿宋" w:hAnsi="仿宋" w:eastAsia="仿宋" w:cs="仿宋"/>
          <w:color w:val="000000" w:themeColor="text1"/>
          <w:sz w:val="24"/>
          <w:szCs w:val="24"/>
          <w:u w:val="single"/>
          <w14:textFill>
            <w14:solidFill>
              <w14:schemeClr w14:val="tx1"/>
            </w14:solidFill>
          </w14:textFill>
        </w:rPr>
        <w:t>合同总价款的10%</w:t>
      </w:r>
      <w:r>
        <w:rPr>
          <w:rFonts w:hint="eastAsia" w:ascii="仿宋" w:hAnsi="仿宋" w:eastAsia="仿宋" w:cs="仿宋"/>
          <w:color w:val="000000" w:themeColor="text1"/>
          <w:sz w:val="24"/>
          <w:szCs w:val="24"/>
          <w14:textFill>
            <w14:solidFill>
              <w14:schemeClr w14:val="tx1"/>
            </w14:solidFill>
          </w14:textFill>
        </w:rPr>
        <w:t>。</w:t>
      </w:r>
    </w:p>
    <w:p w14:paraId="004F8EDE">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7.6不利物质条件</w:t>
      </w:r>
    </w:p>
    <w:p w14:paraId="0B13EFB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不利物质条件的其他情形和有关约定：</w:t>
      </w:r>
      <w:r>
        <w:rPr>
          <w:rFonts w:hint="eastAsia" w:ascii="仿宋" w:hAnsi="仿宋" w:eastAsia="仿宋" w:cs="仿宋"/>
          <w:color w:val="000000" w:themeColor="text1"/>
          <w:sz w:val="24"/>
          <w:szCs w:val="24"/>
          <w:u w:val="single"/>
          <w14:textFill>
            <w14:solidFill>
              <w14:schemeClr w14:val="tx1"/>
            </w14:solidFill>
          </w14:textFill>
        </w:rPr>
        <w:t>执行通用条款</w:t>
      </w:r>
      <w:r>
        <w:rPr>
          <w:rFonts w:hint="eastAsia" w:ascii="仿宋" w:hAnsi="仿宋" w:eastAsia="仿宋" w:cs="仿宋"/>
          <w:color w:val="000000" w:themeColor="text1"/>
          <w:sz w:val="24"/>
          <w:szCs w:val="24"/>
          <w14:textFill>
            <w14:solidFill>
              <w14:schemeClr w14:val="tx1"/>
            </w14:solidFill>
          </w14:textFill>
        </w:rPr>
        <w:t>。</w:t>
      </w:r>
    </w:p>
    <w:p w14:paraId="12A17F1C">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7.7异常恶劣的气候条件</w:t>
      </w:r>
    </w:p>
    <w:p w14:paraId="1E2F761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发包人和承包人同意以下情形视为异常恶劣的气候条件：</w:t>
      </w:r>
    </w:p>
    <w:p w14:paraId="0A15BD7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u w:val="single"/>
          <w14:textFill>
            <w14:solidFill>
              <w14:schemeClr w14:val="tx1"/>
            </w14:solidFill>
          </w14:textFill>
        </w:rPr>
        <w:t>4级及以上的地震</w:t>
      </w:r>
      <w:r>
        <w:rPr>
          <w:rFonts w:hint="eastAsia" w:ascii="仿宋" w:hAnsi="仿宋" w:eastAsia="仿宋" w:cs="仿宋"/>
          <w:color w:val="000000" w:themeColor="text1"/>
          <w:sz w:val="24"/>
          <w:szCs w:val="24"/>
          <w14:textFill>
            <w14:solidFill>
              <w14:schemeClr w14:val="tx1"/>
            </w14:solidFill>
          </w14:textFill>
        </w:rPr>
        <w:t>；</w:t>
      </w:r>
    </w:p>
    <w:p w14:paraId="6B838DA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u w:val="single"/>
          <w14:textFill>
            <w14:solidFill>
              <w14:schemeClr w14:val="tx1"/>
            </w14:solidFill>
          </w14:textFill>
        </w:rPr>
        <w:t>日降雨量大于50mm的雨日</w:t>
      </w:r>
      <w:r>
        <w:rPr>
          <w:rFonts w:hint="eastAsia" w:ascii="仿宋" w:hAnsi="仿宋" w:eastAsia="仿宋" w:cs="仿宋"/>
          <w:color w:val="000000" w:themeColor="text1"/>
          <w:sz w:val="24"/>
          <w:szCs w:val="24"/>
          <w14:textFill>
            <w14:solidFill>
              <w14:schemeClr w14:val="tx1"/>
            </w14:solidFill>
          </w14:textFill>
        </w:rPr>
        <w:t>；</w:t>
      </w:r>
    </w:p>
    <w:p w14:paraId="56A0F49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u w:val="single"/>
          <w14:textFill>
            <w14:solidFill>
              <w14:schemeClr w14:val="tx1"/>
            </w14:solidFill>
          </w14:textFill>
        </w:rPr>
        <w:t>6级及以上的大风</w:t>
      </w:r>
      <w:r>
        <w:rPr>
          <w:rFonts w:hint="eastAsia" w:ascii="仿宋" w:hAnsi="仿宋" w:eastAsia="仿宋" w:cs="仿宋"/>
          <w:color w:val="000000" w:themeColor="text1"/>
          <w:sz w:val="24"/>
          <w:szCs w:val="24"/>
          <w14:textFill>
            <w14:solidFill>
              <w14:schemeClr w14:val="tx1"/>
            </w14:solidFill>
          </w14:textFill>
        </w:rPr>
        <w:t>；</w:t>
      </w:r>
    </w:p>
    <w:p w14:paraId="2747006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u w:val="single"/>
          <w14:textFill>
            <w14:solidFill>
              <w14:schemeClr w14:val="tx1"/>
            </w14:solidFill>
          </w14:textFill>
        </w:rPr>
        <w:t>20年一遇及以上的洪水</w:t>
      </w:r>
      <w:r>
        <w:rPr>
          <w:rFonts w:hint="eastAsia" w:ascii="仿宋" w:hAnsi="仿宋" w:eastAsia="仿宋" w:cs="仿宋"/>
          <w:color w:val="000000" w:themeColor="text1"/>
          <w:sz w:val="24"/>
          <w:szCs w:val="24"/>
          <w14:textFill>
            <w14:solidFill>
              <w14:schemeClr w14:val="tx1"/>
            </w14:solidFill>
          </w14:textFill>
        </w:rPr>
        <w:t>；</w:t>
      </w:r>
    </w:p>
    <w:p w14:paraId="24D141E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u w:val="single"/>
          <w14:textFill>
            <w14:solidFill>
              <w14:schemeClr w14:val="tx1"/>
            </w14:solidFill>
          </w14:textFill>
        </w:rPr>
        <w:t>日气温超过40度高温或低于0度的严寒天气持续5天</w:t>
      </w:r>
      <w:r>
        <w:rPr>
          <w:rFonts w:hint="eastAsia" w:ascii="仿宋" w:hAnsi="仿宋" w:eastAsia="仿宋" w:cs="仿宋"/>
          <w:color w:val="000000" w:themeColor="text1"/>
          <w:sz w:val="24"/>
          <w:szCs w:val="24"/>
          <w14:textFill>
            <w14:solidFill>
              <w14:schemeClr w14:val="tx1"/>
            </w14:solidFill>
          </w14:textFill>
        </w:rPr>
        <w:t>；</w:t>
      </w:r>
    </w:p>
    <w:p w14:paraId="7EBE333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u w:val="single"/>
          <w14:textFill>
            <w14:solidFill>
              <w14:schemeClr w14:val="tx1"/>
            </w14:solidFill>
          </w14:textFill>
        </w:rPr>
        <w:t>持续30天高温天气</w:t>
      </w:r>
      <w:r>
        <w:rPr>
          <w:rFonts w:hint="eastAsia" w:ascii="仿宋" w:hAnsi="仿宋" w:eastAsia="仿宋" w:cs="仿宋"/>
          <w:color w:val="000000" w:themeColor="text1"/>
          <w:sz w:val="24"/>
          <w:szCs w:val="24"/>
          <w14:textFill>
            <w14:solidFill>
              <w14:schemeClr w14:val="tx1"/>
            </w14:solidFill>
          </w14:textFill>
        </w:rPr>
        <w:t>；</w:t>
      </w:r>
    </w:p>
    <w:p w14:paraId="17EE09E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u w:val="single"/>
          <w14:textFill>
            <w14:solidFill>
              <w14:schemeClr w14:val="tx1"/>
            </w14:solidFill>
          </w14:textFill>
        </w:rPr>
        <w:t>造成工程损坏的冰雹和大雪灾害</w:t>
      </w:r>
      <w:r>
        <w:rPr>
          <w:rFonts w:hint="eastAsia" w:ascii="仿宋" w:hAnsi="仿宋" w:eastAsia="仿宋" w:cs="仿宋"/>
          <w:color w:val="000000" w:themeColor="text1"/>
          <w:sz w:val="24"/>
          <w:szCs w:val="24"/>
          <w14:textFill>
            <w14:solidFill>
              <w14:schemeClr w14:val="tx1"/>
            </w14:solidFill>
          </w14:textFill>
        </w:rPr>
        <w:t>；</w:t>
      </w:r>
    </w:p>
    <w:p w14:paraId="64FDF9A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u w:val="single"/>
          <w14:textFill>
            <w14:solidFill>
              <w14:schemeClr w14:val="tx1"/>
            </w14:solidFill>
          </w14:textFill>
        </w:rPr>
        <w:t>自然原因发生的火灾</w:t>
      </w:r>
      <w:r>
        <w:rPr>
          <w:rFonts w:hint="eastAsia" w:ascii="仿宋" w:hAnsi="仿宋" w:eastAsia="仿宋" w:cs="仿宋"/>
          <w:color w:val="000000" w:themeColor="text1"/>
          <w:sz w:val="24"/>
          <w:szCs w:val="24"/>
          <w14:textFill>
            <w14:solidFill>
              <w14:schemeClr w14:val="tx1"/>
            </w14:solidFill>
          </w14:textFill>
        </w:rPr>
        <w:t>；</w:t>
      </w:r>
    </w:p>
    <w:p w14:paraId="64D4E69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u w:val="single"/>
          <w14:textFill>
            <w14:solidFill>
              <w14:schemeClr w14:val="tx1"/>
            </w14:solidFill>
          </w14:textFill>
        </w:rPr>
        <w:t>其它不可抗力原因</w:t>
      </w:r>
      <w:r>
        <w:rPr>
          <w:rFonts w:hint="eastAsia" w:ascii="仿宋" w:hAnsi="仿宋" w:eastAsia="仿宋" w:cs="仿宋"/>
          <w:color w:val="000000" w:themeColor="text1"/>
          <w:sz w:val="24"/>
          <w:szCs w:val="24"/>
          <w14:textFill>
            <w14:solidFill>
              <w14:schemeClr w14:val="tx1"/>
            </w14:solidFill>
          </w14:textFill>
        </w:rPr>
        <w:t>。</w:t>
      </w:r>
    </w:p>
    <w:p w14:paraId="45BB3455">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7.9提前竣工</w:t>
      </w:r>
    </w:p>
    <w:p w14:paraId="6C7FE6E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7.9.2提前竣工（赶工）增加费的计算方法：</w:t>
      </w:r>
      <w:r>
        <w:rPr>
          <w:rFonts w:hint="eastAsia" w:ascii="仿宋" w:hAnsi="仿宋" w:eastAsia="仿宋" w:cs="仿宋"/>
          <w:color w:val="000000" w:themeColor="text1"/>
          <w:sz w:val="24"/>
          <w:szCs w:val="24"/>
          <w:u w:val="single"/>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14:paraId="4B7F566F">
      <w:pPr>
        <w:pStyle w:val="4"/>
        <w:spacing w:line="240" w:lineRule="auto"/>
        <w:rPr>
          <w:rFonts w:hint="eastAsia" w:ascii="仿宋" w:hAnsi="仿宋" w:eastAsia="仿宋" w:cs="仿宋"/>
          <w:color w:val="000000" w:themeColor="text1"/>
          <w14:textFill>
            <w14:solidFill>
              <w14:schemeClr w14:val="tx1"/>
            </w14:solidFill>
          </w14:textFill>
        </w:rPr>
      </w:pPr>
      <w:bookmarkStart w:id="247" w:name="_Toc193815653"/>
      <w:r>
        <w:rPr>
          <w:rFonts w:hint="eastAsia" w:ascii="仿宋" w:hAnsi="仿宋" w:eastAsia="仿宋" w:cs="仿宋"/>
          <w:color w:val="000000" w:themeColor="text1"/>
          <w14:textFill>
            <w14:solidFill>
              <w14:schemeClr w14:val="tx1"/>
            </w14:solidFill>
          </w14:textFill>
        </w:rPr>
        <w:t>8.材料与设备</w:t>
      </w:r>
      <w:bookmarkEnd w:id="247"/>
    </w:p>
    <w:p w14:paraId="065340E2">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8.2承包人采购材料与工程设备</w:t>
      </w:r>
    </w:p>
    <w:p w14:paraId="668DB3B2">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除专用合同条款的附件《发包人供应材料设备一览表》中明确的材料、工程设备外，由承包人负责材料和工程设备的采购、运输和保管。</w:t>
      </w:r>
    </w:p>
    <w:p w14:paraId="78A4B645">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发包人在招标时有“参照或相当于”约定的材料，承包人在施工过程中必须按类似于或优于所约定品牌、厂家和等级进行采购，并经发包人认可。当发包人与承包人对招标文件所约定的材料有争议时，发包人有权要求承包人按招标文件有“参照或相当于”标明材料品牌的材料进行采购，并在结算时按投标单价支付。</w:t>
      </w:r>
    </w:p>
    <w:p w14:paraId="6FC7CF5B">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8.4材料与工程设备的保管与使用</w:t>
      </w:r>
    </w:p>
    <w:p w14:paraId="5408530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8.4.1发包人供应的材料设备的保管费用的承担：</w:t>
      </w:r>
      <w:r>
        <w:rPr>
          <w:rFonts w:hint="eastAsia" w:ascii="仿宋" w:hAnsi="仿宋" w:eastAsia="仿宋" w:cs="仿宋"/>
          <w:color w:val="000000" w:themeColor="text1"/>
          <w:sz w:val="24"/>
          <w:szCs w:val="24"/>
          <w:u w:val="single"/>
          <w14:textFill>
            <w14:solidFill>
              <w14:schemeClr w14:val="tx1"/>
            </w14:solidFill>
          </w14:textFill>
        </w:rPr>
        <w:t>由承包人免费承担保管、运输、接收检验，不得以任何理由拒绝</w:t>
      </w:r>
      <w:r>
        <w:rPr>
          <w:rFonts w:hint="eastAsia" w:ascii="仿宋" w:hAnsi="仿宋" w:eastAsia="仿宋" w:cs="仿宋"/>
          <w:color w:val="000000" w:themeColor="text1"/>
          <w:sz w:val="24"/>
          <w:szCs w:val="24"/>
          <w14:textFill>
            <w14:solidFill>
              <w14:schemeClr w14:val="tx1"/>
            </w14:solidFill>
          </w14:textFill>
        </w:rPr>
        <w:t>。</w:t>
      </w:r>
    </w:p>
    <w:p w14:paraId="58AC51C1">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8.6样品</w:t>
      </w:r>
    </w:p>
    <w:p w14:paraId="0419BBD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8.6.1样品的报送与封存</w:t>
      </w:r>
    </w:p>
    <w:p w14:paraId="3789E51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需要承包人报送样品的材料或工程设备，样品的种类、名称、规格、数量要求：</w:t>
      </w:r>
      <w:r>
        <w:rPr>
          <w:rFonts w:hint="eastAsia" w:ascii="仿宋" w:hAnsi="仿宋" w:eastAsia="仿宋" w:cs="仿宋"/>
          <w:color w:val="000000" w:themeColor="text1"/>
          <w:sz w:val="24"/>
          <w:szCs w:val="24"/>
          <w:u w:val="single"/>
          <w14:textFill>
            <w14:solidFill>
              <w14:schemeClr w14:val="tx1"/>
            </w14:solidFill>
          </w14:textFill>
        </w:rPr>
        <w:t>主要材料涉及品种、款式、颜色等方面内容的，承包人应提交准备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r>
        <w:rPr>
          <w:rFonts w:hint="eastAsia" w:ascii="仿宋" w:hAnsi="仿宋" w:eastAsia="仿宋" w:cs="仿宋"/>
          <w:color w:val="000000" w:themeColor="text1"/>
          <w:sz w:val="24"/>
          <w:szCs w:val="24"/>
          <w14:textFill>
            <w14:solidFill>
              <w14:schemeClr w14:val="tx1"/>
            </w14:solidFill>
          </w14:textFill>
        </w:rPr>
        <w:t>。</w:t>
      </w:r>
    </w:p>
    <w:p w14:paraId="08B04B01">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8.8施工设备和临时设施</w:t>
      </w:r>
    </w:p>
    <w:p w14:paraId="2830D18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8.8.1承包人提供的施工设备和临时设施</w:t>
      </w:r>
    </w:p>
    <w:p w14:paraId="10C6DFD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4B6FE9D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关于修建临时设施费用承担的约定：</w:t>
      </w:r>
    </w:p>
    <w:p w14:paraId="7E38A31A">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①承担修建承包人临时设施的费用的范围：建筑物沿边向外500米以内道路、1000米以内的水、电、管线等临时设施费用（已包含在承包人投标报价中）。</w:t>
      </w:r>
    </w:p>
    <w:p w14:paraId="0B42D1BF">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②承包人的临时用地（含项目部驻地等）租用费（含拆迁补偿）、临时用地的环保、恢复、临时用地的青苗补偿及地面附着物拆除等费用均由承包人承担。</w:t>
      </w:r>
    </w:p>
    <w:p w14:paraId="4C3DF23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③承包人负责合同实施期间其施工场地内临时交通道路（含场内外连接公共交通道路）和交通设施的修建、维修、养护和交通管理工作，并承担一切费用。</w:t>
      </w:r>
    </w:p>
    <w:p w14:paraId="39887A8C">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④承包人修建的临时道路和交通设施，应免费提供给发包人、监理工程师和其他施工人使用，如共同使用的路基损坏严重，发包人或监理工程师将负责通知承包人修复，费用由承包人承担。</w:t>
      </w:r>
    </w:p>
    <w:p w14:paraId="53EC6DD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8.8.2发包人提供的施工设备和临时设施</w:t>
      </w:r>
    </w:p>
    <w:p w14:paraId="770B5A2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发包人提供的施工设备和临时设施：</w:t>
      </w:r>
      <w:r>
        <w:rPr>
          <w:rFonts w:hint="eastAsia" w:ascii="仿宋" w:hAnsi="仿宋" w:eastAsia="仿宋" w:cs="仿宋"/>
          <w:color w:val="000000" w:themeColor="text1"/>
          <w:sz w:val="24"/>
          <w:szCs w:val="24"/>
          <w:u w:val="single"/>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14:paraId="34FBD74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发包人提供的施工设备和临时设施的运行、维护、拆除、清运费用的承担人：</w:t>
      </w:r>
      <w:r>
        <w:rPr>
          <w:rFonts w:hint="eastAsia" w:ascii="仿宋" w:hAnsi="仿宋" w:eastAsia="仿宋" w:cs="仿宋"/>
          <w:color w:val="000000" w:themeColor="text1"/>
          <w:sz w:val="24"/>
          <w:szCs w:val="24"/>
          <w:u w:val="single"/>
          <w14:textFill>
            <w14:solidFill>
              <w14:schemeClr w14:val="tx1"/>
            </w14:solidFill>
          </w14:textFill>
        </w:rPr>
        <w:t>承包人</w:t>
      </w:r>
      <w:r>
        <w:rPr>
          <w:rFonts w:hint="eastAsia" w:ascii="仿宋" w:hAnsi="仿宋" w:eastAsia="仿宋" w:cs="仿宋"/>
          <w:color w:val="000000" w:themeColor="text1"/>
          <w:sz w:val="24"/>
          <w:szCs w:val="24"/>
          <w14:textFill>
            <w14:solidFill>
              <w14:schemeClr w14:val="tx1"/>
            </w14:solidFill>
          </w14:textFill>
        </w:rPr>
        <w:t>。</w:t>
      </w:r>
    </w:p>
    <w:p w14:paraId="32C81E37">
      <w:pPr>
        <w:pStyle w:val="4"/>
        <w:spacing w:line="240" w:lineRule="auto"/>
        <w:rPr>
          <w:rFonts w:hint="eastAsia" w:ascii="仿宋" w:hAnsi="仿宋" w:eastAsia="仿宋" w:cs="仿宋"/>
          <w:color w:val="000000" w:themeColor="text1"/>
          <w14:textFill>
            <w14:solidFill>
              <w14:schemeClr w14:val="tx1"/>
            </w14:solidFill>
          </w14:textFill>
        </w:rPr>
      </w:pPr>
      <w:bookmarkStart w:id="248" w:name="_Toc193815654"/>
      <w:r>
        <w:rPr>
          <w:rFonts w:hint="eastAsia" w:ascii="仿宋" w:hAnsi="仿宋" w:eastAsia="仿宋" w:cs="仿宋"/>
          <w:color w:val="000000" w:themeColor="text1"/>
          <w14:textFill>
            <w14:solidFill>
              <w14:schemeClr w14:val="tx1"/>
            </w14:solidFill>
          </w14:textFill>
        </w:rPr>
        <w:t>9.试验与检验</w:t>
      </w:r>
      <w:bookmarkEnd w:id="248"/>
    </w:p>
    <w:p w14:paraId="07E33910">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9.1试验设备与试验人员</w:t>
      </w:r>
    </w:p>
    <w:p w14:paraId="1EB1817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9.1.2试验设备</w:t>
      </w:r>
    </w:p>
    <w:p w14:paraId="0C1BAE3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施工现场需要配置的试验场所：</w:t>
      </w:r>
      <w:r>
        <w:rPr>
          <w:rFonts w:hint="eastAsia" w:ascii="仿宋" w:hAnsi="仿宋" w:eastAsia="仿宋" w:cs="仿宋"/>
          <w:color w:val="000000" w:themeColor="text1"/>
          <w:sz w:val="24"/>
          <w:szCs w:val="24"/>
          <w:u w:val="single"/>
          <w14:textFill>
            <w14:solidFill>
              <w14:schemeClr w14:val="tx1"/>
            </w14:solidFill>
          </w14:textFill>
        </w:rPr>
        <w:t>执行通用条款9.1条</w:t>
      </w:r>
      <w:r>
        <w:rPr>
          <w:rFonts w:hint="eastAsia" w:ascii="仿宋" w:hAnsi="仿宋" w:eastAsia="仿宋" w:cs="仿宋"/>
          <w:color w:val="000000" w:themeColor="text1"/>
          <w:sz w:val="24"/>
          <w:szCs w:val="24"/>
          <w14:textFill>
            <w14:solidFill>
              <w14:schemeClr w14:val="tx1"/>
            </w14:solidFill>
          </w14:textFill>
        </w:rPr>
        <w:t>。</w:t>
      </w:r>
    </w:p>
    <w:p w14:paraId="678FDCB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施工现场需要配备的试验设备：</w:t>
      </w:r>
      <w:r>
        <w:rPr>
          <w:rFonts w:hint="eastAsia" w:ascii="仿宋" w:hAnsi="仿宋" w:eastAsia="仿宋" w:cs="仿宋"/>
          <w:color w:val="000000" w:themeColor="text1"/>
          <w:sz w:val="24"/>
          <w:szCs w:val="24"/>
          <w:u w:val="single"/>
          <w14:textFill>
            <w14:solidFill>
              <w14:schemeClr w14:val="tx1"/>
            </w14:solidFill>
          </w14:textFill>
        </w:rPr>
        <w:t>执行通用条款9.1条</w:t>
      </w:r>
      <w:r>
        <w:rPr>
          <w:rFonts w:hint="eastAsia" w:ascii="仿宋" w:hAnsi="仿宋" w:eastAsia="仿宋" w:cs="仿宋"/>
          <w:color w:val="000000" w:themeColor="text1"/>
          <w:sz w:val="24"/>
          <w:szCs w:val="24"/>
          <w14:textFill>
            <w14:solidFill>
              <w14:schemeClr w14:val="tx1"/>
            </w14:solidFill>
          </w14:textFill>
        </w:rPr>
        <w:t>。</w:t>
      </w:r>
    </w:p>
    <w:p w14:paraId="0BF1C2F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施工现场需要具备的其他试验条件：</w:t>
      </w:r>
      <w:r>
        <w:rPr>
          <w:rFonts w:hint="eastAsia" w:ascii="仿宋" w:hAnsi="仿宋" w:eastAsia="仿宋" w:cs="仿宋"/>
          <w:color w:val="000000" w:themeColor="text1"/>
          <w:sz w:val="24"/>
          <w:szCs w:val="24"/>
          <w:u w:val="single"/>
          <w14:textFill>
            <w14:solidFill>
              <w14:schemeClr w14:val="tx1"/>
            </w14:solidFill>
          </w14:textFill>
        </w:rPr>
        <w:t>无约定</w:t>
      </w:r>
      <w:r>
        <w:rPr>
          <w:rFonts w:hint="eastAsia" w:ascii="仿宋" w:hAnsi="仿宋" w:eastAsia="仿宋" w:cs="仿宋"/>
          <w:color w:val="000000" w:themeColor="text1"/>
          <w:sz w:val="24"/>
          <w:szCs w:val="24"/>
          <w14:textFill>
            <w14:solidFill>
              <w14:schemeClr w14:val="tx1"/>
            </w14:solidFill>
          </w14:textFill>
        </w:rPr>
        <w:t>。</w:t>
      </w:r>
    </w:p>
    <w:p w14:paraId="46AC8479">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9.4现场工艺试验</w:t>
      </w:r>
    </w:p>
    <w:p w14:paraId="05F4F257">
      <w:pPr>
        <w:spacing w:line="360" w:lineRule="auto"/>
        <w:ind w:firstLine="48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现场工艺试验的有关约定：</w:t>
      </w:r>
      <w:r>
        <w:rPr>
          <w:rFonts w:hint="eastAsia" w:ascii="仿宋" w:hAnsi="仿宋" w:eastAsia="仿宋" w:cs="仿宋"/>
          <w:color w:val="000000" w:themeColor="text1"/>
          <w:sz w:val="24"/>
          <w:szCs w:val="24"/>
          <w:u w:val="single"/>
          <w14:textFill>
            <w14:solidFill>
              <w14:schemeClr w14:val="tx1"/>
            </w14:solidFill>
          </w14:textFill>
        </w:rPr>
        <w:t>发生时执行通用条款9.4条</w:t>
      </w:r>
      <w:r>
        <w:rPr>
          <w:rFonts w:hint="eastAsia" w:ascii="仿宋" w:hAnsi="仿宋" w:eastAsia="仿宋" w:cs="仿宋"/>
          <w:color w:val="000000" w:themeColor="text1"/>
          <w:sz w:val="24"/>
          <w:szCs w:val="24"/>
          <w14:textFill>
            <w14:solidFill>
              <w14:schemeClr w14:val="tx1"/>
            </w14:solidFill>
          </w14:textFill>
        </w:rPr>
        <w:t>。</w:t>
      </w:r>
    </w:p>
    <w:p w14:paraId="450D87A4">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9.5检验费用</w:t>
      </w:r>
    </w:p>
    <w:p w14:paraId="505735DD">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建设工程质量检测管理办法》（2022年12月29日中华人民共和国住房和城乡建设部令第57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283C232D">
      <w:pPr>
        <w:pStyle w:val="4"/>
        <w:spacing w:line="240" w:lineRule="auto"/>
        <w:rPr>
          <w:rFonts w:hint="eastAsia" w:ascii="仿宋" w:hAnsi="仿宋" w:eastAsia="仿宋" w:cs="仿宋"/>
          <w:color w:val="000000" w:themeColor="text1"/>
          <w14:textFill>
            <w14:solidFill>
              <w14:schemeClr w14:val="tx1"/>
            </w14:solidFill>
          </w14:textFill>
        </w:rPr>
      </w:pPr>
      <w:bookmarkStart w:id="249" w:name="_Toc193815655"/>
      <w:r>
        <w:rPr>
          <w:rFonts w:hint="eastAsia" w:ascii="仿宋" w:hAnsi="仿宋" w:eastAsia="仿宋" w:cs="仿宋"/>
          <w:color w:val="000000" w:themeColor="text1"/>
          <w14:textFill>
            <w14:solidFill>
              <w14:schemeClr w14:val="tx1"/>
            </w14:solidFill>
          </w14:textFill>
        </w:rPr>
        <w:t>10.变更</w:t>
      </w:r>
      <w:bookmarkEnd w:id="249"/>
    </w:p>
    <w:p w14:paraId="15DF5D1D">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10.1变更的范围</w:t>
      </w:r>
    </w:p>
    <w:p w14:paraId="576D67C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关于变更的范围的约定：</w:t>
      </w:r>
      <w:r>
        <w:rPr>
          <w:rFonts w:hint="eastAsia" w:ascii="仿宋" w:hAnsi="仿宋" w:eastAsia="仿宋" w:cs="仿宋"/>
          <w:color w:val="000000" w:themeColor="text1"/>
          <w:sz w:val="24"/>
          <w:szCs w:val="24"/>
          <w:u w:val="single"/>
          <w14:textFill>
            <w14:solidFill>
              <w14:schemeClr w14:val="tx1"/>
            </w14:solidFill>
          </w14:textFill>
        </w:rPr>
        <w:t>（1）执行通用条款10.1条，超出10.1条范围的现场变更，双方商定，现场办理签证。（2）工程联系单、设计变更等工程量及费用签证的结算方式同合同专用条款10.4和12.1条约定，结算时并入总造价</w:t>
      </w:r>
      <w:r>
        <w:rPr>
          <w:rFonts w:hint="eastAsia" w:ascii="仿宋" w:hAnsi="仿宋" w:eastAsia="仿宋" w:cs="仿宋"/>
          <w:color w:val="000000" w:themeColor="text1"/>
          <w:sz w:val="24"/>
          <w:szCs w:val="24"/>
          <w14:textFill>
            <w14:solidFill>
              <w14:schemeClr w14:val="tx1"/>
            </w14:solidFill>
          </w14:textFill>
        </w:rPr>
        <w:t>。</w:t>
      </w:r>
    </w:p>
    <w:p w14:paraId="7C1C9DD6">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10.3变更程序</w:t>
      </w:r>
    </w:p>
    <w:p w14:paraId="6442717D">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（1）施工中发包人需对原工程设计进行变更，应提前14天以书面形式向承包人发出变更通知，并由原设计单位提供变更的相应图纸和说明；</w:t>
      </w:r>
    </w:p>
    <w:p w14:paraId="344E4BCE">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施工中承包人原则上不得对原工程设计进行变更，但是在施工中承包人提出的合理化建议涉及到对设计图纸或施工组织涉及的更改及对材料、设备的换用，须经发包人书面同意，并由原设计单位提供变更的相应图纸和说明；由监理单位下达书面变更通知；</w:t>
      </w:r>
    </w:p>
    <w:p w14:paraId="4DE8ABBC">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（3）因设计变更而引起的工程量变化的，按原施工图纸与变更后的图纸的工程量之差进行增减计算；</w:t>
      </w:r>
    </w:p>
    <w:p w14:paraId="03246562">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（4）设计变更后确有影响进度的，由承包人提出，经监理人及发包人核准，工期相应顺延；</w:t>
      </w:r>
    </w:p>
    <w:p w14:paraId="3D74CC4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（5）在施工中如发生地质、地形情况与施工设计不符时，承包人应及时书面通知设计、监理单位及有关工程师现场核对，共同研究决定，并以书面形式确认是否需要变更以及变更的处理办法；</w:t>
      </w:r>
    </w:p>
    <w:p w14:paraId="50BEB692">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（6）承包人须按发包人工程变更审批管理规定办理有关变更手续。未按规定完成审批的工程变更，按无效变更处理，发包人不予认可，由此产生的后果由承包人自负。</w:t>
      </w:r>
    </w:p>
    <w:p w14:paraId="4A52706C">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（7）工程量清单与图纸不一致时，施工前承包人需与发包人履行确认手续，否则，产生的费用由承包人承担。</w:t>
      </w:r>
    </w:p>
    <w:p w14:paraId="1EE41BB6">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（8）承包人提交工程结算后，发包人不再补办承包人提出的任何变更审批手续。</w:t>
      </w:r>
    </w:p>
    <w:p w14:paraId="0F2CE231">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10.4变更估价</w:t>
      </w:r>
    </w:p>
    <w:p w14:paraId="6FE1DA0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10.4.1变更估价原则</w:t>
      </w:r>
    </w:p>
    <w:p w14:paraId="1DC696F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关于变更估价的约定：</w:t>
      </w:r>
      <w:r>
        <w:rPr>
          <w:rFonts w:hint="eastAsia" w:ascii="仿宋" w:hAnsi="仿宋" w:eastAsia="仿宋" w:cs="仿宋"/>
          <w:color w:val="000000" w:themeColor="text1"/>
          <w:sz w:val="24"/>
          <w:szCs w:val="24"/>
          <w:u w:val="single"/>
          <w14:textFill>
            <w14:solidFill>
              <w14:schemeClr w14:val="tx1"/>
            </w14:solidFill>
          </w14:textFill>
        </w:rPr>
        <w:t>因分部分项工程量清单漏项、设计变更、签证等引起工程项目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材料价格按施工期间的《</w:t>
      </w:r>
      <w:r>
        <w:rPr>
          <w:rFonts w:hint="eastAsia" w:ascii="仿宋" w:hAnsi="仿宋" w:eastAsia="仿宋" w:cs="仿宋"/>
          <w:color w:val="000000" w:themeColor="text1"/>
          <w:sz w:val="24"/>
          <w:szCs w:val="24"/>
          <w:u w:val="single"/>
          <w:lang w:eastAsia="zh-CN"/>
          <w14:textFill>
            <w14:solidFill>
              <w14:schemeClr w14:val="tx1"/>
            </w14:solidFill>
          </w14:textFill>
        </w:rPr>
        <w:t>桂林市建设工程造价信息</w:t>
      </w:r>
      <w:r>
        <w:rPr>
          <w:rFonts w:hint="eastAsia" w:ascii="仿宋" w:hAnsi="仿宋" w:eastAsia="仿宋" w:cs="仿宋"/>
          <w:color w:val="000000" w:themeColor="text1"/>
          <w:sz w:val="24"/>
          <w:szCs w:val="24"/>
          <w:u w:val="single"/>
          <w14:textFill>
            <w14:solidFill>
              <w14:schemeClr w14:val="tx1"/>
            </w14:solidFill>
          </w14:textFill>
        </w:rPr>
        <w:t>》相应信息价的算数平均值进行计算，《</w:t>
      </w:r>
      <w:r>
        <w:rPr>
          <w:rFonts w:hint="eastAsia" w:ascii="仿宋" w:hAnsi="仿宋" w:eastAsia="仿宋" w:cs="仿宋"/>
          <w:color w:val="000000" w:themeColor="text1"/>
          <w:sz w:val="24"/>
          <w:szCs w:val="24"/>
          <w:u w:val="single"/>
          <w:lang w:eastAsia="zh-CN"/>
          <w14:textFill>
            <w14:solidFill>
              <w14:schemeClr w14:val="tx1"/>
            </w14:solidFill>
          </w14:textFill>
        </w:rPr>
        <w:t>桂林市建设工程造价信息</w:t>
      </w:r>
      <w:r>
        <w:rPr>
          <w:rFonts w:hint="eastAsia" w:ascii="仿宋" w:hAnsi="仿宋" w:eastAsia="仿宋" w:cs="仿宋"/>
          <w:color w:val="000000" w:themeColor="text1"/>
          <w:sz w:val="24"/>
          <w:szCs w:val="24"/>
          <w:u w:val="single"/>
          <w14:textFill>
            <w14:solidFill>
              <w14:schemeClr w14:val="tx1"/>
            </w14:solidFill>
          </w14:textFill>
        </w:rPr>
        <w:t>》没有相应价格信息的按发包人审定的市场价计算，并乘以下浮系数（成交价</w:t>
      </w:r>
      <w:r>
        <w:rPr>
          <w:rFonts w:hint="eastAsia" w:ascii="仿宋" w:hAnsi="仿宋" w:eastAsia="仿宋" w:cs="仿宋"/>
          <w:b/>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招标控制价）；无定额可套的，双方根据市场价格协商确定综合价格，并乘以下浮系数（成交价</w:t>
      </w:r>
      <w:r>
        <w:rPr>
          <w:rFonts w:hint="eastAsia" w:ascii="仿宋" w:hAnsi="仿宋" w:eastAsia="仿宋" w:cs="仿宋"/>
          <w:b/>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招标控制价）计算。新增项目的综合单价必须经发包人审定，并乘以下浮系数（成交价</w:t>
      </w:r>
      <w:r>
        <w:rPr>
          <w:rFonts w:hint="eastAsia" w:ascii="仿宋" w:hAnsi="仿宋" w:eastAsia="仿宋" w:cs="仿宋"/>
          <w:b/>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招标控制价）计算。（4）不适用上述条款的项，则由发包人和承包人协商签证确定；（5）因不可抗力产生的费用由发包人及承包人双方协商分担。</w:t>
      </w:r>
    </w:p>
    <w:p w14:paraId="48F67FC0">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10.4.2变更估价程序</w:t>
      </w:r>
    </w:p>
    <w:p w14:paraId="416DAEE0">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承包人提出变更价款的时间是：承包人应当在设计变更发生后14天内提供书面变更价款的申请，将设计变更的原因、变更的金额以书面形式通知发包人，超过14天即视为承包人自动放弃变更价款索赔费用和工期的权利。</w:t>
      </w:r>
    </w:p>
    <w:p w14:paraId="1C54ABF5">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发包人确认变更的时间是：收到承包人书面价款的申请及相应变更资料和预算书后14天内进行答复，超过14天不作答复视为已经批准，因承包人资料不全，发包人退回承包人，重新计算答复期。经发包人书面确认后的变更金额将作为追加合同价款，计入最近一期的进度款中支付。</w:t>
      </w:r>
    </w:p>
    <w:p w14:paraId="2040C9AF">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（3）设计变更和签证工程完成后，有关变更文件、签证单、审批件、工程联系单、预算书等工程资料须于7个工作日内送达主管部门审核认可备案后，方可作为工程结算依据。</w:t>
      </w:r>
    </w:p>
    <w:p w14:paraId="5E8FBC59">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10.5承包人的合理化建议</w:t>
      </w:r>
    </w:p>
    <w:p w14:paraId="7D068A1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监理人审查承包人合理化建议的期限：</w:t>
      </w:r>
      <w:r>
        <w:rPr>
          <w:rFonts w:hint="eastAsia" w:ascii="仿宋" w:hAnsi="仿宋" w:eastAsia="仿宋" w:cs="仿宋"/>
          <w:color w:val="000000" w:themeColor="text1"/>
          <w:sz w:val="24"/>
          <w:szCs w:val="24"/>
          <w:u w:val="single"/>
          <w14:textFill>
            <w14:solidFill>
              <w14:schemeClr w14:val="tx1"/>
            </w14:solidFill>
          </w14:textFill>
        </w:rPr>
        <w:t>监理人应在收到承包人提交的合理化建议后7天内审查完毕并报送发包人，发现其中存在技术上的缺陷，应通知承包人修改</w:t>
      </w:r>
      <w:r>
        <w:rPr>
          <w:rFonts w:hint="eastAsia" w:ascii="仿宋" w:hAnsi="仿宋" w:eastAsia="仿宋" w:cs="仿宋"/>
          <w:color w:val="000000" w:themeColor="text1"/>
          <w:sz w:val="24"/>
          <w:szCs w:val="24"/>
          <w14:textFill>
            <w14:solidFill>
              <w14:schemeClr w14:val="tx1"/>
            </w14:solidFill>
          </w14:textFill>
        </w:rPr>
        <w:t>。</w:t>
      </w:r>
    </w:p>
    <w:p w14:paraId="4ECBEB2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发包人审批承包人合理化建议的期限：</w:t>
      </w:r>
      <w:r>
        <w:rPr>
          <w:rFonts w:hint="eastAsia" w:ascii="仿宋" w:hAnsi="仿宋" w:eastAsia="仿宋" w:cs="仿宋"/>
          <w:color w:val="000000" w:themeColor="text1"/>
          <w:sz w:val="24"/>
          <w:szCs w:val="24"/>
          <w:u w:val="single"/>
          <w14:textFill>
            <w14:solidFill>
              <w14:schemeClr w14:val="tx1"/>
            </w14:solidFill>
          </w14:textFill>
        </w:rPr>
        <w:t>发包人应在收到监理人报送的合理化建议后7天内审批完毕</w:t>
      </w:r>
      <w:r>
        <w:rPr>
          <w:rFonts w:hint="eastAsia" w:ascii="仿宋" w:hAnsi="仿宋" w:eastAsia="仿宋" w:cs="仿宋"/>
          <w:color w:val="000000" w:themeColor="text1"/>
          <w:sz w:val="24"/>
          <w:szCs w:val="24"/>
          <w14:textFill>
            <w14:solidFill>
              <w14:schemeClr w14:val="tx1"/>
            </w14:solidFill>
          </w14:textFill>
        </w:rPr>
        <w:t>。</w:t>
      </w:r>
    </w:p>
    <w:p w14:paraId="5AE1AA3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承包人提出的合理化建议降低了合同价格或者提高了工程经济效益的奖励的方法和金额为：</w:t>
      </w:r>
      <w:r>
        <w:rPr>
          <w:rFonts w:hint="eastAsia" w:ascii="仿宋" w:hAnsi="仿宋" w:eastAsia="仿宋" w:cs="仿宋"/>
          <w:color w:val="000000" w:themeColor="text1"/>
          <w:sz w:val="24"/>
          <w:szCs w:val="24"/>
          <w:u w:val="single"/>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14:paraId="29409630">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50" w:name="_Toc166155276"/>
      <w:bookmarkStart w:id="251" w:name="_Toc178007719"/>
      <w:r>
        <w:rPr>
          <w:rFonts w:hint="eastAsia" w:ascii="仿宋" w:hAnsi="仿宋" w:eastAsia="仿宋" w:cs="仿宋"/>
          <w:color w:val="000000" w:themeColor="text1"/>
          <w14:textFill>
            <w14:solidFill>
              <w14:schemeClr w14:val="tx1"/>
            </w14:solidFill>
          </w14:textFill>
        </w:rPr>
        <w:t>10.6变更引起的工期调整</w:t>
      </w:r>
      <w:bookmarkEnd w:id="250"/>
      <w:bookmarkEnd w:id="251"/>
    </w:p>
    <w:p w14:paraId="37DC6A6C">
      <w:pPr>
        <w:pStyle w:val="169"/>
        <w:spacing w:line="360" w:lineRule="auto"/>
        <w:ind w:firstLine="48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因变更引起的工期变化，承包人应在设计变更发生后14天内书面提出调整工期申请，超过14天即视为承包人自动放弃索赔工期的权利。监理人认为有必要时，可要求承包人提交要求提前或延长工期的施工进度计划及相应施工措施等详细材料。</w:t>
      </w:r>
    </w:p>
    <w:p w14:paraId="2867B25F">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10.7暂估价</w:t>
      </w:r>
    </w:p>
    <w:p w14:paraId="33DC624F">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暂估价材料和工程设备的明细详见已标价工程量清单《材料（工程设备）暂估价格及调整表》（表12-2）和《专业工程暂估价表》（表12-3）。</w:t>
      </w:r>
    </w:p>
    <w:p w14:paraId="0F4BC589">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10.7.1依法必须招标的暂估价项目</w:t>
      </w:r>
    </w:p>
    <w:p w14:paraId="393859DD">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对于依法必须招标的暂估价项目的确认和批准采取第</w:t>
      </w:r>
      <w:r>
        <w:rPr>
          <w:rFonts w:hint="eastAsia" w:ascii="仿宋" w:hAnsi="仿宋" w:eastAsia="仿宋" w:cs="仿宋"/>
          <w:color w:val="000000" w:themeColor="text1"/>
          <w:sz w:val="24"/>
          <w:szCs w:val="24"/>
          <w:u w:val="single"/>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种方式确定。</w:t>
      </w:r>
    </w:p>
    <w:p w14:paraId="7E2EA581">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第1种方式：对于依法必须招标的暂估价项目，由承包人招标，对该暂估价项目的确认和批准按照以下约定执行：</w:t>
      </w:r>
    </w:p>
    <w:p w14:paraId="66841580">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4E7DEEA">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664E5CAC">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17C9C44">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10.7.2不属于依法必须招标的暂估价项目</w:t>
      </w:r>
    </w:p>
    <w:p w14:paraId="7B6D9017">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对于不属于依法必须招标的暂估价项目的确认和批准采取第</w:t>
      </w:r>
      <w:r>
        <w:rPr>
          <w:rFonts w:hint="eastAsia" w:ascii="仿宋" w:hAnsi="仿宋" w:eastAsia="仿宋" w:cs="仿宋"/>
          <w:color w:val="000000" w:themeColor="text1"/>
          <w:sz w:val="24"/>
          <w:szCs w:val="24"/>
          <w:u w:val="single"/>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种方式确定。</w:t>
      </w:r>
    </w:p>
    <w:p w14:paraId="12FBEB3F">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第1种方式：对于不属于依法必须招标的暂估价项目，按本项约定确认和批准：</w:t>
      </w:r>
    </w:p>
    <w:p w14:paraId="71C8ADFD">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D143346">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（2）发包人认为承包人确定的供应商、分包人无法满足工程质量或合同要求的，发包人可以要求承包人重新确定暂估价项目的供应商、分包人；</w:t>
      </w:r>
    </w:p>
    <w:p w14:paraId="24078E9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（3）承包人应当在签订暂估价合同后7天内，将暂估价合同副本报送发包人留存。</w:t>
      </w:r>
    </w:p>
    <w:p w14:paraId="1EEE8C0C">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10.8暂列金额</w:t>
      </w:r>
    </w:p>
    <w:p w14:paraId="121D8046">
      <w:pPr>
        <w:spacing w:line="360" w:lineRule="auto"/>
        <w:ind w:firstLine="48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合同当事人关于暂列金额使用的约定：</w:t>
      </w:r>
      <w:r>
        <w:rPr>
          <w:rFonts w:hint="eastAsia" w:ascii="仿宋" w:hAnsi="仿宋" w:eastAsia="仿宋" w:cs="仿宋"/>
          <w:color w:val="000000" w:themeColor="text1"/>
          <w:sz w:val="24"/>
          <w:szCs w:val="24"/>
          <w:u w:val="single"/>
          <w14:textFill>
            <w14:solidFill>
              <w14:schemeClr w14:val="tx1"/>
            </w14:solidFill>
          </w14:textFill>
        </w:rPr>
        <w:t>由承包人根据实际情况提出申请，监理人审核后，交发包人最终确认后使用</w:t>
      </w:r>
      <w:r>
        <w:rPr>
          <w:rFonts w:hint="eastAsia" w:ascii="仿宋" w:hAnsi="仿宋" w:eastAsia="仿宋" w:cs="仿宋"/>
          <w:color w:val="000000" w:themeColor="text1"/>
          <w:sz w:val="24"/>
          <w:szCs w:val="24"/>
          <w14:textFill>
            <w14:solidFill>
              <w14:schemeClr w14:val="tx1"/>
            </w14:solidFill>
          </w14:textFill>
        </w:rPr>
        <w:t>。</w:t>
      </w:r>
    </w:p>
    <w:p w14:paraId="1F3876D5">
      <w:pPr>
        <w:pStyle w:val="4"/>
        <w:spacing w:line="240" w:lineRule="auto"/>
        <w:rPr>
          <w:rFonts w:hint="eastAsia" w:ascii="仿宋" w:hAnsi="仿宋" w:eastAsia="仿宋" w:cs="仿宋"/>
          <w:color w:val="000000" w:themeColor="text1"/>
          <w14:textFill>
            <w14:solidFill>
              <w14:schemeClr w14:val="tx1"/>
            </w14:solidFill>
          </w14:textFill>
        </w:rPr>
      </w:pPr>
      <w:bookmarkStart w:id="252" w:name="_Toc193815656"/>
      <w:r>
        <w:rPr>
          <w:rFonts w:hint="eastAsia" w:ascii="仿宋" w:hAnsi="仿宋" w:eastAsia="仿宋" w:cs="仿宋"/>
          <w:color w:val="000000" w:themeColor="text1"/>
          <w14:textFill>
            <w14:solidFill>
              <w14:schemeClr w14:val="tx1"/>
            </w14:solidFill>
          </w14:textFill>
        </w:rPr>
        <w:t>11.价格调整</w:t>
      </w:r>
      <w:bookmarkEnd w:id="252"/>
    </w:p>
    <w:p w14:paraId="24F9B811">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11.1市场价格波动引起的调整</w:t>
      </w:r>
    </w:p>
    <w:p w14:paraId="2CB24FD0">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bookmarkStart w:id="253" w:name="_Toc193815657"/>
      <w:r>
        <w:rPr>
          <w:rFonts w:hint="eastAsia" w:ascii="仿宋" w:hAnsi="仿宋" w:eastAsia="仿宋" w:cs="仿宋"/>
          <w:color w:val="auto"/>
          <w:kern w:val="0"/>
          <w:sz w:val="24"/>
          <w:szCs w:val="24"/>
          <w:highlight w:val="none"/>
        </w:rPr>
        <w:t>市场价格波动是否调整合同价格的约定：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D8CE46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因市场价格波动调整合同价格，采用以下第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种方式对合同价格进行调整：</w:t>
      </w:r>
    </w:p>
    <w:p w14:paraId="03E95DAE">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第1种方式：采用价格指数进行价格调整。</w:t>
      </w:r>
    </w:p>
    <w:p w14:paraId="5BF6BDF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关于各可调因子、定值和变值权重，以及基本价格指数及其来源的约定：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2BB52A64">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第2种方式：采用造价信息进行价格调整。</w:t>
      </w:r>
    </w:p>
    <w:p w14:paraId="6E8D4DCD">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（2）关于基准价格的约定：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230BA25">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%时，或材料单价跌幅以已标价工程量清单或预算书中载明材料单价为基础超过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%时，其超过部分据实调整。</w:t>
      </w:r>
    </w:p>
    <w:p w14:paraId="106AD724">
      <w:pPr>
        <w:pStyle w:val="176"/>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%时，材料单价涨幅以已标价工程量清单或预算书中载明材料单价为基础超过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%时，其超过部分据实调整。</w:t>
      </w:r>
    </w:p>
    <w:p w14:paraId="196198CD">
      <w:pPr>
        <w:pStyle w:val="176"/>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%时，其超过部分据实调整。</w:t>
      </w:r>
    </w:p>
    <w:p w14:paraId="6EC48582">
      <w:pPr>
        <w:pStyle w:val="176"/>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第3种方式：其他价格调整方式：</w:t>
      </w:r>
      <w:r>
        <w:rPr>
          <w:rFonts w:hint="eastAsia" w:ascii="仿宋" w:hAnsi="仿宋" w:eastAsia="仿宋" w:cs="仿宋"/>
          <w:color w:val="auto"/>
          <w:sz w:val="24"/>
          <w:szCs w:val="24"/>
          <w:highlight w:val="none"/>
          <w:u w:val="single"/>
        </w:rPr>
        <w:t xml:space="preserve"> 在合同约定施工期间，若《桂林市建设工程造价信息》上发布的（水泥、砖、商品砼、预拌砂浆、电线、钢材）</w:t>
      </w:r>
      <w:r>
        <w:rPr>
          <w:rFonts w:hint="eastAsia" w:ascii="仿宋" w:hAnsi="仿宋" w:eastAsia="仿宋" w:cs="仿宋"/>
          <w:bCs/>
          <w:color w:val="auto"/>
          <w:sz w:val="24"/>
          <w:szCs w:val="24"/>
          <w:highlight w:val="none"/>
          <w:u w:val="single"/>
          <w:lang w:val="en-US" w:eastAsia="zh-CN"/>
        </w:rPr>
        <w:t>桂林市</w:t>
      </w:r>
      <w:r>
        <w:rPr>
          <w:rFonts w:hint="eastAsia" w:ascii="仿宋" w:hAnsi="仿宋" w:eastAsia="仿宋" w:cs="仿宋"/>
          <w:color w:val="auto"/>
          <w:sz w:val="24"/>
          <w:szCs w:val="24"/>
          <w:highlight w:val="none"/>
          <w:u w:val="single"/>
        </w:rPr>
        <w:t>材料平均市场价格上涨（或下跌）幅度超过基准价格（   年第  期  《桂林市建设工程造价信息》</w:t>
      </w:r>
      <w:r>
        <w:rPr>
          <w:rFonts w:hint="eastAsia" w:ascii="仿宋" w:hAnsi="仿宋" w:eastAsia="仿宋" w:cs="仿宋"/>
          <w:bCs/>
          <w:color w:val="auto"/>
          <w:sz w:val="24"/>
          <w:szCs w:val="24"/>
          <w:highlight w:val="none"/>
          <w:u w:val="single"/>
          <w:lang w:val="en-US" w:eastAsia="zh-CN"/>
        </w:rPr>
        <w:t>桂林市</w:t>
      </w:r>
      <w:r>
        <w:rPr>
          <w:rFonts w:hint="eastAsia" w:ascii="仿宋" w:hAnsi="仿宋" w:eastAsia="仿宋" w:cs="仿宋"/>
          <w:color w:val="auto"/>
          <w:sz w:val="24"/>
          <w:szCs w:val="24"/>
          <w:highlight w:val="none"/>
          <w:u w:val="single"/>
        </w:rPr>
        <w:t>信息价的5%时，对于超过5%幅度以外的部分按实调整。具体调整方法如下：</w:t>
      </w:r>
    </w:p>
    <w:p w14:paraId="257B742D">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（1）上涨超过5%时，结算时应以税前项目的形式补偿承包人材料价差=施工期间《桂林市建设工程造价信息》公布价的算术平均值-《桂林市建设工程造价信息》公布价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期相应公布价×1.05；</w:t>
      </w:r>
    </w:p>
    <w:p w14:paraId="114CEFC5">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（2）下跌超过5%时，结算时应扣减承包人材料价差=《桂林市建设工程造价信息》公布价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期公布价×0.95-施工期间《桂林市建设工程造价信息》公布价的算术平均值；</w:t>
      </w:r>
    </w:p>
    <w:p w14:paraId="48C69B35">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注：上述计算材料价差的施工期间，是指合同实施期内的材料使用施工期间；由于承包人的原因延误工期的施工期间的信息价不参与计算平均值。</w:t>
      </w:r>
    </w:p>
    <w:p w14:paraId="5E342A74">
      <w:pPr>
        <w:pStyle w:val="4"/>
        <w:spacing w:line="24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12.合同价格、计量与支付</w:t>
      </w:r>
      <w:bookmarkEnd w:id="253"/>
    </w:p>
    <w:p w14:paraId="54604101">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12.1合同价格形式</w:t>
      </w:r>
    </w:p>
    <w:p w14:paraId="264E4B4B">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本工程采用</w:t>
      </w:r>
      <w:r>
        <w:rPr>
          <w:rFonts w:hint="eastAsia" w:ascii="仿宋" w:hAnsi="仿宋" w:eastAsia="仿宋" w:cs="仿宋"/>
          <w:color w:val="000000" w:themeColor="text1"/>
          <w:sz w:val="24"/>
          <w:szCs w:val="24"/>
          <w:u w:val="single"/>
          <w14:textFill>
            <w14:solidFill>
              <w14:schemeClr w14:val="tx1"/>
            </w14:solidFill>
          </w14:textFill>
        </w:rPr>
        <w:t>固定综合单价</w:t>
      </w:r>
      <w:r>
        <w:rPr>
          <w:rFonts w:hint="eastAsia" w:ascii="仿宋" w:hAnsi="仿宋" w:eastAsia="仿宋" w:cs="仿宋"/>
          <w:color w:val="000000" w:themeColor="text1"/>
          <w:sz w:val="24"/>
          <w:szCs w:val="24"/>
          <w14:textFill>
            <w14:solidFill>
              <w14:schemeClr w14:val="tx1"/>
            </w14:solidFill>
          </w14:textFill>
        </w:rPr>
        <w:t>合同价格形式，合同价格包含增值税，本工程计价时采用的增值税计税方法为：</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一般计税法□简易计税法。</w:t>
      </w:r>
    </w:p>
    <w:p w14:paraId="43188244">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采用综合单价合同方式时，工程量按发包人、监理人、承包人三方确认的与实际相符的竣工图结算。</w:t>
      </w:r>
      <w:r>
        <w:rPr>
          <w:rFonts w:hint="eastAsia" w:ascii="仿宋" w:hAnsi="仿宋" w:eastAsia="仿宋" w:cs="仿宋"/>
          <w:color w:val="000000" w:themeColor="text1"/>
          <w:sz w:val="24"/>
          <w:szCs w:val="24"/>
          <w:u w:val="single"/>
          <w14:textFill>
            <w14:solidFill>
              <w14:schemeClr w14:val="tx1"/>
            </w14:solidFill>
          </w14:textFill>
        </w:rPr>
        <w:t>如发现竣工图与实际不符，按不利于承包人的原则结算。</w:t>
      </w:r>
    </w:p>
    <w:p w14:paraId="77B0EDD1">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固定综合单价包含的风险范围：</w:t>
      </w:r>
      <w:r>
        <w:rPr>
          <w:rFonts w:hint="eastAsia" w:ascii="仿宋" w:hAnsi="仿宋" w:eastAsia="仿宋" w:cs="仿宋"/>
          <w:color w:val="000000" w:themeColor="text1"/>
          <w:sz w:val="24"/>
          <w:szCs w:val="24"/>
          <w:u w:val="single"/>
          <w14:textFill>
            <w14:solidFill>
              <w14:schemeClr w14:val="tx1"/>
            </w14:solidFill>
          </w14:textFill>
        </w:rPr>
        <w:t>除工程变更、项目特征不符、工程量清单缺项、工程量偏差、政策性调整、市场价格波动以外的其他风险</w:t>
      </w:r>
      <w:r>
        <w:rPr>
          <w:rFonts w:hint="eastAsia" w:ascii="仿宋" w:hAnsi="仿宋" w:eastAsia="仿宋" w:cs="仿宋"/>
          <w:color w:val="000000" w:themeColor="text1"/>
          <w:sz w:val="24"/>
          <w:szCs w:val="24"/>
          <w14:textFill>
            <w14:solidFill>
              <w14:schemeClr w14:val="tx1"/>
            </w14:solidFill>
          </w14:textFill>
        </w:rPr>
        <w:t>。</w:t>
      </w:r>
    </w:p>
    <w:p w14:paraId="2E964E77">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风险费用的计算方法：单价采用固定综合单价，风险费用已综合考虑在单价中。</w:t>
      </w:r>
    </w:p>
    <w:p w14:paraId="386A51C6">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风险范围以外合同价款调整方法：</w:t>
      </w:r>
    </w:p>
    <w:p w14:paraId="03A32E13">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（1）工程变更、项目特征不符、工程量清单缺项：按10.4.1变更估价原则的约定调整。</w:t>
      </w:r>
    </w:p>
    <w:p w14:paraId="5501423E">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（2）工程量偏差：按1.13工程量清单错误修正的约定调整。</w:t>
      </w:r>
    </w:p>
    <w:p w14:paraId="63196FD0">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（3）政策性调整：</w:t>
      </w:r>
      <w:r>
        <w:rPr>
          <w:rFonts w:hint="eastAsia" w:ascii="仿宋" w:hAnsi="仿宋" w:eastAsia="仿宋" w:cs="仿宋"/>
          <w:color w:val="000000" w:themeColor="text1"/>
          <w:sz w:val="24"/>
          <w:szCs w:val="24"/>
          <w:u w:val="single"/>
          <w14:textFill>
            <w14:solidFill>
              <w14:schemeClr w14:val="tx1"/>
            </w14:solidFill>
          </w14:textFill>
        </w:rPr>
        <w:t>结算时除国家和自治区政策性费用定额及消耗量定额不可进行调整外，其他政策性可调整</w:t>
      </w:r>
      <w:r>
        <w:rPr>
          <w:rFonts w:hint="eastAsia" w:ascii="仿宋" w:hAnsi="仿宋" w:eastAsia="仿宋" w:cs="仿宋"/>
          <w:color w:val="000000" w:themeColor="text1"/>
          <w:sz w:val="24"/>
          <w:szCs w:val="24"/>
          <w14:textFill>
            <w14:solidFill>
              <w14:schemeClr w14:val="tx1"/>
            </w14:solidFill>
          </w14:textFill>
        </w:rPr>
        <w:t>。</w:t>
      </w:r>
    </w:p>
    <w:p w14:paraId="43F360ED">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（4）市场波动引起的调整：按11.1的约定调整。</w:t>
      </w:r>
    </w:p>
    <w:p w14:paraId="5A2DF891">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12.2预付款</w:t>
      </w:r>
    </w:p>
    <w:p w14:paraId="402FBBC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12.2.1预付款的支付</w:t>
      </w:r>
    </w:p>
    <w:p w14:paraId="4E219F0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预付款支付比例或金额：</w:t>
      </w:r>
      <w:r>
        <w:rPr>
          <w:rFonts w:hint="eastAsia" w:ascii="仿宋" w:hAnsi="仿宋" w:eastAsia="仿宋" w:cs="仿宋"/>
          <w:color w:val="000000" w:themeColor="text1"/>
          <w:sz w:val="24"/>
          <w:szCs w:val="24"/>
          <w:u w:val="single"/>
          <w14:textFill>
            <w14:solidFill>
              <w14:schemeClr w14:val="tx1"/>
            </w14:solidFill>
          </w14:textFill>
        </w:rPr>
        <w:t>签订合同后，承包人凭发票、请款单、合同向甲方申请支付预付款[合同价（扣除暂列金额、安全文明施工费）的30%]。承包人将备料款挪作他用的，发包人有权要求承包人将工程预付款返还</w:t>
      </w:r>
      <w:r>
        <w:rPr>
          <w:rFonts w:hint="eastAsia" w:ascii="仿宋" w:hAnsi="仿宋" w:eastAsia="仿宋" w:cs="仿宋"/>
          <w:color w:val="000000" w:themeColor="text1"/>
          <w:sz w:val="24"/>
          <w:szCs w:val="24"/>
          <w14:textFill>
            <w14:solidFill>
              <w14:schemeClr w14:val="tx1"/>
            </w14:solidFill>
          </w14:textFill>
        </w:rPr>
        <w:t>。</w:t>
      </w:r>
    </w:p>
    <w:p w14:paraId="63601EF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预付款支付期限：</w:t>
      </w:r>
      <w:r>
        <w:rPr>
          <w:rFonts w:hint="eastAsia" w:ascii="仿宋" w:hAnsi="仿宋" w:eastAsia="仿宋" w:cs="仿宋"/>
          <w:color w:val="000000" w:themeColor="text1"/>
          <w:sz w:val="24"/>
          <w:szCs w:val="24"/>
          <w:u w:val="single"/>
          <w:lang w:val="en-US" w:eastAsia="zh-CN"/>
          <w14:textFill>
            <w14:solidFill>
              <w14:schemeClr w14:val="tx1"/>
            </w14:solidFill>
          </w14:textFill>
        </w:rPr>
        <w:t>项目</w:t>
      </w:r>
      <w:r>
        <w:rPr>
          <w:rFonts w:hint="eastAsia" w:ascii="仿宋" w:hAnsi="仿宋" w:eastAsia="仿宋" w:cs="仿宋"/>
          <w:color w:val="000000" w:themeColor="text1"/>
          <w:sz w:val="24"/>
          <w:szCs w:val="24"/>
          <w:u w:val="single"/>
          <w14:textFill>
            <w14:solidFill>
              <w14:schemeClr w14:val="tx1"/>
            </w14:solidFill>
          </w14:textFill>
        </w:rPr>
        <w:t>达到开工条件后，由发包人向承包人发出工程开工令，开工令签发日期10个工作日内支付合同价</w:t>
      </w:r>
      <w:r>
        <w:rPr>
          <w:rFonts w:hint="eastAsia" w:ascii="仿宋" w:hAnsi="仿宋" w:eastAsia="仿宋" w:cs="仿宋"/>
          <w:color w:val="000000" w:themeColor="text1"/>
          <w:sz w:val="24"/>
          <w:szCs w:val="24"/>
          <w:u w:val="single"/>
          <w:lang w:eastAsia="zh-CN"/>
          <w14:textFill>
            <w14:solidFill>
              <w14:schemeClr w14:val="tx1"/>
            </w14:solidFill>
          </w14:textFill>
        </w:rPr>
        <w:t>（扣除暂列金额、安全文明施工费）</w:t>
      </w:r>
      <w:r>
        <w:rPr>
          <w:rFonts w:hint="eastAsia" w:ascii="仿宋" w:hAnsi="仿宋" w:eastAsia="仿宋" w:cs="仿宋"/>
          <w:color w:val="000000" w:themeColor="text1"/>
          <w:sz w:val="24"/>
          <w:szCs w:val="24"/>
          <w:u w:val="single"/>
          <w14:textFill>
            <w14:solidFill>
              <w14:schemeClr w14:val="tx1"/>
            </w14:solidFill>
          </w14:textFill>
        </w:rPr>
        <w:t>的30%作为预付款</w:t>
      </w:r>
      <w:r>
        <w:rPr>
          <w:rFonts w:hint="eastAsia" w:ascii="仿宋" w:hAnsi="仿宋" w:eastAsia="仿宋" w:cs="仿宋"/>
          <w:color w:val="000000" w:themeColor="text1"/>
          <w:sz w:val="24"/>
          <w:szCs w:val="24"/>
          <w14:textFill>
            <w14:solidFill>
              <w14:schemeClr w14:val="tx1"/>
            </w14:solidFill>
          </w14:textFill>
        </w:rPr>
        <w:t>。</w:t>
      </w:r>
    </w:p>
    <w:p w14:paraId="3ECD666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预付款扣回的方式：</w:t>
      </w:r>
      <w:r>
        <w:rPr>
          <w:rFonts w:hint="eastAsia" w:ascii="仿宋" w:hAnsi="仿宋" w:eastAsia="仿宋" w:cs="仿宋"/>
          <w:color w:val="000000" w:themeColor="text1"/>
          <w:sz w:val="24"/>
          <w:szCs w:val="24"/>
          <w:u w:val="single"/>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14:paraId="4A75262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12.2.2预付款担保</w:t>
      </w:r>
    </w:p>
    <w:p w14:paraId="02190C6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承包人收到发包人开工通知后承包人提交预付款担保的期限：</w:t>
      </w:r>
      <w:r>
        <w:rPr>
          <w:rFonts w:hint="eastAsia" w:ascii="仿宋" w:hAnsi="仿宋" w:eastAsia="仿宋" w:cs="仿宋"/>
          <w:color w:val="000000" w:themeColor="text1"/>
          <w:sz w:val="24"/>
          <w:szCs w:val="24"/>
          <w:u w:val="single"/>
          <w14:textFill>
            <w14:solidFill>
              <w14:schemeClr w14:val="tx1"/>
            </w14:solidFill>
          </w14:textFill>
        </w:rPr>
        <w:t>承包人在发包人支付预付款前向发包人提交预付款担保，预付款担保金额为人民币</w:t>
      </w:r>
      <w:r>
        <w:rPr>
          <w:rFonts w:hint="eastAsia" w:ascii="仿宋" w:hAnsi="仿宋" w:eastAsia="仿宋" w:cs="仿宋"/>
          <w:color w:val="000000" w:themeColor="text1"/>
          <w:sz w:val="24"/>
          <w:szCs w:val="24"/>
          <w14:textFill>
            <w14:solidFill>
              <w14:schemeClr w14:val="tx1"/>
            </w14:solidFill>
          </w14:textFill>
        </w:rPr>
        <w:t>_______</w:t>
      </w:r>
      <w:r>
        <w:rPr>
          <w:rFonts w:hint="eastAsia" w:ascii="仿宋" w:hAnsi="仿宋" w:eastAsia="仿宋" w:cs="仿宋"/>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_______</w:t>
      </w:r>
      <w:r>
        <w:rPr>
          <w:rFonts w:hint="eastAsia" w:ascii="仿宋" w:hAnsi="仿宋" w:eastAsia="仿宋" w:cs="仿宋"/>
          <w:color w:val="000000" w:themeColor="text1"/>
          <w:sz w:val="24"/>
          <w:szCs w:val="24"/>
          <w:u w:val="single"/>
          <w14:textFill>
            <w14:solidFill>
              <w14:schemeClr w14:val="tx1"/>
            </w14:solidFill>
          </w14:textFill>
        </w:rPr>
        <w:t>元</w:t>
      </w:r>
      <w:r>
        <w:rPr>
          <w:rFonts w:hint="eastAsia" w:ascii="仿宋" w:hAnsi="仿宋" w:eastAsia="仿宋" w:cs="仿宋"/>
          <w:color w:val="000000" w:themeColor="text1"/>
          <w:sz w:val="24"/>
          <w:szCs w:val="24"/>
          <w14:textFill>
            <w14:solidFill>
              <w14:schemeClr w14:val="tx1"/>
            </w14:solidFill>
          </w14:textFill>
        </w:rPr>
        <w:t>。同时，承包人应在原预付款担保到期前提供新的预付款担保，未能按时提供新的预付款担保的，视为承包人违约，承包人按预付款担保金额的4‰/日向发包人支付违约金，并且发包人有权终止向承包人支付任何合同款项，直至承包人提供新的预付款担保。</w:t>
      </w:r>
    </w:p>
    <w:p w14:paraId="0D947BE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预付款担保的形式为：</w:t>
      </w:r>
      <w:r>
        <w:rPr>
          <w:rFonts w:hint="eastAsia" w:ascii="仿宋" w:hAnsi="仿宋" w:eastAsia="仿宋" w:cs="仿宋"/>
          <w:color w:val="000000" w:themeColor="text1"/>
          <w:sz w:val="24"/>
          <w:szCs w:val="24"/>
          <w:u w:val="single"/>
          <w14:textFill>
            <w14:solidFill>
              <w14:schemeClr w14:val="tx1"/>
            </w14:solidFill>
          </w14:textFill>
        </w:rPr>
        <w:t>可以是银行转账、电汇或网上支付、银行保函（除县域农合机构、村镇银行出具的预付款银行保函）等形式</w:t>
      </w:r>
      <w:r>
        <w:rPr>
          <w:rFonts w:hint="eastAsia" w:ascii="仿宋" w:hAnsi="仿宋" w:eastAsia="仿宋" w:cs="仿宋"/>
          <w:color w:val="000000" w:themeColor="text1"/>
          <w:sz w:val="24"/>
          <w:szCs w:val="24"/>
          <w14:textFill>
            <w14:solidFill>
              <w14:schemeClr w14:val="tx1"/>
            </w14:solidFill>
          </w14:textFill>
        </w:rPr>
        <w:t>。</w:t>
      </w:r>
    </w:p>
    <w:p w14:paraId="5934ABE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预付款担保格式见合同附件8。预付款支付申请（核准）表见合同附件9。</w:t>
      </w:r>
    </w:p>
    <w:p w14:paraId="79CD5C01">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12.3计量</w:t>
      </w:r>
    </w:p>
    <w:p w14:paraId="0498657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12.3.1计量原则</w:t>
      </w:r>
    </w:p>
    <w:p w14:paraId="645D241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工程量计算规则：</w:t>
      </w:r>
      <w:r>
        <w:rPr>
          <w:rFonts w:hint="eastAsia" w:ascii="仿宋" w:hAnsi="仿宋" w:eastAsia="仿宋" w:cs="仿宋"/>
          <w:color w:val="000000" w:themeColor="text1"/>
          <w:sz w:val="24"/>
          <w:szCs w:val="24"/>
          <w:u w:val="single"/>
          <w14:textFill>
            <w14:solidFill>
              <w14:schemeClr w14:val="tx1"/>
            </w14:solidFill>
          </w14:textFill>
        </w:rPr>
        <w:t>工程的计量均以《建设工程工程量清单计价规范》（GB50500－2013）及其广西壮族自治区实施细则、《建设工程工程量清单计算规范》（GB50854~50862－2013）及其广西实施细则、本工程补充项目清单为准</w:t>
      </w:r>
      <w:r>
        <w:rPr>
          <w:rFonts w:hint="eastAsia" w:ascii="仿宋" w:hAnsi="仿宋" w:eastAsia="仿宋" w:cs="仿宋"/>
          <w:color w:val="000000" w:themeColor="text1"/>
          <w:sz w:val="24"/>
          <w:szCs w:val="24"/>
          <w14:textFill>
            <w14:solidFill>
              <w14:schemeClr w14:val="tx1"/>
            </w14:solidFill>
          </w14:textFill>
        </w:rPr>
        <w:t>。</w:t>
      </w:r>
    </w:p>
    <w:p w14:paraId="30F2299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12.3.2计量周期</w:t>
      </w:r>
    </w:p>
    <w:p w14:paraId="6696A69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关于计量周期的约定：</w:t>
      </w:r>
      <w:r>
        <w:rPr>
          <w:rFonts w:hint="eastAsia" w:ascii="仿宋" w:hAnsi="仿宋" w:eastAsia="仿宋" w:cs="仿宋"/>
          <w:color w:val="000000" w:themeColor="text1"/>
          <w:sz w:val="24"/>
          <w:szCs w:val="24"/>
          <w:u w:val="single"/>
          <w14:textFill>
            <w14:solidFill>
              <w14:schemeClr w14:val="tx1"/>
            </w14:solidFill>
          </w14:textFill>
        </w:rPr>
        <w:t>每月25日前</w:t>
      </w:r>
      <w:r>
        <w:rPr>
          <w:rFonts w:hint="eastAsia" w:ascii="仿宋" w:hAnsi="仿宋" w:eastAsia="仿宋" w:cs="仿宋"/>
          <w:color w:val="000000" w:themeColor="text1"/>
          <w:sz w:val="24"/>
          <w:szCs w:val="24"/>
          <w14:textFill>
            <w14:solidFill>
              <w14:schemeClr w14:val="tx1"/>
            </w14:solidFill>
          </w14:textFill>
        </w:rPr>
        <w:t>。</w:t>
      </w:r>
    </w:p>
    <w:p w14:paraId="44D642E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12.3.3单价合同的计量</w:t>
      </w:r>
    </w:p>
    <w:p w14:paraId="0CB59713">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关于单价合同计量的约定：</w:t>
      </w:r>
      <w:r>
        <w:rPr>
          <w:rFonts w:hint="eastAsia" w:ascii="仿宋" w:hAnsi="仿宋" w:eastAsia="仿宋" w:cs="仿宋"/>
          <w:color w:val="000000" w:themeColor="text1"/>
          <w:sz w:val="24"/>
          <w:szCs w:val="24"/>
          <w:u w:val="single"/>
          <w14:textFill>
            <w14:solidFill>
              <w14:schemeClr w14:val="tx1"/>
            </w14:solidFill>
          </w14:textFill>
        </w:rPr>
        <w:t>按通用条款执行，但监理人未及时审核承包人提交的工程量报表时，可以暂按该报表计算工程价款，但监理人或发包人仍有权对报表中的工程量进行审核</w:t>
      </w:r>
      <w:r>
        <w:rPr>
          <w:rFonts w:hint="eastAsia" w:ascii="仿宋" w:hAnsi="仿宋" w:eastAsia="仿宋" w:cs="仿宋"/>
          <w:color w:val="000000" w:themeColor="text1"/>
          <w:sz w:val="24"/>
          <w:szCs w:val="24"/>
          <w14:textFill>
            <w14:solidFill>
              <w14:schemeClr w14:val="tx1"/>
            </w14:solidFill>
          </w14:textFill>
        </w:rPr>
        <w:t>。</w:t>
      </w:r>
    </w:p>
    <w:p w14:paraId="3299F5A7">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u w:val="single"/>
          <w14:textFill>
            <w14:solidFill>
              <w14:schemeClr w14:val="tx1"/>
            </w14:solidFill>
          </w14:textFill>
        </w:rPr>
        <w:t>工程量按发包人、监理人、承包人三方确认的与实际相符的竣工图结算。如发现竣工图与实际不符，按不利于承包人的原则结算</w:t>
      </w:r>
      <w:r>
        <w:rPr>
          <w:rFonts w:hint="eastAsia" w:ascii="仿宋" w:hAnsi="仿宋" w:eastAsia="仿宋" w:cs="仿宋"/>
          <w:color w:val="000000" w:themeColor="text1"/>
          <w:sz w:val="24"/>
          <w:szCs w:val="24"/>
          <w14:textFill>
            <w14:solidFill>
              <w14:schemeClr w14:val="tx1"/>
            </w14:solidFill>
          </w14:textFill>
        </w:rPr>
        <w:t>。</w:t>
      </w:r>
    </w:p>
    <w:p w14:paraId="2671D05E">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（2）除另有规定外，工程师应按照合同通过计量来核实确定已完成的工程量和价值，承包人应得到该价值扣除保留金后的价款。当工程师要对已完工的工程量进行计量时，应适时地通知承包人参加。</w:t>
      </w:r>
    </w:p>
    <w:p w14:paraId="24B4B08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12.3.4总价合同的计量</w:t>
      </w:r>
    </w:p>
    <w:p w14:paraId="147103A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（1）总价合同计量约定：进度款按支付分解表支付，支付分解表在招标完成后签合同之前制定，具体详见本专用合同条款12.4.6。</w:t>
      </w:r>
    </w:p>
    <w:p w14:paraId="257ABD8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12.3.6其他价格形式合同的计量</w:t>
      </w:r>
    </w:p>
    <w:p w14:paraId="3E416EA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其他价格形式的计量方式和程序：</w:t>
      </w:r>
      <w:r>
        <w:rPr>
          <w:rFonts w:hint="eastAsia" w:ascii="仿宋" w:hAnsi="仿宋" w:eastAsia="仿宋" w:cs="仿宋"/>
          <w:color w:val="000000" w:themeColor="text1"/>
          <w:sz w:val="24"/>
          <w:szCs w:val="24"/>
          <w:u w:val="single"/>
          <w14:textFill>
            <w14:solidFill>
              <w14:schemeClr w14:val="tx1"/>
            </w14:solidFill>
          </w14:textFill>
        </w:rPr>
        <w:t>协商解决</w:t>
      </w:r>
      <w:r>
        <w:rPr>
          <w:rFonts w:hint="eastAsia" w:ascii="仿宋" w:hAnsi="仿宋" w:eastAsia="仿宋" w:cs="仿宋"/>
          <w:color w:val="000000" w:themeColor="text1"/>
          <w:sz w:val="24"/>
          <w:szCs w:val="24"/>
          <w14:textFill>
            <w14:solidFill>
              <w14:schemeClr w14:val="tx1"/>
            </w14:solidFill>
          </w14:textFill>
        </w:rPr>
        <w:t>。</w:t>
      </w:r>
    </w:p>
    <w:p w14:paraId="2E8EEC39">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12.4工程进度款支付</w:t>
      </w:r>
    </w:p>
    <w:p w14:paraId="0FEE1D0B">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12.4.1付款周期</w:t>
      </w:r>
    </w:p>
    <w:p w14:paraId="710440A4">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达到开工条件后，由</w:t>
      </w:r>
      <w:r>
        <w:rPr>
          <w:rFonts w:hint="eastAsia" w:ascii="仿宋" w:hAnsi="仿宋" w:eastAsia="仿宋" w:cs="仿宋"/>
          <w:color w:val="000000" w:themeColor="text1"/>
          <w:sz w:val="24"/>
          <w:szCs w:val="24"/>
          <w:u w:val="single"/>
          <w14:textFill>
            <w14:solidFill>
              <w14:schemeClr w14:val="tx1"/>
            </w14:solidFill>
          </w14:textFill>
        </w:rPr>
        <w:t>发包</w:t>
      </w:r>
      <w:r>
        <w:rPr>
          <w:rFonts w:hint="eastAsia" w:ascii="仿宋" w:hAnsi="仿宋" w:eastAsia="仿宋" w:cs="仿宋"/>
          <w:color w:val="000000" w:themeColor="text1"/>
          <w:sz w:val="24"/>
          <w:szCs w:val="24"/>
          <w14:textFill>
            <w14:solidFill>
              <w14:schemeClr w14:val="tx1"/>
            </w14:solidFill>
          </w14:textFill>
        </w:rPr>
        <w:t>人向承包人发出工程开工令，开工令签发日期10个工作日内支付合同价</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sz w:val="24"/>
          <w:szCs w:val="24"/>
          <w:lang w:val="en-US" w:eastAsia="zh-CN"/>
        </w:rPr>
        <w:t>扣除暂列金额、安全文明施工费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的30%作为预付款。同时将合同价款的2%的工程履约保证金打入发包方指定账户，待工程质量保修期满，需要整改的内容按照合同规定整改完毕后，由乙方提出书面申请，14个工作日无息退回。</w:t>
      </w:r>
    </w:p>
    <w:p w14:paraId="6FFB4F88">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完工验收合格10天内将经过认真审核据实编制的工程结算书和其他送审材料及时交至建设单位基建办(工程结算书应有编制人员签字并加盖施工单位公章)，待基建办将工程结算书与其他材料一并交审计科送审后，凭发票、验收合格通知单向甲方申请支付至合同价的80 %</w:t>
      </w:r>
      <w:r>
        <w:rPr>
          <w:rFonts w:hint="eastAsia" w:ascii="仿宋" w:hAnsi="仿宋" w:eastAsia="仿宋" w:cs="仿宋"/>
          <w:color w:val="000000" w:themeColor="text1"/>
          <w:sz w:val="24"/>
          <w:szCs w:val="24"/>
          <w:lang w:eastAsia="zh-CN"/>
          <w14:textFill>
            <w14:solidFill>
              <w14:schemeClr w14:val="tx1"/>
            </w14:solidFill>
          </w14:textFill>
        </w:rPr>
        <w:t>。</w:t>
      </w:r>
    </w:p>
    <w:p w14:paraId="195295B0">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经审计部门审定后，乙方凭结算审核单、合同复印件、验收单及发票申请至审定结算款的100%。</w:t>
      </w:r>
    </w:p>
    <w:p w14:paraId="413D7156">
      <w:pPr>
        <w:spacing w:line="360" w:lineRule="auto"/>
        <w:ind w:firstLine="480" w:firstLineChars="200"/>
        <w:jc w:val="left"/>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在结算过程中，合同价不得超过最高限价。</w:t>
      </w:r>
    </w:p>
    <w:p w14:paraId="12F3D0E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注：每次付款前需成交人开具等额增值税发票，申请付款前需提供发票原件方可付款。</w:t>
      </w:r>
    </w:p>
    <w:p w14:paraId="037D0D97">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12.4.2进度付款申请单的编制</w:t>
      </w:r>
    </w:p>
    <w:p w14:paraId="2EE219D2">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关于进度付款申请单编制的约定：</w:t>
      </w:r>
      <w:r>
        <w:rPr>
          <w:rFonts w:hint="eastAsia" w:ascii="仿宋" w:hAnsi="仿宋" w:eastAsia="仿宋" w:cs="仿宋"/>
          <w:color w:val="000000" w:themeColor="text1"/>
          <w:sz w:val="24"/>
          <w:szCs w:val="24"/>
          <w:u w:val="single"/>
          <w14:textFill>
            <w14:solidFill>
              <w14:schemeClr w14:val="tx1"/>
            </w14:solidFill>
          </w14:textFill>
        </w:rPr>
        <w:t>按招标文件工程量清单内容</w:t>
      </w:r>
      <w:r>
        <w:rPr>
          <w:rFonts w:hint="eastAsia" w:ascii="仿宋" w:hAnsi="仿宋" w:eastAsia="仿宋" w:cs="仿宋"/>
          <w:color w:val="000000" w:themeColor="text1"/>
          <w:sz w:val="24"/>
          <w:szCs w:val="24"/>
          <w14:textFill>
            <w14:solidFill>
              <w14:schemeClr w14:val="tx1"/>
            </w14:solidFill>
          </w14:textFill>
        </w:rPr>
        <w:t>。</w:t>
      </w:r>
    </w:p>
    <w:p w14:paraId="6A2AC9D6">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12.4.3进度付款申请单的提交</w:t>
      </w:r>
    </w:p>
    <w:p w14:paraId="33ED61EC">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（1）单价合同进度付款申请单提交的约定：</w:t>
      </w:r>
    </w:p>
    <w:p w14:paraId="3A8F17B5">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承包人应配合发包人提供以下资料：本月已完成工程的价款、累计已完成的工程价款、累计已支付的工程价款、应抵扣的工程预付款、增加和扣减的其他金额等。</w:t>
      </w:r>
    </w:p>
    <w:p w14:paraId="7F935AAE">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（2）总价合同进度付款申请单提交的约定：</w:t>
      </w:r>
      <w:r>
        <w:rPr>
          <w:rFonts w:hint="eastAsia" w:ascii="仿宋" w:hAnsi="仿宋" w:eastAsia="仿宋" w:cs="仿宋"/>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14:paraId="75139F09">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（3）其他价格形式合同进度付款申请单提交的约定：</w:t>
      </w:r>
      <w:r>
        <w:rPr>
          <w:rFonts w:hint="eastAsia" w:ascii="仿宋" w:hAnsi="仿宋" w:eastAsia="仿宋" w:cs="仿宋"/>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14:paraId="0CDC90D2">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12.4.4进度款审核和支付</w:t>
      </w:r>
    </w:p>
    <w:p w14:paraId="5F43B103">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（1）进度款支付方式：</w:t>
      </w:r>
      <w:r>
        <w:rPr>
          <w:rFonts w:hint="eastAsia" w:ascii="仿宋" w:hAnsi="仿宋" w:eastAsia="仿宋" w:cs="仿宋"/>
          <w:color w:val="000000" w:themeColor="text1"/>
          <w:sz w:val="24"/>
          <w:szCs w:val="24"/>
          <w:u w:val="single"/>
          <w14:textFill>
            <w14:solidFill>
              <w14:schemeClr w14:val="tx1"/>
            </w14:solidFill>
          </w14:textFill>
        </w:rPr>
        <w:t>银行转账</w:t>
      </w:r>
      <w:r>
        <w:rPr>
          <w:rFonts w:hint="eastAsia" w:ascii="仿宋" w:hAnsi="仿宋" w:eastAsia="仿宋" w:cs="仿宋"/>
          <w:color w:val="000000" w:themeColor="text1"/>
          <w:sz w:val="24"/>
          <w:szCs w:val="24"/>
          <w14:textFill>
            <w14:solidFill>
              <w14:schemeClr w14:val="tx1"/>
            </w14:solidFill>
          </w14:textFill>
        </w:rPr>
        <w:t>。</w:t>
      </w:r>
    </w:p>
    <w:p w14:paraId="72DEE518">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u w:val="single"/>
          <w14:textFill>
            <w14:solidFill>
              <w14:schemeClr w14:val="tx1"/>
            </w14:solidFill>
          </w14:textFill>
        </w:rPr>
        <w:t>承包人收到工程款后应及时开具发票，在下次工程款拨付时，前一期发票未报账的，发包人有权拒绝支付。承包人向发包人提供的工程发票必须是有效的正式发票。若经发包人或相关主管部门发现承包人提交的发票为无效发票或假发票的，视为承包人同意发包人延迟支付当次工程款，直至承包人向发包人重新提交有效的正式发票后七个工作日止，同时承包人向发包人支付与发票面额等额的违约金，并承担由此造成的一切责任及损失</w:t>
      </w:r>
      <w:r>
        <w:rPr>
          <w:rFonts w:hint="eastAsia" w:ascii="仿宋" w:hAnsi="仿宋" w:eastAsia="仿宋" w:cs="仿宋"/>
          <w:color w:val="000000" w:themeColor="text1"/>
          <w:sz w:val="24"/>
          <w:szCs w:val="24"/>
          <w14:textFill>
            <w14:solidFill>
              <w14:schemeClr w14:val="tx1"/>
            </w14:solidFill>
          </w14:textFill>
        </w:rPr>
        <w:t>。</w:t>
      </w:r>
    </w:p>
    <w:p w14:paraId="504A4624">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（3）农民工工资支付</w:t>
      </w:r>
    </w:p>
    <w:p w14:paraId="557E3060">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auto"/>
          <w:kern w:val="0"/>
          <w:sz w:val="24"/>
          <w:szCs w:val="24"/>
          <w:highlight w:val="none"/>
        </w:rPr>
        <w:t>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5DD9BD2A">
      <w:pPr>
        <w:keepNext w:val="0"/>
        <w:keepLines w:val="0"/>
        <w:pageBreakBefore w:val="0"/>
        <w:widowControl w:val="0"/>
        <w:kinsoku/>
        <w:wordWrap/>
        <w:overflowPunct/>
        <w:topLinePunct w:val="0"/>
        <w:bidi w:val="0"/>
        <w:snapToGrid/>
        <w:spacing w:line="360" w:lineRule="auto"/>
        <w:ind w:firstLine="600" w:firstLineChars="25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2）人</w:t>
      </w:r>
      <w:r>
        <w:rPr>
          <w:rFonts w:hint="eastAsia" w:ascii="仿宋" w:hAnsi="仿宋" w:eastAsia="仿宋" w:cs="仿宋"/>
          <w:color w:val="auto"/>
          <w:sz w:val="24"/>
          <w:szCs w:val="24"/>
          <w:highlight w:val="none"/>
        </w:rPr>
        <w:t>发包人依据工程进度，按与承包人约定的农民工支付比例，将工程人工费分账支付到承包人的农民工工资专户，工程完工时发包人向承包人农民工工资专户支付的完工工程量的人工费支付比例不低于100 %，其余工程进度款项由发包人支付到承包人的单位基本户。</w:t>
      </w:r>
    </w:p>
    <w:p w14:paraId="67B73E77">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auto"/>
          <w:sz w:val="24"/>
          <w:szCs w:val="24"/>
          <w:highlight w:val="none"/>
        </w:rPr>
        <w:t>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20 %。其余分包工程进度款项由承包人支付到分包人的单位基本户。</w:t>
      </w:r>
    </w:p>
    <w:p w14:paraId="16AEE08D">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auto"/>
          <w:sz w:val="24"/>
          <w:szCs w:val="24"/>
          <w:highlight w:val="none"/>
        </w:rPr>
        <w:t>凡未向付款单位提供农民工工资专户的，或者请款单位在申请工程进度款时未将人工费单列的，付款单位有权拒绝支付工程进度款。</w:t>
      </w:r>
    </w:p>
    <w:p w14:paraId="6B72539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5）农民工工资使用要求：专款专用，除发放工人工资外，不得用于其他用途。</w:t>
      </w:r>
    </w:p>
    <w:p w14:paraId="00C50F4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6）承包人将农民工工资支付情况定期报告发包人和监理单位，并提供相应的材料接受建设行政主管部门和劳动保障行政主管部门对此事项监管。</w:t>
      </w:r>
    </w:p>
    <w:p w14:paraId="2FD04CF2">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lang w:eastAsia="zh-CN"/>
          <w14:textFill>
            <w14:solidFill>
              <w14:schemeClr w14:val="tx1"/>
            </w14:solidFill>
          </w14:textFill>
        </w:rPr>
        <w:t>7</w:t>
      </w:r>
      <w:r>
        <w:rPr>
          <w:rFonts w:hint="eastAsia" w:ascii="仿宋" w:hAnsi="仿宋" w:eastAsia="仿宋" w:cs="仿宋"/>
          <w:color w:val="000000" w:themeColor="text1"/>
          <w:sz w:val="24"/>
          <w:szCs w:val="24"/>
          <w:u w:val="single"/>
          <w14:textFill>
            <w14:solidFill>
              <w14:schemeClr w14:val="tx1"/>
            </w14:solidFill>
          </w14:textFill>
        </w:rPr>
        <w:t>）本项目不允许转包分包，发包人不向除承包人以外的任何分包人农民工工资账户支付任何款项，也不向任何分包人的任何账户支付任何款项。</w:t>
      </w:r>
    </w:p>
    <w:p w14:paraId="63ACD333">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lang w:eastAsia="zh-CN"/>
          <w14:textFill>
            <w14:solidFill>
              <w14:schemeClr w14:val="tx1"/>
            </w14:solidFill>
          </w14:textFill>
        </w:rPr>
        <w:t>8</w:t>
      </w:r>
      <w:r>
        <w:rPr>
          <w:rFonts w:hint="eastAsia" w:ascii="仿宋" w:hAnsi="仿宋" w:eastAsia="仿宋" w:cs="仿宋"/>
          <w:color w:val="000000" w:themeColor="text1"/>
          <w:sz w:val="24"/>
          <w:szCs w:val="24"/>
          <w:u w:val="single"/>
          <w14:textFill>
            <w14:solidFill>
              <w14:schemeClr w14:val="tx1"/>
            </w14:solidFill>
          </w14:textFill>
        </w:rPr>
        <w:t>）承包人必须与包括农民工在内的所有雇用人员签订劳动合同，为雇佣人员购买工伤保险、医疗保险、意外伤害险等，并应及时足额支付劳动报酬，若发现承包人有非法用工或未及时足额支付雇用人员劳动报酬的，发包人有权拒绝支付承包人任何款项至承包人整改完毕为止。</w:t>
      </w:r>
    </w:p>
    <w:p w14:paraId="5D81F9F5">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lang w:eastAsia="zh-CN"/>
          <w14:textFill>
            <w14:solidFill>
              <w14:schemeClr w14:val="tx1"/>
            </w14:solidFill>
          </w14:textFill>
        </w:rPr>
        <w:t>9</w:t>
      </w:r>
      <w:r>
        <w:rPr>
          <w:rFonts w:hint="eastAsia" w:ascii="仿宋" w:hAnsi="仿宋" w:eastAsia="仿宋" w:cs="仿宋"/>
          <w:color w:val="000000" w:themeColor="text1"/>
          <w:sz w:val="24"/>
          <w:szCs w:val="24"/>
          <w:u w:val="single"/>
          <w14:textFill>
            <w14:solidFill>
              <w14:schemeClr w14:val="tx1"/>
            </w14:solidFill>
          </w14:textFill>
        </w:rPr>
        <w:t>）承包人与雇佣人员发生劳动纠纷、工伤等情形的，均由承包人负责处理并承担相应的责任，与发包人无关；承包人不得以劳动纠纷或工人纠集闹事等任何理由提前预支任何款项。</w:t>
      </w:r>
    </w:p>
    <w:p w14:paraId="5EF7319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w:t>
      </w:r>
      <w:r>
        <w:rPr>
          <w:rFonts w:hint="eastAsia" w:ascii="仿宋" w:hAnsi="仿宋" w:eastAsia="仿宋" w:cs="仿宋"/>
          <w:color w:val="000000" w:themeColor="text1"/>
          <w:sz w:val="24"/>
          <w:szCs w:val="24"/>
          <w:u w:val="single"/>
          <w:lang w:eastAsia="zh-CN"/>
          <w14:textFill>
            <w14:solidFill>
              <w14:schemeClr w14:val="tx1"/>
            </w14:solidFill>
          </w14:textFill>
        </w:rPr>
        <w:t>0</w:t>
      </w:r>
      <w:r>
        <w:rPr>
          <w:rFonts w:hint="eastAsia" w:ascii="仿宋" w:hAnsi="仿宋" w:eastAsia="仿宋" w:cs="仿宋"/>
          <w:color w:val="000000" w:themeColor="text1"/>
          <w:sz w:val="24"/>
          <w:szCs w:val="24"/>
          <w:u w:val="single"/>
          <w14:textFill>
            <w14:solidFill>
              <w14:schemeClr w14:val="tx1"/>
            </w14:solidFill>
          </w14:textFill>
        </w:rPr>
        <w:t>）承包人不得以任何借口将承包人与包括农民工在内的雇用人员的劳酬纠纷引发的矛盾转嫁发包人，如果出现雇用人员聚众向发包方闹事的情形，承包人须按（人民币）10万元/次的标准向发包人计付违约金，若因此造成发包人工作人员人身伤害、财产损毁的，承包人还须承担赔偿损失等法律责任。</w:t>
      </w:r>
    </w:p>
    <w:p w14:paraId="0AB88206">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12.4.6支付分解表的编制</w:t>
      </w:r>
    </w:p>
    <w:p w14:paraId="1580CE9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（1）总价合同支付分解表的编制与审批：</w:t>
      </w:r>
      <w:r>
        <w:rPr>
          <w:rFonts w:hint="eastAsia" w:ascii="仿宋" w:hAnsi="仿宋" w:eastAsia="仿宋" w:cs="仿宋"/>
          <w:color w:val="000000" w:themeColor="text1"/>
          <w:sz w:val="24"/>
          <w:szCs w:val="24"/>
          <w:u w:val="single"/>
          <w14:textFill>
            <w14:solidFill>
              <w14:schemeClr w14:val="tx1"/>
            </w14:solidFill>
          </w14:textFill>
        </w:rPr>
        <w:t>总价合同支付分解表在招标完成后由发包人和承包人共同编制，发包人审批，并作为本合同内容，具体详见合同附件14。</w:t>
      </w:r>
    </w:p>
    <w:p w14:paraId="1C990B69">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（2）单价合同的总价项目支付分解表的编制与审批：总价项目不采用支付分解表的方式计算，而按《&lt;建设工程工程量清单计价规范（GB50500-2013）&gt;广西壮族自治区实施细则》的规定执行。</w:t>
      </w:r>
    </w:p>
    <w:p w14:paraId="458C6CC5">
      <w:pPr>
        <w:pStyle w:val="4"/>
        <w:spacing w:line="240" w:lineRule="auto"/>
        <w:rPr>
          <w:rFonts w:hint="eastAsia" w:ascii="仿宋" w:hAnsi="仿宋" w:eastAsia="仿宋" w:cs="仿宋"/>
          <w:color w:val="000000" w:themeColor="text1"/>
          <w14:textFill>
            <w14:solidFill>
              <w14:schemeClr w14:val="tx1"/>
            </w14:solidFill>
          </w14:textFill>
        </w:rPr>
      </w:pPr>
      <w:bookmarkStart w:id="254" w:name="_Toc193815658"/>
      <w:r>
        <w:rPr>
          <w:rFonts w:hint="eastAsia" w:ascii="仿宋" w:hAnsi="仿宋" w:eastAsia="仿宋" w:cs="仿宋"/>
          <w:color w:val="000000" w:themeColor="text1"/>
          <w14:textFill>
            <w14:solidFill>
              <w14:schemeClr w14:val="tx1"/>
            </w14:solidFill>
          </w14:textFill>
        </w:rPr>
        <w:t>13.工程验收</w:t>
      </w:r>
      <w:bookmarkEnd w:id="254"/>
    </w:p>
    <w:p w14:paraId="7F432D0D">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13.1分部分项工程验收</w:t>
      </w:r>
    </w:p>
    <w:p w14:paraId="050EE8A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13.1.2监理人不能按时进行验收时，应提前</w:t>
      </w:r>
      <w:r>
        <w:rPr>
          <w:rFonts w:hint="eastAsia" w:ascii="仿宋" w:hAnsi="仿宋" w:eastAsia="仿宋" w:cs="仿宋"/>
          <w:color w:val="000000" w:themeColor="text1"/>
          <w:sz w:val="24"/>
          <w:szCs w:val="24"/>
          <w:u w:val="single"/>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小时提交书面延期要求。</w:t>
      </w:r>
    </w:p>
    <w:p w14:paraId="1331769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关于延期最长不得超过：</w:t>
      </w:r>
      <w:r>
        <w:rPr>
          <w:rFonts w:hint="eastAsia" w:ascii="仿宋" w:hAnsi="仿宋" w:eastAsia="仿宋" w:cs="仿宋"/>
          <w:color w:val="000000" w:themeColor="text1"/>
          <w:sz w:val="24"/>
          <w:szCs w:val="24"/>
          <w:u w:val="single"/>
          <w14:textFill>
            <w14:solidFill>
              <w14:schemeClr w14:val="tx1"/>
            </w14:solidFill>
          </w14:textFill>
        </w:rPr>
        <w:t>48</w:t>
      </w:r>
      <w:r>
        <w:rPr>
          <w:rFonts w:hint="eastAsia" w:ascii="仿宋" w:hAnsi="仿宋" w:eastAsia="仿宋" w:cs="仿宋"/>
          <w:color w:val="000000" w:themeColor="text1"/>
          <w:sz w:val="24"/>
          <w:szCs w:val="24"/>
          <w14:textFill>
            <w14:solidFill>
              <w14:schemeClr w14:val="tx1"/>
            </w14:solidFill>
          </w14:textFill>
        </w:rPr>
        <w:t>小时。</w:t>
      </w:r>
    </w:p>
    <w:p w14:paraId="3910AEEE">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13.2竣工验收</w:t>
      </w:r>
    </w:p>
    <w:p w14:paraId="7FFE76B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13.2.1竣工验收条件</w:t>
      </w:r>
    </w:p>
    <w:p w14:paraId="72B5AD5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（3）承包人负责整理和提交的竣工验收资料应当符合工程所在地建设行政主管部门和（或）城市建设档案管理机构有关施工资料的要求，具体内容包括：</w:t>
      </w:r>
      <w:r>
        <w:rPr>
          <w:rFonts w:hint="eastAsia" w:ascii="仿宋" w:hAnsi="仿宋" w:eastAsia="仿宋" w:cs="仿宋"/>
          <w:color w:val="000000" w:themeColor="text1"/>
          <w:sz w:val="24"/>
          <w:szCs w:val="24"/>
          <w:u w:val="single"/>
          <w14:textFill>
            <w14:solidFill>
              <w14:schemeClr w14:val="tx1"/>
            </w14:solidFill>
          </w14:textFill>
        </w:rPr>
        <w:t>符合要求的完整施工及竣工资料。其他相关单位的竣工验收资料由相关单位自行提供后由承包人负责统一整理</w:t>
      </w:r>
      <w:r>
        <w:rPr>
          <w:rFonts w:hint="eastAsia" w:ascii="仿宋" w:hAnsi="仿宋" w:eastAsia="仿宋" w:cs="仿宋"/>
          <w:color w:val="000000" w:themeColor="text1"/>
          <w:sz w:val="24"/>
          <w:szCs w:val="24"/>
          <w14:textFill>
            <w14:solidFill>
              <w14:schemeClr w14:val="tx1"/>
            </w14:solidFill>
          </w14:textFill>
        </w:rPr>
        <w:t>。</w:t>
      </w:r>
    </w:p>
    <w:p w14:paraId="74C0A43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竣工验收资料的份数：</w:t>
      </w:r>
      <w:r>
        <w:rPr>
          <w:rFonts w:hint="eastAsia" w:ascii="仿宋" w:hAnsi="仿宋" w:eastAsia="仿宋" w:cs="仿宋"/>
          <w:color w:val="000000" w:themeColor="text1"/>
          <w:sz w:val="24"/>
          <w:szCs w:val="24"/>
          <w:u w:val="single"/>
          <w14:textFill>
            <w14:solidFill>
              <w14:schemeClr w14:val="tx1"/>
            </w14:solidFill>
          </w14:textFill>
        </w:rPr>
        <w:t>六份</w:t>
      </w:r>
      <w:r>
        <w:rPr>
          <w:rFonts w:hint="eastAsia" w:ascii="仿宋" w:hAnsi="仿宋" w:eastAsia="仿宋" w:cs="仿宋"/>
          <w:color w:val="000000" w:themeColor="text1"/>
          <w:sz w:val="24"/>
          <w:szCs w:val="24"/>
          <w14:textFill>
            <w14:solidFill>
              <w14:schemeClr w14:val="tx1"/>
            </w14:solidFill>
          </w14:textFill>
        </w:rPr>
        <w:t>。</w:t>
      </w:r>
    </w:p>
    <w:p w14:paraId="4D5E3F2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承包人提供竣工图的约定：</w:t>
      </w:r>
      <w:r>
        <w:rPr>
          <w:rFonts w:hint="eastAsia" w:ascii="仿宋" w:hAnsi="仿宋" w:eastAsia="仿宋" w:cs="仿宋"/>
          <w:color w:val="000000" w:themeColor="text1"/>
          <w:sz w:val="24"/>
          <w:szCs w:val="24"/>
          <w:u w:val="single"/>
          <w14:textFill>
            <w14:solidFill>
              <w14:schemeClr w14:val="tx1"/>
            </w14:solidFill>
          </w14:textFill>
        </w:rPr>
        <w:t>竣工验收正式通过后10天，提供竣工图4套</w:t>
      </w:r>
      <w:r>
        <w:rPr>
          <w:rFonts w:hint="eastAsia" w:ascii="仿宋" w:hAnsi="仿宋" w:eastAsia="仿宋" w:cs="仿宋"/>
          <w:color w:val="000000" w:themeColor="text1"/>
          <w:sz w:val="24"/>
          <w:szCs w:val="24"/>
          <w14:textFill>
            <w14:solidFill>
              <w14:schemeClr w14:val="tx1"/>
            </w14:solidFill>
          </w14:textFill>
        </w:rPr>
        <w:t>。</w:t>
      </w:r>
    </w:p>
    <w:p w14:paraId="3364075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13.2.2竣工验收程序</w:t>
      </w:r>
    </w:p>
    <w:p w14:paraId="309B89C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关于竣工验收程序的约定：</w:t>
      </w:r>
      <w:r>
        <w:rPr>
          <w:rFonts w:hint="eastAsia" w:ascii="仿宋" w:hAnsi="仿宋" w:eastAsia="仿宋" w:cs="仿宋"/>
          <w:color w:val="000000" w:themeColor="text1"/>
          <w:sz w:val="24"/>
          <w:szCs w:val="24"/>
          <w:u w:val="single"/>
          <w14:textFill>
            <w14:solidFill>
              <w14:schemeClr w14:val="tx1"/>
            </w14:solidFill>
          </w14:textFill>
        </w:rPr>
        <w:t>按国家有关验收规范执行</w:t>
      </w:r>
      <w:r>
        <w:rPr>
          <w:rFonts w:hint="eastAsia" w:ascii="仿宋" w:hAnsi="仿宋" w:eastAsia="仿宋" w:cs="仿宋"/>
          <w:color w:val="000000" w:themeColor="text1"/>
          <w:sz w:val="24"/>
          <w:szCs w:val="24"/>
          <w14:textFill>
            <w14:solidFill>
              <w14:schemeClr w14:val="tx1"/>
            </w14:solidFill>
          </w14:textFill>
        </w:rPr>
        <w:t>。</w:t>
      </w:r>
    </w:p>
    <w:p w14:paraId="227AECE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发包人不按照本项约定组织竣工验收、颁发工程接收证书的违约金的计算方法：</w:t>
      </w:r>
      <w:r>
        <w:rPr>
          <w:rFonts w:hint="eastAsia" w:ascii="仿宋" w:hAnsi="仿宋" w:eastAsia="仿宋" w:cs="仿宋"/>
          <w:color w:val="000000" w:themeColor="text1"/>
          <w:sz w:val="24"/>
          <w:szCs w:val="24"/>
          <w:u w:val="single"/>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14:paraId="70F2117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13.2.5移交、接收全部与部分工程</w:t>
      </w:r>
    </w:p>
    <w:p w14:paraId="6C9E15D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承包人向发包人移交工程的期限：</w:t>
      </w:r>
      <w:r>
        <w:rPr>
          <w:rFonts w:hint="eastAsia" w:ascii="仿宋" w:hAnsi="仿宋" w:eastAsia="仿宋" w:cs="仿宋"/>
          <w:color w:val="000000" w:themeColor="text1"/>
          <w:sz w:val="24"/>
          <w:szCs w:val="24"/>
          <w:u w:val="single"/>
          <w14:textFill>
            <w14:solidFill>
              <w14:schemeClr w14:val="tx1"/>
            </w14:solidFill>
          </w14:textFill>
        </w:rPr>
        <w:t>承包人应当在颁发工程接收证书后5个有效工作日内完成工程的移交</w:t>
      </w:r>
      <w:r>
        <w:rPr>
          <w:rFonts w:hint="eastAsia" w:ascii="仿宋" w:hAnsi="仿宋" w:eastAsia="仿宋" w:cs="仿宋"/>
          <w:color w:val="000000" w:themeColor="text1"/>
          <w:sz w:val="24"/>
          <w:szCs w:val="24"/>
          <w14:textFill>
            <w14:solidFill>
              <w14:schemeClr w14:val="tx1"/>
            </w14:solidFill>
          </w14:textFill>
        </w:rPr>
        <w:t>。</w:t>
      </w:r>
    </w:p>
    <w:p w14:paraId="280B5DF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发包人未按本合同约定接收全部或部分工程的，违约金的计算方法为：</w:t>
      </w:r>
      <w:r>
        <w:rPr>
          <w:rFonts w:hint="eastAsia" w:ascii="仿宋" w:hAnsi="仿宋" w:eastAsia="仿宋" w:cs="仿宋"/>
          <w:color w:val="000000" w:themeColor="text1"/>
          <w:sz w:val="24"/>
          <w:szCs w:val="24"/>
          <w:u w:val="single"/>
          <w14:textFill>
            <w14:solidFill>
              <w14:schemeClr w14:val="tx1"/>
            </w14:solidFill>
          </w14:textFill>
        </w:rPr>
        <w:t>每逾期接受一天，应以签约合同价为基数，按照中国人民银行发布的同期同类贷款基准利率支付违约金</w:t>
      </w:r>
      <w:r>
        <w:rPr>
          <w:rFonts w:hint="eastAsia" w:ascii="仿宋" w:hAnsi="仿宋" w:eastAsia="仿宋" w:cs="仿宋"/>
          <w:color w:val="000000" w:themeColor="text1"/>
          <w:sz w:val="24"/>
          <w:szCs w:val="24"/>
          <w14:textFill>
            <w14:solidFill>
              <w14:schemeClr w14:val="tx1"/>
            </w14:solidFill>
          </w14:textFill>
        </w:rPr>
        <w:t>。</w:t>
      </w:r>
    </w:p>
    <w:p w14:paraId="48409B0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承包人未按时移交工程的，违约金的计算方法为：</w:t>
      </w:r>
      <w:r>
        <w:rPr>
          <w:rFonts w:hint="eastAsia" w:ascii="仿宋" w:hAnsi="仿宋" w:eastAsia="仿宋" w:cs="仿宋"/>
          <w:color w:val="000000" w:themeColor="text1"/>
          <w:sz w:val="24"/>
          <w:szCs w:val="24"/>
          <w:u w:val="single"/>
          <w14:textFill>
            <w14:solidFill>
              <w14:schemeClr w14:val="tx1"/>
            </w14:solidFill>
          </w14:textFill>
        </w:rPr>
        <w:t>承包人承担工程照管、成品保护、保管等与工程有关的各项费用，每逾期1天，承包人还应按合同总价的2‰/日向发包人支付违约金，限额为合同价的10%</w:t>
      </w:r>
      <w:r>
        <w:rPr>
          <w:rFonts w:hint="eastAsia" w:ascii="仿宋" w:hAnsi="仿宋" w:eastAsia="仿宋" w:cs="仿宋"/>
          <w:color w:val="000000" w:themeColor="text1"/>
          <w:sz w:val="24"/>
          <w:szCs w:val="24"/>
          <w14:textFill>
            <w14:solidFill>
              <w14:schemeClr w14:val="tx1"/>
            </w14:solidFill>
          </w14:textFill>
        </w:rPr>
        <w:t>。</w:t>
      </w:r>
    </w:p>
    <w:p w14:paraId="6873946C">
      <w:pPr>
        <w:pStyle w:val="5"/>
        <w:spacing w:before="280" w:after="290" w:line="376" w:lineRule="auto"/>
        <w:rPr>
          <w:rFonts w:hint="eastAsia" w:ascii="仿宋" w:hAnsi="仿宋" w:eastAsia="仿宋" w:cs="仿宋"/>
          <w:color w:val="000000" w:themeColor="text1"/>
          <w14:textFill>
            <w14:solidFill>
              <w14:schemeClr w14:val="tx1"/>
            </w14:solidFill>
          </w14:textFill>
        </w:rPr>
      </w:pPr>
      <w:bookmarkStart w:id="255" w:name="_Toc166155288"/>
      <w:bookmarkStart w:id="256" w:name="_Toc178007731"/>
      <w:r>
        <w:rPr>
          <w:rFonts w:hint="eastAsia" w:ascii="仿宋" w:hAnsi="仿宋" w:eastAsia="仿宋" w:cs="仿宋"/>
          <w:color w:val="000000" w:themeColor="text1"/>
          <w14:textFill>
            <w14:solidFill>
              <w14:schemeClr w14:val="tx1"/>
            </w14:solidFill>
          </w14:textFill>
        </w:rPr>
        <w:t>13.3工程试车</w:t>
      </w:r>
      <w:bookmarkEnd w:id="255"/>
      <w:bookmarkEnd w:id="256"/>
    </w:p>
    <w:p w14:paraId="5A2784BF">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13.3.1试车程序</w:t>
      </w:r>
    </w:p>
    <w:p w14:paraId="04F8F6F0">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工程试车内容：</w:t>
      </w:r>
      <w:r>
        <w:rPr>
          <w:rFonts w:hint="eastAsia" w:ascii="仿宋" w:hAnsi="仿宋" w:eastAsia="仿宋" w:cs="仿宋"/>
          <w:color w:val="000000" w:themeColor="text1"/>
          <w:sz w:val="24"/>
          <w:szCs w:val="24"/>
          <w:u w:val="single"/>
          <w14:textFill>
            <w14:solidFill>
              <w14:schemeClr w14:val="tx1"/>
            </w14:solidFill>
          </w14:textFill>
        </w:rPr>
        <w:t>按通用合同条款执行</w:t>
      </w:r>
      <w:r>
        <w:rPr>
          <w:rFonts w:hint="eastAsia" w:ascii="仿宋" w:hAnsi="仿宋" w:eastAsia="仿宋" w:cs="仿宋"/>
          <w:color w:val="000000" w:themeColor="text1"/>
          <w:sz w:val="24"/>
          <w:szCs w:val="24"/>
          <w14:textFill>
            <w14:solidFill>
              <w14:schemeClr w14:val="tx1"/>
            </w14:solidFill>
          </w14:textFill>
        </w:rPr>
        <w:t>。</w:t>
      </w:r>
    </w:p>
    <w:p w14:paraId="5BC4581C">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（1）单机无负荷试车费用由</w:t>
      </w:r>
      <w:r>
        <w:rPr>
          <w:rFonts w:hint="eastAsia" w:ascii="仿宋" w:hAnsi="仿宋" w:eastAsia="仿宋" w:cs="仿宋"/>
          <w:color w:val="000000" w:themeColor="text1"/>
          <w:sz w:val="24"/>
          <w:szCs w:val="24"/>
          <w:u w:val="single"/>
          <w14:textFill>
            <w14:solidFill>
              <w14:schemeClr w14:val="tx1"/>
            </w14:solidFill>
          </w14:textFill>
        </w:rPr>
        <w:t>承包人</w:t>
      </w:r>
      <w:r>
        <w:rPr>
          <w:rFonts w:hint="eastAsia" w:ascii="仿宋" w:hAnsi="仿宋" w:eastAsia="仿宋" w:cs="仿宋"/>
          <w:color w:val="000000" w:themeColor="text1"/>
          <w:sz w:val="24"/>
          <w:szCs w:val="24"/>
          <w14:textFill>
            <w14:solidFill>
              <w14:schemeClr w14:val="tx1"/>
            </w14:solidFill>
          </w14:textFill>
        </w:rPr>
        <w:t>承担；</w:t>
      </w:r>
    </w:p>
    <w:p w14:paraId="2508D8F6">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（2）无负荷联动试车费用由</w:t>
      </w:r>
      <w:r>
        <w:rPr>
          <w:rFonts w:hint="eastAsia" w:ascii="仿宋" w:hAnsi="仿宋" w:eastAsia="仿宋" w:cs="仿宋"/>
          <w:color w:val="000000" w:themeColor="text1"/>
          <w:sz w:val="24"/>
          <w:szCs w:val="24"/>
          <w:u w:val="single"/>
          <w14:textFill>
            <w14:solidFill>
              <w14:schemeClr w14:val="tx1"/>
            </w14:solidFill>
          </w14:textFill>
        </w:rPr>
        <w:t>承包人</w:t>
      </w:r>
      <w:r>
        <w:rPr>
          <w:rFonts w:hint="eastAsia" w:ascii="仿宋" w:hAnsi="仿宋" w:eastAsia="仿宋" w:cs="仿宋"/>
          <w:color w:val="000000" w:themeColor="text1"/>
          <w:sz w:val="24"/>
          <w:szCs w:val="24"/>
          <w14:textFill>
            <w14:solidFill>
              <w14:schemeClr w14:val="tx1"/>
            </w14:solidFill>
          </w14:textFill>
        </w:rPr>
        <w:t>承担。</w:t>
      </w:r>
    </w:p>
    <w:p w14:paraId="299CC623">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13.3.3投料试车</w:t>
      </w:r>
    </w:p>
    <w:p w14:paraId="30E38C6A">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关于投料试车相关事项的约定：</w:t>
      </w:r>
      <w:r>
        <w:rPr>
          <w:rFonts w:hint="eastAsia" w:ascii="仿宋" w:hAnsi="仿宋" w:eastAsia="仿宋" w:cs="仿宋"/>
          <w:color w:val="000000" w:themeColor="text1"/>
          <w:sz w:val="24"/>
          <w:szCs w:val="24"/>
          <w:u w:val="single"/>
          <w14:textFill>
            <w14:solidFill>
              <w14:schemeClr w14:val="tx1"/>
            </w14:solidFill>
          </w14:textFill>
        </w:rPr>
        <w:t>按通用合同条款</w:t>
      </w:r>
      <w:r>
        <w:rPr>
          <w:rFonts w:hint="eastAsia" w:ascii="仿宋" w:hAnsi="仿宋" w:eastAsia="仿宋" w:cs="仿宋"/>
          <w:color w:val="000000" w:themeColor="text1"/>
          <w:sz w:val="24"/>
          <w:szCs w:val="24"/>
          <w14:textFill>
            <w14:solidFill>
              <w14:schemeClr w14:val="tx1"/>
            </w14:solidFill>
          </w14:textFill>
        </w:rPr>
        <w:t>。</w:t>
      </w:r>
    </w:p>
    <w:p w14:paraId="66A42ECE">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13.6竣工退场</w:t>
      </w:r>
    </w:p>
    <w:p w14:paraId="2E26B75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13.6.1竣工退场</w:t>
      </w:r>
    </w:p>
    <w:p w14:paraId="1AF02ED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承包人完成竣工退场的期限：</w:t>
      </w:r>
      <w:r>
        <w:rPr>
          <w:rFonts w:hint="eastAsia" w:ascii="仿宋" w:hAnsi="仿宋" w:eastAsia="仿宋" w:cs="仿宋"/>
          <w:color w:val="000000" w:themeColor="text1"/>
          <w:sz w:val="24"/>
          <w:szCs w:val="24"/>
          <w:u w:val="single"/>
          <w14:textFill>
            <w14:solidFill>
              <w14:schemeClr w14:val="tx1"/>
            </w14:solidFill>
          </w14:textFill>
        </w:rPr>
        <w:t>监理人颁发（出具）工程接收证书后7日内，承包人负责按照通用合同条款本项约定的要求对施工场地进行清理并承担相关费用，如承包人到期后不退场，发包人有权安排其他人员进行清理，费用从承包人工程款中扣除，因此造成承包人财物损失的，由承包人自行承担</w:t>
      </w:r>
      <w:r>
        <w:rPr>
          <w:rFonts w:hint="eastAsia" w:ascii="仿宋" w:hAnsi="仿宋" w:eastAsia="仿宋" w:cs="仿宋"/>
          <w:color w:val="000000" w:themeColor="text1"/>
          <w:sz w:val="24"/>
          <w:szCs w:val="24"/>
          <w14:textFill>
            <w14:solidFill>
              <w14:schemeClr w14:val="tx1"/>
            </w14:solidFill>
          </w14:textFill>
        </w:rPr>
        <w:t>。</w:t>
      </w:r>
    </w:p>
    <w:p w14:paraId="37AC3728">
      <w:pPr>
        <w:pStyle w:val="4"/>
        <w:spacing w:line="240" w:lineRule="auto"/>
        <w:rPr>
          <w:rFonts w:hint="eastAsia" w:ascii="仿宋" w:hAnsi="仿宋" w:eastAsia="仿宋" w:cs="仿宋"/>
          <w:color w:val="000000" w:themeColor="text1"/>
          <w14:textFill>
            <w14:solidFill>
              <w14:schemeClr w14:val="tx1"/>
            </w14:solidFill>
          </w14:textFill>
        </w:rPr>
      </w:pPr>
      <w:bookmarkStart w:id="257" w:name="_Toc193815659"/>
      <w:r>
        <w:rPr>
          <w:rFonts w:hint="eastAsia" w:ascii="仿宋" w:hAnsi="仿宋" w:eastAsia="仿宋" w:cs="仿宋"/>
          <w:color w:val="000000" w:themeColor="text1"/>
          <w14:textFill>
            <w14:solidFill>
              <w14:schemeClr w14:val="tx1"/>
            </w14:solidFill>
          </w14:textFill>
        </w:rPr>
        <w:t>14.竣工结算</w:t>
      </w:r>
      <w:bookmarkEnd w:id="257"/>
    </w:p>
    <w:p w14:paraId="6AE15538">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14.1竣工付款申请</w:t>
      </w:r>
    </w:p>
    <w:p w14:paraId="3012423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承包人提交竣工付款申请单的期限：</w:t>
      </w:r>
      <w:r>
        <w:rPr>
          <w:rFonts w:hint="eastAsia" w:ascii="仿宋" w:hAnsi="仿宋" w:eastAsia="仿宋" w:cs="仿宋"/>
          <w:color w:val="000000" w:themeColor="text1"/>
          <w:sz w:val="24"/>
          <w:szCs w:val="24"/>
          <w:u w:val="single"/>
          <w14:textFill>
            <w14:solidFill>
              <w14:schemeClr w14:val="tx1"/>
            </w14:solidFill>
          </w14:textFill>
        </w:rPr>
        <w:t>工程竣工验收报告经发包人认可后28天内，承包人向发包人递交竣工验收合格资料及完整的结算资料和报告，双方按照本工程合同约定的价格形式及价款调整办法进行工程竣工结算。如承包人逾期递交竣工验收合格资料及完整的结算资料和报告，每延误一天，按签约合同价的0.02%计算逾期违约金，违约金直接从结算款中扣除。违约金上限：签约合同价扣除发包人材料价款、暂估专业工程、暂列金额后的2%</w:t>
      </w:r>
      <w:r>
        <w:rPr>
          <w:rFonts w:hint="eastAsia" w:ascii="仿宋" w:hAnsi="仿宋" w:eastAsia="仿宋" w:cs="仿宋"/>
          <w:color w:val="000000" w:themeColor="text1"/>
          <w:sz w:val="24"/>
          <w:szCs w:val="24"/>
          <w14:textFill>
            <w14:solidFill>
              <w14:schemeClr w14:val="tx1"/>
            </w14:solidFill>
          </w14:textFill>
        </w:rPr>
        <w:t>。</w:t>
      </w:r>
    </w:p>
    <w:p w14:paraId="300065F5">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竣工付款申请单应包括的内容：</w:t>
      </w:r>
      <w:r>
        <w:rPr>
          <w:rFonts w:hint="eastAsia" w:ascii="仿宋" w:hAnsi="仿宋" w:eastAsia="仿宋" w:cs="仿宋"/>
          <w:color w:val="000000" w:themeColor="text1"/>
          <w:sz w:val="24"/>
          <w:szCs w:val="24"/>
          <w:u w:val="single"/>
          <w14:textFill>
            <w14:solidFill>
              <w14:schemeClr w14:val="tx1"/>
            </w14:solidFill>
          </w14:textFill>
        </w:rPr>
        <w:t>竣工结算由承包人提交相关结算资料，包括但不限于工程结算书及工程量计算底稿；采购文件、响应文件、成交通知书、建设工程质量竣工验收意见书、合同、工程量清单、签证单及工作联系函等资料；电子文档（含计算量底稿及结算书）。</w:t>
      </w:r>
    </w:p>
    <w:p w14:paraId="53E0C71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承包人提交竣工付款申请单的期限：承包人应在工程竣工结算审定完成后28天内向发包人和监理人提交竣工付款申请单。</w:t>
      </w:r>
    </w:p>
    <w:p w14:paraId="69419A4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竣工付款申请单应包括的内容：（1）竣工结算合同价格；（2）发包人已支付承包人的款项；（3）应扣留的质量保证金。已缴纳履约保证金的或提供其他工程质量担保方式的除外；（4）发包人应支付承包人的合同价款。</w:t>
      </w:r>
    </w:p>
    <w:p w14:paraId="63B7D194">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14.2竣工结算审核</w:t>
      </w:r>
    </w:p>
    <w:p w14:paraId="6595FA3B">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为了保证工程结算的严肃性，承包人必须在递交竣工结算资料前做好充分的准备：</w:t>
      </w:r>
    </w:p>
    <w:p w14:paraId="44DC667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承包人保证一次性将完整的竣工结算资料（包括所有的签证单、联系单等）递交给发包人，在结算审核过程中，发包人将不再接受承包人补充的资料。否则，承包人必须按补充资料送审价的10%支付违约金。结算资料中不合格（变更内容不明确、签字单位不齐全等）的变更签证，承包人同意按无效签证处理。</w:t>
      </w:r>
    </w:p>
    <w:p w14:paraId="524B2C52">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（2）承包人报送的工程结算价（以下简称送审价），与发包人最终审定的工程结算价（以下简称审定价）相比，其误差率=（送审价/审定价－1）×100%＜5%以内，否则承包人应当承担违约责任。</w:t>
      </w:r>
    </w:p>
    <w:p w14:paraId="4694CA36">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3）承包人应当对提交的工程竣工结算价的准确性、真实性负责，按以上第（2）如送审价≥审定价的1.05倍，承包人承担违约责任并支付违约金，违约金＝（送审价－1.05×审定价）×10%＋（送审价－1.05×审定价）×3.5%。违约金由发包人从承包人工程结算款中扣除。</w:t>
      </w:r>
    </w:p>
    <w:p w14:paraId="60BC309F">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4）发包人竣工结算报告审查时间：按《建设工程价款结算暂行办法》（财建（2004）369号）规定执行，承包人必须及时向发包人递交竣工结算报告及完整合格的结算资料，因承包人提供的结算资料不完整或不合格而需要补充或承包人不按时对账耽误时间时，审查时间应相应顺延；承包人必须跟发包人委托的审计单位核对结算价。</w:t>
      </w:r>
    </w:p>
    <w:p w14:paraId="4A1E553D">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发包人审批竣工结算资料的期限：</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543"/>
        <w:gridCol w:w="5380"/>
      </w:tblGrid>
      <w:tr w14:paraId="3E6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35EA506B">
            <w:pPr>
              <w:pStyle w:val="169"/>
              <w:jc w:val="center"/>
              <w:rPr>
                <w:rFonts w:hint="eastAsia" w:ascii="仿宋" w:hAnsi="仿宋" w:eastAsia="仿宋" w:cs="仿宋"/>
                <w:color w:val="000000" w:themeColor="text1"/>
                <w:sz w:val="24"/>
                <w:szCs w:val="24"/>
                <w14:textFill>
                  <w14:solidFill>
                    <w14:schemeClr w14:val="tx1"/>
                  </w14:solidFill>
                </w14:textFill>
              </w:rPr>
            </w:pPr>
          </w:p>
        </w:tc>
        <w:tc>
          <w:tcPr>
            <w:tcW w:w="3543" w:type="dxa"/>
            <w:vAlign w:val="center"/>
          </w:tcPr>
          <w:p w14:paraId="2715988F">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工程竣工结算报告金额</w:t>
            </w:r>
          </w:p>
        </w:tc>
        <w:tc>
          <w:tcPr>
            <w:tcW w:w="5380" w:type="dxa"/>
            <w:vAlign w:val="center"/>
          </w:tcPr>
          <w:p w14:paraId="229914C5">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发包人审查时间</w:t>
            </w:r>
          </w:p>
        </w:tc>
      </w:tr>
      <w:tr w14:paraId="3FBB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78A9CA05">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543" w:type="dxa"/>
            <w:vAlign w:val="center"/>
          </w:tcPr>
          <w:p w14:paraId="1FAE58BB">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500万元以下</w:t>
            </w:r>
          </w:p>
        </w:tc>
        <w:tc>
          <w:tcPr>
            <w:tcW w:w="5380" w:type="dxa"/>
            <w:vAlign w:val="center"/>
          </w:tcPr>
          <w:p w14:paraId="100824D8">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从接到竣工结算报告和完整的竣工结算资料之日起20天</w:t>
            </w:r>
          </w:p>
        </w:tc>
      </w:tr>
      <w:tr w14:paraId="4428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4E0A37BC">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3543" w:type="dxa"/>
            <w:vAlign w:val="center"/>
          </w:tcPr>
          <w:p w14:paraId="76D74CEA">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500万元-2000万元</w:t>
            </w:r>
          </w:p>
        </w:tc>
        <w:tc>
          <w:tcPr>
            <w:tcW w:w="5380" w:type="dxa"/>
            <w:vAlign w:val="center"/>
          </w:tcPr>
          <w:p w14:paraId="67B38B19">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从接到竣工结算报告和完整的竣工结算资料之日起30天</w:t>
            </w:r>
          </w:p>
        </w:tc>
      </w:tr>
      <w:tr w14:paraId="47DC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194E9E84">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3543" w:type="dxa"/>
            <w:vAlign w:val="center"/>
          </w:tcPr>
          <w:p w14:paraId="0D47675C">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2000万元-5000万元</w:t>
            </w:r>
          </w:p>
        </w:tc>
        <w:tc>
          <w:tcPr>
            <w:tcW w:w="5380" w:type="dxa"/>
            <w:vAlign w:val="center"/>
          </w:tcPr>
          <w:p w14:paraId="568DEBB6">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从接到竣工结算报告和完整的竣工结算资料之日起45天</w:t>
            </w:r>
          </w:p>
        </w:tc>
      </w:tr>
      <w:tr w14:paraId="37B9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510D3217">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3543" w:type="dxa"/>
            <w:vAlign w:val="center"/>
          </w:tcPr>
          <w:p w14:paraId="1E3E7982">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5000万元以上</w:t>
            </w:r>
          </w:p>
        </w:tc>
        <w:tc>
          <w:tcPr>
            <w:tcW w:w="5380" w:type="dxa"/>
            <w:vAlign w:val="center"/>
          </w:tcPr>
          <w:p w14:paraId="5A4D009B">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从接到竣工结算报告和完整的竣工结算资料之日起60天</w:t>
            </w:r>
          </w:p>
        </w:tc>
      </w:tr>
      <w:tr w14:paraId="6052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dxa"/>
            <w:vAlign w:val="center"/>
          </w:tcPr>
          <w:p w14:paraId="72119451">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543" w:type="dxa"/>
            <w:vAlign w:val="center"/>
          </w:tcPr>
          <w:p w14:paraId="5AD64B06">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5000万以上每增加0.5亿（不足0.5亿不增加）</w:t>
            </w:r>
          </w:p>
        </w:tc>
        <w:tc>
          <w:tcPr>
            <w:tcW w:w="5380" w:type="dxa"/>
            <w:vAlign w:val="center"/>
          </w:tcPr>
          <w:p w14:paraId="142A6F7B">
            <w:pPr>
              <w:pStyle w:val="169"/>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增加10天</w:t>
            </w:r>
          </w:p>
        </w:tc>
      </w:tr>
    </w:tbl>
    <w:p w14:paraId="7FD7179C">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因承包人提供的结算资料不完整而需要补充或承包人不按时对账耽误时间时，审查时间应相应顺延。</w:t>
      </w:r>
    </w:p>
    <w:p w14:paraId="09C3622C">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（5）对符合财政投资评审范围内的项目，按财政评审有关文件规定执行，竣工结算以财政评审意见为准。</w:t>
      </w:r>
    </w:p>
    <w:p w14:paraId="74582DCA">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（6）承包人对发包人确认的结算价款或审核意见有异议的，应在收到发包人确认的价款或审核意见之日起30天内提出异议，必要时合同当事人要当面核对，直至完成工程竣工结算。</w:t>
      </w:r>
    </w:p>
    <w:p w14:paraId="37FAC4F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（7）承包人所编制的工程竣工资料经发包人审核后，送到财政部门之日起，承包人所遗漏的与工程造价有关的签证不再作为结算审核依据，按自动放弃处理。</w:t>
      </w:r>
    </w:p>
    <w:p w14:paraId="612E4C67">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（8）承包人必须提供完整、真实的隐蔽工程原始施工、验收记录。如发现承包人提供的隐蔽工程资料与实际不符时，按不利于承包人原则结算。</w:t>
      </w:r>
    </w:p>
    <w:p w14:paraId="0BDACFC0">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9）安全生产责任保险费按《自治区住房城乡建设厅关于印发广西壮族自治区房屋建筑和市政基础设施工程安全生产责任保险计价规定的通知》（桂建发〔2023〕6号）计算，工程结算时，由发承包双方根据工程实际情况确认的安全生产责任保险费进行结算。</w:t>
      </w:r>
    </w:p>
    <w:p w14:paraId="1DC21253">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发包人完成竣工付款的期限：发包人收到承包人提交的竣工付款申请单后28天内。</w:t>
      </w:r>
    </w:p>
    <w:p w14:paraId="681403C0">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承包人有以下情形的，发包人有权在竣工结算审核完成后的下一年度再支付剩余工程款。</w:t>
      </w:r>
    </w:p>
    <w:p w14:paraId="79479E44">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1）因承包人原因导致工期延误，造成实际竣工日期超过合同约定的竣工日期所属年度。</w:t>
      </w:r>
    </w:p>
    <w:p w14:paraId="2EE6D66B">
      <w:pPr>
        <w:pStyle w:val="169"/>
        <w:spacing w:line="360" w:lineRule="auto"/>
        <w:ind w:firstLine="48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2）因承包人不按合同约定的时限提供完整的竣工结算资料导致竣工结算延误，造成发包人竣工结算审核完成日期超过合同约定的竣工结算审核完成日期所属年度。</w:t>
      </w:r>
    </w:p>
    <w:p w14:paraId="0DDE16B2">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14.4最终结清</w:t>
      </w:r>
    </w:p>
    <w:p w14:paraId="7A30F59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14.4.1最终结清申请单</w:t>
      </w:r>
    </w:p>
    <w:p w14:paraId="5F9A2D2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承包人提交最终结清申请单的份数：</w:t>
      </w:r>
      <w:r>
        <w:rPr>
          <w:rFonts w:hint="eastAsia" w:ascii="仿宋" w:hAnsi="仿宋" w:eastAsia="仿宋" w:cs="仿宋"/>
          <w:color w:val="000000" w:themeColor="text1"/>
          <w:sz w:val="24"/>
          <w:szCs w:val="24"/>
          <w:u w:val="single"/>
          <w14:textFill>
            <w14:solidFill>
              <w14:schemeClr w14:val="tx1"/>
            </w14:solidFill>
          </w14:textFill>
        </w:rPr>
        <w:t>四份</w:t>
      </w:r>
      <w:r>
        <w:rPr>
          <w:rFonts w:hint="eastAsia" w:ascii="仿宋" w:hAnsi="仿宋" w:eastAsia="仿宋" w:cs="仿宋"/>
          <w:color w:val="000000" w:themeColor="text1"/>
          <w:sz w:val="24"/>
          <w:szCs w:val="24"/>
          <w14:textFill>
            <w14:solidFill>
              <w14:schemeClr w14:val="tx1"/>
            </w14:solidFill>
          </w14:textFill>
        </w:rPr>
        <w:t>。</w:t>
      </w:r>
    </w:p>
    <w:p w14:paraId="3602803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承包人提交最终结算申请单的期限：</w:t>
      </w:r>
      <w:r>
        <w:rPr>
          <w:rFonts w:hint="eastAsia" w:ascii="仿宋" w:hAnsi="仿宋" w:eastAsia="仿宋" w:cs="仿宋"/>
          <w:color w:val="000000" w:themeColor="text1"/>
          <w:sz w:val="24"/>
          <w:szCs w:val="24"/>
          <w:u w:val="single"/>
          <w14:textFill>
            <w14:solidFill>
              <w14:schemeClr w14:val="tx1"/>
            </w14:solidFill>
          </w14:textFill>
        </w:rPr>
        <w:t>执行通用条款</w:t>
      </w:r>
      <w:r>
        <w:rPr>
          <w:rFonts w:hint="eastAsia" w:ascii="仿宋" w:hAnsi="仿宋" w:eastAsia="仿宋" w:cs="仿宋"/>
          <w:color w:val="000000" w:themeColor="text1"/>
          <w:sz w:val="24"/>
          <w:szCs w:val="24"/>
          <w14:textFill>
            <w14:solidFill>
              <w14:schemeClr w14:val="tx1"/>
            </w14:solidFill>
          </w14:textFill>
        </w:rPr>
        <w:t>。</w:t>
      </w:r>
    </w:p>
    <w:p w14:paraId="0F8E23B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最终结算款支付申请（核准）表见合同附件。</w:t>
      </w:r>
    </w:p>
    <w:p w14:paraId="0C9FBA4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14.4.2最终结清证书和支付</w:t>
      </w:r>
    </w:p>
    <w:p w14:paraId="7E673D8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（1）发包人完成最终结清申请单的审批并颁发最终结清证书的期限：</w:t>
      </w:r>
      <w:r>
        <w:rPr>
          <w:rFonts w:hint="eastAsia" w:ascii="仿宋" w:hAnsi="仿宋" w:eastAsia="仿宋" w:cs="仿宋"/>
          <w:color w:val="000000" w:themeColor="text1"/>
          <w:sz w:val="24"/>
          <w:szCs w:val="24"/>
          <w:u w:val="single"/>
          <w14:textFill>
            <w14:solidFill>
              <w14:schemeClr w14:val="tx1"/>
            </w14:solidFill>
          </w14:textFill>
        </w:rPr>
        <w:t>执行通用条款</w:t>
      </w:r>
      <w:r>
        <w:rPr>
          <w:rFonts w:hint="eastAsia" w:ascii="仿宋" w:hAnsi="仿宋" w:eastAsia="仿宋" w:cs="仿宋"/>
          <w:color w:val="000000" w:themeColor="text1"/>
          <w:sz w:val="24"/>
          <w:szCs w:val="24"/>
          <w14:textFill>
            <w14:solidFill>
              <w14:schemeClr w14:val="tx1"/>
            </w14:solidFill>
          </w14:textFill>
        </w:rPr>
        <w:t>。</w:t>
      </w:r>
    </w:p>
    <w:p w14:paraId="2F7D0E2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（2）发包人完成支付的期限：</w:t>
      </w:r>
      <w:r>
        <w:rPr>
          <w:rFonts w:hint="eastAsia" w:ascii="仿宋" w:hAnsi="仿宋" w:eastAsia="仿宋" w:cs="仿宋"/>
          <w:color w:val="000000" w:themeColor="text1"/>
          <w:sz w:val="24"/>
          <w:szCs w:val="24"/>
          <w:u w:val="single"/>
          <w14:textFill>
            <w14:solidFill>
              <w14:schemeClr w14:val="tx1"/>
            </w14:solidFill>
          </w14:textFill>
        </w:rPr>
        <w:t>缺陷责任期满，且证书颁发后14天内</w:t>
      </w:r>
      <w:r>
        <w:rPr>
          <w:rFonts w:hint="eastAsia" w:ascii="仿宋" w:hAnsi="仿宋" w:eastAsia="仿宋" w:cs="仿宋"/>
          <w:color w:val="000000" w:themeColor="text1"/>
          <w:sz w:val="24"/>
          <w:szCs w:val="24"/>
          <w14:textFill>
            <w14:solidFill>
              <w14:schemeClr w14:val="tx1"/>
            </w14:solidFill>
          </w14:textFill>
        </w:rPr>
        <w:t>。</w:t>
      </w:r>
    </w:p>
    <w:p w14:paraId="61595EE9">
      <w:pPr>
        <w:pStyle w:val="4"/>
        <w:spacing w:line="240" w:lineRule="auto"/>
        <w:rPr>
          <w:rFonts w:hint="eastAsia" w:ascii="仿宋" w:hAnsi="仿宋" w:eastAsia="仿宋" w:cs="仿宋"/>
          <w:color w:val="000000" w:themeColor="text1"/>
          <w14:textFill>
            <w14:solidFill>
              <w14:schemeClr w14:val="tx1"/>
            </w14:solidFill>
          </w14:textFill>
        </w:rPr>
      </w:pPr>
      <w:bookmarkStart w:id="258" w:name="_Toc193815660"/>
      <w:r>
        <w:rPr>
          <w:rFonts w:hint="eastAsia" w:ascii="仿宋" w:hAnsi="仿宋" w:eastAsia="仿宋" w:cs="仿宋"/>
          <w:color w:val="000000" w:themeColor="text1"/>
          <w14:textFill>
            <w14:solidFill>
              <w14:schemeClr w14:val="tx1"/>
            </w14:solidFill>
          </w14:textFill>
        </w:rPr>
        <w:t>15.缺陷责任期与保修</w:t>
      </w:r>
      <w:bookmarkEnd w:id="258"/>
    </w:p>
    <w:p w14:paraId="75782187">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15.2缺陷责任期</w:t>
      </w:r>
    </w:p>
    <w:p w14:paraId="469F454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缺陷责任期的具体期限：</w:t>
      </w:r>
      <w:r>
        <w:rPr>
          <w:rFonts w:hint="eastAsia" w:ascii="仿宋" w:hAnsi="仿宋" w:eastAsia="仿宋" w:cs="仿宋"/>
          <w:color w:val="000000" w:themeColor="text1"/>
          <w:sz w:val="24"/>
          <w:szCs w:val="24"/>
          <w:u w:val="single"/>
          <w14:textFill>
            <w14:solidFill>
              <w14:schemeClr w14:val="tx1"/>
            </w14:solidFill>
          </w14:textFill>
        </w:rPr>
        <w:t>24个月</w:t>
      </w:r>
      <w:r>
        <w:rPr>
          <w:rFonts w:hint="eastAsia" w:ascii="仿宋" w:hAnsi="仿宋" w:eastAsia="仿宋" w:cs="仿宋"/>
          <w:color w:val="000000" w:themeColor="text1"/>
          <w:sz w:val="24"/>
          <w:szCs w:val="24"/>
          <w14:textFill>
            <w14:solidFill>
              <w14:schemeClr w14:val="tx1"/>
            </w14:solidFill>
          </w14:textFill>
        </w:rPr>
        <w:t>。</w:t>
      </w:r>
    </w:p>
    <w:p w14:paraId="2F470766">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15.3质量保证金</w:t>
      </w:r>
    </w:p>
    <w:p w14:paraId="5F09F92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关于是否扣留质量保证金的约定：</w:t>
      </w:r>
      <w:r>
        <w:rPr>
          <w:rFonts w:hint="eastAsia" w:ascii="仿宋" w:hAnsi="仿宋" w:eastAsia="仿宋" w:cs="仿宋"/>
          <w:color w:val="000000" w:themeColor="text1"/>
          <w:sz w:val="24"/>
          <w:szCs w:val="24"/>
          <w:u w:val="single"/>
          <w14:textFill>
            <w14:solidFill>
              <w14:schemeClr w14:val="tx1"/>
            </w14:solidFill>
          </w14:textFill>
        </w:rPr>
        <w:t>是</w:t>
      </w:r>
      <w:r>
        <w:rPr>
          <w:rFonts w:hint="eastAsia" w:ascii="仿宋" w:hAnsi="仿宋" w:eastAsia="仿宋" w:cs="仿宋"/>
          <w:color w:val="000000" w:themeColor="text1"/>
          <w:sz w:val="24"/>
          <w:szCs w:val="24"/>
          <w14:textFill>
            <w14:solidFill>
              <w14:schemeClr w14:val="tx1"/>
            </w14:solidFill>
          </w14:textFill>
        </w:rPr>
        <w:t>。</w:t>
      </w:r>
    </w:p>
    <w:p w14:paraId="07BAE19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在工程项目竣工前，承包人按专用合同条款第3.7条提供履约担保的，发包人不得同时预留工程质量保证金。</w:t>
      </w:r>
    </w:p>
    <w:p w14:paraId="6263D95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15.3.1承包人提供质量保证金的方式</w:t>
      </w:r>
    </w:p>
    <w:p w14:paraId="35C8D27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质量保证金采用以下第</w:t>
      </w:r>
      <w:r>
        <w:rPr>
          <w:rFonts w:hint="eastAsia" w:ascii="仿宋" w:hAnsi="仿宋" w:eastAsia="仿宋" w:cs="仿宋"/>
          <w:color w:val="000000" w:themeColor="text1"/>
          <w:sz w:val="24"/>
          <w:szCs w:val="24"/>
          <w:u w:val="single"/>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种方式：</w:t>
      </w:r>
    </w:p>
    <w:p w14:paraId="7A9DE6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（1）质量保证金保函（银行保函、电子保函、保证保险保函、工程担保保函），保证金额为：______；</w:t>
      </w:r>
    </w:p>
    <w:p w14:paraId="0B35CAF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（2）发包人按工程价款结算总额的</w:t>
      </w:r>
      <w:r>
        <w:rPr>
          <w:rFonts w:hint="eastAsia" w:ascii="仿宋" w:hAnsi="仿宋" w:eastAsia="仿宋" w:cs="仿宋"/>
          <w:color w:val="000000" w:themeColor="text1"/>
          <w:sz w:val="24"/>
          <w:szCs w:val="24"/>
          <w:u w:val="single"/>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%（不得超过3%）预留工程质量保证金，待缺陷责任期满后返还，是否付息及利息计算方式为：</w:t>
      </w:r>
      <w:r>
        <w:rPr>
          <w:rFonts w:hint="eastAsia" w:ascii="仿宋" w:hAnsi="仿宋" w:eastAsia="仿宋" w:cs="仿宋"/>
          <w:color w:val="000000" w:themeColor="text1"/>
          <w:sz w:val="24"/>
          <w:szCs w:val="24"/>
          <w:u w:val="single"/>
          <w14:textFill>
            <w14:solidFill>
              <w14:schemeClr w14:val="tx1"/>
            </w14:solidFill>
          </w14:textFill>
        </w:rPr>
        <w:t>不计取利息</w:t>
      </w:r>
      <w:r>
        <w:rPr>
          <w:rFonts w:hint="eastAsia" w:ascii="仿宋" w:hAnsi="仿宋" w:eastAsia="仿宋" w:cs="仿宋"/>
          <w:color w:val="000000" w:themeColor="text1"/>
          <w:sz w:val="24"/>
          <w:szCs w:val="24"/>
          <w14:textFill>
            <w14:solidFill>
              <w14:schemeClr w14:val="tx1"/>
            </w14:solidFill>
          </w14:textFill>
        </w:rPr>
        <w:t>；</w:t>
      </w:r>
    </w:p>
    <w:p w14:paraId="24FAA8E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（3）其他方式：工程项目验收合格后，承包人按合同金额3%向发包人缴纳质量保证金（</w:t>
      </w:r>
      <w:r>
        <w:rPr>
          <w:rFonts w:hint="eastAsia" w:ascii="仿宋" w:hAnsi="仿宋" w:eastAsia="仿宋" w:cs="仿宋"/>
          <w:color w:val="000000" w:themeColor="text1"/>
          <w:sz w:val="24"/>
          <w:szCs w:val="24"/>
          <w:u w:val="single"/>
          <w14:textFill>
            <w14:solidFill>
              <w14:schemeClr w14:val="tx1"/>
            </w14:solidFill>
          </w14:textFill>
        </w:rPr>
        <w:t>可以是银行转账、电汇、保函等形式</w:t>
      </w:r>
      <w:r>
        <w:rPr>
          <w:rFonts w:hint="eastAsia" w:ascii="仿宋" w:hAnsi="仿宋" w:eastAsia="仿宋" w:cs="仿宋"/>
          <w:color w:val="000000" w:themeColor="text1"/>
          <w:sz w:val="24"/>
          <w:szCs w:val="24"/>
          <w14:textFill>
            <w14:solidFill>
              <w14:schemeClr w14:val="tx1"/>
            </w14:solidFill>
          </w14:textFill>
        </w:rPr>
        <w:t>），待缺陷责任期满后无息返还；</w:t>
      </w:r>
    </w:p>
    <w:p w14:paraId="26F7BA3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15.3.2质量保证金的扣留</w:t>
      </w:r>
    </w:p>
    <w:p w14:paraId="1C76B9E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质量保证金的扣留采取以下第</w:t>
      </w:r>
      <w:r>
        <w:rPr>
          <w:rFonts w:hint="eastAsia" w:ascii="仿宋" w:hAnsi="仿宋" w:eastAsia="仿宋" w:cs="仿宋"/>
          <w:color w:val="000000" w:themeColor="text1"/>
          <w:sz w:val="24"/>
          <w:szCs w:val="24"/>
          <w:u w:val="single"/>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种方式：</w:t>
      </w:r>
    </w:p>
    <w:p w14:paraId="2B22205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（1）在不缴纳履约保证金情况下，按支付工程进度款时逐次扣留，质量保证金的计算基数不包括预付款的支付、扣回以及价格调整的金额；</w:t>
      </w:r>
    </w:p>
    <w:p w14:paraId="461D8DE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（2）工程竣工结算时，一次性扣留质量保证金；</w:t>
      </w:r>
    </w:p>
    <w:p w14:paraId="340CA99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（3）其他扣留方式：银行转账、电汇或网上支付、保函（银行保函、电子保函、保证保险保函、工程担保保函）等形式。</w:t>
      </w:r>
    </w:p>
    <w:p w14:paraId="6FFC8B1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关于质量保证金的补充约定：</w:t>
      </w:r>
      <w:r>
        <w:rPr>
          <w:rFonts w:hint="eastAsia" w:ascii="仿宋" w:hAnsi="仿宋" w:eastAsia="仿宋" w:cs="仿宋"/>
          <w:color w:val="000000" w:themeColor="text1"/>
          <w:sz w:val="24"/>
          <w:szCs w:val="24"/>
          <w:u w:val="single"/>
          <w14:textFill>
            <w14:solidFill>
              <w14:schemeClr w14:val="tx1"/>
            </w14:solidFill>
          </w14:textFill>
        </w:rPr>
        <w:t>缺陷责任期内，如发生属承包人责任的质量问题，按工程质量保修书约定执行。承包人未按照法律法规有关规定和合同约定履行质量保修义务的，发包人有权从质量保证金中扣留用于质量保修的各项支出；若质量保证金不足以抵扣实际支出费用，发包人有权要求承包人补足差额</w:t>
      </w:r>
      <w:r>
        <w:rPr>
          <w:rFonts w:hint="eastAsia" w:ascii="仿宋" w:hAnsi="仿宋" w:eastAsia="仿宋" w:cs="仿宋"/>
          <w:color w:val="000000" w:themeColor="text1"/>
          <w:sz w:val="24"/>
          <w:szCs w:val="24"/>
          <w14:textFill>
            <w14:solidFill>
              <w14:schemeClr w14:val="tx1"/>
            </w14:solidFill>
          </w14:textFill>
        </w:rPr>
        <w:t>。</w:t>
      </w:r>
    </w:p>
    <w:p w14:paraId="4EE853C0">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15.4保修</w:t>
      </w:r>
    </w:p>
    <w:p w14:paraId="042C6F5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15.4.1保修责任</w:t>
      </w:r>
    </w:p>
    <w:p w14:paraId="300B04C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工程保修期为：</w:t>
      </w:r>
      <w:r>
        <w:rPr>
          <w:rFonts w:hint="eastAsia" w:ascii="仿宋" w:hAnsi="仿宋" w:eastAsia="仿宋" w:cs="仿宋"/>
          <w:color w:val="000000" w:themeColor="text1"/>
          <w:sz w:val="24"/>
          <w:szCs w:val="24"/>
          <w:u w:val="single"/>
          <w14:textFill>
            <w14:solidFill>
              <w14:schemeClr w14:val="tx1"/>
            </w14:solidFill>
          </w14:textFill>
        </w:rPr>
        <w:t>见工程质量保修书</w:t>
      </w:r>
      <w:r>
        <w:rPr>
          <w:rFonts w:hint="eastAsia" w:ascii="仿宋" w:hAnsi="仿宋" w:eastAsia="仿宋" w:cs="仿宋"/>
          <w:color w:val="000000" w:themeColor="text1"/>
          <w:sz w:val="24"/>
          <w:szCs w:val="24"/>
          <w14:textFill>
            <w14:solidFill>
              <w14:schemeClr w14:val="tx1"/>
            </w14:solidFill>
          </w14:textFill>
        </w:rPr>
        <w:t>。</w:t>
      </w:r>
    </w:p>
    <w:p w14:paraId="030B613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工程保修书具体内容见合同附件2。</w:t>
      </w:r>
    </w:p>
    <w:p w14:paraId="79A118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15.4.3修复通知</w:t>
      </w:r>
    </w:p>
    <w:p w14:paraId="2DDF3998">
      <w:pPr>
        <w:spacing w:line="360" w:lineRule="auto"/>
        <w:ind w:firstLine="48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承包人收到保修通知并到达工程现场的合理时间：</w:t>
      </w:r>
      <w:r>
        <w:rPr>
          <w:rFonts w:hint="eastAsia" w:ascii="仿宋" w:hAnsi="仿宋" w:eastAsia="仿宋" w:cs="仿宋"/>
          <w:color w:val="000000" w:themeColor="text1"/>
          <w:sz w:val="24"/>
          <w:szCs w:val="24"/>
          <w:u w:val="single"/>
          <w14:textFill>
            <w14:solidFill>
              <w14:schemeClr w14:val="tx1"/>
            </w14:solidFill>
          </w14:textFill>
        </w:rPr>
        <w:t>收到通知后3天内</w:t>
      </w:r>
      <w:r>
        <w:rPr>
          <w:rFonts w:hint="eastAsia" w:ascii="仿宋" w:hAnsi="仿宋" w:eastAsia="仿宋" w:cs="仿宋"/>
          <w:color w:val="000000" w:themeColor="text1"/>
          <w:sz w:val="24"/>
          <w:szCs w:val="24"/>
          <w14:textFill>
            <w14:solidFill>
              <w14:schemeClr w14:val="tx1"/>
            </w14:solidFill>
          </w14:textFill>
        </w:rPr>
        <w:t>。</w:t>
      </w:r>
    </w:p>
    <w:p w14:paraId="684F6404">
      <w:pPr>
        <w:pStyle w:val="4"/>
        <w:spacing w:line="240" w:lineRule="auto"/>
        <w:rPr>
          <w:rFonts w:hint="eastAsia" w:ascii="仿宋" w:hAnsi="仿宋" w:eastAsia="仿宋" w:cs="仿宋"/>
          <w:color w:val="000000" w:themeColor="text1"/>
          <w14:textFill>
            <w14:solidFill>
              <w14:schemeClr w14:val="tx1"/>
            </w14:solidFill>
          </w14:textFill>
        </w:rPr>
      </w:pPr>
      <w:bookmarkStart w:id="259" w:name="_Toc193815661"/>
      <w:r>
        <w:rPr>
          <w:rFonts w:hint="eastAsia" w:ascii="仿宋" w:hAnsi="仿宋" w:eastAsia="仿宋" w:cs="仿宋"/>
          <w:color w:val="000000" w:themeColor="text1"/>
          <w14:textFill>
            <w14:solidFill>
              <w14:schemeClr w14:val="tx1"/>
            </w14:solidFill>
          </w14:textFill>
        </w:rPr>
        <w:t>16.违约</w:t>
      </w:r>
      <w:bookmarkEnd w:id="259"/>
    </w:p>
    <w:p w14:paraId="42032C29">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16.1发包人违约</w:t>
      </w:r>
    </w:p>
    <w:p w14:paraId="4C11EB5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16.1.1发包人违约的情形</w:t>
      </w:r>
    </w:p>
    <w:p w14:paraId="68AD50E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发包人违约的其他情形：</w:t>
      </w:r>
      <w:r>
        <w:rPr>
          <w:rFonts w:hint="eastAsia" w:ascii="仿宋" w:hAnsi="仿宋" w:eastAsia="仿宋" w:cs="仿宋"/>
          <w:color w:val="000000" w:themeColor="text1"/>
          <w:sz w:val="24"/>
          <w:szCs w:val="24"/>
          <w:u w:val="single"/>
          <w14:textFill>
            <w14:solidFill>
              <w14:schemeClr w14:val="tx1"/>
            </w14:solidFill>
          </w14:textFill>
        </w:rPr>
        <w:t>按本合同通用条款</w:t>
      </w:r>
      <w:r>
        <w:rPr>
          <w:rFonts w:hint="eastAsia" w:ascii="仿宋" w:hAnsi="仿宋" w:eastAsia="仿宋" w:cs="仿宋"/>
          <w:color w:val="000000" w:themeColor="text1"/>
          <w:sz w:val="24"/>
          <w:szCs w:val="24"/>
          <w14:textFill>
            <w14:solidFill>
              <w14:schemeClr w14:val="tx1"/>
            </w14:solidFill>
          </w14:textFill>
        </w:rPr>
        <w:t>。</w:t>
      </w:r>
    </w:p>
    <w:p w14:paraId="259C502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16.1.2发包人违约的责任</w:t>
      </w:r>
    </w:p>
    <w:p w14:paraId="689C110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发包人违约责任的承担方式和计算方法：</w:t>
      </w:r>
    </w:p>
    <w:p w14:paraId="509D0C6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（1）因发包人原因未能在计划开工日期前7天内下达开工通知的违约责任：</w:t>
      </w:r>
      <w:r>
        <w:rPr>
          <w:rFonts w:hint="eastAsia" w:ascii="仿宋" w:hAnsi="仿宋" w:eastAsia="仿宋" w:cs="仿宋"/>
          <w:color w:val="000000" w:themeColor="text1"/>
          <w:sz w:val="24"/>
          <w:szCs w:val="24"/>
          <w:u w:val="single"/>
          <w14:textFill>
            <w14:solidFill>
              <w14:schemeClr w14:val="tx1"/>
            </w14:solidFill>
          </w14:textFill>
        </w:rPr>
        <w:t>工期应顺延</w:t>
      </w:r>
      <w:r>
        <w:rPr>
          <w:rFonts w:hint="eastAsia" w:ascii="仿宋" w:hAnsi="仿宋" w:eastAsia="仿宋" w:cs="仿宋"/>
          <w:color w:val="000000" w:themeColor="text1"/>
          <w:sz w:val="24"/>
          <w:szCs w:val="24"/>
          <w14:textFill>
            <w14:solidFill>
              <w14:schemeClr w14:val="tx1"/>
            </w14:solidFill>
          </w14:textFill>
        </w:rPr>
        <w:t>。</w:t>
      </w:r>
    </w:p>
    <w:p w14:paraId="4230BF6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（2）因发包人原因未能按合同约定支付合同价款的违约责任：</w:t>
      </w:r>
      <w:r>
        <w:rPr>
          <w:rFonts w:hint="eastAsia" w:ascii="仿宋" w:hAnsi="仿宋" w:eastAsia="仿宋" w:cs="仿宋"/>
          <w:color w:val="000000" w:themeColor="text1"/>
          <w:sz w:val="24"/>
          <w:szCs w:val="24"/>
          <w:u w:val="single"/>
          <w14:textFill>
            <w14:solidFill>
              <w14:schemeClr w14:val="tx1"/>
            </w14:solidFill>
          </w14:textFill>
        </w:rPr>
        <w:t>承包人与发包人签订延期付款协议，延期付款协议须经承包人认可</w:t>
      </w:r>
      <w:r>
        <w:rPr>
          <w:rFonts w:hint="eastAsia" w:ascii="仿宋" w:hAnsi="仿宋" w:eastAsia="仿宋" w:cs="仿宋"/>
          <w:color w:val="000000" w:themeColor="text1"/>
          <w:sz w:val="24"/>
          <w:szCs w:val="24"/>
          <w14:textFill>
            <w14:solidFill>
              <w14:schemeClr w14:val="tx1"/>
            </w14:solidFill>
          </w14:textFill>
        </w:rPr>
        <w:t>。</w:t>
      </w:r>
    </w:p>
    <w:p w14:paraId="4FF9DB9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（3）发包人违反第10.1款〔变更的范围〕第（2）项约定，自行实施被取消的工作或转由他人实施的违约责任：</w:t>
      </w:r>
      <w:r>
        <w:rPr>
          <w:rFonts w:hint="eastAsia" w:ascii="仿宋" w:hAnsi="仿宋" w:eastAsia="仿宋" w:cs="仿宋"/>
          <w:color w:val="000000" w:themeColor="text1"/>
          <w:sz w:val="24"/>
          <w:szCs w:val="24"/>
          <w:u w:val="single"/>
          <w14:textFill>
            <w14:solidFill>
              <w14:schemeClr w14:val="tx1"/>
            </w14:solidFill>
          </w14:textFill>
        </w:rPr>
        <w:t>发包人只赔偿承包人因准备该部分工作而发生的合理费用，但不给予其它赔偿或补偿</w:t>
      </w:r>
      <w:r>
        <w:rPr>
          <w:rFonts w:hint="eastAsia" w:ascii="仿宋" w:hAnsi="仿宋" w:eastAsia="仿宋" w:cs="仿宋"/>
          <w:color w:val="000000" w:themeColor="text1"/>
          <w:sz w:val="24"/>
          <w:szCs w:val="24"/>
          <w14:textFill>
            <w14:solidFill>
              <w14:schemeClr w14:val="tx1"/>
            </w14:solidFill>
          </w14:textFill>
        </w:rPr>
        <w:t>。</w:t>
      </w:r>
    </w:p>
    <w:p w14:paraId="2B04E9A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themeColor="text1"/>
          <w:sz w:val="24"/>
          <w:szCs w:val="24"/>
          <w:u w:val="single"/>
          <w14:textFill>
            <w14:solidFill>
              <w14:schemeClr w14:val="tx1"/>
            </w14:solidFill>
          </w14:textFill>
        </w:rPr>
        <w:t>导致承包人无法正常施工的，工期按延误天数相应顺延</w:t>
      </w:r>
      <w:r>
        <w:rPr>
          <w:rFonts w:hint="eastAsia" w:ascii="仿宋" w:hAnsi="仿宋" w:eastAsia="仿宋" w:cs="仿宋"/>
          <w:color w:val="000000" w:themeColor="text1"/>
          <w:sz w:val="24"/>
          <w:szCs w:val="24"/>
          <w14:textFill>
            <w14:solidFill>
              <w14:schemeClr w14:val="tx1"/>
            </w14:solidFill>
          </w14:textFill>
        </w:rPr>
        <w:t>。</w:t>
      </w:r>
    </w:p>
    <w:p w14:paraId="526496D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（5）因发包人违反合同约定造成暂停施工的违约责任：</w:t>
      </w:r>
      <w:r>
        <w:rPr>
          <w:rFonts w:hint="eastAsia" w:ascii="仿宋" w:hAnsi="仿宋" w:eastAsia="仿宋" w:cs="仿宋"/>
          <w:color w:val="000000" w:themeColor="text1"/>
          <w:sz w:val="24"/>
          <w:szCs w:val="24"/>
          <w:u w:val="single"/>
          <w14:textFill>
            <w14:solidFill>
              <w14:schemeClr w14:val="tx1"/>
            </w14:solidFill>
          </w14:textFill>
        </w:rPr>
        <w:t>工期顺延</w:t>
      </w:r>
      <w:r>
        <w:rPr>
          <w:rFonts w:hint="eastAsia" w:ascii="仿宋" w:hAnsi="仿宋" w:eastAsia="仿宋" w:cs="仿宋"/>
          <w:color w:val="000000" w:themeColor="text1"/>
          <w:sz w:val="24"/>
          <w:szCs w:val="24"/>
          <w14:textFill>
            <w14:solidFill>
              <w14:schemeClr w14:val="tx1"/>
            </w14:solidFill>
          </w14:textFill>
        </w:rPr>
        <w:t>。</w:t>
      </w:r>
    </w:p>
    <w:p w14:paraId="75D5D78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（6）发包人无正当理由没有在约定期限内发出复工指示，导致承包人无法复工的违约责任：</w:t>
      </w:r>
      <w:r>
        <w:rPr>
          <w:rFonts w:hint="eastAsia" w:ascii="仿宋" w:hAnsi="仿宋" w:eastAsia="仿宋" w:cs="仿宋"/>
          <w:color w:val="000000" w:themeColor="text1"/>
          <w:sz w:val="24"/>
          <w:szCs w:val="24"/>
          <w:u w:val="single"/>
          <w14:textFill>
            <w14:solidFill>
              <w14:schemeClr w14:val="tx1"/>
            </w14:solidFill>
          </w14:textFill>
        </w:rPr>
        <w:t>可顺延工期，但发包人不赔偿其它损失</w:t>
      </w:r>
      <w:r>
        <w:rPr>
          <w:rFonts w:hint="eastAsia" w:ascii="仿宋" w:hAnsi="仿宋" w:eastAsia="仿宋" w:cs="仿宋"/>
          <w:color w:val="000000" w:themeColor="text1"/>
          <w:sz w:val="24"/>
          <w:szCs w:val="24"/>
          <w14:textFill>
            <w14:solidFill>
              <w14:schemeClr w14:val="tx1"/>
            </w14:solidFill>
          </w14:textFill>
        </w:rPr>
        <w:t>。</w:t>
      </w:r>
    </w:p>
    <w:p w14:paraId="05A0698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（7）其他：</w:t>
      </w:r>
      <w:r>
        <w:rPr>
          <w:rFonts w:hint="eastAsia" w:ascii="仿宋" w:hAnsi="仿宋" w:eastAsia="仿宋" w:cs="仿宋"/>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14:paraId="172992C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16.1.3因发包人违约解除合同</w:t>
      </w:r>
    </w:p>
    <w:p w14:paraId="732D1F1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承包人按16.1.1项〔发包人违约的情形〕约定暂停施工满</w:t>
      </w:r>
      <w:r>
        <w:rPr>
          <w:rFonts w:hint="eastAsia" w:ascii="仿宋" w:hAnsi="仿宋" w:eastAsia="仿宋" w:cs="仿宋"/>
          <w:color w:val="000000" w:themeColor="text1"/>
          <w:sz w:val="24"/>
          <w:szCs w:val="24"/>
          <w:u w:val="single"/>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天后发包人仍不纠正其违约行为并致使合同目的不能实现的，承包人有权解除合同。</w:t>
      </w:r>
    </w:p>
    <w:p w14:paraId="3BFE9C4F">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16.2承包人违约</w:t>
      </w:r>
    </w:p>
    <w:p w14:paraId="075C5237">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16.2.1承包人违约的情形</w:t>
      </w:r>
    </w:p>
    <w:p w14:paraId="4FEF2E8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（1）承包人违反合同约定进行转包或违法分包的或承包人未按合同约定配合发包人对发包人支付给承包人的工程款的流向进行跟踪的；</w:t>
      </w:r>
    </w:p>
    <w:p w14:paraId="2A85AC0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（2）承包人违反合同约定采购和使用不合格的材料和工程设备的；</w:t>
      </w:r>
    </w:p>
    <w:p w14:paraId="6E34E582">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（3）因承包人原因导致工程质量不符合合同要求的；</w:t>
      </w:r>
    </w:p>
    <w:p w14:paraId="723FDF7C">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（4）承包人违反第8款〔材料与设备专用要求〕的约定，未经批准，私自将已按照合同约定进入施工现场的材料或设备撤离施工现场的；</w:t>
      </w:r>
    </w:p>
    <w:p w14:paraId="743E3F27">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（5）承包人未能按施工进度计划及时完成合同约定的工作，造成工期延误的；</w:t>
      </w:r>
    </w:p>
    <w:p w14:paraId="6F913D64">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（6）承包人在缺陷责任期及保修期内，未能在合理期限对工程缺陷进行修复，或拒绝按发包人要求进行修复的；</w:t>
      </w:r>
    </w:p>
    <w:p w14:paraId="1FB2B27D">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（7）承包人明确表示或者以其行为表明不履行合同主要义务的；</w:t>
      </w:r>
    </w:p>
    <w:p w14:paraId="0ABFF52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（8）承包人未按联合体的协议的职责分工约定履行合同的（如承包人为联合体时）；</w:t>
      </w:r>
    </w:p>
    <w:p w14:paraId="277E57A0">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（9）承包人未能按照合同约定履行其他义务的。</w:t>
      </w:r>
    </w:p>
    <w:p w14:paraId="6274298A">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承包人发生除本项第（7）目约定以外的其他违约情况时，监理人可向承包人发出整改通知，要求其在指定的期限内改正。</w:t>
      </w:r>
    </w:p>
    <w:p w14:paraId="105F0C41">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16.2.2承包人违约责任</w:t>
      </w:r>
    </w:p>
    <w:p w14:paraId="3AA5394B">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承包人违约责任的承担方式和计算方法：</w:t>
      </w:r>
    </w:p>
    <w:p w14:paraId="4C47677E">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承包人出现本合同通用条款第16.2.1项第（2）目约定的违约情形，按本合同通用条款第8.5.1、8.5.2项处理。违约情形还包括：施工现场堆放或正在使用的建筑、装修、水电等材料必须为招标清单中明确的参考品牌之一，如发现其品牌、品种、规格、型号不是合同、清单约定的参考品牌及等级，或其性能参数指标不符合国家及有关规范、标准的要求，或被相关部门认定为假冒伪劣产品，每发现一次按（人民币）10000元/次的标准向承包人计收违约金，且承包人必须将相应材料清退出场。如不退场，发包人将在付款和结算时扣除涉及此材料的相应清单项目的全部费用，承包人还须承担由此产生的相应后果。</w:t>
      </w:r>
    </w:p>
    <w:p w14:paraId="52EC31DA">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承包人出现本合同通用条款第16.2.1项第（3）目约定的违约情形，承包人无条件在发包人（含监理人）规定的时间内返工整改至工程质量符合合同要求，并承担相关费用，逾期未完成的，每延期一天，按（人民币）1000元/天•次的标准向发包人计付违约金；同一整改内容出现2次以上的，按（人民币）2000-5000元/次的标准向发包人计付违约金。如承包人拒不整改，发包人将在付款和结算时扣除涉及未整改的相应清单项目的全部费用，承包人还须承担由此产生的后果。</w:t>
      </w:r>
    </w:p>
    <w:p w14:paraId="64554CBD">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3）承包人不按设计图纸和施工规范施工的每被发现一次，按（人民币）5000-10000元/次的标准向发包人计付违约金；存在明显的施工质量问题的，每被发现一次，按违约金（人民币）5000-10000元/次的标准向发包人计付违约金，承包人且应负责整改；发现工程存在明显的施工质量缺陷的，发包人有权向承包人按（人民币）1000-5000元/处的标准向承包人计收违约金，承包人且应负责整改。</w:t>
      </w:r>
    </w:p>
    <w:p w14:paraId="6D368B9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（4）前道工序未经监理人、发包人检查验收确认，承包人擅自进入下一道工序施工的，按（人民币）1000元/次的标准向发包人计付违约金。</w:t>
      </w:r>
    </w:p>
    <w:p w14:paraId="46EBCBF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（5）分部分项工程施工时，无专项施工方案，无书面技术交底，按（人民币）500元/次的标准向发包人计付违约金。</w:t>
      </w:r>
    </w:p>
    <w:p w14:paraId="0A1AF263">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（6）不按交底要求施工，按违约金（人民币）500元/次的标准向发包人计付违约金。</w:t>
      </w:r>
    </w:p>
    <w:p w14:paraId="100A793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（7）交底错误，未造成后果，按违约金（人民币）500元/次的标准向发包人计付违约金；造成后果的视其严重程度按（人民币）1000-5000元/次的标准向发包人计付违约金。</w:t>
      </w:r>
    </w:p>
    <w:p w14:paraId="61CF3916">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（8）承包人有本合同通用条款第16.2.1（6）条情形的，或经监理人检验认为修复质量不合格而承包人拒绝再进行修补的违约金金额均在承包人的计量支付款内扣除。</w:t>
      </w:r>
    </w:p>
    <w:p w14:paraId="6C9A718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9）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w:t>
      </w:r>
    </w:p>
    <w:p w14:paraId="2271B545">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10）承包人没有按照广西壮族自治区建筑工程安全文明施工措施项目清单内容（见桂建质〔2015〕16号文附件一）中规定的文明施工与环境保护、临时设施、安全施工、其他类别等要求执行，按（人民币）1000元/项从安全文明施工费中扣除。现场围挡封闭项目不符合规定要求，按（人民币）2000元/项从安全文明施工费中扣除。发现施工中存在违反有关环保规定、未按合同要求落实环保措施的情况，每发现一次，承包人向发包人支付违约金2000元。</w:t>
      </w:r>
    </w:p>
    <w:p w14:paraId="1B98AD55">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（11）严禁施工人员酒后上岗，违者按（人民币）3000元/人•次的计付标准从安全文明施工费中扣除，并须立即停止作业。</w:t>
      </w:r>
    </w:p>
    <w:p w14:paraId="22197FDB">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（12）特殊作业工种必须持证上岗，违者按（人民币）3000元/人•次的计付标准从安全文明施工费中扣除。</w:t>
      </w:r>
    </w:p>
    <w:p w14:paraId="5B3D1B51">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（13）严禁从高处往下抛物或倒垃圾，违者按（人民币）5000元/次的计付标准从安全文明施工费中扣除。</w:t>
      </w:r>
    </w:p>
    <w:p w14:paraId="6300D9AE">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（14）承包人施工现场必须听从项目现场代表正确的劝阻、指正，违者按（人民币）1000元/次的计付标准从安全文明施工费中扣除。</w:t>
      </w:r>
    </w:p>
    <w:p w14:paraId="6D3FF055">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15）塔吊、物料提升机、施工电梯等未按规定完成备案擅自使用的，违者按（人民币）5000元/项的计付标准从安全文明施工费中扣除。未能限期完成备案，影响施工进度，违者按（人民币）500元/项•天的计付标准从安全文明施工费中扣除。</w:t>
      </w:r>
    </w:p>
    <w:p w14:paraId="5FDDAD26">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（16）物料平台、脚手架、支撑架体等搭设不符合规定要求的，按（人民币）2000元/次的计付标准从安全文明施工费中扣除。</w:t>
      </w:r>
    </w:p>
    <w:p w14:paraId="60166697">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（17）施工现场内严禁随地大小便，违者按（人民币）200元/次的计付标准从安全文明施工费中扣除。</w:t>
      </w:r>
    </w:p>
    <w:p w14:paraId="420ACBF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（18）严禁小孩进入施工现场，违者按（人民币）1000元/次的计付标准从安全文明施工费中扣除。</w:t>
      </w:r>
    </w:p>
    <w:p w14:paraId="341278F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（19）承包人在收到发包人书面整改通知后3天内没有整改完毕的，每延期一天按10000元（人民币）的计付标准从安全文明施工费中扣除，并扣减相关的安全文明施工与环境保护措施费。</w:t>
      </w:r>
    </w:p>
    <w:p w14:paraId="4B3D5577">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（20）承包人拒收或拖延执行“安全隐患整改通知书”内容，按（人民币）5000元/次的计付标准从安全文明施工费中扣除。</w:t>
      </w:r>
    </w:p>
    <w:p w14:paraId="5FF27A57">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（21）因承包人原因发生人身、火灾等安全事故，视情节发包人按（人民币）1万元—10万元/次的计付标准从安全文明施工费中扣除。</w:t>
      </w:r>
    </w:p>
    <w:p w14:paraId="6D5083FF">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（22）承包人扬尘防治达不到《</w:t>
      </w:r>
      <w:r>
        <w:rPr>
          <w:rFonts w:hint="eastAsia" w:ascii="仿宋" w:hAnsi="仿宋" w:eastAsia="仿宋" w:cs="仿宋"/>
          <w:color w:val="000000" w:themeColor="text1"/>
          <w:sz w:val="24"/>
          <w:szCs w:val="24"/>
          <w:u w:val="single"/>
          <w:lang w:val="en-US" w:eastAsia="zh-CN"/>
          <w14:textFill>
            <w14:solidFill>
              <w14:schemeClr w14:val="tx1"/>
            </w14:solidFill>
          </w14:textFill>
        </w:rPr>
        <w:t>桂林</w:t>
      </w:r>
      <w:r>
        <w:rPr>
          <w:rFonts w:hint="eastAsia" w:ascii="仿宋" w:hAnsi="仿宋" w:eastAsia="仿宋" w:cs="仿宋"/>
          <w:color w:val="000000" w:themeColor="text1"/>
          <w:sz w:val="24"/>
          <w:szCs w:val="24"/>
          <w:u w:val="single"/>
          <w14:textFill>
            <w14:solidFill>
              <w14:schemeClr w14:val="tx1"/>
            </w14:solidFill>
          </w14:textFill>
        </w:rPr>
        <w:t>市扬尘污染防治条例》要求的，每次扣除扬尘防治费的20%。</w:t>
      </w:r>
    </w:p>
    <w:p w14:paraId="02D1E122">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（23）施工车辆发生洒落不及时处理的，每发现一次，承包人向发包人支付违约金（人民币）2000元；施工人员出现不安全、不文明行为，每发现一次，承包人向发包人支付违约金（人民币）2000元。</w:t>
      </w:r>
    </w:p>
    <w:p w14:paraId="261B9766">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24）在项目施工过程中，监理人、发包人有权对实际施工进度与施工进度计划进行比对，如因承包人原因导致未能按施工进度计划及时完成合同约定的工作，造成该分部工程工期延误的，监理人可向承包人发出整改通知，要求其在指定期限内改正，所涉及的赶工费由承包人承担。如发现在桩基工程、地下主体结构、地上主体结构等关键工作节点出现工期延误的，发包人有权暂扣当期实际应支付的工程价款的10%，待实际进度与计划进度相符后再支付，最终因承包人原因造成工期延误的，逾期竣工违约金的上限按照专用条款第7.5.2执行。</w:t>
      </w:r>
    </w:p>
    <w:p w14:paraId="73DF590A">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（25）地面（路面）出现积水，每发现一处，承包人向发包人支付违约金（人民币）5000元。</w:t>
      </w:r>
    </w:p>
    <w:p w14:paraId="07EAAC3C">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16.2.3因承包人违约解除合同</w:t>
      </w:r>
    </w:p>
    <w:p w14:paraId="21B0C2DA">
      <w:pPr>
        <w:pStyle w:val="169"/>
        <w:spacing w:line="360" w:lineRule="auto"/>
        <w:ind w:firstLine="482" w:firstLineChars="200"/>
        <w:rPr>
          <w:rFonts w:hint="eastAsia" w:ascii="仿宋" w:hAnsi="仿宋" w:eastAsia="仿宋" w:cs="仿宋"/>
          <w:b/>
          <w:color w:val="000000" w:themeColor="text1"/>
          <w:sz w:val="24"/>
          <w:szCs w:val="24"/>
          <w:u w:val="single"/>
          <w14:textFill>
            <w14:solidFill>
              <w14:schemeClr w14:val="tx1"/>
            </w14:solidFill>
          </w14:textFill>
        </w:rPr>
      </w:pPr>
      <w:r>
        <w:rPr>
          <w:rFonts w:hint="eastAsia" w:ascii="仿宋" w:hAnsi="仿宋" w:eastAsia="仿宋" w:cs="仿宋"/>
          <w:b/>
          <w:color w:val="000000" w:themeColor="text1"/>
          <w:sz w:val="24"/>
          <w:szCs w:val="24"/>
          <w:u w:val="single"/>
          <w14:textFill>
            <w14:solidFill>
              <w14:schemeClr w14:val="tx1"/>
            </w14:solidFill>
          </w14:textFill>
        </w:rPr>
        <w:t>16.2.3.1关于因承包人违约而解除合同的特别约定</w:t>
      </w:r>
    </w:p>
    <w:p w14:paraId="74CA940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承包人有违反以下情况之一的，发包人有权解除合同：</w:t>
      </w:r>
    </w:p>
    <w:p w14:paraId="543B9A92">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（1）承包人无正当理由不按开工通知的要求及时进场组织施工和不按签订协议书时商定的进度计划有效地开展施工准备，造成工期延误的；</w:t>
      </w:r>
    </w:p>
    <w:p w14:paraId="732C8B3F">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（2）承包人违反本合同通用条款第3.5条规定私自将合同或合同的任何部分或任何权利转让给其他人，或私自将工程或工程的一部分分包出去的；</w:t>
      </w:r>
    </w:p>
    <w:p w14:paraId="2EC676F4">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（3）未经监理人批准，承包人私自将已按投标文件承诺进入工地的工程设备、施工设备、临时工程或材料撤离工地的；</w:t>
      </w:r>
    </w:p>
    <w:p w14:paraId="5678D7E0">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（4）由于承包人原因拒绝按合同进度计划及时完成合同约定的工程，而又未采取有效措施赶上进度，造成工期严重延误的；</w:t>
      </w:r>
    </w:p>
    <w:p w14:paraId="4E1EC046">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（5）承包人否认合同有效或拒绝履行合同约定义务，或由于法律、财务等原因导致承包人无法继续履行或实质上已停止履行合同义务的；</w:t>
      </w:r>
    </w:p>
    <w:p w14:paraId="378A0C4D">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（6）合同签订且具备法定开工条件后之日起十五日内，承包人无法按合同约定及投标文件的承诺进场经监理工程师认可的该施工阶段应有的全部人员和机械的。</w:t>
      </w:r>
    </w:p>
    <w:p w14:paraId="1772DB06">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（7）承包人为联合体中标的，在施工过程中，未按联合体协议书约定进行分工实施本工程的。</w:t>
      </w:r>
    </w:p>
    <w:p w14:paraId="6408FC39">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16.2.3.2</w:t>
      </w:r>
      <w:r>
        <w:rPr>
          <w:rFonts w:hint="eastAsia" w:ascii="仿宋" w:hAnsi="仿宋" w:eastAsia="仿宋" w:cs="仿宋"/>
          <w:color w:val="000000" w:themeColor="text1"/>
          <w:sz w:val="24"/>
          <w:szCs w:val="24"/>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仿宋" w:hAnsi="仿宋" w:eastAsia="仿宋" w:cs="仿宋"/>
          <w:color w:val="000000" w:themeColor="text1"/>
          <w:sz w:val="24"/>
          <w:szCs w:val="24"/>
          <w:u w:val="single"/>
          <w14:textFill>
            <w14:solidFill>
              <w14:schemeClr w14:val="tx1"/>
            </w14:solidFill>
          </w14:textFill>
        </w:rPr>
        <w:t>发包人和承包人可协商解决费用承担问题，无法协商一致的，发包人发出清场通知之日起十日内，承包人应将施工现场的材料、设备无条件搬离，不得以任何理由拒不清场搬离，否则每延误一天承包人按工程总价款的千分之三向发包人支付逾期清场违约金，违约金上限为工程总价款的9%，达到上限仍未清场的，视为承包人拒绝清场并同意由发包人代履行，因代履行产生的全部费用由承包人承担。</w:t>
      </w:r>
    </w:p>
    <w:p w14:paraId="1595BEED">
      <w:pPr>
        <w:pStyle w:val="4"/>
        <w:spacing w:line="240" w:lineRule="auto"/>
        <w:rPr>
          <w:rFonts w:hint="eastAsia" w:ascii="仿宋" w:hAnsi="仿宋" w:eastAsia="仿宋" w:cs="仿宋"/>
          <w:color w:val="000000" w:themeColor="text1"/>
          <w14:textFill>
            <w14:solidFill>
              <w14:schemeClr w14:val="tx1"/>
            </w14:solidFill>
          </w14:textFill>
        </w:rPr>
      </w:pPr>
      <w:bookmarkStart w:id="260" w:name="_Toc193815662"/>
      <w:r>
        <w:rPr>
          <w:rFonts w:hint="eastAsia" w:ascii="仿宋" w:hAnsi="仿宋" w:eastAsia="仿宋" w:cs="仿宋"/>
          <w:color w:val="000000" w:themeColor="text1"/>
          <w14:textFill>
            <w14:solidFill>
              <w14:schemeClr w14:val="tx1"/>
            </w14:solidFill>
          </w14:textFill>
        </w:rPr>
        <w:t>17.不可抗力</w:t>
      </w:r>
      <w:bookmarkEnd w:id="260"/>
    </w:p>
    <w:p w14:paraId="1BEE80CC">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17.1不可抗力的确认</w:t>
      </w:r>
    </w:p>
    <w:p w14:paraId="07AEDA29">
      <w:pPr>
        <w:spacing w:line="360" w:lineRule="auto"/>
        <w:ind w:firstLine="48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除通用合同条款约定的不可抗力事件之外，视为不可抗力的其他情形：</w:t>
      </w:r>
      <w:r>
        <w:rPr>
          <w:rFonts w:hint="eastAsia" w:ascii="仿宋" w:hAnsi="仿宋" w:eastAsia="仿宋" w:cs="仿宋"/>
          <w:color w:val="000000" w:themeColor="text1"/>
          <w:sz w:val="24"/>
          <w:szCs w:val="24"/>
          <w:u w:val="single"/>
          <w14:textFill>
            <w14:solidFill>
              <w14:schemeClr w14:val="tx1"/>
            </w14:solidFill>
          </w14:textFill>
        </w:rPr>
        <w:t>（1）不可抗力的自然灾害认定标准，以政府有关部门的规定为准且必须得到相关权威部门的书面认定方可视为有效；（2）因政府或相关主管部门要求导致项目中断施工</w:t>
      </w:r>
      <w:r>
        <w:rPr>
          <w:rFonts w:hint="eastAsia" w:ascii="仿宋" w:hAnsi="仿宋" w:eastAsia="仿宋" w:cs="仿宋"/>
          <w:color w:val="000000" w:themeColor="text1"/>
          <w:sz w:val="24"/>
          <w:szCs w:val="24"/>
          <w14:textFill>
            <w14:solidFill>
              <w14:schemeClr w14:val="tx1"/>
            </w14:solidFill>
          </w14:textFill>
        </w:rPr>
        <w:t>。</w:t>
      </w:r>
    </w:p>
    <w:p w14:paraId="61ED12F4">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17.4因不可抗力解除合同</w:t>
      </w:r>
    </w:p>
    <w:p w14:paraId="1A65124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合同解除后，发包人应在商定或确定发包人应支付款项后</w:t>
      </w:r>
      <w:r>
        <w:rPr>
          <w:rFonts w:hint="eastAsia" w:ascii="仿宋" w:hAnsi="仿宋" w:eastAsia="仿宋" w:cs="仿宋"/>
          <w:color w:val="000000" w:themeColor="text1"/>
          <w:sz w:val="24"/>
          <w:szCs w:val="24"/>
          <w:u w:val="single"/>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天内完成款项的支付。</w:t>
      </w:r>
    </w:p>
    <w:p w14:paraId="1EFA4CDA">
      <w:pPr>
        <w:pStyle w:val="4"/>
        <w:spacing w:line="240" w:lineRule="auto"/>
        <w:rPr>
          <w:rFonts w:hint="eastAsia" w:ascii="仿宋" w:hAnsi="仿宋" w:eastAsia="仿宋" w:cs="仿宋"/>
          <w:color w:val="000000" w:themeColor="text1"/>
          <w14:textFill>
            <w14:solidFill>
              <w14:schemeClr w14:val="tx1"/>
            </w14:solidFill>
          </w14:textFill>
        </w:rPr>
      </w:pPr>
      <w:bookmarkStart w:id="261" w:name="_Toc193815663"/>
      <w:r>
        <w:rPr>
          <w:rFonts w:hint="eastAsia" w:ascii="仿宋" w:hAnsi="仿宋" w:eastAsia="仿宋" w:cs="仿宋"/>
          <w:color w:val="000000" w:themeColor="text1"/>
          <w14:textFill>
            <w14:solidFill>
              <w14:schemeClr w14:val="tx1"/>
            </w14:solidFill>
          </w14:textFill>
        </w:rPr>
        <w:t>18.保险</w:t>
      </w:r>
      <w:bookmarkEnd w:id="261"/>
    </w:p>
    <w:p w14:paraId="6B46EDB2">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18.1工程保险</w:t>
      </w:r>
    </w:p>
    <w:p w14:paraId="0879408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关于工程保险的特别约定：</w:t>
      </w:r>
      <w:r>
        <w:rPr>
          <w:rFonts w:hint="eastAsia" w:ascii="仿宋" w:hAnsi="仿宋" w:eastAsia="仿宋" w:cs="仿宋"/>
          <w:color w:val="000000" w:themeColor="text1"/>
          <w:sz w:val="24"/>
          <w:szCs w:val="24"/>
          <w:u w:val="single"/>
          <w14:textFill>
            <w14:solidFill>
              <w14:schemeClr w14:val="tx1"/>
            </w14:solidFill>
          </w14:textFill>
        </w:rPr>
        <w:t>承包人应必须购买工程一切险和第三者责任险，并承担相关费用，费用已包含在综合单价中不再另计计价。</w:t>
      </w:r>
    </w:p>
    <w:p w14:paraId="3FDD59F1">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18.3其他保险</w:t>
      </w:r>
    </w:p>
    <w:p w14:paraId="10039D9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关于其他保险的约定：</w:t>
      </w:r>
      <w:r>
        <w:rPr>
          <w:rFonts w:hint="eastAsia" w:ascii="仿宋" w:hAnsi="仿宋" w:eastAsia="仿宋" w:cs="仿宋"/>
          <w:color w:val="000000" w:themeColor="text1"/>
          <w:sz w:val="24"/>
          <w:szCs w:val="24"/>
          <w:u w:val="single"/>
          <w14:textFill>
            <w14:solidFill>
              <w14:schemeClr w14:val="tx1"/>
            </w14:solidFill>
          </w14:textFill>
        </w:rPr>
        <w:t>承包人必须为施工现场从事施工的自有作业人员和管理人员办理意外伤害保险，并支付保险费，费用已包含在综合单价中不再另计计价</w:t>
      </w:r>
      <w:r>
        <w:rPr>
          <w:rFonts w:hint="eastAsia" w:ascii="仿宋" w:hAnsi="仿宋" w:eastAsia="仿宋" w:cs="仿宋"/>
          <w:color w:val="000000" w:themeColor="text1"/>
          <w:sz w:val="24"/>
          <w:szCs w:val="24"/>
          <w14:textFill>
            <w14:solidFill>
              <w14:schemeClr w14:val="tx1"/>
            </w14:solidFill>
          </w14:textFill>
        </w:rPr>
        <w:t>。</w:t>
      </w:r>
    </w:p>
    <w:p w14:paraId="19A8881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承包人是否应为其施工设备等办理财产保险：</w:t>
      </w:r>
      <w:r>
        <w:rPr>
          <w:rFonts w:hint="eastAsia" w:ascii="仿宋" w:hAnsi="仿宋" w:eastAsia="仿宋" w:cs="仿宋"/>
          <w:color w:val="000000" w:themeColor="text1"/>
          <w:sz w:val="24"/>
          <w:szCs w:val="24"/>
          <w:u w:val="single"/>
          <w14:textFill>
            <w14:solidFill>
              <w14:schemeClr w14:val="tx1"/>
            </w14:solidFill>
          </w14:textFill>
        </w:rPr>
        <w:t>是，承包人自行办理，并承担相关费用</w:t>
      </w:r>
      <w:r>
        <w:rPr>
          <w:rFonts w:hint="eastAsia" w:ascii="仿宋" w:hAnsi="仿宋" w:eastAsia="仿宋" w:cs="仿宋"/>
          <w:color w:val="000000" w:themeColor="text1"/>
          <w:sz w:val="24"/>
          <w:szCs w:val="24"/>
          <w14:textFill>
            <w14:solidFill>
              <w14:schemeClr w14:val="tx1"/>
            </w14:solidFill>
          </w14:textFill>
        </w:rPr>
        <w:t>。</w:t>
      </w:r>
    </w:p>
    <w:p w14:paraId="1BBA67E2">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18.7通知义务</w:t>
      </w:r>
    </w:p>
    <w:p w14:paraId="335ECA5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关于变更保险合同时的通知义务的约定：</w:t>
      </w:r>
      <w:r>
        <w:rPr>
          <w:rFonts w:hint="eastAsia" w:ascii="仿宋" w:hAnsi="仿宋" w:eastAsia="仿宋" w:cs="仿宋"/>
          <w:color w:val="000000" w:themeColor="text1"/>
          <w:sz w:val="24"/>
          <w:szCs w:val="24"/>
          <w:u w:val="single"/>
          <w14:textFill>
            <w14:solidFill>
              <w14:schemeClr w14:val="tx1"/>
            </w14:solidFill>
          </w14:textFill>
        </w:rPr>
        <w:t>由承包人负责，变更后承包人于7天内通知相关单位</w:t>
      </w:r>
      <w:r>
        <w:rPr>
          <w:rFonts w:hint="eastAsia" w:ascii="仿宋" w:hAnsi="仿宋" w:eastAsia="仿宋" w:cs="仿宋"/>
          <w:color w:val="000000" w:themeColor="text1"/>
          <w:sz w:val="24"/>
          <w:szCs w:val="24"/>
          <w14:textFill>
            <w14:solidFill>
              <w14:schemeClr w14:val="tx1"/>
            </w14:solidFill>
          </w14:textFill>
        </w:rPr>
        <w:t>。</w:t>
      </w:r>
    </w:p>
    <w:p w14:paraId="47B80BFC">
      <w:pPr>
        <w:pStyle w:val="4"/>
        <w:spacing w:line="240" w:lineRule="auto"/>
        <w:rPr>
          <w:rFonts w:hint="eastAsia" w:ascii="仿宋" w:hAnsi="仿宋" w:eastAsia="仿宋" w:cs="仿宋"/>
          <w:color w:val="000000" w:themeColor="text1"/>
          <w14:textFill>
            <w14:solidFill>
              <w14:schemeClr w14:val="tx1"/>
            </w14:solidFill>
          </w14:textFill>
        </w:rPr>
      </w:pPr>
      <w:bookmarkStart w:id="262" w:name="_Toc193815664"/>
      <w:r>
        <w:rPr>
          <w:rFonts w:hint="eastAsia" w:ascii="仿宋" w:hAnsi="仿宋" w:eastAsia="仿宋" w:cs="仿宋"/>
          <w:color w:val="000000" w:themeColor="text1"/>
          <w14:textFill>
            <w14:solidFill>
              <w14:schemeClr w14:val="tx1"/>
            </w14:solidFill>
          </w14:textFill>
        </w:rPr>
        <w:t>20.争议解决</w:t>
      </w:r>
      <w:bookmarkEnd w:id="262"/>
    </w:p>
    <w:p w14:paraId="4A94F5F7">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20.3争议评审</w:t>
      </w:r>
    </w:p>
    <w:p w14:paraId="05CE040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合同当事人是否同意将工程争议提交争议评审小组决定：</w:t>
      </w:r>
      <w:r>
        <w:rPr>
          <w:rFonts w:hint="eastAsia" w:ascii="仿宋" w:hAnsi="仿宋" w:eastAsia="仿宋" w:cs="仿宋"/>
          <w:color w:val="000000" w:themeColor="text1"/>
          <w:sz w:val="24"/>
          <w:szCs w:val="24"/>
          <w:u w:val="single"/>
          <w14:textFill>
            <w14:solidFill>
              <w14:schemeClr w14:val="tx1"/>
            </w14:solidFill>
          </w14:textFill>
        </w:rPr>
        <w:t>不同意</w:t>
      </w:r>
      <w:r>
        <w:rPr>
          <w:rFonts w:hint="eastAsia" w:ascii="仿宋" w:hAnsi="仿宋" w:eastAsia="仿宋" w:cs="仿宋"/>
          <w:color w:val="000000" w:themeColor="text1"/>
          <w:sz w:val="24"/>
          <w:szCs w:val="24"/>
          <w14:textFill>
            <w14:solidFill>
              <w14:schemeClr w14:val="tx1"/>
            </w14:solidFill>
          </w14:textFill>
        </w:rPr>
        <w:t>。</w:t>
      </w:r>
    </w:p>
    <w:p w14:paraId="7B05EF8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20.3.1争议评审小组的确定</w:t>
      </w:r>
    </w:p>
    <w:p w14:paraId="2496251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争议评审小组成员的确定：</w:t>
      </w:r>
      <w:r>
        <w:rPr>
          <w:rFonts w:hint="eastAsia" w:ascii="仿宋" w:hAnsi="仿宋" w:eastAsia="仿宋" w:cs="仿宋"/>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14:paraId="22AAD93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选定争议评审员的期限：</w:t>
      </w:r>
      <w:r>
        <w:rPr>
          <w:rFonts w:hint="eastAsia" w:ascii="仿宋" w:hAnsi="仿宋" w:eastAsia="仿宋" w:cs="仿宋"/>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14:paraId="3347F9D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争议评审小组成员的报酬承担方式：</w:t>
      </w:r>
      <w:r>
        <w:rPr>
          <w:rFonts w:hint="eastAsia" w:ascii="仿宋" w:hAnsi="仿宋" w:eastAsia="仿宋" w:cs="仿宋"/>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14:paraId="00DACF0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其他事项的约定：</w:t>
      </w:r>
      <w:r>
        <w:rPr>
          <w:rFonts w:hint="eastAsia" w:ascii="仿宋" w:hAnsi="仿宋" w:eastAsia="仿宋" w:cs="仿宋"/>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14:paraId="4976CD0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20.3.2争议评审小组的决定</w:t>
      </w:r>
    </w:p>
    <w:p w14:paraId="531C65D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合同当事人关于本项的约定：</w:t>
      </w:r>
      <w:r>
        <w:rPr>
          <w:rFonts w:hint="eastAsia" w:ascii="仿宋" w:hAnsi="仿宋" w:eastAsia="仿宋" w:cs="仿宋"/>
          <w:color w:val="000000" w:themeColor="text1"/>
          <w:sz w:val="24"/>
          <w:szCs w:val="24"/>
          <w:u w:val="single"/>
          <w14:textFill>
            <w14:solidFill>
              <w14:schemeClr w14:val="tx1"/>
            </w14:solidFill>
          </w14:textFill>
        </w:rPr>
        <w:t>无</w:t>
      </w:r>
      <w:r>
        <w:rPr>
          <w:rFonts w:hint="eastAsia" w:ascii="仿宋" w:hAnsi="仿宋" w:eastAsia="仿宋" w:cs="仿宋"/>
          <w:color w:val="000000" w:themeColor="text1"/>
          <w:sz w:val="24"/>
          <w:szCs w:val="24"/>
          <w14:textFill>
            <w14:solidFill>
              <w14:schemeClr w14:val="tx1"/>
            </w14:solidFill>
          </w14:textFill>
        </w:rPr>
        <w:t>。</w:t>
      </w:r>
    </w:p>
    <w:p w14:paraId="2B18156E">
      <w:pPr>
        <w:pStyle w:val="5"/>
        <w:spacing w:before="280" w:after="290" w:line="376"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20.4仲裁或诉讼</w:t>
      </w:r>
    </w:p>
    <w:p w14:paraId="11CDBA5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因合同及合同有关事项发生的争议，按下列第</w:t>
      </w:r>
      <w:r>
        <w:rPr>
          <w:rFonts w:hint="eastAsia" w:ascii="仿宋" w:hAnsi="仿宋" w:eastAsia="仿宋" w:cs="仿宋"/>
          <w:color w:val="000000" w:themeColor="text1"/>
          <w:sz w:val="24"/>
          <w:szCs w:val="24"/>
          <w:u w:val="single"/>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种方式解决：</w:t>
      </w:r>
    </w:p>
    <w:p w14:paraId="59465B6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（1）提请</w:t>
      </w:r>
      <w:r>
        <w:rPr>
          <w:rFonts w:hint="eastAsia" w:ascii="仿宋" w:hAnsi="仿宋" w:eastAsia="仿宋" w:cs="仿宋"/>
          <w:color w:val="000000" w:themeColor="text1"/>
          <w:sz w:val="24"/>
          <w:szCs w:val="24"/>
          <w:u w:val="single"/>
          <w:lang w:val="en-US" w:eastAsia="zh-CN"/>
          <w14:textFill>
            <w14:solidFill>
              <w14:schemeClr w14:val="tx1"/>
            </w14:solidFill>
          </w14:textFill>
        </w:rPr>
        <w:t>桂林</w:t>
      </w:r>
      <w:r>
        <w:rPr>
          <w:rFonts w:hint="eastAsia" w:ascii="仿宋" w:hAnsi="仿宋" w:eastAsia="仿宋" w:cs="仿宋"/>
          <w:color w:val="000000" w:themeColor="text1"/>
          <w:sz w:val="24"/>
          <w:szCs w:val="24"/>
          <w:u w:val="single"/>
          <w14:textFill>
            <w14:solidFill>
              <w14:schemeClr w14:val="tx1"/>
            </w14:solidFill>
          </w14:textFill>
        </w:rPr>
        <w:t>市</w:t>
      </w:r>
      <w:r>
        <w:rPr>
          <w:rFonts w:hint="eastAsia" w:ascii="仿宋" w:hAnsi="仿宋" w:eastAsia="仿宋" w:cs="仿宋"/>
          <w:color w:val="000000" w:themeColor="text1"/>
          <w:sz w:val="24"/>
          <w:szCs w:val="24"/>
          <w14:textFill>
            <w14:solidFill>
              <w14:schemeClr w14:val="tx1"/>
            </w14:solidFill>
          </w14:textFill>
        </w:rPr>
        <w:t>仲裁委员会按照该会仲裁规则进行仲裁，仲裁裁决是终局的，对合同双方均有约束力。</w:t>
      </w:r>
    </w:p>
    <w:p w14:paraId="236394E4">
      <w:pPr>
        <w:spacing w:line="360" w:lineRule="auto"/>
        <w:ind w:firstLine="48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（2）向</w:t>
      </w:r>
      <w:r>
        <w:rPr>
          <w:rFonts w:hint="eastAsia" w:ascii="仿宋" w:hAnsi="仿宋" w:eastAsia="仿宋" w:cs="仿宋"/>
          <w:color w:val="000000" w:themeColor="text1"/>
          <w:sz w:val="24"/>
          <w:szCs w:val="24"/>
          <w:u w:val="single"/>
          <w14:textFill>
            <w14:solidFill>
              <w14:schemeClr w14:val="tx1"/>
            </w14:solidFill>
          </w14:textFill>
        </w:rPr>
        <w:t>有管辖权的</w:t>
      </w:r>
      <w:r>
        <w:rPr>
          <w:rFonts w:hint="eastAsia" w:ascii="仿宋" w:hAnsi="仿宋" w:eastAsia="仿宋" w:cs="仿宋"/>
          <w:color w:val="000000" w:themeColor="text1"/>
          <w:sz w:val="24"/>
          <w:szCs w:val="24"/>
          <w14:textFill>
            <w14:solidFill>
              <w14:schemeClr w14:val="tx1"/>
            </w14:solidFill>
          </w14:textFill>
        </w:rPr>
        <w:t>人民法院起诉。</w:t>
      </w:r>
    </w:p>
    <w:p w14:paraId="1B513B4F">
      <w:pPr>
        <w:pStyle w:val="4"/>
        <w:spacing w:line="240" w:lineRule="auto"/>
        <w:rPr>
          <w:rFonts w:hint="eastAsia" w:ascii="仿宋" w:hAnsi="仿宋" w:eastAsia="仿宋" w:cs="仿宋"/>
          <w:color w:val="000000" w:themeColor="text1"/>
          <w14:textFill>
            <w14:solidFill>
              <w14:schemeClr w14:val="tx1"/>
            </w14:solidFill>
          </w14:textFill>
        </w:rPr>
      </w:pPr>
      <w:bookmarkStart w:id="263" w:name="_Toc166155311"/>
      <w:bookmarkStart w:id="264" w:name="_Toc193815665"/>
      <w:bookmarkStart w:id="265" w:name="_Toc178007754"/>
      <w:r>
        <w:rPr>
          <w:rFonts w:hint="eastAsia" w:ascii="仿宋" w:hAnsi="仿宋" w:eastAsia="仿宋" w:cs="仿宋"/>
          <w:color w:val="000000" w:themeColor="text1"/>
          <w14:textFill>
            <w14:solidFill>
              <w14:schemeClr w14:val="tx1"/>
            </w14:solidFill>
          </w14:textFill>
        </w:rPr>
        <w:t>21.补充条款</w:t>
      </w:r>
      <w:bookmarkEnd w:id="263"/>
      <w:bookmarkEnd w:id="264"/>
      <w:bookmarkEnd w:id="265"/>
    </w:p>
    <w:p w14:paraId="460980D3">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（1）承包人在施工期间必须保证资金的专项使用，不得挪作他用，并自觉接受发包人和银行的监督，否则将视为承包人违约。承包人挪用项目资金，发包人有权解除合同，并要求承包人赔偿发包人的实际损失。</w:t>
      </w:r>
    </w:p>
    <w:p w14:paraId="16622C2E">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（2）承包人必须按施工进度及时支付用于本工程的各种材料、施工机械设备、配件款，不得将材料款挪用。</w:t>
      </w:r>
    </w:p>
    <w:p w14:paraId="67BBACCD">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3）本工程要求为承包人自营项目，合同签订后发现属承包方出借资质证书、营业执照以及其他方式给予外单位、个人挂靠经营的，本合同无效。承包人须按合同总价的5%向发包人支付赔偿金。以承包人名义完成的工程量经验收合格后由发包人按成本支付。承包人按相关法规规定承担相应责任。</w:t>
      </w:r>
    </w:p>
    <w:p w14:paraId="02C6C98C">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（4）墙体材料按设计要求执行，承包人负责办理墙体材料备案手续，发包人给予协助。如承包人不按设计要求使用墙体材料或因承包人不提供完整手续和资料，由此造成的损失由承包人负责。</w:t>
      </w:r>
    </w:p>
    <w:p w14:paraId="3704478C">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（5）承包人未按时向农民工支付工资而导致工程进度受到影响，发包人有权直接从承包人工程款代扣支付给农民工。</w:t>
      </w:r>
    </w:p>
    <w:p w14:paraId="794FD8A2">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（6）散装水泥费由承包人负责缴纳及办理退回手续，发包人协助。</w:t>
      </w:r>
    </w:p>
    <w:p w14:paraId="6A223FA8">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（7）承包人必须建立健全消防安全制度，负责建筑工地的消防安全。</w:t>
      </w:r>
    </w:p>
    <w:p w14:paraId="29F9498C">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（8）禁止使用童工。</w:t>
      </w:r>
    </w:p>
    <w:p w14:paraId="1BCA826B">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（9）承包人有义务配合发包人办理工程竣工备案工作，以及墙改退费等工作。</w:t>
      </w:r>
    </w:p>
    <w:p w14:paraId="3F2C983B">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（10）承包人应及时办理工程质监安监备案、夜间施工备案等手续，发包人给予配合。</w:t>
      </w:r>
    </w:p>
    <w:p w14:paraId="48845944">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（11）承包人投入本项目的管理机构必须于</w:t>
      </w:r>
      <w:bookmarkStart w:id="266" w:name="OLE_LINK48"/>
      <w:bookmarkStart w:id="267" w:name="OLE_LINK49"/>
      <w:r>
        <w:rPr>
          <w:rFonts w:hint="eastAsia" w:ascii="仿宋" w:hAnsi="仿宋" w:eastAsia="仿宋" w:cs="仿宋"/>
          <w:color w:val="000000" w:themeColor="text1"/>
          <w:sz w:val="24"/>
          <w:szCs w:val="24"/>
          <w:u w:val="single"/>
          <w14:textFill>
            <w14:solidFill>
              <w14:schemeClr w14:val="tx1"/>
            </w14:solidFill>
          </w14:textFill>
        </w:rPr>
        <w:t>成交</w:t>
      </w:r>
      <w:bookmarkEnd w:id="266"/>
      <w:bookmarkEnd w:id="267"/>
      <w:r>
        <w:rPr>
          <w:rFonts w:hint="eastAsia" w:ascii="仿宋" w:hAnsi="仿宋" w:eastAsia="仿宋" w:cs="仿宋"/>
          <w:color w:val="000000" w:themeColor="text1"/>
          <w:sz w:val="24"/>
          <w:szCs w:val="24"/>
          <w:u w:val="single"/>
          <w14:textFill>
            <w14:solidFill>
              <w14:schemeClr w14:val="tx1"/>
            </w14:solidFill>
          </w14:textFill>
        </w:rPr>
        <w:t>通知书发出之日全部到岗，并于成交通知书发出之日起30日内完成质监、安监备案手续及施工许可证的办理。</w:t>
      </w:r>
    </w:p>
    <w:p w14:paraId="160AD8F0">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（12）为防止转包、违法分包，发包人有权对发包人支付给承包人的工程款的流向进行跟踪承包人应配合。</w:t>
      </w:r>
    </w:p>
    <w:p w14:paraId="21C6F204">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13）保证施工场地清洁卫生符合有关规定：承包人负责做好门前三清工作，包括由于工程施工而使用的市政道路和校园道路的整修、清理，每天施工完后将施工垃圾清运到指定地点。负责将工程施工所留下的各类临时便道、路基、场地材料等全部清理干净，本工程竣工验收合格交付发包人使用前，负责所有建筑垃圾的清理和外运。本工程竣工验收前7天内，承包人应对建筑物室内、外进行清洁并对施工场地进行清理。建筑物的清洁应达到以下要求：应达到无建筑垃圾、观感整洁的要求，否则应无条件重新组织清理，其费用包含在承包人合同总价中，不另作调整。且无条件修复因承包人施工造成的道路、围墙等被损坏的设施，并达到发包人及监理工程师要求。</w:t>
      </w:r>
    </w:p>
    <w:p w14:paraId="48D67307">
      <w:pPr>
        <w:pStyle w:val="169"/>
        <w:spacing w:line="360" w:lineRule="auto"/>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（14）本《专用条款》未约定的，双方另行协商。有适用于《通用条款》的，按《通用条款》执行。</w:t>
      </w:r>
    </w:p>
    <w:p w14:paraId="5374C62D">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698586D">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5FCBC2C8">
      <w:pPr>
        <w:pStyle w:val="169"/>
        <w:spacing w:line="360" w:lineRule="auto"/>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附件</w:t>
      </w:r>
    </w:p>
    <w:p w14:paraId="2BF874B1">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附件1：承包人承揽工程项目一览表</w:t>
      </w:r>
    </w:p>
    <w:p w14:paraId="71F019D7">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附件2：工程质量保修书</w:t>
      </w:r>
    </w:p>
    <w:p w14:paraId="7AD413F7">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附件3：主要建设工程文件目录</w:t>
      </w:r>
    </w:p>
    <w:p w14:paraId="56E2908D">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附件4：承包人用于本工程施工的机械设备表</w:t>
      </w:r>
    </w:p>
    <w:p w14:paraId="52767933">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附件5：承包人主要施工管理人员表</w:t>
      </w:r>
    </w:p>
    <w:p w14:paraId="532C1FCF">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附件6：分包人主要施工管理人员表</w:t>
      </w:r>
    </w:p>
    <w:p w14:paraId="1973D927">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附件7：履约担保格式（独立保函、非独立保函）</w:t>
      </w:r>
    </w:p>
    <w:p w14:paraId="5FEA5393">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附件8：预付款担保格式（独立保函、非独立保函）</w:t>
      </w:r>
    </w:p>
    <w:p w14:paraId="41DE13E7">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附件9：支付保函示范文本（独立保函、非独立保函）</w:t>
      </w:r>
    </w:p>
    <w:p w14:paraId="71CA4688">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附件10：预付款支付申请（核准）表</w:t>
      </w:r>
    </w:p>
    <w:p w14:paraId="0503F322">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附件11：进度款支付申请（核准）表</w:t>
      </w:r>
    </w:p>
    <w:p w14:paraId="581253D1">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附件12：竣工结算款支付申请（核准）表</w:t>
      </w:r>
    </w:p>
    <w:p w14:paraId="7CCCE314">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附件13：最终结算款支付申请（核准）表</w:t>
      </w:r>
    </w:p>
    <w:p w14:paraId="74B54BE5">
      <w:pPr>
        <w:pStyle w:val="16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r>
        <w:rPr>
          <w:rFonts w:hint="eastAsia" w:ascii="仿宋" w:hAnsi="仿宋" w:eastAsia="仿宋" w:cs="仿宋"/>
          <w:color w:val="000000" w:themeColor="text1"/>
          <w:sz w:val="24"/>
          <w:szCs w:val="24"/>
          <w14:textFill>
            <w14:solidFill>
              <w14:schemeClr w14:val="tx1"/>
            </w14:solidFill>
          </w14:textFill>
        </w:rPr>
        <w:t>附件14：总价合同进度款支付分解表</w:t>
      </w:r>
    </w:p>
    <w:p w14:paraId="45F81E27">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附件1：</w:t>
      </w:r>
    </w:p>
    <w:p w14:paraId="13E38CBA">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承包人承揽工程项目一览表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009"/>
        <w:gridCol w:w="1133"/>
        <w:gridCol w:w="426"/>
        <w:gridCol w:w="707"/>
        <w:gridCol w:w="426"/>
        <w:gridCol w:w="426"/>
        <w:gridCol w:w="1551"/>
        <w:gridCol w:w="426"/>
        <w:gridCol w:w="426"/>
      </w:tblGrid>
      <w:tr w14:paraId="66BE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4580B142">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单位工程名称</w:t>
            </w:r>
          </w:p>
        </w:tc>
        <w:tc>
          <w:tcPr>
            <w:tcW w:w="3009" w:type="dxa"/>
            <w:vAlign w:val="center"/>
          </w:tcPr>
          <w:p w14:paraId="69566377">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建设规模</w:t>
            </w:r>
          </w:p>
        </w:tc>
        <w:tc>
          <w:tcPr>
            <w:tcW w:w="1133" w:type="dxa"/>
            <w:vAlign w:val="center"/>
          </w:tcPr>
          <w:p w14:paraId="1AD11526">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建筑面积（平方米）</w:t>
            </w:r>
          </w:p>
        </w:tc>
        <w:tc>
          <w:tcPr>
            <w:tcW w:w="426" w:type="dxa"/>
            <w:vAlign w:val="center"/>
          </w:tcPr>
          <w:p w14:paraId="7E27C69A">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结构形式</w:t>
            </w:r>
          </w:p>
        </w:tc>
        <w:tc>
          <w:tcPr>
            <w:tcW w:w="707" w:type="dxa"/>
            <w:vAlign w:val="center"/>
          </w:tcPr>
          <w:p w14:paraId="11BD2E73">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层数</w:t>
            </w:r>
          </w:p>
        </w:tc>
        <w:tc>
          <w:tcPr>
            <w:tcW w:w="426" w:type="dxa"/>
            <w:vAlign w:val="center"/>
          </w:tcPr>
          <w:p w14:paraId="7DA363A0">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生产能力</w:t>
            </w:r>
          </w:p>
        </w:tc>
        <w:tc>
          <w:tcPr>
            <w:tcW w:w="426" w:type="dxa"/>
            <w:vAlign w:val="center"/>
          </w:tcPr>
          <w:p w14:paraId="091D898D">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设备安装内容</w:t>
            </w:r>
          </w:p>
        </w:tc>
        <w:tc>
          <w:tcPr>
            <w:tcW w:w="1551" w:type="dxa"/>
            <w:vAlign w:val="center"/>
          </w:tcPr>
          <w:p w14:paraId="16FB0EBF">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合同价格（元）</w:t>
            </w:r>
          </w:p>
        </w:tc>
        <w:tc>
          <w:tcPr>
            <w:tcW w:w="426" w:type="dxa"/>
            <w:vAlign w:val="center"/>
          </w:tcPr>
          <w:p w14:paraId="73921256">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开工日期</w:t>
            </w:r>
          </w:p>
        </w:tc>
        <w:tc>
          <w:tcPr>
            <w:tcW w:w="426" w:type="dxa"/>
            <w:vAlign w:val="center"/>
          </w:tcPr>
          <w:p w14:paraId="65B508A1">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竣工日期</w:t>
            </w:r>
          </w:p>
        </w:tc>
      </w:tr>
      <w:tr w14:paraId="613A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vAlign w:val="center"/>
          </w:tcPr>
          <w:p w14:paraId="4A606973">
            <w:pPr>
              <w:pStyle w:val="169"/>
              <w:jc w:val="center"/>
              <w:rPr>
                <w:rFonts w:hint="eastAsia" w:ascii="仿宋" w:hAnsi="仿宋" w:eastAsia="仿宋" w:cs="仿宋"/>
                <w:color w:val="000000" w:themeColor="text1"/>
                <w:szCs w:val="21"/>
                <w14:textFill>
                  <w14:solidFill>
                    <w14:schemeClr w14:val="tx1"/>
                  </w14:solidFill>
                </w14:textFill>
              </w:rPr>
            </w:pPr>
          </w:p>
        </w:tc>
        <w:tc>
          <w:tcPr>
            <w:tcW w:w="3009" w:type="dxa"/>
            <w:vAlign w:val="center"/>
          </w:tcPr>
          <w:p w14:paraId="6EAA2DF9">
            <w:pPr>
              <w:pStyle w:val="169"/>
              <w:jc w:val="left"/>
              <w:rPr>
                <w:rFonts w:hint="eastAsia" w:ascii="仿宋" w:hAnsi="仿宋" w:eastAsia="仿宋" w:cs="仿宋"/>
                <w:color w:val="000000" w:themeColor="text1"/>
                <w:szCs w:val="21"/>
                <w14:textFill>
                  <w14:solidFill>
                    <w14:schemeClr w14:val="tx1"/>
                  </w14:solidFill>
                </w14:textFill>
              </w:rPr>
            </w:pPr>
          </w:p>
        </w:tc>
        <w:tc>
          <w:tcPr>
            <w:tcW w:w="1133" w:type="dxa"/>
            <w:vAlign w:val="center"/>
          </w:tcPr>
          <w:p w14:paraId="7FE1742A">
            <w:pPr>
              <w:pStyle w:val="169"/>
              <w:jc w:val="center"/>
              <w:rPr>
                <w:rFonts w:hint="eastAsia" w:ascii="仿宋" w:hAnsi="仿宋" w:eastAsia="仿宋" w:cs="仿宋"/>
                <w:color w:val="000000" w:themeColor="text1"/>
                <w:szCs w:val="21"/>
                <w14:textFill>
                  <w14:solidFill>
                    <w14:schemeClr w14:val="tx1"/>
                  </w14:solidFill>
                </w14:textFill>
              </w:rPr>
            </w:pPr>
          </w:p>
        </w:tc>
        <w:tc>
          <w:tcPr>
            <w:tcW w:w="426" w:type="dxa"/>
            <w:vAlign w:val="center"/>
          </w:tcPr>
          <w:p w14:paraId="05529F1B">
            <w:pPr>
              <w:pStyle w:val="169"/>
              <w:jc w:val="center"/>
              <w:rPr>
                <w:rFonts w:hint="eastAsia" w:ascii="仿宋" w:hAnsi="仿宋" w:eastAsia="仿宋" w:cs="仿宋"/>
                <w:color w:val="000000" w:themeColor="text1"/>
                <w:szCs w:val="21"/>
                <w14:textFill>
                  <w14:solidFill>
                    <w14:schemeClr w14:val="tx1"/>
                  </w14:solidFill>
                </w14:textFill>
              </w:rPr>
            </w:pPr>
          </w:p>
        </w:tc>
        <w:tc>
          <w:tcPr>
            <w:tcW w:w="707" w:type="dxa"/>
            <w:vAlign w:val="center"/>
          </w:tcPr>
          <w:p w14:paraId="2C7A05BF">
            <w:pPr>
              <w:pStyle w:val="169"/>
              <w:jc w:val="center"/>
              <w:rPr>
                <w:rFonts w:hint="eastAsia" w:ascii="仿宋" w:hAnsi="仿宋" w:eastAsia="仿宋" w:cs="仿宋"/>
                <w:color w:val="000000" w:themeColor="text1"/>
                <w:szCs w:val="21"/>
                <w14:textFill>
                  <w14:solidFill>
                    <w14:schemeClr w14:val="tx1"/>
                  </w14:solidFill>
                </w14:textFill>
              </w:rPr>
            </w:pPr>
          </w:p>
        </w:tc>
        <w:tc>
          <w:tcPr>
            <w:tcW w:w="426" w:type="dxa"/>
            <w:vAlign w:val="center"/>
          </w:tcPr>
          <w:p w14:paraId="0324D6D9">
            <w:pPr>
              <w:pStyle w:val="169"/>
              <w:jc w:val="center"/>
              <w:rPr>
                <w:rFonts w:hint="eastAsia" w:ascii="仿宋" w:hAnsi="仿宋" w:eastAsia="仿宋" w:cs="仿宋"/>
                <w:color w:val="000000" w:themeColor="text1"/>
                <w:szCs w:val="21"/>
                <w14:textFill>
                  <w14:solidFill>
                    <w14:schemeClr w14:val="tx1"/>
                  </w14:solidFill>
                </w14:textFill>
              </w:rPr>
            </w:pPr>
          </w:p>
        </w:tc>
        <w:tc>
          <w:tcPr>
            <w:tcW w:w="426" w:type="dxa"/>
            <w:vAlign w:val="center"/>
          </w:tcPr>
          <w:p w14:paraId="22CAA422">
            <w:pPr>
              <w:pStyle w:val="169"/>
              <w:jc w:val="center"/>
              <w:rPr>
                <w:rFonts w:hint="eastAsia" w:ascii="仿宋" w:hAnsi="仿宋" w:eastAsia="仿宋" w:cs="仿宋"/>
                <w:color w:val="000000" w:themeColor="text1"/>
                <w:szCs w:val="21"/>
                <w14:textFill>
                  <w14:solidFill>
                    <w14:schemeClr w14:val="tx1"/>
                  </w14:solidFill>
                </w14:textFill>
              </w:rPr>
            </w:pPr>
          </w:p>
        </w:tc>
        <w:tc>
          <w:tcPr>
            <w:tcW w:w="1551" w:type="dxa"/>
            <w:vAlign w:val="center"/>
          </w:tcPr>
          <w:p w14:paraId="36729CE3">
            <w:pPr>
              <w:pStyle w:val="169"/>
              <w:jc w:val="center"/>
              <w:rPr>
                <w:rFonts w:hint="eastAsia" w:ascii="仿宋" w:hAnsi="仿宋" w:eastAsia="仿宋" w:cs="仿宋"/>
                <w:color w:val="000000" w:themeColor="text1"/>
                <w:szCs w:val="21"/>
                <w14:textFill>
                  <w14:solidFill>
                    <w14:schemeClr w14:val="tx1"/>
                  </w14:solidFill>
                </w14:textFill>
              </w:rPr>
            </w:pPr>
          </w:p>
        </w:tc>
        <w:tc>
          <w:tcPr>
            <w:tcW w:w="426" w:type="dxa"/>
            <w:vAlign w:val="center"/>
          </w:tcPr>
          <w:p w14:paraId="3EFF4461">
            <w:pPr>
              <w:pStyle w:val="169"/>
              <w:jc w:val="center"/>
              <w:rPr>
                <w:rFonts w:hint="eastAsia" w:ascii="仿宋" w:hAnsi="仿宋" w:eastAsia="仿宋" w:cs="仿宋"/>
                <w:color w:val="000000" w:themeColor="text1"/>
                <w:szCs w:val="21"/>
                <w14:textFill>
                  <w14:solidFill>
                    <w14:schemeClr w14:val="tx1"/>
                  </w14:solidFill>
                </w14:textFill>
              </w:rPr>
            </w:pPr>
          </w:p>
        </w:tc>
        <w:tc>
          <w:tcPr>
            <w:tcW w:w="426" w:type="dxa"/>
            <w:vAlign w:val="center"/>
          </w:tcPr>
          <w:p w14:paraId="5205E698">
            <w:pPr>
              <w:pStyle w:val="169"/>
              <w:jc w:val="center"/>
              <w:rPr>
                <w:rFonts w:hint="eastAsia" w:ascii="仿宋" w:hAnsi="仿宋" w:eastAsia="仿宋" w:cs="仿宋"/>
                <w:color w:val="000000" w:themeColor="text1"/>
                <w:szCs w:val="21"/>
                <w14:textFill>
                  <w14:solidFill>
                    <w14:schemeClr w14:val="tx1"/>
                  </w14:solidFill>
                </w14:textFill>
              </w:rPr>
            </w:pPr>
          </w:p>
        </w:tc>
      </w:tr>
    </w:tbl>
    <w:p w14:paraId="10D768E7">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6747925B">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附件2：</w:t>
      </w:r>
    </w:p>
    <w:p w14:paraId="1EAF4FCD">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工程质量保修书（房屋建筑工程）</w:t>
      </w:r>
    </w:p>
    <w:p w14:paraId="7CCE888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发包人（全称）：______</w:t>
      </w:r>
    </w:p>
    <w:p w14:paraId="6E6C028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承包人（全称）：______</w:t>
      </w:r>
    </w:p>
    <w:p w14:paraId="45D0BE5C">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发包人和承包人根据《中华人民共和国建筑法》和《建设工程质量管理条例》，经协商一致就______（工程全称）签订工程质量保修书。</w:t>
      </w:r>
    </w:p>
    <w:p w14:paraId="79B71EDB">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一、工程质量保修范围和内容</w:t>
      </w:r>
    </w:p>
    <w:p w14:paraId="53FC036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承包人在质量保修期内，按照有关法律规定和合同约定，承担工程质量保修责任。</w:t>
      </w:r>
    </w:p>
    <w:p w14:paraId="1351791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0E97DEB">
      <w:pPr>
        <w:pStyle w:val="169"/>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219B90F5">
      <w:pPr>
        <w:pStyle w:val="169"/>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319160DB">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二、质量保修期</w:t>
      </w:r>
    </w:p>
    <w:p w14:paraId="4C137C6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根据《建设工程质量管理条例》及有关规定，工程的质量保修期如下：</w:t>
      </w:r>
    </w:p>
    <w:p w14:paraId="53C957E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1．地基基础工程和主体结构工程为设计文件规定的工程合理使用年限；</w:t>
      </w:r>
    </w:p>
    <w:p w14:paraId="3D2D85E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2．屋面防水工程、有防水要求的卫生间、房间和外墙面的防渗为</w:t>
      </w:r>
      <w:r>
        <w:rPr>
          <w:rFonts w:hint="eastAsia" w:ascii="仿宋" w:hAnsi="仿宋" w:eastAsia="仿宋" w:cs="仿宋"/>
          <w:color w:val="000000" w:themeColor="text1"/>
          <w:szCs w:val="21"/>
          <w:u w:val="single"/>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年；</w:t>
      </w:r>
    </w:p>
    <w:p w14:paraId="1737072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3．装修工程为</w:t>
      </w:r>
      <w:r>
        <w:rPr>
          <w:rFonts w:hint="eastAsia" w:ascii="仿宋" w:hAnsi="仿宋" w:eastAsia="仿宋" w:cs="仿宋"/>
          <w:color w:val="000000" w:themeColor="text1"/>
          <w:szCs w:val="21"/>
          <w:u w:val="single"/>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年；</w:t>
      </w:r>
    </w:p>
    <w:p w14:paraId="679110C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4．电气管线、给排水管道、设备安装工程为</w:t>
      </w:r>
      <w:r>
        <w:rPr>
          <w:rFonts w:hint="eastAsia" w:ascii="仿宋" w:hAnsi="仿宋" w:eastAsia="仿宋" w:cs="仿宋"/>
          <w:color w:val="000000" w:themeColor="text1"/>
          <w:szCs w:val="21"/>
          <w:u w:val="single"/>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年；</w:t>
      </w:r>
    </w:p>
    <w:p w14:paraId="15551E0E">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5．供热与供冷系统为</w:t>
      </w:r>
      <w:r>
        <w:rPr>
          <w:rFonts w:hint="eastAsia" w:ascii="仿宋" w:hAnsi="仿宋" w:eastAsia="仿宋" w:cs="仿宋"/>
          <w:color w:val="000000" w:themeColor="text1"/>
          <w:szCs w:val="21"/>
          <w:u w:val="single"/>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个采暖期、供冷期；</w:t>
      </w:r>
    </w:p>
    <w:p w14:paraId="33C2579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6．住宅小区内的给排水设施、道路等配套工程为</w:t>
      </w:r>
      <w:r>
        <w:rPr>
          <w:rFonts w:hint="eastAsia" w:ascii="仿宋" w:hAnsi="仿宋" w:eastAsia="仿宋" w:cs="仿宋"/>
          <w:color w:val="000000" w:themeColor="text1"/>
          <w:szCs w:val="21"/>
          <w:u w:val="single"/>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年；</w:t>
      </w:r>
    </w:p>
    <w:p w14:paraId="144D44F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7．其他项目保修期限约定如下：</w:t>
      </w:r>
      <w:r>
        <w:rPr>
          <w:rFonts w:hint="eastAsia" w:ascii="仿宋" w:hAnsi="仿宋" w:eastAsia="仿宋" w:cs="仿宋"/>
          <w:color w:val="000000" w:themeColor="text1"/>
          <w:szCs w:val="21"/>
          <w:u w:val="single"/>
          <w14:textFill>
            <w14:solidFill>
              <w14:schemeClr w14:val="tx1"/>
            </w14:solidFill>
          </w14:textFill>
        </w:rPr>
        <w:t>1年</w:t>
      </w:r>
      <w:r>
        <w:rPr>
          <w:rFonts w:hint="eastAsia" w:ascii="仿宋" w:hAnsi="仿宋" w:eastAsia="仿宋" w:cs="仿宋"/>
          <w:color w:val="000000" w:themeColor="text1"/>
          <w:szCs w:val="21"/>
          <w14:textFill>
            <w14:solidFill>
              <w14:schemeClr w14:val="tx1"/>
            </w14:solidFill>
          </w14:textFill>
        </w:rPr>
        <w:t>。</w:t>
      </w:r>
    </w:p>
    <w:p w14:paraId="3220186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质量保修期自工程竣工验收合格之日起计算。</w:t>
      </w:r>
    </w:p>
    <w:p w14:paraId="4298F594">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三、缺陷责任期</w:t>
      </w:r>
    </w:p>
    <w:p w14:paraId="2DA9DEAE">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工程缺陷责任期为</w:t>
      </w:r>
      <w:r>
        <w:rPr>
          <w:rFonts w:hint="eastAsia" w:ascii="仿宋" w:hAnsi="仿宋" w:eastAsia="仿宋" w:cs="仿宋"/>
          <w:color w:val="000000" w:themeColor="text1"/>
          <w:szCs w:val="21"/>
          <w:u w:val="single"/>
          <w14:textFill>
            <w14:solidFill>
              <w14:schemeClr w14:val="tx1"/>
            </w14:solidFill>
          </w14:textFill>
        </w:rPr>
        <w:t>24</w:t>
      </w:r>
      <w:r>
        <w:rPr>
          <w:rFonts w:hint="eastAsia" w:ascii="仿宋" w:hAnsi="仿宋" w:eastAsia="仿宋" w:cs="仿宋"/>
          <w:color w:val="000000" w:themeColor="text1"/>
          <w:szCs w:val="21"/>
          <w14:textFill>
            <w14:solidFill>
              <w14:schemeClr w14:val="tx1"/>
            </w14:solidFill>
          </w14:textFill>
        </w:rPr>
        <w:t>个月（最长不超过24个月），缺陷责任期自工程竣工验收合格之日起计算。单位工程先于全部工程进行验收，单位工程缺陷责任期自单位工程验收合格之日起算。</w:t>
      </w:r>
    </w:p>
    <w:p w14:paraId="1DDA44B5">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四、质量保修责任</w:t>
      </w:r>
    </w:p>
    <w:p w14:paraId="17E21A5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1．属于保修范围、内容的项目，</w:t>
      </w:r>
      <w:r>
        <w:rPr>
          <w:rFonts w:hint="eastAsia" w:ascii="仿宋" w:hAnsi="仿宋" w:eastAsia="仿宋" w:cs="仿宋"/>
          <w:color w:val="000000" w:themeColor="text1"/>
          <w:szCs w:val="21"/>
          <w:u w:val="single"/>
          <w14:textFill>
            <w14:solidFill>
              <w14:schemeClr w14:val="tx1"/>
            </w14:solidFill>
          </w14:textFill>
        </w:rPr>
        <w:t>门（窗）锁、水龙头（冲水阀）、灯具等</w:t>
      </w:r>
      <w:r>
        <w:rPr>
          <w:rFonts w:hint="eastAsia" w:ascii="仿宋" w:hAnsi="仿宋" w:eastAsia="仿宋" w:cs="仿宋"/>
          <w:color w:val="000000" w:themeColor="text1"/>
          <w:szCs w:val="21"/>
          <w14:textFill>
            <w14:solidFill>
              <w14:schemeClr w14:val="tx1"/>
            </w14:solidFill>
          </w14:textFill>
        </w:rPr>
        <w:t>，承包人应在接到保修电话通知后</w:t>
      </w:r>
      <w:r>
        <w:rPr>
          <w:rFonts w:hint="eastAsia" w:ascii="仿宋" w:hAnsi="仿宋" w:eastAsia="仿宋" w:cs="仿宋"/>
          <w:color w:val="000000" w:themeColor="text1"/>
          <w:szCs w:val="21"/>
          <w:u w:val="single"/>
          <w14:textFill>
            <w14:solidFill>
              <w14:schemeClr w14:val="tx1"/>
            </w14:solidFill>
          </w14:textFill>
        </w:rPr>
        <w:t>8小时</w:t>
      </w:r>
      <w:r>
        <w:rPr>
          <w:rFonts w:hint="eastAsia" w:ascii="仿宋" w:hAnsi="仿宋" w:eastAsia="仿宋" w:cs="仿宋"/>
          <w:color w:val="000000" w:themeColor="text1"/>
          <w:szCs w:val="21"/>
          <w14:textFill>
            <w14:solidFill>
              <w14:schemeClr w14:val="tx1"/>
            </w14:solidFill>
          </w14:textFill>
        </w:rPr>
        <w:t>内派人保修，</w:t>
      </w:r>
      <w:r>
        <w:rPr>
          <w:rFonts w:hint="eastAsia" w:ascii="仿宋" w:hAnsi="仿宋" w:eastAsia="仿宋" w:cs="仿宋"/>
          <w:color w:val="000000" w:themeColor="text1"/>
          <w:szCs w:val="21"/>
          <w:u w:val="single"/>
          <w14:textFill>
            <w14:solidFill>
              <w14:schemeClr w14:val="tx1"/>
            </w14:solidFill>
          </w14:textFill>
        </w:rPr>
        <w:t>其余项目在2天内派人保修</w:t>
      </w:r>
      <w:r>
        <w:rPr>
          <w:rFonts w:hint="eastAsia" w:ascii="仿宋" w:hAnsi="仿宋" w:eastAsia="仿宋" w:cs="仿宋"/>
          <w:color w:val="000000" w:themeColor="text1"/>
          <w:szCs w:val="21"/>
          <w14:textFill>
            <w14:solidFill>
              <w14:schemeClr w14:val="tx1"/>
            </w14:solidFill>
          </w14:textFill>
        </w:rPr>
        <w:t>。承包人不在约定期限内派人保修的，发包人可以委托他人修理，修理费用从</w:t>
      </w:r>
      <w:r>
        <w:rPr>
          <w:rFonts w:hint="eastAsia" w:ascii="仿宋" w:hAnsi="仿宋" w:eastAsia="仿宋" w:cs="仿宋"/>
          <w:color w:val="000000" w:themeColor="text1"/>
          <w:szCs w:val="21"/>
          <w:u w:val="single"/>
          <w14:textFill>
            <w14:solidFill>
              <w14:schemeClr w14:val="tx1"/>
            </w14:solidFill>
          </w14:textFill>
        </w:rPr>
        <w:t>应支付承包人的款项</w:t>
      </w:r>
      <w:r>
        <w:rPr>
          <w:rFonts w:hint="eastAsia" w:ascii="仿宋" w:hAnsi="仿宋" w:eastAsia="仿宋" w:cs="仿宋"/>
          <w:color w:val="000000" w:themeColor="text1"/>
          <w:szCs w:val="21"/>
          <w14:textFill>
            <w14:solidFill>
              <w14:schemeClr w14:val="tx1"/>
            </w14:solidFill>
          </w14:textFill>
        </w:rPr>
        <w:t>内扣除。</w:t>
      </w:r>
    </w:p>
    <w:p w14:paraId="22BF7276">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2．发生紧急事故需抢修的，承包人在接到事故通知后，应当立即到达事故现场抢修。</w:t>
      </w:r>
    </w:p>
    <w:p w14:paraId="3F7DE40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A6705C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4．质量保修完成后，由发包人组织验收。</w:t>
      </w:r>
    </w:p>
    <w:p w14:paraId="0531014F">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五、保修费用</w:t>
      </w:r>
    </w:p>
    <w:p w14:paraId="763CA86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保修费用由造成质量缺陷的责任方承担。</w:t>
      </w:r>
    </w:p>
    <w:p w14:paraId="10E6BF33">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六、双方约定的其他工程质量保修事项：</w:t>
      </w:r>
    </w:p>
    <w:p w14:paraId="0B695703">
      <w:pPr>
        <w:pStyle w:val="169"/>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3D8FC7CC">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前述处理方式，并不表示承包人可以不再履行质量保修义务、免于承担违约责任</w:t>
      </w:r>
      <w:r>
        <w:rPr>
          <w:rFonts w:hint="eastAsia" w:ascii="仿宋" w:hAnsi="仿宋" w:eastAsia="仿宋" w:cs="仿宋"/>
          <w:color w:val="000000" w:themeColor="text1"/>
          <w:szCs w:val="21"/>
          <w14:textFill>
            <w14:solidFill>
              <w14:schemeClr w14:val="tx1"/>
            </w14:solidFill>
          </w14:textFill>
        </w:rPr>
        <w:t>。</w:t>
      </w:r>
    </w:p>
    <w:p w14:paraId="7BE99D2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工程质量保修书由发包人、承包人在工程竣工验收前共同签署，作为施工合同附件，其有效期限至保修期满。</w:t>
      </w:r>
    </w:p>
    <w:p w14:paraId="141A959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2DED5032">
      <w:pPr>
        <w:pStyle w:val="166"/>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（签章页，无正文）</w:t>
      </w:r>
    </w:p>
    <w:p w14:paraId="4BB56F3C">
      <w:pPr>
        <w:pStyle w:val="166"/>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bl>
      <w:tblPr>
        <w:tblStyle w:val="39"/>
        <w:tblW w:w="0" w:type="auto"/>
        <w:jc w:val="center"/>
        <w:tblLayout w:type="autofit"/>
        <w:tblCellMar>
          <w:top w:w="0" w:type="dxa"/>
          <w:left w:w="108" w:type="dxa"/>
          <w:bottom w:w="0" w:type="dxa"/>
          <w:right w:w="108" w:type="dxa"/>
        </w:tblCellMar>
      </w:tblPr>
      <w:tblGrid>
        <w:gridCol w:w="4672"/>
        <w:gridCol w:w="4672"/>
      </w:tblGrid>
      <w:tr w14:paraId="2F3E54E4">
        <w:tblPrEx>
          <w:tblCellMar>
            <w:top w:w="0" w:type="dxa"/>
            <w:left w:w="108" w:type="dxa"/>
            <w:bottom w:w="0" w:type="dxa"/>
            <w:right w:w="108" w:type="dxa"/>
          </w:tblCellMar>
        </w:tblPrEx>
        <w:trPr>
          <w:trHeight w:val="1134" w:hRule="atLeast"/>
          <w:jc w:val="center"/>
        </w:trPr>
        <w:tc>
          <w:tcPr>
            <w:tcW w:w="4672" w:type="dxa"/>
          </w:tcPr>
          <w:p w14:paraId="5E80ECE7">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发包人（公章）：</w:t>
            </w:r>
          </w:p>
        </w:tc>
        <w:tc>
          <w:tcPr>
            <w:tcW w:w="4672" w:type="dxa"/>
          </w:tcPr>
          <w:p w14:paraId="54C6337D">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承包人（公章）：</w:t>
            </w:r>
          </w:p>
        </w:tc>
      </w:tr>
      <w:tr w14:paraId="7D96EC57">
        <w:tblPrEx>
          <w:tblCellMar>
            <w:top w:w="0" w:type="dxa"/>
            <w:left w:w="108" w:type="dxa"/>
            <w:bottom w:w="0" w:type="dxa"/>
            <w:right w:w="108" w:type="dxa"/>
          </w:tblCellMar>
        </w:tblPrEx>
        <w:trPr>
          <w:trHeight w:val="1134" w:hRule="atLeast"/>
          <w:jc w:val="center"/>
        </w:trPr>
        <w:tc>
          <w:tcPr>
            <w:tcW w:w="4672" w:type="dxa"/>
          </w:tcPr>
          <w:p w14:paraId="26613466">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地址： </w:t>
            </w:r>
          </w:p>
        </w:tc>
        <w:tc>
          <w:tcPr>
            <w:tcW w:w="4672" w:type="dxa"/>
          </w:tcPr>
          <w:p w14:paraId="275CCD99">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tc>
      </w:tr>
      <w:tr w14:paraId="177FBD1A">
        <w:tblPrEx>
          <w:tblCellMar>
            <w:top w:w="0" w:type="dxa"/>
            <w:left w:w="108" w:type="dxa"/>
            <w:bottom w:w="0" w:type="dxa"/>
            <w:right w:w="108" w:type="dxa"/>
          </w:tblCellMar>
        </w:tblPrEx>
        <w:trPr>
          <w:trHeight w:val="1134" w:hRule="atLeast"/>
          <w:jc w:val="center"/>
        </w:trPr>
        <w:tc>
          <w:tcPr>
            <w:tcW w:w="4672" w:type="dxa"/>
          </w:tcPr>
          <w:p w14:paraId="26937BDD">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法定代表人（签字）：</w:t>
            </w:r>
          </w:p>
        </w:tc>
        <w:tc>
          <w:tcPr>
            <w:tcW w:w="4672" w:type="dxa"/>
          </w:tcPr>
          <w:p w14:paraId="31476EEF">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法定代表人（签字）：</w:t>
            </w:r>
          </w:p>
        </w:tc>
      </w:tr>
      <w:tr w14:paraId="3A60E6E3">
        <w:tblPrEx>
          <w:tblCellMar>
            <w:top w:w="0" w:type="dxa"/>
            <w:left w:w="108" w:type="dxa"/>
            <w:bottom w:w="0" w:type="dxa"/>
            <w:right w:w="108" w:type="dxa"/>
          </w:tblCellMar>
        </w:tblPrEx>
        <w:trPr>
          <w:trHeight w:val="1134" w:hRule="atLeast"/>
          <w:jc w:val="center"/>
        </w:trPr>
        <w:tc>
          <w:tcPr>
            <w:tcW w:w="4672" w:type="dxa"/>
          </w:tcPr>
          <w:p w14:paraId="5B732D6D">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委托代理人（签字）：</w:t>
            </w:r>
          </w:p>
        </w:tc>
        <w:tc>
          <w:tcPr>
            <w:tcW w:w="4672" w:type="dxa"/>
          </w:tcPr>
          <w:p w14:paraId="07825AB7">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委托代理人（签字）：</w:t>
            </w:r>
          </w:p>
        </w:tc>
      </w:tr>
      <w:tr w14:paraId="6D75E9BA">
        <w:tblPrEx>
          <w:tblCellMar>
            <w:top w:w="0" w:type="dxa"/>
            <w:left w:w="108" w:type="dxa"/>
            <w:bottom w:w="0" w:type="dxa"/>
            <w:right w:w="108" w:type="dxa"/>
          </w:tblCellMar>
        </w:tblPrEx>
        <w:trPr>
          <w:trHeight w:val="1134" w:hRule="atLeast"/>
          <w:jc w:val="center"/>
        </w:trPr>
        <w:tc>
          <w:tcPr>
            <w:tcW w:w="4672" w:type="dxa"/>
          </w:tcPr>
          <w:p w14:paraId="30F1C981">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电话：</w:t>
            </w:r>
          </w:p>
        </w:tc>
        <w:tc>
          <w:tcPr>
            <w:tcW w:w="4672" w:type="dxa"/>
          </w:tcPr>
          <w:p w14:paraId="6BC0CF50">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电话：</w:t>
            </w:r>
          </w:p>
        </w:tc>
      </w:tr>
      <w:tr w14:paraId="19B8D621">
        <w:tblPrEx>
          <w:tblCellMar>
            <w:top w:w="0" w:type="dxa"/>
            <w:left w:w="108" w:type="dxa"/>
            <w:bottom w:w="0" w:type="dxa"/>
            <w:right w:w="108" w:type="dxa"/>
          </w:tblCellMar>
        </w:tblPrEx>
        <w:trPr>
          <w:trHeight w:val="1134" w:hRule="atLeast"/>
          <w:jc w:val="center"/>
        </w:trPr>
        <w:tc>
          <w:tcPr>
            <w:tcW w:w="4672" w:type="dxa"/>
          </w:tcPr>
          <w:p w14:paraId="51314686">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传真：</w:t>
            </w:r>
          </w:p>
        </w:tc>
        <w:tc>
          <w:tcPr>
            <w:tcW w:w="4672" w:type="dxa"/>
          </w:tcPr>
          <w:p w14:paraId="0DEFDFAD">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传真：</w:t>
            </w:r>
          </w:p>
        </w:tc>
      </w:tr>
      <w:tr w14:paraId="484839B8">
        <w:tblPrEx>
          <w:tblCellMar>
            <w:top w:w="0" w:type="dxa"/>
            <w:left w:w="108" w:type="dxa"/>
            <w:bottom w:w="0" w:type="dxa"/>
            <w:right w:w="108" w:type="dxa"/>
          </w:tblCellMar>
        </w:tblPrEx>
        <w:trPr>
          <w:trHeight w:val="1134" w:hRule="atLeast"/>
          <w:jc w:val="center"/>
        </w:trPr>
        <w:tc>
          <w:tcPr>
            <w:tcW w:w="4672" w:type="dxa"/>
          </w:tcPr>
          <w:p w14:paraId="5778C287">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开户银行：</w:t>
            </w:r>
          </w:p>
        </w:tc>
        <w:tc>
          <w:tcPr>
            <w:tcW w:w="4672" w:type="dxa"/>
          </w:tcPr>
          <w:p w14:paraId="0FB726C6">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开户银行：</w:t>
            </w:r>
          </w:p>
        </w:tc>
      </w:tr>
      <w:tr w14:paraId="78AB499E">
        <w:tblPrEx>
          <w:tblCellMar>
            <w:top w:w="0" w:type="dxa"/>
            <w:left w:w="108" w:type="dxa"/>
            <w:bottom w:w="0" w:type="dxa"/>
            <w:right w:w="108" w:type="dxa"/>
          </w:tblCellMar>
        </w:tblPrEx>
        <w:trPr>
          <w:trHeight w:val="1134" w:hRule="atLeast"/>
          <w:jc w:val="center"/>
        </w:trPr>
        <w:tc>
          <w:tcPr>
            <w:tcW w:w="4672" w:type="dxa"/>
          </w:tcPr>
          <w:p w14:paraId="573DD0A0">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账号：</w:t>
            </w:r>
          </w:p>
        </w:tc>
        <w:tc>
          <w:tcPr>
            <w:tcW w:w="4672" w:type="dxa"/>
          </w:tcPr>
          <w:p w14:paraId="455C3F55">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账号：</w:t>
            </w:r>
          </w:p>
        </w:tc>
      </w:tr>
      <w:tr w14:paraId="6E7E237E">
        <w:tblPrEx>
          <w:tblCellMar>
            <w:top w:w="0" w:type="dxa"/>
            <w:left w:w="108" w:type="dxa"/>
            <w:bottom w:w="0" w:type="dxa"/>
            <w:right w:w="108" w:type="dxa"/>
          </w:tblCellMar>
        </w:tblPrEx>
        <w:trPr>
          <w:trHeight w:val="1134" w:hRule="atLeast"/>
          <w:jc w:val="center"/>
        </w:trPr>
        <w:tc>
          <w:tcPr>
            <w:tcW w:w="4672" w:type="dxa"/>
          </w:tcPr>
          <w:p w14:paraId="255F43AE">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邮政编码：</w:t>
            </w:r>
          </w:p>
        </w:tc>
        <w:tc>
          <w:tcPr>
            <w:tcW w:w="4672" w:type="dxa"/>
          </w:tcPr>
          <w:p w14:paraId="678D887F">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邮政编码：</w:t>
            </w:r>
          </w:p>
        </w:tc>
      </w:tr>
    </w:tbl>
    <w:p w14:paraId="64C48F01">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56298F95">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工程质量保修书（市政公用工程）</w:t>
      </w:r>
    </w:p>
    <w:p w14:paraId="5229B4F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1EC38A8">
      <w:pPr>
        <w:pStyle w:val="169"/>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发包人（全称）：______</w:t>
      </w:r>
    </w:p>
    <w:p w14:paraId="31FF4F21">
      <w:pPr>
        <w:pStyle w:val="169"/>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承包人（全称）：______</w:t>
      </w:r>
    </w:p>
    <w:p w14:paraId="3E05A72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发包人和承包人根据《中华人民共和国建筑法》和《建设工程质量管理条例》，经协商一致就______（工程全称）签订工程质量保修书。</w:t>
      </w:r>
    </w:p>
    <w:p w14:paraId="150522E8">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一、工程质量保修范围和内容</w:t>
      </w:r>
    </w:p>
    <w:p w14:paraId="634B550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承包人在质量保修期内，按照有关法律规定和合同约定，承担工程质量保修责任。</w:t>
      </w:r>
    </w:p>
    <w:p w14:paraId="7A82929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质量保修范围包括</w:t>
      </w:r>
      <w:r>
        <w:rPr>
          <w:rFonts w:hint="eastAsia" w:ascii="仿宋" w:hAnsi="仿宋" w:eastAsia="仿宋" w:cs="仿宋"/>
          <w:color w:val="000000" w:themeColor="text1"/>
          <w:szCs w:val="21"/>
          <w:u w:val="single"/>
          <w14:textFill>
            <w14:solidFill>
              <w14:schemeClr w14:val="tx1"/>
            </w14:solidFill>
          </w14:textFill>
        </w:rPr>
        <w:t>地基基础工程、主体结构工程、路基路面工程、附属管线工程和附属设施工程等承包人施工的所有内容</w:t>
      </w:r>
      <w:r>
        <w:rPr>
          <w:rFonts w:hint="eastAsia" w:ascii="仿宋" w:hAnsi="仿宋" w:eastAsia="仿宋" w:cs="仿宋"/>
          <w:color w:val="000000" w:themeColor="text1"/>
          <w:szCs w:val="21"/>
          <w14:textFill>
            <w14:solidFill>
              <w14:schemeClr w14:val="tx1"/>
            </w14:solidFill>
          </w14:textFill>
        </w:rPr>
        <w:t>，以及双方约定的其他项目。具体保修的内容，双方约定如下：</w:t>
      </w:r>
    </w:p>
    <w:p w14:paraId="08D93FC1">
      <w:pPr>
        <w:pStyle w:val="169"/>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1.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2F1D382A">
      <w:pPr>
        <w:pStyle w:val="169"/>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5E1FE748">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二、质量保修期</w:t>
      </w:r>
    </w:p>
    <w:p w14:paraId="02DB04D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根据《建设工程质量管理条例》及有关规定，工程的质量保修期如下：</w:t>
      </w:r>
    </w:p>
    <w:p w14:paraId="594F90F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1．桥梁工程为</w:t>
      </w:r>
      <w:r>
        <w:rPr>
          <w:rFonts w:hint="eastAsia" w:ascii="仿宋" w:hAnsi="仿宋" w:eastAsia="仿宋" w:cs="仿宋"/>
          <w:color w:val="000000" w:themeColor="text1"/>
          <w:szCs w:val="21"/>
          <w:u w:val="single"/>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年（建议桥梁隧道主体结构工程为设计文件规定的合理使用年限）；</w:t>
      </w:r>
    </w:p>
    <w:p w14:paraId="588A3CE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2．道路工程为</w:t>
      </w:r>
      <w:r>
        <w:rPr>
          <w:rFonts w:hint="eastAsia" w:ascii="仿宋" w:hAnsi="仿宋" w:eastAsia="仿宋" w:cs="仿宋"/>
          <w:color w:val="000000" w:themeColor="text1"/>
          <w:szCs w:val="21"/>
          <w:u w:val="single"/>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年（建议路基、路面、桥面为2年）；</w:t>
      </w:r>
    </w:p>
    <w:p w14:paraId="12076A3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3．排水（雨水）工程为</w:t>
      </w:r>
      <w:r>
        <w:rPr>
          <w:rFonts w:hint="eastAsia" w:ascii="仿宋" w:hAnsi="仿宋" w:eastAsia="仿宋" w:cs="仿宋"/>
          <w:color w:val="000000" w:themeColor="text1"/>
          <w:szCs w:val="21"/>
          <w:u w:val="single"/>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年（建议道路工程中的排水工程为3年）；</w:t>
      </w:r>
    </w:p>
    <w:p w14:paraId="5EBD929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4．绿化工程为单位工程竣工验收合格后</w:t>
      </w:r>
      <w:r>
        <w:rPr>
          <w:rFonts w:hint="eastAsia" w:ascii="仿宋" w:hAnsi="仿宋" w:eastAsia="仿宋" w:cs="仿宋"/>
          <w:color w:val="000000" w:themeColor="text1"/>
          <w:szCs w:val="21"/>
          <w:u w:val="single"/>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年；</w:t>
      </w:r>
    </w:p>
    <w:p w14:paraId="5A57E75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5.地下防水工程为</w:t>
      </w:r>
      <w:r>
        <w:rPr>
          <w:rFonts w:hint="eastAsia" w:ascii="仿宋" w:hAnsi="仿宋" w:eastAsia="仿宋" w:cs="仿宋"/>
          <w:color w:val="000000" w:themeColor="text1"/>
          <w:szCs w:val="21"/>
          <w:u w:val="single"/>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年（建议为5年）；</w:t>
      </w:r>
    </w:p>
    <w:p w14:paraId="1791FEA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6．其他附属工程为</w:t>
      </w:r>
      <w:r>
        <w:rPr>
          <w:rFonts w:hint="eastAsia" w:ascii="仿宋" w:hAnsi="仿宋" w:eastAsia="仿宋" w:cs="仿宋"/>
          <w:color w:val="000000" w:themeColor="text1"/>
          <w:szCs w:val="21"/>
          <w:u w:val="single"/>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年；</w:t>
      </w:r>
    </w:p>
    <w:p w14:paraId="0B83F6C6">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7．其他项目保修期限约定如下：</w:t>
      </w:r>
      <w:r>
        <w:rPr>
          <w:rFonts w:hint="eastAsia" w:ascii="仿宋" w:hAnsi="仿宋" w:eastAsia="仿宋" w:cs="仿宋"/>
          <w:color w:val="000000" w:themeColor="text1"/>
          <w:szCs w:val="21"/>
          <w:u w:val="single"/>
          <w14:textFill>
            <w14:solidFill>
              <w14:schemeClr w14:val="tx1"/>
            </w14:solidFill>
          </w14:textFill>
        </w:rPr>
        <w:t>1年</w:t>
      </w:r>
      <w:r>
        <w:rPr>
          <w:rFonts w:hint="eastAsia" w:ascii="仿宋" w:hAnsi="仿宋" w:eastAsia="仿宋" w:cs="仿宋"/>
          <w:color w:val="000000" w:themeColor="text1"/>
          <w:szCs w:val="21"/>
          <w14:textFill>
            <w14:solidFill>
              <w14:schemeClr w14:val="tx1"/>
            </w14:solidFill>
          </w14:textFill>
        </w:rPr>
        <w:t>。</w:t>
      </w:r>
    </w:p>
    <w:p w14:paraId="210C57A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质量保修期自工程竣工验收合格之日起计算。</w:t>
      </w:r>
    </w:p>
    <w:p w14:paraId="063A5A45">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三、缺陷责任期</w:t>
      </w:r>
    </w:p>
    <w:p w14:paraId="6367B27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工程缺陷责任期为</w:t>
      </w:r>
      <w:r>
        <w:rPr>
          <w:rFonts w:hint="eastAsia" w:ascii="仿宋" w:hAnsi="仿宋" w:eastAsia="仿宋" w:cs="仿宋"/>
          <w:color w:val="000000" w:themeColor="text1"/>
          <w:szCs w:val="21"/>
          <w:u w:val="single"/>
          <w14:textFill>
            <w14:solidFill>
              <w14:schemeClr w14:val="tx1"/>
            </w14:solidFill>
          </w14:textFill>
        </w:rPr>
        <w:t>24</w:t>
      </w:r>
      <w:r>
        <w:rPr>
          <w:rFonts w:hint="eastAsia" w:ascii="仿宋" w:hAnsi="仿宋" w:eastAsia="仿宋" w:cs="仿宋"/>
          <w:color w:val="000000" w:themeColor="text1"/>
          <w:szCs w:val="21"/>
          <w14:textFill>
            <w14:solidFill>
              <w14:schemeClr w14:val="tx1"/>
            </w14:solidFill>
          </w14:textFill>
        </w:rPr>
        <w:t>个月（最长不超过24个月），缺陷责任期自工程竣工验收合格之日起计算。单位工程先于全部工程进行验收，单位工程缺陷责任期自单位工程验收合格之日起算。</w:t>
      </w:r>
    </w:p>
    <w:p w14:paraId="3390C911">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四、质量保修责任</w:t>
      </w:r>
    </w:p>
    <w:p w14:paraId="77FE0E3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1．属于保修范围、内容的项目，承包人应当在接到保修通知之日起</w:t>
      </w:r>
      <w:r>
        <w:rPr>
          <w:rFonts w:hint="eastAsia" w:ascii="仿宋" w:hAnsi="仿宋" w:eastAsia="仿宋" w:cs="仿宋"/>
          <w:b/>
          <w:color w:val="000000" w:themeColor="text1"/>
          <w:szCs w:val="21"/>
          <w:u w:val="single"/>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天内派人保修。承包人不在约定期限内派人保修的，发包人可以委托他人修理，修理费用从</w:t>
      </w:r>
      <w:r>
        <w:rPr>
          <w:rFonts w:hint="eastAsia" w:ascii="仿宋" w:hAnsi="仿宋" w:eastAsia="仿宋" w:cs="仿宋"/>
          <w:color w:val="000000" w:themeColor="text1"/>
          <w:szCs w:val="21"/>
          <w:u w:val="single"/>
          <w14:textFill>
            <w14:solidFill>
              <w14:schemeClr w14:val="tx1"/>
            </w14:solidFill>
          </w14:textFill>
        </w:rPr>
        <w:t>应支付承包人的款项</w:t>
      </w:r>
      <w:r>
        <w:rPr>
          <w:rFonts w:hint="eastAsia" w:ascii="仿宋" w:hAnsi="仿宋" w:eastAsia="仿宋" w:cs="仿宋"/>
          <w:color w:val="000000" w:themeColor="text1"/>
          <w:szCs w:val="21"/>
          <w14:textFill>
            <w14:solidFill>
              <w14:schemeClr w14:val="tx1"/>
            </w14:solidFill>
          </w14:textFill>
        </w:rPr>
        <w:t>内扣除。</w:t>
      </w:r>
    </w:p>
    <w:p w14:paraId="1D2AB20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2．发生紧急事故需抢修的，承包人在接到事故通知后，应当立即到达事故现场抢修。</w:t>
      </w:r>
    </w:p>
    <w:p w14:paraId="63C2F91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3919B1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4．质量保修完成后，由发包人组织验收。</w:t>
      </w:r>
    </w:p>
    <w:p w14:paraId="49AD9713">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五、保修费用</w:t>
      </w:r>
    </w:p>
    <w:p w14:paraId="5F0A812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保修费用由造成质量缺陷的责任方承担。</w:t>
      </w:r>
    </w:p>
    <w:p w14:paraId="3BCCB99A">
      <w:pPr>
        <w:pStyle w:val="169"/>
        <w:spacing w:line="360" w:lineRule="auto"/>
        <w:ind w:firstLine="422"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六、双方约定的其他工程质量保修事项</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u w:val="single"/>
          <w14:textFill>
            <w14:solidFill>
              <w14:schemeClr w14:val="tx1"/>
            </w14:solidFill>
          </w14:textFill>
        </w:rPr>
        <w:t>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44217742">
      <w:pPr>
        <w:pStyle w:val="169"/>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前述处理方式，并不表示承包人可以不再履行质量保修义务、免于承担违约责任。</w:t>
      </w:r>
    </w:p>
    <w:p w14:paraId="5E2325A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工程质量保修书由发包人、承包人在工程竣工验收前共同签署，作为施工合同附件，其有效期限至保修期满。</w:t>
      </w:r>
    </w:p>
    <w:p w14:paraId="31BAA2C3">
      <w:pPr>
        <w:pStyle w:val="169"/>
        <w:spacing w:line="360" w:lineRule="auto"/>
        <w:jc w:val="center"/>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57F1D299">
      <w:pPr>
        <w:pStyle w:val="166"/>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（签章页，无正文）</w:t>
      </w:r>
    </w:p>
    <w:p w14:paraId="6BB5824B">
      <w:pPr>
        <w:pStyle w:val="166"/>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tbl>
      <w:tblPr>
        <w:tblStyle w:val="39"/>
        <w:tblW w:w="0" w:type="auto"/>
        <w:jc w:val="center"/>
        <w:tblLayout w:type="autofit"/>
        <w:tblCellMar>
          <w:top w:w="0" w:type="dxa"/>
          <w:left w:w="108" w:type="dxa"/>
          <w:bottom w:w="0" w:type="dxa"/>
          <w:right w:w="108" w:type="dxa"/>
        </w:tblCellMar>
      </w:tblPr>
      <w:tblGrid>
        <w:gridCol w:w="4672"/>
        <w:gridCol w:w="4672"/>
      </w:tblGrid>
      <w:tr w14:paraId="7DECC025">
        <w:tblPrEx>
          <w:tblCellMar>
            <w:top w:w="0" w:type="dxa"/>
            <w:left w:w="108" w:type="dxa"/>
            <w:bottom w:w="0" w:type="dxa"/>
            <w:right w:w="108" w:type="dxa"/>
          </w:tblCellMar>
        </w:tblPrEx>
        <w:trPr>
          <w:trHeight w:val="1134" w:hRule="atLeast"/>
          <w:jc w:val="center"/>
        </w:trPr>
        <w:tc>
          <w:tcPr>
            <w:tcW w:w="4672" w:type="dxa"/>
          </w:tcPr>
          <w:p w14:paraId="2A12B960">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发包人（公章）：</w:t>
            </w:r>
          </w:p>
        </w:tc>
        <w:tc>
          <w:tcPr>
            <w:tcW w:w="4672" w:type="dxa"/>
          </w:tcPr>
          <w:p w14:paraId="2391E4B6">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承包人（公章）：</w:t>
            </w:r>
          </w:p>
        </w:tc>
      </w:tr>
      <w:tr w14:paraId="606929C3">
        <w:tblPrEx>
          <w:tblCellMar>
            <w:top w:w="0" w:type="dxa"/>
            <w:left w:w="108" w:type="dxa"/>
            <w:bottom w:w="0" w:type="dxa"/>
            <w:right w:w="108" w:type="dxa"/>
          </w:tblCellMar>
        </w:tblPrEx>
        <w:trPr>
          <w:trHeight w:val="1134" w:hRule="atLeast"/>
          <w:jc w:val="center"/>
        </w:trPr>
        <w:tc>
          <w:tcPr>
            <w:tcW w:w="4672" w:type="dxa"/>
          </w:tcPr>
          <w:p w14:paraId="004EBBE9">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tc>
        <w:tc>
          <w:tcPr>
            <w:tcW w:w="4672" w:type="dxa"/>
          </w:tcPr>
          <w:p w14:paraId="79934A88">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tc>
      </w:tr>
      <w:tr w14:paraId="66FF1545">
        <w:tblPrEx>
          <w:tblCellMar>
            <w:top w:w="0" w:type="dxa"/>
            <w:left w:w="108" w:type="dxa"/>
            <w:bottom w:w="0" w:type="dxa"/>
            <w:right w:w="108" w:type="dxa"/>
          </w:tblCellMar>
        </w:tblPrEx>
        <w:trPr>
          <w:trHeight w:val="1134" w:hRule="atLeast"/>
          <w:jc w:val="center"/>
        </w:trPr>
        <w:tc>
          <w:tcPr>
            <w:tcW w:w="4672" w:type="dxa"/>
          </w:tcPr>
          <w:p w14:paraId="7DEAE79F">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法定代表人（签字）：</w:t>
            </w:r>
          </w:p>
        </w:tc>
        <w:tc>
          <w:tcPr>
            <w:tcW w:w="4672" w:type="dxa"/>
          </w:tcPr>
          <w:p w14:paraId="48114013">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法定代表人（签字）：</w:t>
            </w:r>
          </w:p>
        </w:tc>
      </w:tr>
      <w:tr w14:paraId="64DC6224">
        <w:tblPrEx>
          <w:tblCellMar>
            <w:top w:w="0" w:type="dxa"/>
            <w:left w:w="108" w:type="dxa"/>
            <w:bottom w:w="0" w:type="dxa"/>
            <w:right w:w="108" w:type="dxa"/>
          </w:tblCellMar>
        </w:tblPrEx>
        <w:trPr>
          <w:trHeight w:val="1134" w:hRule="atLeast"/>
          <w:jc w:val="center"/>
        </w:trPr>
        <w:tc>
          <w:tcPr>
            <w:tcW w:w="4672" w:type="dxa"/>
          </w:tcPr>
          <w:p w14:paraId="09719DC1">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委托代理人（签字）：</w:t>
            </w:r>
          </w:p>
        </w:tc>
        <w:tc>
          <w:tcPr>
            <w:tcW w:w="4672" w:type="dxa"/>
          </w:tcPr>
          <w:p w14:paraId="004A7B8F">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委托代理人（签字）：</w:t>
            </w:r>
          </w:p>
        </w:tc>
      </w:tr>
      <w:tr w14:paraId="64803CED">
        <w:tblPrEx>
          <w:tblCellMar>
            <w:top w:w="0" w:type="dxa"/>
            <w:left w:w="108" w:type="dxa"/>
            <w:bottom w:w="0" w:type="dxa"/>
            <w:right w:w="108" w:type="dxa"/>
          </w:tblCellMar>
        </w:tblPrEx>
        <w:trPr>
          <w:trHeight w:val="1134" w:hRule="atLeast"/>
          <w:jc w:val="center"/>
        </w:trPr>
        <w:tc>
          <w:tcPr>
            <w:tcW w:w="4672" w:type="dxa"/>
          </w:tcPr>
          <w:p w14:paraId="5F8B40BD">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电话：</w:t>
            </w:r>
          </w:p>
        </w:tc>
        <w:tc>
          <w:tcPr>
            <w:tcW w:w="4672" w:type="dxa"/>
          </w:tcPr>
          <w:p w14:paraId="49EB0257">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电话：</w:t>
            </w:r>
          </w:p>
        </w:tc>
      </w:tr>
      <w:tr w14:paraId="661A78C0">
        <w:tblPrEx>
          <w:tblCellMar>
            <w:top w:w="0" w:type="dxa"/>
            <w:left w:w="108" w:type="dxa"/>
            <w:bottom w:w="0" w:type="dxa"/>
            <w:right w:w="108" w:type="dxa"/>
          </w:tblCellMar>
        </w:tblPrEx>
        <w:trPr>
          <w:trHeight w:val="1134" w:hRule="atLeast"/>
          <w:jc w:val="center"/>
        </w:trPr>
        <w:tc>
          <w:tcPr>
            <w:tcW w:w="4672" w:type="dxa"/>
          </w:tcPr>
          <w:p w14:paraId="37D6C1E5">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传真：</w:t>
            </w:r>
          </w:p>
        </w:tc>
        <w:tc>
          <w:tcPr>
            <w:tcW w:w="4672" w:type="dxa"/>
          </w:tcPr>
          <w:p w14:paraId="3C349039">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传真：</w:t>
            </w:r>
          </w:p>
        </w:tc>
      </w:tr>
      <w:tr w14:paraId="007BF080">
        <w:tblPrEx>
          <w:tblCellMar>
            <w:top w:w="0" w:type="dxa"/>
            <w:left w:w="108" w:type="dxa"/>
            <w:bottom w:w="0" w:type="dxa"/>
            <w:right w:w="108" w:type="dxa"/>
          </w:tblCellMar>
        </w:tblPrEx>
        <w:trPr>
          <w:trHeight w:val="1134" w:hRule="atLeast"/>
          <w:jc w:val="center"/>
        </w:trPr>
        <w:tc>
          <w:tcPr>
            <w:tcW w:w="4672" w:type="dxa"/>
          </w:tcPr>
          <w:p w14:paraId="751AE82C">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开户银行：</w:t>
            </w:r>
          </w:p>
        </w:tc>
        <w:tc>
          <w:tcPr>
            <w:tcW w:w="4672" w:type="dxa"/>
          </w:tcPr>
          <w:p w14:paraId="17D9BFFF">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开户银行：</w:t>
            </w:r>
          </w:p>
        </w:tc>
      </w:tr>
      <w:tr w14:paraId="21E85F57">
        <w:tblPrEx>
          <w:tblCellMar>
            <w:top w:w="0" w:type="dxa"/>
            <w:left w:w="108" w:type="dxa"/>
            <w:bottom w:w="0" w:type="dxa"/>
            <w:right w:w="108" w:type="dxa"/>
          </w:tblCellMar>
        </w:tblPrEx>
        <w:trPr>
          <w:trHeight w:val="1134" w:hRule="atLeast"/>
          <w:jc w:val="center"/>
        </w:trPr>
        <w:tc>
          <w:tcPr>
            <w:tcW w:w="4672" w:type="dxa"/>
          </w:tcPr>
          <w:p w14:paraId="124E005D">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账号：</w:t>
            </w:r>
          </w:p>
        </w:tc>
        <w:tc>
          <w:tcPr>
            <w:tcW w:w="4672" w:type="dxa"/>
          </w:tcPr>
          <w:p w14:paraId="72056066">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账号：</w:t>
            </w:r>
          </w:p>
        </w:tc>
      </w:tr>
      <w:tr w14:paraId="3C724B96">
        <w:tblPrEx>
          <w:tblCellMar>
            <w:top w:w="0" w:type="dxa"/>
            <w:left w:w="108" w:type="dxa"/>
            <w:bottom w:w="0" w:type="dxa"/>
            <w:right w:w="108" w:type="dxa"/>
          </w:tblCellMar>
        </w:tblPrEx>
        <w:trPr>
          <w:trHeight w:val="1134" w:hRule="atLeast"/>
          <w:jc w:val="center"/>
        </w:trPr>
        <w:tc>
          <w:tcPr>
            <w:tcW w:w="4672" w:type="dxa"/>
          </w:tcPr>
          <w:p w14:paraId="399582BD">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邮政编码：</w:t>
            </w:r>
          </w:p>
        </w:tc>
        <w:tc>
          <w:tcPr>
            <w:tcW w:w="4672" w:type="dxa"/>
          </w:tcPr>
          <w:p w14:paraId="4E0F8049">
            <w:pPr>
              <w:pStyle w:val="169"/>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邮政编码：</w:t>
            </w:r>
          </w:p>
        </w:tc>
      </w:tr>
    </w:tbl>
    <w:p w14:paraId="4A82E6E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p w14:paraId="6313BBAE">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2283908A">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附件3：</w:t>
      </w:r>
    </w:p>
    <w:p w14:paraId="6CBB314F">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主要建设工程文件目录</w:t>
      </w:r>
    </w:p>
    <w:tbl>
      <w:tblPr>
        <w:tblStyle w:val="3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557"/>
        <w:gridCol w:w="1557"/>
        <w:gridCol w:w="1557"/>
        <w:gridCol w:w="1558"/>
        <w:gridCol w:w="1558"/>
      </w:tblGrid>
      <w:tr w14:paraId="6DFB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4ED7EE9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文件名称</w:t>
            </w:r>
          </w:p>
        </w:tc>
        <w:tc>
          <w:tcPr>
            <w:tcW w:w="1557" w:type="dxa"/>
          </w:tcPr>
          <w:p w14:paraId="3CEBFB1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套数</w:t>
            </w:r>
          </w:p>
        </w:tc>
        <w:tc>
          <w:tcPr>
            <w:tcW w:w="1557" w:type="dxa"/>
          </w:tcPr>
          <w:p w14:paraId="7D9BB90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费用（元）</w:t>
            </w:r>
          </w:p>
        </w:tc>
        <w:tc>
          <w:tcPr>
            <w:tcW w:w="1557" w:type="dxa"/>
          </w:tcPr>
          <w:p w14:paraId="7BBAF27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质量</w:t>
            </w:r>
          </w:p>
        </w:tc>
        <w:tc>
          <w:tcPr>
            <w:tcW w:w="1558" w:type="dxa"/>
          </w:tcPr>
          <w:p w14:paraId="43B85AA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移交时间</w:t>
            </w:r>
          </w:p>
        </w:tc>
        <w:tc>
          <w:tcPr>
            <w:tcW w:w="1558" w:type="dxa"/>
          </w:tcPr>
          <w:p w14:paraId="6E5818E7">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责任人</w:t>
            </w:r>
          </w:p>
        </w:tc>
      </w:tr>
      <w:tr w14:paraId="3379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699628C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647400B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0244F16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34CE835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5A85737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5E1FF73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C28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5A59179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4216475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1EA271E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04D65BB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0A09B10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147EC18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710B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374A649B">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091ADB1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5F2363AB">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07F96FA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2F4C963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22D43BC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21CF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340D643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210BA6D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7AAC61B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4646907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4FF66C6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3930CED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0C6C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3654FB5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50D8409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65EBFD8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43B7A2E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1226141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0EEDB76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093D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7B7E681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5296405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4A5CA50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6B582C2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48A7B4AB">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3A1AFE0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662D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1E5A6CDB">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61BA285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1EE6C45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7" w:type="dxa"/>
          </w:tcPr>
          <w:p w14:paraId="6BFCA2A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0529A4E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558" w:type="dxa"/>
          </w:tcPr>
          <w:p w14:paraId="06EDC95B">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bl>
    <w:p w14:paraId="1830077B">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4CD42E22">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附件4：</w:t>
      </w:r>
    </w:p>
    <w:p w14:paraId="6035B9E9">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承包人用于本工程施工的机械设备表</w:t>
      </w:r>
    </w:p>
    <w:p w14:paraId="764EB5E5">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p>
    <w:p w14:paraId="781651D7">
      <w:pPr>
        <w:pStyle w:val="169"/>
        <w:spacing w:line="360" w:lineRule="auto"/>
        <w:rPr>
          <w:rFonts w:hint="eastAsia" w:ascii="仿宋" w:hAnsi="仿宋" w:eastAsia="仿宋" w:cs="仿宋"/>
          <w:color w:val="000000" w:themeColor="text1"/>
          <w:sz w:val="30"/>
          <w:szCs w:val="30"/>
          <w14:textFill>
            <w14:solidFill>
              <w14:schemeClr w14:val="tx1"/>
            </w14:solidFill>
          </w14:textFill>
        </w:rPr>
      </w:pPr>
    </w:p>
    <w:p w14:paraId="6902921D">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22D4ADC3">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附件5：</w:t>
      </w:r>
    </w:p>
    <w:p w14:paraId="18CC76D8">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承包人主要施工管理人员表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417"/>
        <w:gridCol w:w="2268"/>
        <w:gridCol w:w="2126"/>
        <w:gridCol w:w="1978"/>
      </w:tblGrid>
      <w:tr w14:paraId="5AFA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5EF030A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名称</w:t>
            </w:r>
          </w:p>
        </w:tc>
        <w:tc>
          <w:tcPr>
            <w:tcW w:w="1417" w:type="dxa"/>
            <w:vAlign w:val="center"/>
          </w:tcPr>
          <w:p w14:paraId="316D11C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姓名</w:t>
            </w:r>
          </w:p>
        </w:tc>
        <w:tc>
          <w:tcPr>
            <w:tcW w:w="2268" w:type="dxa"/>
            <w:vAlign w:val="center"/>
          </w:tcPr>
          <w:p w14:paraId="0B22AF3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职务</w:t>
            </w:r>
          </w:p>
        </w:tc>
        <w:tc>
          <w:tcPr>
            <w:tcW w:w="2126" w:type="dxa"/>
            <w:vAlign w:val="center"/>
          </w:tcPr>
          <w:p w14:paraId="2BF6215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职称</w:t>
            </w:r>
          </w:p>
        </w:tc>
        <w:tc>
          <w:tcPr>
            <w:tcW w:w="1978" w:type="dxa"/>
            <w:vAlign w:val="center"/>
          </w:tcPr>
          <w:p w14:paraId="56D8452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计划进场时间</w:t>
            </w:r>
          </w:p>
        </w:tc>
      </w:tr>
      <w:tr w14:paraId="61A8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539D052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项目经理</w:t>
            </w:r>
          </w:p>
        </w:tc>
        <w:tc>
          <w:tcPr>
            <w:tcW w:w="1417" w:type="dxa"/>
            <w:vAlign w:val="center"/>
          </w:tcPr>
          <w:p w14:paraId="584AEC1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627AD0B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03C0B2B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389B262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1E0F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6A8DB92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项目副经理</w:t>
            </w:r>
          </w:p>
        </w:tc>
        <w:tc>
          <w:tcPr>
            <w:tcW w:w="1417" w:type="dxa"/>
            <w:vAlign w:val="center"/>
          </w:tcPr>
          <w:p w14:paraId="16A80AF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50D986CB">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6193F2F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003D7F8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4470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6E3C9F0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技术负责人</w:t>
            </w:r>
          </w:p>
        </w:tc>
        <w:tc>
          <w:tcPr>
            <w:tcW w:w="1417" w:type="dxa"/>
            <w:vAlign w:val="center"/>
          </w:tcPr>
          <w:p w14:paraId="021E235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5093039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423F8BE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787A96C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E93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2F7C0FE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造价管理</w:t>
            </w:r>
          </w:p>
        </w:tc>
        <w:tc>
          <w:tcPr>
            <w:tcW w:w="1417" w:type="dxa"/>
            <w:vAlign w:val="center"/>
          </w:tcPr>
          <w:p w14:paraId="3FD40A5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515B43A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480E67B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72B9796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2181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9699BC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107E52C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5588FBA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35734AC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6C5CC947">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C60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51BDB6A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质量管理</w:t>
            </w:r>
          </w:p>
        </w:tc>
        <w:tc>
          <w:tcPr>
            <w:tcW w:w="1417" w:type="dxa"/>
            <w:vAlign w:val="center"/>
          </w:tcPr>
          <w:p w14:paraId="2314100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43F2026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3F880AE7">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4895141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5BD6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E7B2DC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1909B97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26BF31A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5CBF73E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1027CF3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458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4CDA3F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4693F59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5175E6D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1274DE87">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1952C2F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51AD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345AF2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2654B8F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7E4A3487">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22EC8C2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17C2F7B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5276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98FA26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74389E7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2F4701C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758BAF2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238ADE1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2AF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164A99C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6326C35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7DC5D52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77CC94F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67214E7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0A6E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F31BF7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398172A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45C75EB7">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3C272A4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660E274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7770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151624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05825D0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4F567FE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30FC6B9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77EAD76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4131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58305F8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材料管理</w:t>
            </w:r>
          </w:p>
        </w:tc>
        <w:tc>
          <w:tcPr>
            <w:tcW w:w="1417" w:type="dxa"/>
            <w:vAlign w:val="center"/>
          </w:tcPr>
          <w:p w14:paraId="6BF9B56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7320662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21C5FA2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0231848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6E2C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1A1F75B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5D855BB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1379619B">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74E3B95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5654963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DFD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6F5E3A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5E5AB96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754AB5B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1DCD378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204196C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E3E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122A6FE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18A1AF4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52ECC68B">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6C64EC8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3AA1398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9EF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8298E2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59AD507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3DE7921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535BED1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06340F7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18BB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7CA39FD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计划管理</w:t>
            </w:r>
          </w:p>
        </w:tc>
        <w:tc>
          <w:tcPr>
            <w:tcW w:w="1417" w:type="dxa"/>
            <w:vAlign w:val="center"/>
          </w:tcPr>
          <w:p w14:paraId="0B7ED37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63D2F87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0FB9168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283B4DA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0CBD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166355D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安全管理</w:t>
            </w:r>
          </w:p>
        </w:tc>
        <w:tc>
          <w:tcPr>
            <w:tcW w:w="1417" w:type="dxa"/>
            <w:vAlign w:val="center"/>
          </w:tcPr>
          <w:p w14:paraId="51443B37">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3814BE0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483C5BF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35A27CE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4C6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FF5F69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4A32BEC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189EAE2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470EBFE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79FA1C5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036C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7DC536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61514B7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41927E0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31AD542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427B08B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D49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88A12C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66CB30F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5268B11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3C3396C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56883E0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EED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A4CED4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5E202D6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11740D1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72133F2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01FB2CB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7370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1D785E1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1F4FD37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740C249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6E40E65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6325C92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2B88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restart"/>
            <w:vAlign w:val="center"/>
          </w:tcPr>
          <w:p w14:paraId="4AF57CE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其他人员</w:t>
            </w:r>
          </w:p>
        </w:tc>
        <w:tc>
          <w:tcPr>
            <w:tcW w:w="1417" w:type="dxa"/>
            <w:vAlign w:val="center"/>
          </w:tcPr>
          <w:p w14:paraId="6076B38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15DF6FD7">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615C576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441F5AB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2C91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CAD931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6CB986A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5410FC2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29D7511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3D6EBA3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88F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DE85EF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1D2CA17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49112B5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0D0E452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1F4BF2E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6494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206BE4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068E998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2E89669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4C95EC6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74B8C4D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6750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A02CD1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34FA79E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6980920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28392C4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131F351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2E18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45F4F9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40DCF8D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6A724A5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2D92392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616B295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0A7E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B28944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2F57139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00CC0CF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6618208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2C2BA13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6054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DEF57B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3ECB608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0562891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1044EB9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2EA52D2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51F1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115B0AF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0AA6EDA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53338F3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725AF7A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7922104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14D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653DBD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4901214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401FB70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24A4DFA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0C0567F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4CF4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4B17C74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7ED6C89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0300361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5E2F408B">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746565D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6A82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5993CE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3F6BE40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575E49F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28269D7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59F228A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56FA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170A8E3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4FDE4C52">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3FF6E23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721A912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48E68A5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368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7E43CD3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07E366F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114B749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38F2BA2C">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2557735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4D84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11970E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3EFA41E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45634FD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6F546FB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79C7CBE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0E8E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54ED769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452BD1DE">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2EEE6F7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22ABE25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7629AC2B">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18EA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063BB99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1DE3EB9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5D491976">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059F48B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6E6AEC7D">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2E2D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3335D85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2057B0A3">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0E6B237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4126DFB8">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329A232B">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1488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2CE7869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13C61E8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269F1FF7">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56517A2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3D1CABC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1498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62B29B4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0AD803F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347104C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1CBD1D59">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3B1E19E0">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r w14:paraId="330A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Merge w:val="continue"/>
            <w:vAlign w:val="center"/>
          </w:tcPr>
          <w:p w14:paraId="1EC7B8A5">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417" w:type="dxa"/>
            <w:vAlign w:val="center"/>
          </w:tcPr>
          <w:p w14:paraId="4A1F1354">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268" w:type="dxa"/>
            <w:vAlign w:val="center"/>
          </w:tcPr>
          <w:p w14:paraId="1CAA25EA">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2126" w:type="dxa"/>
            <w:vAlign w:val="center"/>
          </w:tcPr>
          <w:p w14:paraId="501E40C1">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c>
          <w:tcPr>
            <w:tcW w:w="1978" w:type="dxa"/>
            <w:vAlign w:val="center"/>
          </w:tcPr>
          <w:p w14:paraId="57A1613F">
            <w:pPr>
              <w:pStyle w:val="169"/>
              <w:spacing w:line="360" w:lineRule="auto"/>
              <w:jc w:val="center"/>
              <w:rPr>
                <w:rFonts w:hint="eastAsia" w:ascii="仿宋" w:hAnsi="仿宋" w:eastAsia="仿宋" w:cs="仿宋"/>
                <w:color w:val="000000" w:themeColor="text1"/>
                <w:szCs w:val="21"/>
                <w14:textFill>
                  <w14:solidFill>
                    <w14:schemeClr w14:val="tx1"/>
                  </w14:solidFill>
                </w14:textFill>
              </w:rPr>
            </w:pPr>
          </w:p>
        </w:tc>
      </w:tr>
    </w:tbl>
    <w:p w14:paraId="74344715">
      <w:pPr>
        <w:pStyle w:val="169"/>
        <w:spacing w:line="360" w:lineRule="auto"/>
        <w:rPr>
          <w:rFonts w:hint="eastAsia" w:ascii="仿宋" w:hAnsi="仿宋" w:eastAsia="仿宋" w:cs="仿宋"/>
          <w:color w:val="000000" w:themeColor="text1"/>
          <w:sz w:val="30"/>
          <w:szCs w:val="30"/>
          <w14:textFill>
            <w14:solidFill>
              <w14:schemeClr w14:val="tx1"/>
            </w14:solidFill>
          </w14:textFill>
        </w:rPr>
      </w:pPr>
    </w:p>
    <w:p w14:paraId="6D2EDCD5">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406B7980">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附件6：</w:t>
      </w:r>
    </w:p>
    <w:p w14:paraId="76E37067">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分包人主要施工管理人员表</w:t>
      </w:r>
    </w:p>
    <w:p w14:paraId="3F44C4A1">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p>
    <w:p w14:paraId="6B4B9F7E">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无</w:t>
      </w:r>
    </w:p>
    <w:p w14:paraId="5693B824">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37251B7F">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附件7</w:t>
      </w:r>
    </w:p>
    <w:p w14:paraId="644936F0">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履约保函示范文本</w:t>
      </w:r>
    </w:p>
    <w:p w14:paraId="74645888">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（独立保函）</w:t>
      </w:r>
    </w:p>
    <w:p w14:paraId="4B5DDBB3">
      <w:pPr>
        <w:pStyle w:val="169"/>
        <w:spacing w:line="360" w:lineRule="auto"/>
        <w:ind w:right="1260" w:rightChars="600"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p w14:paraId="0CB066C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申请人：</w:t>
      </w:r>
    </w:p>
    <w:p w14:paraId="44143FEC">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6E2FBEA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受益人：</w:t>
      </w:r>
    </w:p>
    <w:p w14:paraId="312709C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7B6BF98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开立人：</w:t>
      </w:r>
    </w:p>
    <w:p w14:paraId="4A8E51A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1330FBC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5B822E4">
      <w:pPr>
        <w:pStyle w:val="169"/>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（受益人名称）：</w:t>
      </w:r>
    </w:p>
    <w:p w14:paraId="1258BCA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鉴于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（以下简称“受益人”）与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（以下简称“申请人”）于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日就______工程（以下简称“本工程”）施工和有关事项协商一致共同签订</w:t>
      </w:r>
      <w:r>
        <w:rPr>
          <w:rFonts w:hint="eastAsia" w:ascii="仿宋" w:hAnsi="仿宋" w:eastAsia="仿宋" w:cs="仿宋"/>
          <w:color w:val="000000" w:themeColor="text1"/>
          <w:szCs w:val="21"/>
          <w:u w:val="single"/>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______</w:t>
      </w:r>
      <w:r>
        <w:rPr>
          <w:rFonts w:hint="eastAsia" w:ascii="仿宋" w:hAnsi="仿宋" w:eastAsia="仿宋" w:cs="仿宋"/>
          <w:color w:val="000000" w:themeColor="text1"/>
          <w:szCs w:val="21"/>
          <w:u w:val="single"/>
          <w14:textFill>
            <w14:solidFill>
              <w14:schemeClr w14:val="tx1"/>
            </w14:solidFill>
          </w14:textFill>
        </w:rPr>
        <w:t>施工合同》</w:t>
      </w:r>
      <w:r>
        <w:rPr>
          <w:rFonts w:hint="eastAsia" w:ascii="仿宋" w:hAnsi="仿宋" w:eastAsia="仿宋" w:cs="仿宋"/>
          <w:color w:val="000000" w:themeColor="text1"/>
          <w:szCs w:val="21"/>
          <w14:textFill>
            <w14:solidFill>
              <w14:schemeClr w14:val="tx1"/>
            </w14:solidFill>
          </w14:textFill>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0472BBE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一、本保函担保范围：承包人未按照基础合同的约定履行义务，应当向贵方承担的违约责任和赔偿因此造成的损失、利息、律师费、诉讼费用、财产保全费用、强制执行申请费等实现债权的费用。</w:t>
      </w:r>
    </w:p>
    <w:p w14:paraId="2B8F3CB6">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二、本保函担保金额最高不超过人民币（大写）</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元（¥</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w:t>
      </w:r>
    </w:p>
    <w:p w14:paraId="3AF1007E">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三、本保函有效期自开立之日起至基础合同约定的缺陷责任期后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日止，最迟不超过</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w:t>
      </w:r>
    </w:p>
    <w:p w14:paraId="0AC046E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四、我方承诺，在收到受益人发来的书面付款通知后的</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日内无条件支付，前述书面付款通知即为付款要求之单据，且应满足以下要求：</w:t>
      </w:r>
    </w:p>
    <w:p w14:paraId="3BE5716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（1）付款通知到达的日期在本保函的有效期内；</w:t>
      </w:r>
    </w:p>
    <w:p w14:paraId="3161CCB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（2）载明要求支付的金额；</w:t>
      </w:r>
    </w:p>
    <w:p w14:paraId="54CD50F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（3）载明申请人违反合同义务的条款和内容；</w:t>
      </w:r>
    </w:p>
    <w:p w14:paraId="37DB64A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（4）声明不存在合同文件约定或我国法律规定免除申请人或开立人支付责任的情形；</w:t>
      </w:r>
    </w:p>
    <w:p w14:paraId="5BCB7AF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（5）付款通知应在本保函有效期内到达的地址是：</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w:t>
      </w:r>
    </w:p>
    <w:p w14:paraId="16EAC68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受益人发出的书面付款通知应由其为鉴明受益人法定代表人（负责人）或授权代理人签字并加盖公章。</w:t>
      </w:r>
    </w:p>
    <w:p w14:paraId="3B8A53C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五、本保函项下的权利不得转让，不得设定担保。贵方未经我方书面同意转让本保函或其项下任何权利，对我方不发生法律效力。</w:t>
      </w:r>
    </w:p>
    <w:p w14:paraId="57B8EA0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六、与本保函有关的基础合同不成立、不生效、无效、被撤销、被解除，不影响本保函的独立有效。</w:t>
      </w:r>
    </w:p>
    <w:p w14:paraId="05A9EEE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七、贵方应在本保函到期后的七日内将本保函正本退回我方注销，但是不论贵方是否按此要求将本保函正本退回我方，我方在本保函项下的义务和责任均在保函有效期到期后自动消灭。</w:t>
      </w:r>
    </w:p>
    <w:p w14:paraId="4339843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八、本保函适用的法律为中华人民共和国法律，争议裁判管辖地为中华人民共和国</w:t>
      </w:r>
      <w:r>
        <w:rPr>
          <w:rFonts w:hint="eastAsia" w:ascii="仿宋" w:hAnsi="仿宋" w:eastAsia="仿宋" w:cs="仿宋"/>
          <w:color w:val="000000" w:themeColor="text1"/>
          <w:szCs w:val="21"/>
          <w:u w:val="single"/>
          <w14:textFill>
            <w14:solidFill>
              <w14:schemeClr w14:val="tx1"/>
            </w14:solidFill>
          </w14:textFill>
        </w:rPr>
        <w:t>广西壮族自治区</w:t>
      </w:r>
      <w:r>
        <w:rPr>
          <w:rFonts w:hint="eastAsia" w:ascii="仿宋" w:hAnsi="仿宋" w:eastAsia="仿宋" w:cs="仿宋"/>
          <w:color w:val="000000" w:themeColor="text1"/>
          <w:szCs w:val="21"/>
          <w:u w:val="single"/>
          <w:lang w:val="en-US" w:eastAsia="zh-CN"/>
          <w14:textFill>
            <w14:solidFill>
              <w14:schemeClr w14:val="tx1"/>
            </w14:solidFill>
          </w14:textFill>
        </w:rPr>
        <w:t>桂林</w:t>
      </w:r>
      <w:r>
        <w:rPr>
          <w:rFonts w:hint="eastAsia" w:ascii="仿宋" w:hAnsi="仿宋" w:eastAsia="仿宋" w:cs="仿宋"/>
          <w:color w:val="000000" w:themeColor="text1"/>
          <w:szCs w:val="21"/>
          <w:u w:val="single"/>
          <w14:textFill>
            <w14:solidFill>
              <w14:schemeClr w14:val="tx1"/>
            </w14:solidFill>
          </w14:textFill>
        </w:rPr>
        <w:t>市</w:t>
      </w:r>
      <w:r>
        <w:rPr>
          <w:rFonts w:hint="eastAsia" w:ascii="仿宋" w:hAnsi="仿宋" w:eastAsia="仿宋" w:cs="仿宋"/>
          <w:color w:val="000000" w:themeColor="text1"/>
          <w:szCs w:val="21"/>
          <w:u w:val="single"/>
          <w:lang w:val="en-US" w:eastAsia="zh-CN"/>
          <w14:textFill>
            <w14:solidFill>
              <w14:schemeClr w14:val="tx1"/>
            </w14:solidFill>
          </w14:textFill>
        </w:rPr>
        <w:t>七星</w:t>
      </w:r>
      <w:r>
        <w:rPr>
          <w:rFonts w:hint="eastAsia" w:ascii="仿宋" w:hAnsi="仿宋" w:eastAsia="仿宋" w:cs="仿宋"/>
          <w:color w:val="000000" w:themeColor="text1"/>
          <w:szCs w:val="21"/>
          <w:u w:val="single"/>
          <w14:textFill>
            <w14:solidFill>
              <w14:schemeClr w14:val="tx1"/>
            </w14:solidFill>
          </w14:textFill>
        </w:rPr>
        <w:t>区</w:t>
      </w:r>
      <w:r>
        <w:rPr>
          <w:rFonts w:hint="eastAsia" w:ascii="仿宋" w:hAnsi="仿宋" w:eastAsia="仿宋" w:cs="仿宋"/>
          <w:color w:val="000000" w:themeColor="text1"/>
          <w:szCs w:val="21"/>
          <w14:textFill>
            <w14:solidFill>
              <w14:schemeClr w14:val="tx1"/>
            </w14:solidFill>
          </w14:textFill>
        </w:rPr>
        <w:t>。</w:t>
      </w:r>
    </w:p>
    <w:p w14:paraId="29DCD3A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九、本保函自我方法定代表人或授权代表签字并加盖公章之日起生效。</w:t>
      </w:r>
    </w:p>
    <w:p w14:paraId="0BBB6B0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开立人：（公章）</w:t>
      </w:r>
    </w:p>
    <w:p w14:paraId="475617E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法定代表人（或授权代表）：（签字）</w:t>
      </w:r>
    </w:p>
    <w:p w14:paraId="0BDCE45E">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376866F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邮政编码：</w:t>
      </w:r>
    </w:p>
    <w:p w14:paraId="16C5CD2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电话：</w:t>
      </w:r>
    </w:p>
    <w:p w14:paraId="3D29C70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传真：</w:t>
      </w:r>
    </w:p>
    <w:p w14:paraId="1F1DE39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开立时间：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w:t>
      </w:r>
    </w:p>
    <w:p w14:paraId="2104DED9">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530EB71C">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附件7：</w:t>
      </w:r>
    </w:p>
    <w:p w14:paraId="0728D4F2">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履约保函示范文本</w:t>
      </w:r>
    </w:p>
    <w:p w14:paraId="5C3C7872">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（非独立保函）</w:t>
      </w:r>
    </w:p>
    <w:p w14:paraId="347FBD8E">
      <w:pPr>
        <w:pStyle w:val="169"/>
        <w:spacing w:line="360" w:lineRule="auto"/>
        <w:ind w:right="1260" w:rightChars="600"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p w14:paraId="68BA157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w:t>
      </w:r>
    </w:p>
    <w:p w14:paraId="57B82F5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1EA8A15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担保权人/发包人：</w:t>
      </w:r>
    </w:p>
    <w:p w14:paraId="55AC2BFC">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026BACC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保证人：</w:t>
      </w:r>
    </w:p>
    <w:p w14:paraId="385123E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08ECE5F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FE2B438">
      <w:pPr>
        <w:pStyle w:val="169"/>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（发包人名称）：</w:t>
      </w:r>
    </w:p>
    <w:p w14:paraId="4D54217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鉴于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（以下简称“发包人”）与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（以下简称“承包人”）于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就______工程（以下简称“本工程”）施工和有关事项协商一致共同签订《______施工合同》（以下简称“主合同”），我方即保证人基于承包人的请求，同意就承包人履行与贵方签订的主合同项下的义务，向贵方提供如下保证担保（以下简称“本保证担保”）。</w:t>
      </w:r>
    </w:p>
    <w:p w14:paraId="2DC4858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一、保证担保的范围及保证担保金额</w:t>
      </w:r>
    </w:p>
    <w:p w14:paraId="42D4AB3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1.保证担保范围：承包人未按照主合同的约定履行义务，应当向贵方承担的违约责任和赔偿因此造成的损失、利息、律师费、诉讼费用、财产保全费用、强制执行申请费等实现债权的费用。</w:t>
      </w:r>
    </w:p>
    <w:p w14:paraId="703E636E">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2.保证担保金额最高不超过人民币（大写）</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元（¥</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w:t>
      </w:r>
    </w:p>
    <w:p w14:paraId="25113F3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二、保证担保的方式及保证期间</w:t>
      </w:r>
    </w:p>
    <w:p w14:paraId="71055DB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1.保证担保方式：连带责任保证。</w:t>
      </w:r>
    </w:p>
    <w:p w14:paraId="632D2BB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2.保证期间：自出具之日起至主合同约定的缺陷责任期后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日止，最迟不超过</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w:t>
      </w:r>
    </w:p>
    <w:p w14:paraId="2113041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三、承担保证担保责任的形式</w:t>
      </w:r>
    </w:p>
    <w:p w14:paraId="4C17FC3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我方按照贵方的要求以下列方式之一承担保证担保责任：</w:t>
      </w:r>
    </w:p>
    <w:p w14:paraId="147FDDDF">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1.向承包人资金、设备或者技术援助，使其能继续履行合同义务；</w:t>
      </w:r>
    </w:p>
    <w:p w14:paraId="1923058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2.直接接管该项工程或者委托经贵方同意的其他承包商，继续履行合同义务；</w:t>
      </w:r>
    </w:p>
    <w:p w14:paraId="1BEBE7CF">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3.在保证担保金额最高限额内，按照合同约定，向贵方承担违约责任和赔偿因此造成的损失，以及利息和律师费、诉讼费用等实现债权的费用。</w:t>
      </w:r>
    </w:p>
    <w:p w14:paraId="7DD79CF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四、代偿的安排</w:t>
      </w:r>
    </w:p>
    <w:p w14:paraId="06E4088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04494B2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2.贵方以工程质量不符合主合同约定标准为由，向我方提出违约索赔的，还需同时提供符合相应条件要求的工程质量检测部门出具的质量说明材料。</w:t>
      </w:r>
    </w:p>
    <w:p w14:paraId="0F778F2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3.我方收到贵方的书面索赔通知及相应证明材料后，在</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工作日内进行核定后按照本保函的承诺承担保证责任。</w:t>
      </w:r>
    </w:p>
    <w:p w14:paraId="203DED5C">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五、保证担保责任的解除</w:t>
      </w:r>
    </w:p>
    <w:p w14:paraId="530B7F16">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1.保证期间届满贵方未向我方书面主张保证责任的，自保证期间届满次日起，我方解除保证责任。</w:t>
      </w:r>
    </w:p>
    <w:p w14:paraId="2A7C5B5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2.我方按照本保证担保向贵方履行了保证担保责任后，自我方向贵方支付的金额达到最高保证担保金额之日起，保证担保责任解除。</w:t>
      </w:r>
    </w:p>
    <w:p w14:paraId="100DE01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3.按照法律法规的规定应解除我方保证担保责任的其它情形的，我方在本保证担保项下的保证担保责任亦解除。</w:t>
      </w:r>
    </w:p>
    <w:p w14:paraId="18248F8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67E81A4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六、免责条款</w:t>
      </w:r>
    </w:p>
    <w:p w14:paraId="08AEFE0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1.因贵方原因致使承包人未按照主合同约定履行义务的，我方不承担保证担保责任。</w:t>
      </w:r>
    </w:p>
    <w:p w14:paraId="26C6BD6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2.依照法律规定或贵方与发包人的另行约定，免除承包人部分或全部义务的，我方亦免除其相应的保证担保责任。</w:t>
      </w:r>
    </w:p>
    <w:p w14:paraId="648DD01C">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3.因不可抗力造成承包人未按照主合同约定履行义务的，我方不承担保证担保责任。</w:t>
      </w:r>
    </w:p>
    <w:p w14:paraId="0FA4043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七、其他</w:t>
      </w:r>
    </w:p>
    <w:p w14:paraId="1A9876F6">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1.本保证担保项下的权利不得转让，不得设定担保。贵方未经我方书面同意转让本保证担保或其项下任何权利，对我方不发生法律效力。</w:t>
      </w:r>
    </w:p>
    <w:p w14:paraId="2BFD0DAE">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2.本保证担保适用的法律为中华人民共和国法律，争议裁判管辖地为中华人民共和国</w:t>
      </w:r>
      <w:r>
        <w:rPr>
          <w:rFonts w:hint="eastAsia" w:ascii="仿宋" w:hAnsi="仿宋" w:eastAsia="仿宋" w:cs="仿宋"/>
          <w:color w:val="000000" w:themeColor="text1"/>
          <w:szCs w:val="21"/>
          <w:u w:val="single"/>
          <w14:textFill>
            <w14:solidFill>
              <w14:schemeClr w14:val="tx1"/>
            </w14:solidFill>
          </w14:textFill>
        </w:rPr>
        <w:t>广西壮族自治区</w:t>
      </w:r>
      <w:r>
        <w:rPr>
          <w:rFonts w:hint="eastAsia" w:ascii="仿宋" w:hAnsi="仿宋" w:eastAsia="仿宋" w:cs="仿宋"/>
          <w:color w:val="000000" w:themeColor="text1"/>
          <w:szCs w:val="21"/>
          <w:u w:val="single"/>
          <w:lang w:val="en-US" w:eastAsia="zh-CN"/>
          <w14:textFill>
            <w14:solidFill>
              <w14:schemeClr w14:val="tx1"/>
            </w14:solidFill>
          </w14:textFill>
        </w:rPr>
        <w:t>桂林</w:t>
      </w:r>
      <w:r>
        <w:rPr>
          <w:rFonts w:hint="eastAsia" w:ascii="仿宋" w:hAnsi="仿宋" w:eastAsia="仿宋" w:cs="仿宋"/>
          <w:color w:val="000000" w:themeColor="text1"/>
          <w:szCs w:val="21"/>
          <w:u w:val="single"/>
          <w14:textFill>
            <w14:solidFill>
              <w14:schemeClr w14:val="tx1"/>
            </w14:solidFill>
          </w14:textFill>
        </w:rPr>
        <w:t>市</w:t>
      </w:r>
      <w:r>
        <w:rPr>
          <w:rFonts w:hint="eastAsia" w:ascii="仿宋" w:hAnsi="仿宋" w:eastAsia="仿宋" w:cs="仿宋"/>
          <w:color w:val="000000" w:themeColor="text1"/>
          <w:szCs w:val="21"/>
          <w:u w:val="single"/>
          <w:lang w:val="en-US" w:eastAsia="zh-CN"/>
          <w14:textFill>
            <w14:solidFill>
              <w14:schemeClr w14:val="tx1"/>
            </w14:solidFill>
          </w14:textFill>
        </w:rPr>
        <w:t>七星</w:t>
      </w:r>
      <w:r>
        <w:rPr>
          <w:rFonts w:hint="eastAsia" w:ascii="仿宋" w:hAnsi="仿宋" w:eastAsia="仿宋" w:cs="仿宋"/>
          <w:color w:val="000000" w:themeColor="text1"/>
          <w:szCs w:val="21"/>
          <w:u w:val="single"/>
          <w14:textFill>
            <w14:solidFill>
              <w14:schemeClr w14:val="tx1"/>
            </w14:solidFill>
          </w14:textFill>
        </w:rPr>
        <w:t>区</w:t>
      </w:r>
      <w:r>
        <w:rPr>
          <w:rFonts w:hint="eastAsia" w:ascii="仿宋" w:hAnsi="仿宋" w:eastAsia="仿宋" w:cs="仿宋"/>
          <w:color w:val="000000" w:themeColor="text1"/>
          <w:szCs w:val="21"/>
          <w14:textFill>
            <w14:solidFill>
              <w14:schemeClr w14:val="tx1"/>
            </w14:solidFill>
          </w14:textFill>
        </w:rPr>
        <w:t>。</w:t>
      </w:r>
    </w:p>
    <w:p w14:paraId="39F7269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3.本保证担保自我方法定代表人或授权代表签字并加盖公章之日起生效。</w:t>
      </w:r>
    </w:p>
    <w:p w14:paraId="08B5EDD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73890F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保证人：（公章）</w:t>
      </w:r>
    </w:p>
    <w:p w14:paraId="50E24F7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法定代表人（或授权代表）：（签字）</w:t>
      </w:r>
    </w:p>
    <w:p w14:paraId="6F7A669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065B1E2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邮政编码：</w:t>
      </w:r>
    </w:p>
    <w:p w14:paraId="5ED85D9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电话：</w:t>
      </w:r>
    </w:p>
    <w:p w14:paraId="17BF7A3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传真：</w:t>
      </w:r>
    </w:p>
    <w:p w14:paraId="54EC7DD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时间：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w:t>
      </w:r>
    </w:p>
    <w:p w14:paraId="476FE6EA">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277E3FC2">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附件8：</w:t>
      </w:r>
    </w:p>
    <w:p w14:paraId="0FA36E35">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预付款保函示范文本</w:t>
      </w:r>
    </w:p>
    <w:p w14:paraId="273D3800">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（独立保函）</w:t>
      </w:r>
    </w:p>
    <w:p w14:paraId="6943C378">
      <w:pPr>
        <w:pStyle w:val="169"/>
        <w:spacing w:line="360" w:lineRule="auto"/>
        <w:ind w:right="1260" w:rightChars="600"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p w14:paraId="78BD07E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4AD61A96">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申请人：</w:t>
      </w:r>
    </w:p>
    <w:p w14:paraId="461593EF">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7DA49BB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受益人：</w:t>
      </w:r>
    </w:p>
    <w:p w14:paraId="64ACC07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198EC3E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开立人：</w:t>
      </w:r>
    </w:p>
    <w:p w14:paraId="62E561B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7F06CF9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25F0738">
      <w:pPr>
        <w:pStyle w:val="169"/>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（受益人名称）：</w:t>
      </w:r>
    </w:p>
    <w:p w14:paraId="23071CD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鉴于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（以下简称“受益人”）与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（以下简称“申请人”）于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就______工程（以下简称“本工程”）施工和有关事项协商一致共同签订《______施工合同》（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058C82E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本保函担保范围：申请人未按照合同约定正确和合理地为合同目的使用预付款，应当向贵方承担的违约责任和赔偿因此造成的损失、利息、律师费、诉讼费用、财产保全费用、强制执行申请费等实现债权的费用。</w:t>
      </w:r>
    </w:p>
    <w:p w14:paraId="7AC67BF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二、本保函担保金额最高不超过人民币（大写）</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元（¥</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w:t>
      </w:r>
    </w:p>
    <w:p w14:paraId="71FE883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三、本保函有效期自开立之日起至发包人全额扣回预付款后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日止，最迟不超过</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w:t>
      </w:r>
    </w:p>
    <w:p w14:paraId="127D235E">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四、我方承诺，在收到受益人发来的书面付款通知后的</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日内无条件支付，前述书面付款通知即为付款要求之单据，且应满足以下要求：</w:t>
      </w:r>
    </w:p>
    <w:p w14:paraId="4526DA5F">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（1）付款通知到达的日期在本保函的有效期内；</w:t>
      </w:r>
    </w:p>
    <w:p w14:paraId="577B408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（2）载明要求支付的金额；</w:t>
      </w:r>
    </w:p>
    <w:p w14:paraId="61BA121C">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（3）载明申请人违反合同义务的条款和内容；</w:t>
      </w:r>
    </w:p>
    <w:p w14:paraId="528435E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（4）声明不存在合同文件约定或我国法律规定免除申请人或开立人支付责任的情形；</w:t>
      </w:r>
    </w:p>
    <w:p w14:paraId="5342E3E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（5）付款通知应在本保函有效期内到达的地址是：</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w:t>
      </w:r>
    </w:p>
    <w:p w14:paraId="7614C1AC">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受益人发出的书面付款通知应由其为鉴明受益人法定代表人（负责人）或授权代理人签字并加盖公章。</w:t>
      </w:r>
    </w:p>
    <w:p w14:paraId="7DF493E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五、本保函项下的权利不得转让，不得设定担保。贵方未经我方书面同意转让本保函或其项下任何权利，对我方不发生法律效力。</w:t>
      </w:r>
    </w:p>
    <w:p w14:paraId="43146FA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六、与本保函有关的基础合同不成立、不生效、无效、被撤销、被解除，不影响本保函的独立有效。</w:t>
      </w:r>
    </w:p>
    <w:p w14:paraId="52BFB53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七、贵方应在本保函到期后的七日内将本保函正本退回我方注销，但是不论贵方是否按此要求将本保函正本退回我方，我方在本保函项下的义务和责任均在保函有效期到期后自动消灭。</w:t>
      </w:r>
    </w:p>
    <w:p w14:paraId="2484AD9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八、本保函适用的法律为中华人民共和国法律，争议裁判管辖地为中华人民共和国</w:t>
      </w:r>
      <w:r>
        <w:rPr>
          <w:rFonts w:hint="eastAsia" w:ascii="仿宋" w:hAnsi="仿宋" w:eastAsia="仿宋" w:cs="仿宋"/>
          <w:color w:val="000000" w:themeColor="text1"/>
          <w:szCs w:val="21"/>
          <w:u w:val="single"/>
          <w14:textFill>
            <w14:solidFill>
              <w14:schemeClr w14:val="tx1"/>
            </w14:solidFill>
          </w14:textFill>
        </w:rPr>
        <w:t>广西壮族自治区</w:t>
      </w:r>
      <w:r>
        <w:rPr>
          <w:rFonts w:hint="eastAsia" w:ascii="仿宋" w:hAnsi="仿宋" w:eastAsia="仿宋" w:cs="仿宋"/>
          <w:color w:val="000000" w:themeColor="text1"/>
          <w:szCs w:val="21"/>
          <w:u w:val="single"/>
          <w:lang w:val="en-US" w:eastAsia="zh-CN"/>
          <w14:textFill>
            <w14:solidFill>
              <w14:schemeClr w14:val="tx1"/>
            </w14:solidFill>
          </w14:textFill>
        </w:rPr>
        <w:t>桂林</w:t>
      </w:r>
      <w:r>
        <w:rPr>
          <w:rFonts w:hint="eastAsia" w:ascii="仿宋" w:hAnsi="仿宋" w:eastAsia="仿宋" w:cs="仿宋"/>
          <w:color w:val="000000" w:themeColor="text1"/>
          <w:szCs w:val="21"/>
          <w:u w:val="single"/>
          <w14:textFill>
            <w14:solidFill>
              <w14:schemeClr w14:val="tx1"/>
            </w14:solidFill>
          </w14:textFill>
        </w:rPr>
        <w:t>市</w:t>
      </w:r>
      <w:r>
        <w:rPr>
          <w:rFonts w:hint="eastAsia" w:ascii="仿宋" w:hAnsi="仿宋" w:eastAsia="仿宋" w:cs="仿宋"/>
          <w:color w:val="000000" w:themeColor="text1"/>
          <w:szCs w:val="21"/>
          <w:u w:val="single"/>
          <w:lang w:val="en-US" w:eastAsia="zh-CN"/>
          <w14:textFill>
            <w14:solidFill>
              <w14:schemeClr w14:val="tx1"/>
            </w14:solidFill>
          </w14:textFill>
        </w:rPr>
        <w:t>七星</w:t>
      </w:r>
      <w:r>
        <w:rPr>
          <w:rFonts w:hint="eastAsia" w:ascii="仿宋" w:hAnsi="仿宋" w:eastAsia="仿宋" w:cs="仿宋"/>
          <w:color w:val="000000" w:themeColor="text1"/>
          <w:szCs w:val="21"/>
          <w:u w:val="single"/>
          <w14:textFill>
            <w14:solidFill>
              <w14:schemeClr w14:val="tx1"/>
            </w14:solidFill>
          </w14:textFill>
        </w:rPr>
        <w:t>区</w:t>
      </w:r>
      <w:r>
        <w:rPr>
          <w:rFonts w:hint="eastAsia" w:ascii="仿宋" w:hAnsi="仿宋" w:eastAsia="仿宋" w:cs="仿宋"/>
          <w:color w:val="000000" w:themeColor="text1"/>
          <w:szCs w:val="21"/>
          <w14:textFill>
            <w14:solidFill>
              <w14:schemeClr w14:val="tx1"/>
            </w14:solidFill>
          </w14:textFill>
        </w:rPr>
        <w:t>。</w:t>
      </w:r>
    </w:p>
    <w:p w14:paraId="1849423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九、本保函自我方法定代表人或授权代表签字并加盖公章之日起生效。</w:t>
      </w:r>
    </w:p>
    <w:p w14:paraId="5D65188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4625D4B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开立人：（公章）</w:t>
      </w:r>
    </w:p>
    <w:p w14:paraId="4B0ED07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法定代表人（或授权代表）：（签字）</w:t>
      </w:r>
    </w:p>
    <w:p w14:paraId="356E70A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4598925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邮政编码：</w:t>
      </w:r>
    </w:p>
    <w:p w14:paraId="49ADAC5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电话：</w:t>
      </w:r>
    </w:p>
    <w:p w14:paraId="1A58B04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传真：</w:t>
      </w:r>
    </w:p>
    <w:p w14:paraId="61C831F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开立时间：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w:t>
      </w:r>
    </w:p>
    <w:p w14:paraId="69752E79">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2802CF2A">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附件8</w:t>
      </w:r>
    </w:p>
    <w:p w14:paraId="4C7C228C">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预付款保函示范文本</w:t>
      </w:r>
    </w:p>
    <w:p w14:paraId="142CE01D">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（非独立保函）</w:t>
      </w:r>
    </w:p>
    <w:p w14:paraId="1017D3A7">
      <w:pPr>
        <w:pStyle w:val="169"/>
        <w:spacing w:line="360" w:lineRule="auto"/>
        <w:ind w:right="1260" w:rightChars="600"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p w14:paraId="5B5616B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担保权人/发包人：</w:t>
      </w:r>
    </w:p>
    <w:p w14:paraId="1DB466B6">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6335BB0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w:t>
      </w:r>
    </w:p>
    <w:p w14:paraId="5A9F1FC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01BD7806">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保证人：</w:t>
      </w:r>
    </w:p>
    <w:p w14:paraId="34FE3D2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4A864CA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02CCF3B">
      <w:pPr>
        <w:pStyle w:val="169"/>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（发包人名称）：</w:t>
      </w:r>
    </w:p>
    <w:p w14:paraId="74A393C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鉴于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（以下简称“发包人”）与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（以下简称“承包人”）于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就______工程（以下简称“本工程”）施工和有关事项协商一致共同签订《______施工合同》（以下简称“主合同”），我方即保证人基于承包人的请求，同意就承包人按照合同约定正确和合理地为合同目的使用预付款，不将预付款挪作他用，向贵方提供如下保证担保（以下简称“本保证担保”）。</w:t>
      </w:r>
    </w:p>
    <w:p w14:paraId="7ECCD9F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一、保证担保的范围及保证担保金额</w:t>
      </w:r>
    </w:p>
    <w:p w14:paraId="5C111A3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1.保证担保范围：申请人未按照合同约定正确和合理地为合同目的使用预付款，应当向贵方承担的违约责任和赔偿因此造成的损失、利息、律师费、诉讼费用、财产保全费用、强制执行申请费等实现债权的费用。</w:t>
      </w:r>
    </w:p>
    <w:p w14:paraId="0944EE5F">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2.保证担保金额最高不超过人民币（大写）</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元（¥</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w:t>
      </w:r>
    </w:p>
    <w:p w14:paraId="5654945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二、保证担保的方式及保证期间</w:t>
      </w:r>
    </w:p>
    <w:p w14:paraId="0DDE5A4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1.保证担保方式：连带责任保证。</w:t>
      </w:r>
    </w:p>
    <w:p w14:paraId="369166C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2.保证期间：自出具之日起至发包人全额扣回预付款后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日止，最迟不超过</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w:t>
      </w:r>
    </w:p>
    <w:p w14:paraId="7A4013B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三、承担保证担保责任的形式</w:t>
      </w:r>
    </w:p>
    <w:p w14:paraId="3394651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发生应承担保证责任情形的，我方在保证金额内向贵方支付，并赔偿因此给贵方造成的损失，以及利息和律师费、诉讼费用等实现债权的费用。</w:t>
      </w:r>
    </w:p>
    <w:p w14:paraId="16FB5F6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四、代偿的安排</w:t>
      </w:r>
    </w:p>
    <w:p w14:paraId="120EF97E">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1B37493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2.我方收到贵方的书面索赔通知及相应证明材料后，在</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工作日内进行核定后按照本保函的承诺承担保证责任。</w:t>
      </w:r>
    </w:p>
    <w:p w14:paraId="79BC9F3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五、保证担保责任的解除</w:t>
      </w:r>
    </w:p>
    <w:p w14:paraId="23C85C8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1.保证期间届满贵方未向我方书面主张保证责任的，自保证期间届满次日起，我方解除保证责任。</w:t>
      </w:r>
    </w:p>
    <w:p w14:paraId="6CE3603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2.我方按照本保证担保向贵方履行了保证担保责任后，自我方向贵方支付的金额达到最高保证担保金额之日起，保证担保责任解除。</w:t>
      </w:r>
    </w:p>
    <w:p w14:paraId="5E98BD6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3.按照法律法规的规定应解除我方保证担保责任的其它情形的，我方在本保证担保项下的保证担保责任亦解除。</w:t>
      </w:r>
    </w:p>
    <w:p w14:paraId="73F916C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3962039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六、免责条款</w:t>
      </w:r>
    </w:p>
    <w:p w14:paraId="5B31D95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1.因贵方原因致使发生应承担保证责任情形的，我方不承担保证担保责任。</w:t>
      </w:r>
    </w:p>
    <w:p w14:paraId="0732BCD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2.依照法律规定或贵方与承包人的另行约定，免除承包人部分或全部义务的，我方亦免除其相应的保证担保责任。</w:t>
      </w:r>
    </w:p>
    <w:p w14:paraId="1E681A0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3.因不可抗力造成发生应承担保证责任情形的，我方不承担保证担保责任。</w:t>
      </w:r>
    </w:p>
    <w:p w14:paraId="168F0DF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七、其他</w:t>
      </w:r>
    </w:p>
    <w:p w14:paraId="3207545E">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1.本保证担保项下的权利不得转让，不得设定担保。贵方未经我方书面同意转让本保证担保或其项下任何权利，对我方不发生法律效力。</w:t>
      </w:r>
    </w:p>
    <w:p w14:paraId="68F43C8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2.本保证担保适用的法律为中华人民共和国法律，争议裁判管辖地为中华人民共和国</w:t>
      </w:r>
      <w:r>
        <w:rPr>
          <w:rFonts w:hint="eastAsia" w:ascii="仿宋" w:hAnsi="仿宋" w:eastAsia="仿宋" w:cs="仿宋"/>
          <w:color w:val="000000" w:themeColor="text1"/>
          <w:szCs w:val="21"/>
          <w:u w:val="single"/>
          <w14:textFill>
            <w14:solidFill>
              <w14:schemeClr w14:val="tx1"/>
            </w14:solidFill>
          </w14:textFill>
        </w:rPr>
        <w:t>广西壮族自治区</w:t>
      </w:r>
      <w:r>
        <w:rPr>
          <w:rFonts w:hint="eastAsia" w:ascii="仿宋" w:hAnsi="仿宋" w:eastAsia="仿宋" w:cs="仿宋"/>
          <w:color w:val="000000" w:themeColor="text1"/>
          <w:szCs w:val="21"/>
          <w:u w:val="single"/>
          <w:lang w:val="en-US" w:eastAsia="zh-CN"/>
          <w14:textFill>
            <w14:solidFill>
              <w14:schemeClr w14:val="tx1"/>
            </w14:solidFill>
          </w14:textFill>
        </w:rPr>
        <w:t>桂林</w:t>
      </w:r>
      <w:r>
        <w:rPr>
          <w:rFonts w:hint="eastAsia" w:ascii="仿宋" w:hAnsi="仿宋" w:eastAsia="仿宋" w:cs="仿宋"/>
          <w:color w:val="000000" w:themeColor="text1"/>
          <w:szCs w:val="21"/>
          <w:u w:val="single"/>
          <w14:textFill>
            <w14:solidFill>
              <w14:schemeClr w14:val="tx1"/>
            </w14:solidFill>
          </w14:textFill>
        </w:rPr>
        <w:t>市</w:t>
      </w:r>
      <w:r>
        <w:rPr>
          <w:rFonts w:hint="eastAsia" w:ascii="仿宋" w:hAnsi="仿宋" w:eastAsia="仿宋" w:cs="仿宋"/>
          <w:color w:val="000000" w:themeColor="text1"/>
          <w:szCs w:val="21"/>
          <w:u w:val="single"/>
          <w:lang w:val="en-US" w:eastAsia="zh-CN"/>
          <w14:textFill>
            <w14:solidFill>
              <w14:schemeClr w14:val="tx1"/>
            </w14:solidFill>
          </w14:textFill>
        </w:rPr>
        <w:t>七星</w:t>
      </w:r>
      <w:r>
        <w:rPr>
          <w:rFonts w:hint="eastAsia" w:ascii="仿宋" w:hAnsi="仿宋" w:eastAsia="仿宋" w:cs="仿宋"/>
          <w:color w:val="000000" w:themeColor="text1"/>
          <w:szCs w:val="21"/>
          <w:u w:val="single"/>
          <w14:textFill>
            <w14:solidFill>
              <w14:schemeClr w14:val="tx1"/>
            </w14:solidFill>
          </w14:textFill>
        </w:rPr>
        <w:t>区</w:t>
      </w:r>
      <w:r>
        <w:rPr>
          <w:rFonts w:hint="eastAsia" w:ascii="仿宋" w:hAnsi="仿宋" w:eastAsia="仿宋" w:cs="仿宋"/>
          <w:color w:val="000000" w:themeColor="text1"/>
          <w:szCs w:val="21"/>
          <w14:textFill>
            <w14:solidFill>
              <w14:schemeClr w14:val="tx1"/>
            </w14:solidFill>
          </w14:textFill>
        </w:rPr>
        <w:t>。</w:t>
      </w:r>
    </w:p>
    <w:p w14:paraId="12B0EB0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3.本保证担保自我方法定代表人或授权代表签字并加盖公章之日起生效。</w:t>
      </w:r>
    </w:p>
    <w:p w14:paraId="28A8E78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47FC41F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保证人：（公章）</w:t>
      </w:r>
    </w:p>
    <w:p w14:paraId="43144586">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法定代表人（或授权代表）：（签字）</w:t>
      </w:r>
    </w:p>
    <w:p w14:paraId="1F48463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75B0F6E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邮政编码：</w:t>
      </w:r>
    </w:p>
    <w:p w14:paraId="4467DAF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电话：</w:t>
      </w:r>
    </w:p>
    <w:p w14:paraId="6402237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传真：</w:t>
      </w:r>
    </w:p>
    <w:p w14:paraId="3A2AD60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时间：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w:t>
      </w:r>
    </w:p>
    <w:p w14:paraId="792C869D">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34ED6456">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附件9：</w:t>
      </w:r>
    </w:p>
    <w:p w14:paraId="1A03E71F">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支付保函示范文本</w:t>
      </w:r>
    </w:p>
    <w:p w14:paraId="427C19DC">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（独立保函）</w:t>
      </w:r>
    </w:p>
    <w:p w14:paraId="1AAB4D60">
      <w:pPr>
        <w:pStyle w:val="169"/>
        <w:spacing w:line="360" w:lineRule="auto"/>
        <w:ind w:right="1260" w:rightChars="600"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p w14:paraId="4015393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申请人：</w:t>
      </w:r>
    </w:p>
    <w:p w14:paraId="21F005E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08A5F87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受益人：</w:t>
      </w:r>
    </w:p>
    <w:p w14:paraId="6E79819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61E5A41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开立人：</w:t>
      </w:r>
    </w:p>
    <w:p w14:paraId="3A47221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34BC42D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BFE833C">
      <w:pPr>
        <w:pStyle w:val="169"/>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（受益人名称）：</w:t>
      </w:r>
    </w:p>
    <w:p w14:paraId="769E613C">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鉴于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（以下简称“受益人”）与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（以下简称“申请人”）于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就______工程（以下简称“本工程”）施工和有关事项协商一致共同签订《______施工合同》（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p>
    <w:p w14:paraId="13BAF26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一、本保函担保范围：申请人未履行基础合同约定的工程款支付义务，应当向贵方承担的违约责任和赔偿因此造成的损失、利息、律师费、诉讼费用、财产保全费用、强制执行申请费等实现债权的费用。</w:t>
      </w:r>
    </w:p>
    <w:p w14:paraId="7115583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二、本保函担保金额最高不超过人民币（大写）</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元（¥</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w:t>
      </w:r>
    </w:p>
    <w:p w14:paraId="4EA581D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三、本保函有效期自开立之日起至基础合同约定的除工程质量保修金以外的全部工程结算款项支付之日后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日止，最迟不超过</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w:t>
      </w:r>
    </w:p>
    <w:p w14:paraId="5BE1772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四、我方承诺，在收到受益人发来的书面付款通知后的日内无条件支付，前述书面付款通知即为付款要求之单据，且应满足以下要求：</w:t>
      </w:r>
    </w:p>
    <w:p w14:paraId="3AEB556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（1）付款通知到达的日期在本保函的有效期内；</w:t>
      </w:r>
    </w:p>
    <w:p w14:paraId="5376382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（2）载明要求支付的金额；</w:t>
      </w:r>
    </w:p>
    <w:p w14:paraId="03A489D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（3）载明申请人违反合同义务的条款和内容；</w:t>
      </w:r>
    </w:p>
    <w:p w14:paraId="2F71D32E">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（4）声明不存在合同文件约定或我国法律规定免除申请人或开立人支付责任的情形；</w:t>
      </w:r>
    </w:p>
    <w:p w14:paraId="5F3FBC7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（5）付款通知应在本保函有效期内到达的地址是：</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w:t>
      </w:r>
    </w:p>
    <w:p w14:paraId="4B37815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受益人发出的书面付款通知应由其为鉴明受益人法定代表人（负责人）或授权代理人签字并加盖公章。</w:t>
      </w:r>
    </w:p>
    <w:p w14:paraId="3B321BA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五、本保函项下的权利不得转让，不得设定担保。贵方未经我方书面同意转让本保函或其项下任何权利，对我方不发生法律效力。</w:t>
      </w:r>
    </w:p>
    <w:p w14:paraId="080D6DC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六、与本保函有关的基础合同不成立、不生效、无效、被撤销、被解除，不影响本保函的独立有效。</w:t>
      </w:r>
    </w:p>
    <w:p w14:paraId="4DFA854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七、贵方应在本保函到期后的七日内将本保函正本退回我方注销，但是不论贵方是否按此要求将本保函正本退回我方，我方在本保函项下的义务和责任均在保函有效期到期后自动消灭。</w:t>
      </w:r>
    </w:p>
    <w:p w14:paraId="2FD49B3C">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八、本保函适用的法律为中华人民共和国法律，争议裁判管辖地为中华人民共和国</w:t>
      </w:r>
      <w:r>
        <w:rPr>
          <w:rFonts w:hint="eastAsia" w:ascii="仿宋" w:hAnsi="仿宋" w:eastAsia="仿宋" w:cs="仿宋"/>
          <w:color w:val="000000" w:themeColor="text1"/>
          <w:szCs w:val="21"/>
          <w:u w:val="single"/>
          <w14:textFill>
            <w14:solidFill>
              <w14:schemeClr w14:val="tx1"/>
            </w14:solidFill>
          </w14:textFill>
        </w:rPr>
        <w:t>广西壮族自治区</w:t>
      </w:r>
      <w:r>
        <w:rPr>
          <w:rFonts w:hint="eastAsia" w:ascii="仿宋" w:hAnsi="仿宋" w:eastAsia="仿宋" w:cs="仿宋"/>
          <w:color w:val="000000" w:themeColor="text1"/>
          <w:szCs w:val="21"/>
          <w:u w:val="single"/>
          <w:lang w:eastAsia="zh-CN"/>
          <w14:textFill>
            <w14:solidFill>
              <w14:schemeClr w14:val="tx1"/>
            </w14:solidFill>
          </w14:textFill>
        </w:rPr>
        <w:t>桂林市七星区</w:t>
      </w:r>
      <w:r>
        <w:rPr>
          <w:rFonts w:hint="eastAsia" w:ascii="仿宋" w:hAnsi="仿宋" w:eastAsia="仿宋" w:cs="仿宋"/>
          <w:color w:val="000000" w:themeColor="text1"/>
          <w:szCs w:val="21"/>
          <w14:textFill>
            <w14:solidFill>
              <w14:schemeClr w14:val="tx1"/>
            </w14:solidFill>
          </w14:textFill>
        </w:rPr>
        <w:t>。</w:t>
      </w:r>
    </w:p>
    <w:p w14:paraId="6B5C5CCE">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九、本保函自我方法定代表人或授权代表签字并加盖公章之日起生效。</w:t>
      </w:r>
    </w:p>
    <w:p w14:paraId="24F39E3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87ADD3F">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开立人：（公章）</w:t>
      </w:r>
    </w:p>
    <w:p w14:paraId="396103C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法定代表人（或授权代表）：（签字）</w:t>
      </w:r>
    </w:p>
    <w:p w14:paraId="42A373B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6DABC5DF">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邮政编码：</w:t>
      </w:r>
    </w:p>
    <w:p w14:paraId="538DE23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电话：</w:t>
      </w:r>
    </w:p>
    <w:p w14:paraId="2EA3A8E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传真：</w:t>
      </w:r>
    </w:p>
    <w:p w14:paraId="682BC41C">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开立时间：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w:t>
      </w:r>
    </w:p>
    <w:p w14:paraId="3F1CF93C">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7298E762">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附件9：</w:t>
      </w:r>
    </w:p>
    <w:p w14:paraId="03BC9990">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支付保函示范文本</w:t>
      </w:r>
    </w:p>
    <w:p w14:paraId="701D0CE1">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（非独立保函）</w:t>
      </w:r>
    </w:p>
    <w:p w14:paraId="5212CE8F">
      <w:pPr>
        <w:pStyle w:val="169"/>
        <w:spacing w:line="360" w:lineRule="auto"/>
        <w:ind w:right="1260" w:rightChars="600"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p w14:paraId="72255B1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发包人：</w:t>
      </w:r>
    </w:p>
    <w:p w14:paraId="37FBD50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1170383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担保权人/承包人：</w:t>
      </w:r>
    </w:p>
    <w:p w14:paraId="718570C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7A19519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保证人：</w:t>
      </w:r>
    </w:p>
    <w:p w14:paraId="067DE303">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3C758D4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0458EE0">
      <w:pPr>
        <w:pStyle w:val="169"/>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（承包人名称）：</w:t>
      </w:r>
    </w:p>
    <w:p w14:paraId="3BD8D73F">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鉴于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（以下简称“发包人”）与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（以下简称“承包人”）于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就______工程（以下简称“本工程”）施工和有关事项协商一致共同签订《______施工合同》（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14:paraId="204EB7A2">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一、保证担保的范围及保证担保金额</w:t>
      </w:r>
    </w:p>
    <w:p w14:paraId="6B7A9D9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1.保证担保范围：申请人未履行主合同约定的工程款支付义务，应当向贵方承担的违约责任和赔偿因此造成的损失、利息、律师费、诉讼费用、财产保全费用、强制执行申请费等实现债权的费用。</w:t>
      </w:r>
    </w:p>
    <w:p w14:paraId="2F6AFEAC">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2.保证担保金额最高不超过人民币（大写）</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元（¥</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w:t>
      </w:r>
    </w:p>
    <w:p w14:paraId="51AD0DBE">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二、保证担保的方式及保证期间</w:t>
      </w:r>
    </w:p>
    <w:p w14:paraId="0BD293FC">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1.保证担保方式：连带责任保证。</w:t>
      </w:r>
    </w:p>
    <w:p w14:paraId="64910F3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2.保证期间：自出具之日起至主合同约定的除工程质量保修金以外的工程款支付之日后</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日止，最迟不超过</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w:t>
      </w:r>
    </w:p>
    <w:p w14:paraId="11DD54F7">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三、承担保证担保责任的形式</w:t>
      </w:r>
    </w:p>
    <w:p w14:paraId="02CD02D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发包人未按合同约定向贵方支付主合同项下工程款的，由我方在保证金额内代为支付，并赔偿因此给贵方造成的损失，以及利息和律师费、诉讼费用等实现债权的费用。</w:t>
      </w:r>
    </w:p>
    <w:p w14:paraId="747F2EBD">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四、代偿的安排</w:t>
      </w:r>
    </w:p>
    <w:p w14:paraId="1D43AFB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1.贵方要求我方承担保证责任的，应向我方发出书面索赔通知及发包人未支付主合同约定工程款的证明材料。索赔通知应写明要求索赔的金额，支付款项应到达的账号。</w:t>
      </w:r>
    </w:p>
    <w:p w14:paraId="5EEDF66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4292424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3.我方收到贵方的书面索赔通知及相应证明材料后，在</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工作日内进行核定后按照本保函的承诺承担保证责任。</w:t>
      </w:r>
    </w:p>
    <w:p w14:paraId="6EBDAE75">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五、保证担保责任的解除</w:t>
      </w:r>
    </w:p>
    <w:p w14:paraId="094CD76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1.保证期间届满贵方未向我方书面主张保证责任的，自保证期间届满次日起，我方解除保证责任。</w:t>
      </w:r>
    </w:p>
    <w:p w14:paraId="03DC4DE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2.我方按照本保证担保向贵方履行了保证担保责任后，自我方向贵方支付的金额达到最高保证担保金额之日起，保证担保责任解除。</w:t>
      </w:r>
    </w:p>
    <w:p w14:paraId="14E9549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3.按照法律法规的规定应解除我方保证担保责任的其它情形的，我方在本保证担保项下的保证担保责任亦解除。</w:t>
      </w:r>
    </w:p>
    <w:p w14:paraId="2446D76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2A3C7104">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六、免责条款</w:t>
      </w:r>
    </w:p>
    <w:p w14:paraId="168A7BA5">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1.因贵方原因致使发包人未履行主合同项下工程款付款义务的，我方不承担保证担保责任。</w:t>
      </w:r>
    </w:p>
    <w:p w14:paraId="6374CF26">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2.依照法律规定或贵方与发包人的另行约定，免除发包人部分或全部义务的，我方亦免除其相应的保证担保责任。</w:t>
      </w:r>
    </w:p>
    <w:p w14:paraId="154BCDD6">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3.因不可抗力造成发包人未履行主合同项下工程款付款义务的，我方不承担保证担保责任。</w:t>
      </w:r>
    </w:p>
    <w:p w14:paraId="39EFA109">
      <w:pPr>
        <w:pStyle w:val="169"/>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七、其他</w:t>
      </w:r>
    </w:p>
    <w:p w14:paraId="4ADD98A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1.本保证担保项下的权利不得转让，不得设定担保。贵方未经我方书面同意转让本保证担保或其项下任何权利，对我方不发生法律效力。</w:t>
      </w:r>
    </w:p>
    <w:p w14:paraId="645A5CF6">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2.本保证担保适用的法律为中华人民共和国法律，争议裁判管辖地为中华人民共和国</w:t>
      </w:r>
      <w:r>
        <w:rPr>
          <w:rFonts w:hint="eastAsia" w:ascii="仿宋" w:hAnsi="仿宋" w:eastAsia="仿宋" w:cs="仿宋"/>
          <w:color w:val="000000" w:themeColor="text1"/>
          <w:szCs w:val="21"/>
          <w:u w:val="single"/>
          <w14:textFill>
            <w14:solidFill>
              <w14:schemeClr w14:val="tx1"/>
            </w14:solidFill>
          </w14:textFill>
        </w:rPr>
        <w:t>广西壮族自治区</w:t>
      </w:r>
      <w:r>
        <w:rPr>
          <w:rFonts w:hint="eastAsia" w:ascii="仿宋" w:hAnsi="仿宋" w:eastAsia="仿宋" w:cs="仿宋"/>
          <w:color w:val="000000" w:themeColor="text1"/>
          <w:szCs w:val="21"/>
          <w:u w:val="single"/>
          <w:lang w:eastAsia="zh-CN"/>
          <w14:textFill>
            <w14:solidFill>
              <w14:schemeClr w14:val="tx1"/>
            </w14:solidFill>
          </w14:textFill>
        </w:rPr>
        <w:t>桂林市七星区</w:t>
      </w:r>
      <w:r>
        <w:rPr>
          <w:rFonts w:hint="eastAsia" w:ascii="仿宋" w:hAnsi="仿宋" w:eastAsia="仿宋" w:cs="仿宋"/>
          <w:color w:val="000000" w:themeColor="text1"/>
          <w:szCs w:val="21"/>
          <w14:textFill>
            <w14:solidFill>
              <w14:schemeClr w14:val="tx1"/>
            </w14:solidFill>
          </w14:textFill>
        </w:rPr>
        <w:t>。</w:t>
      </w:r>
    </w:p>
    <w:p w14:paraId="1C2672A6">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3.本保证担保自我方法定代表人或授权代表签字并加盖公章之日起生效。</w:t>
      </w:r>
    </w:p>
    <w:p w14:paraId="15C74DB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553D132">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保证人：（公章）</w:t>
      </w:r>
    </w:p>
    <w:p w14:paraId="0A74ECF8">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法定代表人（或授权代表）：（签字）</w:t>
      </w:r>
    </w:p>
    <w:p w14:paraId="4F6726F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w:t>
      </w:r>
    </w:p>
    <w:p w14:paraId="5967058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邮政编码：</w:t>
      </w:r>
    </w:p>
    <w:p w14:paraId="01039541">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电话：</w:t>
      </w:r>
    </w:p>
    <w:p w14:paraId="2C16BDFF">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传真：</w:t>
      </w:r>
    </w:p>
    <w:p w14:paraId="33DC450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时间：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b/>
          <w:color w:val="000000" w:themeColor="text1"/>
          <w:szCs w:val="21"/>
          <w14:textFill>
            <w14:solidFill>
              <w14:schemeClr w14:val="tx1"/>
            </w14:solidFill>
          </w14:textFill>
        </w:rPr>
        <w:t>______</w:t>
      </w:r>
      <w:r>
        <w:rPr>
          <w:rFonts w:hint="eastAsia" w:ascii="仿宋" w:hAnsi="仿宋" w:eastAsia="仿宋" w:cs="仿宋"/>
          <w:color w:val="000000" w:themeColor="text1"/>
          <w:szCs w:val="21"/>
          <w14:textFill>
            <w14:solidFill>
              <w14:schemeClr w14:val="tx1"/>
            </w14:solidFill>
          </w14:textFill>
        </w:rPr>
        <w:t>日</w:t>
      </w:r>
    </w:p>
    <w:p w14:paraId="60B4CE50">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536641B5">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附件10：</w:t>
      </w:r>
    </w:p>
    <w:p w14:paraId="66523433">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预付款支付申请（核准）表</w:t>
      </w:r>
    </w:p>
    <w:p w14:paraId="574996B4">
      <w:pPr>
        <w:pStyle w:val="169"/>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工程名称：                                 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6163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17D3CD37">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致：______（发包人全称）</w:t>
            </w:r>
          </w:p>
          <w:p w14:paraId="04A92480">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我方根据施工合同的约定，现申请支付工程预付款额人民币（大写）______（¥______），请予核准。</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08C7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3742D46">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3260" w:type="dxa"/>
                </w:tcPr>
                <w:p w14:paraId="7137CF1B">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名称</w:t>
                  </w:r>
                </w:p>
              </w:tc>
              <w:tc>
                <w:tcPr>
                  <w:tcW w:w="1701" w:type="dxa"/>
                </w:tcPr>
                <w:p w14:paraId="1A669F4F">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申请金额（元）</w:t>
                  </w:r>
                </w:p>
              </w:tc>
              <w:tc>
                <w:tcPr>
                  <w:tcW w:w="1701" w:type="dxa"/>
                </w:tcPr>
                <w:p w14:paraId="2C3E4392">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复核金额（元）</w:t>
                  </w:r>
                </w:p>
              </w:tc>
              <w:tc>
                <w:tcPr>
                  <w:tcW w:w="1723" w:type="dxa"/>
                </w:tcPr>
                <w:p w14:paraId="2D509E13">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r>
            <w:tr w14:paraId="5D3F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7EBD5AD">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3260" w:type="dxa"/>
                </w:tcPr>
                <w:p w14:paraId="6F96D57A">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已签约合同价款金额</w:t>
                  </w:r>
                </w:p>
              </w:tc>
              <w:tc>
                <w:tcPr>
                  <w:tcW w:w="1701" w:type="dxa"/>
                </w:tcPr>
                <w:p w14:paraId="5F6B85CF">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3A004CFD">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4A531180">
                  <w:pPr>
                    <w:pStyle w:val="169"/>
                    <w:jc w:val="center"/>
                    <w:rPr>
                      <w:rFonts w:hint="eastAsia" w:ascii="仿宋" w:hAnsi="仿宋" w:eastAsia="仿宋" w:cs="仿宋"/>
                      <w:color w:val="000000" w:themeColor="text1"/>
                      <w:szCs w:val="21"/>
                      <w14:textFill>
                        <w14:solidFill>
                          <w14:schemeClr w14:val="tx1"/>
                        </w14:solidFill>
                      </w14:textFill>
                    </w:rPr>
                  </w:pPr>
                </w:p>
              </w:tc>
            </w:tr>
            <w:tr w14:paraId="1CE1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749CE5B">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3260" w:type="dxa"/>
                </w:tcPr>
                <w:p w14:paraId="0289DE18">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其中：安全文明施工费</w:t>
                  </w:r>
                </w:p>
              </w:tc>
              <w:tc>
                <w:tcPr>
                  <w:tcW w:w="1701" w:type="dxa"/>
                </w:tcPr>
                <w:p w14:paraId="6CF866A9">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2C7A79DC">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2A6CDCF3">
                  <w:pPr>
                    <w:pStyle w:val="169"/>
                    <w:jc w:val="center"/>
                    <w:rPr>
                      <w:rFonts w:hint="eastAsia" w:ascii="仿宋" w:hAnsi="仿宋" w:eastAsia="仿宋" w:cs="仿宋"/>
                      <w:color w:val="000000" w:themeColor="text1"/>
                      <w:szCs w:val="21"/>
                      <w14:textFill>
                        <w14:solidFill>
                          <w14:schemeClr w14:val="tx1"/>
                        </w14:solidFill>
                      </w14:textFill>
                    </w:rPr>
                  </w:pPr>
                </w:p>
              </w:tc>
            </w:tr>
            <w:tr w14:paraId="41D8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C4CB622">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3260" w:type="dxa"/>
                </w:tcPr>
                <w:p w14:paraId="56FA39CD">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应支付的预付款</w:t>
                  </w:r>
                </w:p>
              </w:tc>
              <w:tc>
                <w:tcPr>
                  <w:tcW w:w="1701" w:type="dxa"/>
                </w:tcPr>
                <w:p w14:paraId="0162701B">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144A5B1F">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6E81F36D">
                  <w:pPr>
                    <w:pStyle w:val="169"/>
                    <w:jc w:val="center"/>
                    <w:rPr>
                      <w:rFonts w:hint="eastAsia" w:ascii="仿宋" w:hAnsi="仿宋" w:eastAsia="仿宋" w:cs="仿宋"/>
                      <w:color w:val="000000" w:themeColor="text1"/>
                      <w:szCs w:val="21"/>
                      <w14:textFill>
                        <w14:solidFill>
                          <w14:schemeClr w14:val="tx1"/>
                        </w14:solidFill>
                      </w14:textFill>
                    </w:rPr>
                  </w:pPr>
                </w:p>
              </w:tc>
            </w:tr>
            <w:tr w14:paraId="2555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F809483">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3260" w:type="dxa"/>
                </w:tcPr>
                <w:p w14:paraId="5D87B2E4">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应支付的安全文明施工费预付款</w:t>
                  </w:r>
                </w:p>
              </w:tc>
              <w:tc>
                <w:tcPr>
                  <w:tcW w:w="1701" w:type="dxa"/>
                </w:tcPr>
                <w:p w14:paraId="12A2B04D">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3EBFC289">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1313BD23">
                  <w:pPr>
                    <w:pStyle w:val="169"/>
                    <w:jc w:val="center"/>
                    <w:rPr>
                      <w:rFonts w:hint="eastAsia" w:ascii="仿宋" w:hAnsi="仿宋" w:eastAsia="仿宋" w:cs="仿宋"/>
                      <w:color w:val="000000" w:themeColor="text1"/>
                      <w:szCs w:val="21"/>
                      <w14:textFill>
                        <w14:solidFill>
                          <w14:schemeClr w14:val="tx1"/>
                        </w14:solidFill>
                      </w14:textFill>
                    </w:rPr>
                  </w:pPr>
                </w:p>
              </w:tc>
            </w:tr>
            <w:tr w14:paraId="158E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FE05E4A">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3260" w:type="dxa"/>
                </w:tcPr>
                <w:p w14:paraId="7C2205CF">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合计应支付的预付款</w:t>
                  </w:r>
                </w:p>
              </w:tc>
              <w:tc>
                <w:tcPr>
                  <w:tcW w:w="1701" w:type="dxa"/>
                </w:tcPr>
                <w:p w14:paraId="663733A6">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297E3A87">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473646D7">
                  <w:pPr>
                    <w:pStyle w:val="169"/>
                    <w:jc w:val="center"/>
                    <w:rPr>
                      <w:rFonts w:hint="eastAsia" w:ascii="仿宋" w:hAnsi="仿宋" w:eastAsia="仿宋" w:cs="仿宋"/>
                      <w:color w:val="000000" w:themeColor="text1"/>
                      <w:szCs w:val="21"/>
                      <w14:textFill>
                        <w14:solidFill>
                          <w14:schemeClr w14:val="tx1"/>
                        </w14:solidFill>
                      </w14:textFill>
                    </w:rPr>
                  </w:pPr>
                </w:p>
              </w:tc>
            </w:tr>
          </w:tbl>
          <w:p w14:paraId="1427EE7B">
            <w:pPr>
              <w:pStyle w:val="169"/>
              <w:jc w:val="left"/>
              <w:rPr>
                <w:rFonts w:hint="eastAsia" w:ascii="仿宋" w:hAnsi="仿宋" w:eastAsia="仿宋" w:cs="仿宋"/>
                <w:color w:val="000000" w:themeColor="text1"/>
                <w:szCs w:val="21"/>
                <w14:textFill>
                  <w14:solidFill>
                    <w14:schemeClr w14:val="tx1"/>
                  </w14:solidFill>
                </w14:textFill>
              </w:rPr>
            </w:pPr>
          </w:p>
          <w:p w14:paraId="2F2CB2C8">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承包人（章）</w:t>
            </w:r>
          </w:p>
          <w:p w14:paraId="11E0547F">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造价人员：______</w:t>
            </w:r>
          </w:p>
          <w:p w14:paraId="188099F6">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承包人代表：______</w:t>
            </w:r>
          </w:p>
          <w:p w14:paraId="2C1CF577">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r>
      <w:tr w14:paraId="504F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2B8D7417">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复核意见：</w:t>
            </w:r>
          </w:p>
          <w:p w14:paraId="05AA9F55">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□与合同约定不相符，修改意见见附件。</w:t>
            </w:r>
          </w:p>
          <w:p w14:paraId="48F770AF">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□与合同约定相符，具体金额由造价工程师复核。</w:t>
            </w:r>
          </w:p>
          <w:p w14:paraId="2B08E73A">
            <w:pPr>
              <w:pStyle w:val="169"/>
              <w:ind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监理工程师（签字）：______</w:t>
            </w:r>
          </w:p>
          <w:p w14:paraId="01EBBD6C">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c>
          <w:tcPr>
            <w:tcW w:w="4672" w:type="dxa"/>
            <w:vAlign w:val="center"/>
          </w:tcPr>
          <w:p w14:paraId="17F9D200">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复核意见：</w:t>
            </w:r>
          </w:p>
          <w:p w14:paraId="18F8463F">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你方提出的支付申请经复核，应支付预付款金额为人民币（大写）______（¥______）。</w:t>
            </w:r>
          </w:p>
          <w:p w14:paraId="3678B956">
            <w:pPr>
              <w:pStyle w:val="169"/>
              <w:jc w:val="left"/>
              <w:rPr>
                <w:rFonts w:hint="eastAsia" w:ascii="仿宋" w:hAnsi="仿宋" w:eastAsia="仿宋" w:cs="仿宋"/>
                <w:color w:val="000000" w:themeColor="text1"/>
                <w:szCs w:val="21"/>
                <w14:textFill>
                  <w14:solidFill>
                    <w14:schemeClr w14:val="tx1"/>
                  </w14:solidFill>
                </w14:textFill>
              </w:rPr>
            </w:pPr>
          </w:p>
          <w:p w14:paraId="40C7A96E">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造价工程师（签字）：______</w:t>
            </w:r>
          </w:p>
          <w:p w14:paraId="3E2C8E77">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r>
      <w:tr w14:paraId="0721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3F12F547">
            <w:pPr>
              <w:pStyle w:val="169"/>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审核意见：</w:t>
            </w:r>
          </w:p>
          <w:p w14:paraId="4CE2383F">
            <w:pPr>
              <w:pStyle w:val="169"/>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□不同意。</w:t>
            </w:r>
          </w:p>
          <w:p w14:paraId="63E68A38">
            <w:pPr>
              <w:pStyle w:val="169"/>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□同意，支付时间为本表签发后的15天内。</w:t>
            </w:r>
          </w:p>
          <w:p w14:paraId="43D06C31">
            <w:pPr>
              <w:pStyle w:val="169"/>
              <w:ind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发包人（章）：______</w:t>
            </w:r>
          </w:p>
          <w:p w14:paraId="29183237">
            <w:pPr>
              <w:pStyle w:val="169"/>
              <w:ind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项目现场代表（签字）：______</w:t>
            </w:r>
          </w:p>
          <w:p w14:paraId="6480AA4D">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r>
    </w:tbl>
    <w:p w14:paraId="265D862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注：1.在选择栏中的“□”内作标识“√”。</w:t>
      </w:r>
    </w:p>
    <w:p w14:paraId="12D2D174">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2.本表一式肆份，由承包人填报，发包人、监理人、造价咨询人、承包人各存壹份。</w:t>
      </w:r>
    </w:p>
    <w:p w14:paraId="4D597F6C">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6B7DB6EC">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附件11：</w:t>
      </w:r>
    </w:p>
    <w:p w14:paraId="5CCBE1EC">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进度款支付申请（核准）表</w:t>
      </w:r>
    </w:p>
    <w:p w14:paraId="44FE2B06">
      <w:pPr>
        <w:pStyle w:val="169"/>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工程名称：                                 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2069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44" w:type="dxa"/>
            <w:gridSpan w:val="2"/>
            <w:vAlign w:val="center"/>
          </w:tcPr>
          <w:p w14:paraId="2FA02972">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致：______（发包人全称）</w:t>
            </w:r>
          </w:p>
          <w:p w14:paraId="0B07F9F1">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我方于______至______期间已完成了______工作，根据施工合同的约定，现申请支付本期的合同款额为人民币（大写）______（¥______），请予核准。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906"/>
              <w:gridCol w:w="1701"/>
              <w:gridCol w:w="1559"/>
              <w:gridCol w:w="1559"/>
              <w:gridCol w:w="731"/>
            </w:tblGrid>
            <w:tr w14:paraId="3B9D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42CBC7F">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2906" w:type="dxa"/>
                  <w:vAlign w:val="center"/>
                </w:tcPr>
                <w:p w14:paraId="6F295B13">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名称</w:t>
                  </w:r>
                </w:p>
              </w:tc>
              <w:tc>
                <w:tcPr>
                  <w:tcW w:w="1701" w:type="dxa"/>
                  <w:vAlign w:val="center"/>
                </w:tcPr>
                <w:p w14:paraId="3CCE9E1D">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实际金额（元）</w:t>
                  </w:r>
                </w:p>
              </w:tc>
              <w:tc>
                <w:tcPr>
                  <w:tcW w:w="1559" w:type="dxa"/>
                  <w:vAlign w:val="center"/>
                </w:tcPr>
                <w:p w14:paraId="417BBD27">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申请金额（元）</w:t>
                  </w:r>
                </w:p>
              </w:tc>
              <w:tc>
                <w:tcPr>
                  <w:tcW w:w="1559" w:type="dxa"/>
                  <w:vAlign w:val="center"/>
                </w:tcPr>
                <w:p w14:paraId="6CFEBDC4">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复核金额（元）</w:t>
                  </w:r>
                </w:p>
              </w:tc>
              <w:tc>
                <w:tcPr>
                  <w:tcW w:w="731" w:type="dxa"/>
                  <w:vAlign w:val="center"/>
                </w:tcPr>
                <w:p w14:paraId="6581F16F">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r>
            <w:tr w14:paraId="5177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33151653">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906" w:type="dxa"/>
                  <w:vAlign w:val="center"/>
                </w:tcPr>
                <w:p w14:paraId="4F2B76AB">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累计已完成的工程价款</w:t>
                  </w:r>
                </w:p>
              </w:tc>
              <w:tc>
                <w:tcPr>
                  <w:tcW w:w="1701" w:type="dxa"/>
                  <w:vAlign w:val="center"/>
                </w:tcPr>
                <w:p w14:paraId="0A2BF396">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672E54E8">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7E3E2E2F">
                  <w:pPr>
                    <w:pStyle w:val="169"/>
                    <w:jc w:val="center"/>
                    <w:rPr>
                      <w:rFonts w:hint="eastAsia" w:ascii="仿宋" w:hAnsi="仿宋" w:eastAsia="仿宋" w:cs="仿宋"/>
                      <w:color w:val="000000" w:themeColor="text1"/>
                      <w:szCs w:val="21"/>
                      <w14:textFill>
                        <w14:solidFill>
                          <w14:schemeClr w14:val="tx1"/>
                        </w14:solidFill>
                      </w14:textFill>
                    </w:rPr>
                  </w:pPr>
                </w:p>
              </w:tc>
              <w:tc>
                <w:tcPr>
                  <w:tcW w:w="731" w:type="dxa"/>
                  <w:vAlign w:val="center"/>
                </w:tcPr>
                <w:p w14:paraId="653E7A99">
                  <w:pPr>
                    <w:pStyle w:val="169"/>
                    <w:jc w:val="center"/>
                    <w:rPr>
                      <w:rFonts w:hint="eastAsia" w:ascii="仿宋" w:hAnsi="仿宋" w:eastAsia="仿宋" w:cs="仿宋"/>
                      <w:color w:val="000000" w:themeColor="text1"/>
                      <w:szCs w:val="21"/>
                      <w14:textFill>
                        <w14:solidFill>
                          <w14:schemeClr w14:val="tx1"/>
                        </w14:solidFill>
                      </w14:textFill>
                    </w:rPr>
                  </w:pPr>
                </w:p>
              </w:tc>
            </w:tr>
            <w:tr w14:paraId="11CF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19CDA5ED">
                  <w:pPr>
                    <w:pStyle w:val="169"/>
                    <w:jc w:val="center"/>
                    <w:rPr>
                      <w:rFonts w:hint="eastAsia" w:ascii="仿宋" w:hAnsi="仿宋" w:eastAsia="仿宋" w:cs="仿宋"/>
                      <w:color w:val="000000" w:themeColor="text1"/>
                      <w:szCs w:val="21"/>
                      <w14:textFill>
                        <w14:solidFill>
                          <w14:schemeClr w14:val="tx1"/>
                        </w14:solidFill>
                      </w14:textFill>
                    </w:rPr>
                  </w:pPr>
                </w:p>
              </w:tc>
              <w:tc>
                <w:tcPr>
                  <w:tcW w:w="2906" w:type="dxa"/>
                  <w:vAlign w:val="center"/>
                </w:tcPr>
                <w:p w14:paraId="597D0983">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其中：人工费</w:t>
                  </w:r>
                </w:p>
              </w:tc>
              <w:tc>
                <w:tcPr>
                  <w:tcW w:w="1701" w:type="dxa"/>
                  <w:vAlign w:val="center"/>
                </w:tcPr>
                <w:p w14:paraId="6FE1D5CA">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1228B439">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190D609A">
                  <w:pPr>
                    <w:pStyle w:val="169"/>
                    <w:jc w:val="center"/>
                    <w:rPr>
                      <w:rFonts w:hint="eastAsia" w:ascii="仿宋" w:hAnsi="仿宋" w:eastAsia="仿宋" w:cs="仿宋"/>
                      <w:color w:val="000000" w:themeColor="text1"/>
                      <w:szCs w:val="21"/>
                      <w14:textFill>
                        <w14:solidFill>
                          <w14:schemeClr w14:val="tx1"/>
                        </w14:solidFill>
                      </w14:textFill>
                    </w:rPr>
                  </w:pPr>
                </w:p>
              </w:tc>
              <w:tc>
                <w:tcPr>
                  <w:tcW w:w="731" w:type="dxa"/>
                  <w:vAlign w:val="center"/>
                </w:tcPr>
                <w:p w14:paraId="591630B4">
                  <w:pPr>
                    <w:pStyle w:val="169"/>
                    <w:jc w:val="center"/>
                    <w:rPr>
                      <w:rFonts w:hint="eastAsia" w:ascii="仿宋" w:hAnsi="仿宋" w:eastAsia="仿宋" w:cs="仿宋"/>
                      <w:color w:val="000000" w:themeColor="text1"/>
                      <w:szCs w:val="21"/>
                      <w14:textFill>
                        <w14:solidFill>
                          <w14:schemeClr w14:val="tx1"/>
                        </w14:solidFill>
                      </w14:textFill>
                    </w:rPr>
                  </w:pPr>
                </w:p>
              </w:tc>
            </w:tr>
            <w:tr w14:paraId="1654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BDEBF9C">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2906" w:type="dxa"/>
                  <w:vAlign w:val="center"/>
                </w:tcPr>
                <w:p w14:paraId="19952CAE">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累计已实际支付的工程价款</w:t>
                  </w:r>
                </w:p>
              </w:tc>
              <w:tc>
                <w:tcPr>
                  <w:tcW w:w="1701" w:type="dxa"/>
                  <w:vAlign w:val="center"/>
                </w:tcPr>
                <w:p w14:paraId="0CE239B2">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11C37984">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0306775D">
                  <w:pPr>
                    <w:pStyle w:val="169"/>
                    <w:jc w:val="center"/>
                    <w:rPr>
                      <w:rFonts w:hint="eastAsia" w:ascii="仿宋" w:hAnsi="仿宋" w:eastAsia="仿宋" w:cs="仿宋"/>
                      <w:color w:val="000000" w:themeColor="text1"/>
                      <w:szCs w:val="21"/>
                      <w14:textFill>
                        <w14:solidFill>
                          <w14:schemeClr w14:val="tx1"/>
                        </w14:solidFill>
                      </w14:textFill>
                    </w:rPr>
                  </w:pPr>
                </w:p>
              </w:tc>
              <w:tc>
                <w:tcPr>
                  <w:tcW w:w="731" w:type="dxa"/>
                  <w:vAlign w:val="center"/>
                </w:tcPr>
                <w:p w14:paraId="4E32D081">
                  <w:pPr>
                    <w:pStyle w:val="169"/>
                    <w:jc w:val="center"/>
                    <w:rPr>
                      <w:rFonts w:hint="eastAsia" w:ascii="仿宋" w:hAnsi="仿宋" w:eastAsia="仿宋" w:cs="仿宋"/>
                      <w:color w:val="000000" w:themeColor="text1"/>
                      <w:szCs w:val="21"/>
                      <w14:textFill>
                        <w14:solidFill>
                          <w14:schemeClr w14:val="tx1"/>
                        </w14:solidFill>
                      </w14:textFill>
                    </w:rPr>
                  </w:pPr>
                </w:p>
              </w:tc>
            </w:tr>
            <w:tr w14:paraId="2C49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255AD155">
                  <w:pPr>
                    <w:pStyle w:val="169"/>
                    <w:jc w:val="center"/>
                    <w:rPr>
                      <w:rFonts w:hint="eastAsia" w:ascii="仿宋" w:hAnsi="仿宋" w:eastAsia="仿宋" w:cs="仿宋"/>
                      <w:color w:val="000000" w:themeColor="text1"/>
                      <w:szCs w:val="21"/>
                      <w14:textFill>
                        <w14:solidFill>
                          <w14:schemeClr w14:val="tx1"/>
                        </w14:solidFill>
                      </w14:textFill>
                    </w:rPr>
                  </w:pPr>
                </w:p>
              </w:tc>
              <w:tc>
                <w:tcPr>
                  <w:tcW w:w="2906" w:type="dxa"/>
                  <w:vAlign w:val="center"/>
                </w:tcPr>
                <w:p w14:paraId="20E4AB9C">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其中：人工费</w:t>
                  </w:r>
                </w:p>
              </w:tc>
              <w:tc>
                <w:tcPr>
                  <w:tcW w:w="1701" w:type="dxa"/>
                  <w:vAlign w:val="center"/>
                </w:tcPr>
                <w:p w14:paraId="7581F072">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19F67B25">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0C1E2484">
                  <w:pPr>
                    <w:pStyle w:val="169"/>
                    <w:jc w:val="center"/>
                    <w:rPr>
                      <w:rFonts w:hint="eastAsia" w:ascii="仿宋" w:hAnsi="仿宋" w:eastAsia="仿宋" w:cs="仿宋"/>
                      <w:color w:val="000000" w:themeColor="text1"/>
                      <w:szCs w:val="21"/>
                      <w14:textFill>
                        <w14:solidFill>
                          <w14:schemeClr w14:val="tx1"/>
                        </w14:solidFill>
                      </w14:textFill>
                    </w:rPr>
                  </w:pPr>
                </w:p>
              </w:tc>
              <w:tc>
                <w:tcPr>
                  <w:tcW w:w="731" w:type="dxa"/>
                  <w:vAlign w:val="center"/>
                </w:tcPr>
                <w:p w14:paraId="0F54828E">
                  <w:pPr>
                    <w:pStyle w:val="169"/>
                    <w:jc w:val="center"/>
                    <w:rPr>
                      <w:rFonts w:hint="eastAsia" w:ascii="仿宋" w:hAnsi="仿宋" w:eastAsia="仿宋" w:cs="仿宋"/>
                      <w:color w:val="000000" w:themeColor="text1"/>
                      <w:szCs w:val="21"/>
                      <w14:textFill>
                        <w14:solidFill>
                          <w14:schemeClr w14:val="tx1"/>
                        </w14:solidFill>
                      </w14:textFill>
                    </w:rPr>
                  </w:pPr>
                </w:p>
              </w:tc>
            </w:tr>
            <w:tr w14:paraId="5407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7C539BA">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2906" w:type="dxa"/>
                  <w:vAlign w:val="center"/>
                </w:tcPr>
                <w:p w14:paraId="687881C6">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本周期已完成的工程价款</w:t>
                  </w:r>
                </w:p>
              </w:tc>
              <w:tc>
                <w:tcPr>
                  <w:tcW w:w="1701" w:type="dxa"/>
                  <w:vAlign w:val="center"/>
                </w:tcPr>
                <w:p w14:paraId="1EC73864">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228459AF">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0AA13E87">
                  <w:pPr>
                    <w:pStyle w:val="169"/>
                    <w:jc w:val="center"/>
                    <w:rPr>
                      <w:rFonts w:hint="eastAsia" w:ascii="仿宋" w:hAnsi="仿宋" w:eastAsia="仿宋" w:cs="仿宋"/>
                      <w:color w:val="000000" w:themeColor="text1"/>
                      <w:szCs w:val="21"/>
                      <w14:textFill>
                        <w14:solidFill>
                          <w14:schemeClr w14:val="tx1"/>
                        </w14:solidFill>
                      </w14:textFill>
                    </w:rPr>
                  </w:pPr>
                </w:p>
              </w:tc>
              <w:tc>
                <w:tcPr>
                  <w:tcW w:w="731" w:type="dxa"/>
                  <w:vAlign w:val="center"/>
                </w:tcPr>
                <w:p w14:paraId="05A484AA">
                  <w:pPr>
                    <w:pStyle w:val="169"/>
                    <w:jc w:val="center"/>
                    <w:rPr>
                      <w:rFonts w:hint="eastAsia" w:ascii="仿宋" w:hAnsi="仿宋" w:eastAsia="仿宋" w:cs="仿宋"/>
                      <w:color w:val="000000" w:themeColor="text1"/>
                      <w:szCs w:val="21"/>
                      <w14:textFill>
                        <w14:solidFill>
                          <w14:schemeClr w14:val="tx1"/>
                        </w14:solidFill>
                      </w14:textFill>
                    </w:rPr>
                  </w:pPr>
                </w:p>
              </w:tc>
            </w:tr>
            <w:tr w14:paraId="6091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739CDEE0">
                  <w:pPr>
                    <w:pStyle w:val="169"/>
                    <w:jc w:val="center"/>
                    <w:rPr>
                      <w:rFonts w:hint="eastAsia" w:ascii="仿宋" w:hAnsi="仿宋" w:eastAsia="仿宋" w:cs="仿宋"/>
                      <w:color w:val="000000" w:themeColor="text1"/>
                      <w:szCs w:val="21"/>
                      <w14:textFill>
                        <w14:solidFill>
                          <w14:schemeClr w14:val="tx1"/>
                        </w14:solidFill>
                      </w14:textFill>
                    </w:rPr>
                  </w:pPr>
                </w:p>
              </w:tc>
              <w:tc>
                <w:tcPr>
                  <w:tcW w:w="2906" w:type="dxa"/>
                  <w:vAlign w:val="center"/>
                </w:tcPr>
                <w:p w14:paraId="3EEC4A14">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其中：人工费</w:t>
                  </w:r>
                </w:p>
              </w:tc>
              <w:tc>
                <w:tcPr>
                  <w:tcW w:w="1701" w:type="dxa"/>
                  <w:vAlign w:val="center"/>
                </w:tcPr>
                <w:p w14:paraId="1D5B077F">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67FA4DB6">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3A6BD293">
                  <w:pPr>
                    <w:pStyle w:val="169"/>
                    <w:jc w:val="center"/>
                    <w:rPr>
                      <w:rFonts w:hint="eastAsia" w:ascii="仿宋" w:hAnsi="仿宋" w:eastAsia="仿宋" w:cs="仿宋"/>
                      <w:color w:val="000000" w:themeColor="text1"/>
                      <w:szCs w:val="21"/>
                      <w14:textFill>
                        <w14:solidFill>
                          <w14:schemeClr w14:val="tx1"/>
                        </w14:solidFill>
                      </w14:textFill>
                    </w:rPr>
                  </w:pPr>
                </w:p>
              </w:tc>
              <w:tc>
                <w:tcPr>
                  <w:tcW w:w="731" w:type="dxa"/>
                  <w:vAlign w:val="center"/>
                </w:tcPr>
                <w:p w14:paraId="62FDAF92">
                  <w:pPr>
                    <w:pStyle w:val="169"/>
                    <w:jc w:val="center"/>
                    <w:rPr>
                      <w:rFonts w:hint="eastAsia" w:ascii="仿宋" w:hAnsi="仿宋" w:eastAsia="仿宋" w:cs="仿宋"/>
                      <w:color w:val="000000" w:themeColor="text1"/>
                      <w:szCs w:val="21"/>
                      <w14:textFill>
                        <w14:solidFill>
                          <w14:schemeClr w14:val="tx1"/>
                        </w14:solidFill>
                      </w14:textFill>
                    </w:rPr>
                  </w:pPr>
                </w:p>
              </w:tc>
            </w:tr>
            <w:tr w14:paraId="02EF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0CB75D55">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2906" w:type="dxa"/>
                  <w:vAlign w:val="center"/>
                </w:tcPr>
                <w:p w14:paraId="381011F9">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本周期应扣减的金额</w:t>
                  </w:r>
                </w:p>
              </w:tc>
              <w:tc>
                <w:tcPr>
                  <w:tcW w:w="1701" w:type="dxa"/>
                  <w:vAlign w:val="center"/>
                </w:tcPr>
                <w:p w14:paraId="0E28DDC8">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1B0B54B2">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13D58AE9">
                  <w:pPr>
                    <w:pStyle w:val="169"/>
                    <w:jc w:val="center"/>
                    <w:rPr>
                      <w:rFonts w:hint="eastAsia" w:ascii="仿宋" w:hAnsi="仿宋" w:eastAsia="仿宋" w:cs="仿宋"/>
                      <w:color w:val="000000" w:themeColor="text1"/>
                      <w:szCs w:val="21"/>
                      <w14:textFill>
                        <w14:solidFill>
                          <w14:schemeClr w14:val="tx1"/>
                        </w14:solidFill>
                      </w14:textFill>
                    </w:rPr>
                  </w:pPr>
                </w:p>
              </w:tc>
              <w:tc>
                <w:tcPr>
                  <w:tcW w:w="731" w:type="dxa"/>
                  <w:vAlign w:val="center"/>
                </w:tcPr>
                <w:p w14:paraId="5D569AEE">
                  <w:pPr>
                    <w:pStyle w:val="169"/>
                    <w:jc w:val="center"/>
                    <w:rPr>
                      <w:rFonts w:hint="eastAsia" w:ascii="仿宋" w:hAnsi="仿宋" w:eastAsia="仿宋" w:cs="仿宋"/>
                      <w:color w:val="000000" w:themeColor="text1"/>
                      <w:szCs w:val="21"/>
                      <w14:textFill>
                        <w14:solidFill>
                          <w14:schemeClr w14:val="tx1"/>
                        </w14:solidFill>
                      </w14:textFill>
                    </w:rPr>
                  </w:pPr>
                </w:p>
              </w:tc>
            </w:tr>
            <w:tr w14:paraId="6E87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AB8C9D8">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w:t>
                  </w:r>
                </w:p>
              </w:tc>
              <w:tc>
                <w:tcPr>
                  <w:tcW w:w="2906" w:type="dxa"/>
                  <w:vAlign w:val="center"/>
                </w:tcPr>
                <w:p w14:paraId="29DFAABC">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本周期实际应抵扣的预付款</w:t>
                  </w:r>
                </w:p>
              </w:tc>
              <w:tc>
                <w:tcPr>
                  <w:tcW w:w="1701" w:type="dxa"/>
                  <w:vAlign w:val="center"/>
                </w:tcPr>
                <w:p w14:paraId="4F872F74">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54475F27">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6DFC6755">
                  <w:pPr>
                    <w:pStyle w:val="169"/>
                    <w:jc w:val="center"/>
                    <w:rPr>
                      <w:rFonts w:hint="eastAsia" w:ascii="仿宋" w:hAnsi="仿宋" w:eastAsia="仿宋" w:cs="仿宋"/>
                      <w:color w:val="000000" w:themeColor="text1"/>
                      <w:szCs w:val="21"/>
                      <w14:textFill>
                        <w14:solidFill>
                          <w14:schemeClr w14:val="tx1"/>
                        </w14:solidFill>
                      </w14:textFill>
                    </w:rPr>
                  </w:pPr>
                </w:p>
              </w:tc>
              <w:tc>
                <w:tcPr>
                  <w:tcW w:w="731" w:type="dxa"/>
                  <w:vAlign w:val="center"/>
                </w:tcPr>
                <w:p w14:paraId="1050F4BC">
                  <w:pPr>
                    <w:pStyle w:val="169"/>
                    <w:jc w:val="center"/>
                    <w:rPr>
                      <w:rFonts w:hint="eastAsia" w:ascii="仿宋" w:hAnsi="仿宋" w:eastAsia="仿宋" w:cs="仿宋"/>
                      <w:color w:val="000000" w:themeColor="text1"/>
                      <w:szCs w:val="21"/>
                      <w14:textFill>
                        <w14:solidFill>
                          <w14:schemeClr w14:val="tx1"/>
                        </w14:solidFill>
                      </w14:textFill>
                    </w:rPr>
                  </w:pPr>
                </w:p>
              </w:tc>
            </w:tr>
            <w:tr w14:paraId="47F1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A09752D">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p>
              </w:tc>
              <w:tc>
                <w:tcPr>
                  <w:tcW w:w="2906" w:type="dxa"/>
                  <w:vAlign w:val="center"/>
                </w:tcPr>
                <w:p w14:paraId="653C1329">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本周期应扣减的金额</w:t>
                  </w:r>
                </w:p>
              </w:tc>
              <w:tc>
                <w:tcPr>
                  <w:tcW w:w="1701" w:type="dxa"/>
                  <w:vAlign w:val="center"/>
                </w:tcPr>
                <w:p w14:paraId="2BA9E968">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215D341A">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0ADDC827">
                  <w:pPr>
                    <w:pStyle w:val="169"/>
                    <w:jc w:val="center"/>
                    <w:rPr>
                      <w:rFonts w:hint="eastAsia" w:ascii="仿宋" w:hAnsi="仿宋" w:eastAsia="仿宋" w:cs="仿宋"/>
                      <w:color w:val="000000" w:themeColor="text1"/>
                      <w:szCs w:val="21"/>
                      <w14:textFill>
                        <w14:solidFill>
                          <w14:schemeClr w14:val="tx1"/>
                        </w14:solidFill>
                      </w14:textFill>
                    </w:rPr>
                  </w:pPr>
                </w:p>
              </w:tc>
              <w:tc>
                <w:tcPr>
                  <w:tcW w:w="731" w:type="dxa"/>
                  <w:vAlign w:val="center"/>
                </w:tcPr>
                <w:p w14:paraId="1602E567">
                  <w:pPr>
                    <w:pStyle w:val="169"/>
                    <w:jc w:val="center"/>
                    <w:rPr>
                      <w:rFonts w:hint="eastAsia" w:ascii="仿宋" w:hAnsi="仿宋" w:eastAsia="仿宋" w:cs="仿宋"/>
                      <w:color w:val="000000" w:themeColor="text1"/>
                      <w:szCs w:val="21"/>
                      <w14:textFill>
                        <w14:solidFill>
                          <w14:schemeClr w14:val="tx1"/>
                        </w14:solidFill>
                      </w14:textFill>
                    </w:rPr>
                  </w:pPr>
                </w:p>
              </w:tc>
            </w:tr>
            <w:tr w14:paraId="21E4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6D9B0A07">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2906" w:type="dxa"/>
                  <w:vAlign w:val="center"/>
                </w:tcPr>
                <w:p w14:paraId="575948A7">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本周期应支付的合同价款</w:t>
                  </w:r>
                </w:p>
              </w:tc>
              <w:tc>
                <w:tcPr>
                  <w:tcW w:w="1701" w:type="dxa"/>
                  <w:vAlign w:val="center"/>
                </w:tcPr>
                <w:p w14:paraId="7C2668F1">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6CAA1D52">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2F2A6B86">
                  <w:pPr>
                    <w:pStyle w:val="169"/>
                    <w:jc w:val="center"/>
                    <w:rPr>
                      <w:rFonts w:hint="eastAsia" w:ascii="仿宋" w:hAnsi="仿宋" w:eastAsia="仿宋" w:cs="仿宋"/>
                      <w:color w:val="000000" w:themeColor="text1"/>
                      <w:szCs w:val="21"/>
                      <w14:textFill>
                        <w14:solidFill>
                          <w14:schemeClr w14:val="tx1"/>
                        </w14:solidFill>
                      </w14:textFill>
                    </w:rPr>
                  </w:pPr>
                </w:p>
              </w:tc>
              <w:tc>
                <w:tcPr>
                  <w:tcW w:w="731" w:type="dxa"/>
                  <w:vAlign w:val="center"/>
                </w:tcPr>
                <w:p w14:paraId="4C2C67D2">
                  <w:pPr>
                    <w:pStyle w:val="169"/>
                    <w:jc w:val="center"/>
                    <w:rPr>
                      <w:rFonts w:hint="eastAsia" w:ascii="仿宋" w:hAnsi="仿宋" w:eastAsia="仿宋" w:cs="仿宋"/>
                      <w:color w:val="000000" w:themeColor="text1"/>
                      <w:szCs w:val="21"/>
                      <w14:textFill>
                        <w14:solidFill>
                          <w14:schemeClr w14:val="tx1"/>
                        </w14:solidFill>
                      </w14:textFill>
                    </w:rPr>
                  </w:pPr>
                </w:p>
              </w:tc>
            </w:tr>
            <w:tr w14:paraId="728C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14:paraId="026A994A">
                  <w:pPr>
                    <w:pStyle w:val="169"/>
                    <w:jc w:val="center"/>
                    <w:rPr>
                      <w:rFonts w:hint="eastAsia" w:ascii="仿宋" w:hAnsi="仿宋" w:eastAsia="仿宋" w:cs="仿宋"/>
                      <w:color w:val="000000" w:themeColor="text1"/>
                      <w:szCs w:val="21"/>
                      <w14:textFill>
                        <w14:solidFill>
                          <w14:schemeClr w14:val="tx1"/>
                        </w14:solidFill>
                      </w14:textFill>
                    </w:rPr>
                  </w:pPr>
                </w:p>
              </w:tc>
              <w:tc>
                <w:tcPr>
                  <w:tcW w:w="2906" w:type="dxa"/>
                  <w:vAlign w:val="center"/>
                </w:tcPr>
                <w:p w14:paraId="07F4CFD8">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其中：人工费</w:t>
                  </w:r>
                </w:p>
              </w:tc>
              <w:tc>
                <w:tcPr>
                  <w:tcW w:w="1701" w:type="dxa"/>
                  <w:vAlign w:val="center"/>
                </w:tcPr>
                <w:p w14:paraId="4A64DFD9">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4BFD8F14">
                  <w:pPr>
                    <w:pStyle w:val="169"/>
                    <w:jc w:val="center"/>
                    <w:rPr>
                      <w:rFonts w:hint="eastAsia" w:ascii="仿宋" w:hAnsi="仿宋" w:eastAsia="仿宋" w:cs="仿宋"/>
                      <w:color w:val="000000" w:themeColor="text1"/>
                      <w:szCs w:val="21"/>
                      <w14:textFill>
                        <w14:solidFill>
                          <w14:schemeClr w14:val="tx1"/>
                        </w14:solidFill>
                      </w14:textFill>
                    </w:rPr>
                  </w:pPr>
                </w:p>
              </w:tc>
              <w:tc>
                <w:tcPr>
                  <w:tcW w:w="1559" w:type="dxa"/>
                  <w:vAlign w:val="center"/>
                </w:tcPr>
                <w:p w14:paraId="0E2319C6">
                  <w:pPr>
                    <w:pStyle w:val="169"/>
                    <w:jc w:val="center"/>
                    <w:rPr>
                      <w:rFonts w:hint="eastAsia" w:ascii="仿宋" w:hAnsi="仿宋" w:eastAsia="仿宋" w:cs="仿宋"/>
                      <w:color w:val="000000" w:themeColor="text1"/>
                      <w:szCs w:val="21"/>
                      <w14:textFill>
                        <w14:solidFill>
                          <w14:schemeClr w14:val="tx1"/>
                        </w14:solidFill>
                      </w14:textFill>
                    </w:rPr>
                  </w:pPr>
                </w:p>
              </w:tc>
              <w:tc>
                <w:tcPr>
                  <w:tcW w:w="731" w:type="dxa"/>
                  <w:vAlign w:val="center"/>
                </w:tcPr>
                <w:p w14:paraId="11EA3B84">
                  <w:pPr>
                    <w:pStyle w:val="169"/>
                    <w:jc w:val="center"/>
                    <w:rPr>
                      <w:rFonts w:hint="eastAsia" w:ascii="仿宋" w:hAnsi="仿宋" w:eastAsia="仿宋" w:cs="仿宋"/>
                      <w:color w:val="000000" w:themeColor="text1"/>
                      <w:szCs w:val="21"/>
                      <w14:textFill>
                        <w14:solidFill>
                          <w14:schemeClr w14:val="tx1"/>
                        </w14:solidFill>
                      </w14:textFill>
                    </w:rPr>
                  </w:pPr>
                </w:p>
              </w:tc>
            </w:tr>
          </w:tbl>
          <w:p w14:paraId="64377E22">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附：上述3、4详见附件清单。</w:t>
            </w:r>
          </w:p>
          <w:p w14:paraId="75FA6956">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承包人（章）</w:t>
            </w:r>
          </w:p>
          <w:p w14:paraId="56DA5916">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造价人员：______</w:t>
            </w:r>
          </w:p>
          <w:p w14:paraId="654A251F">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承包人代表：______</w:t>
            </w:r>
          </w:p>
          <w:p w14:paraId="525F3364">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r>
      <w:tr w14:paraId="25A7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3E942DFE">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复核意见：</w:t>
            </w:r>
          </w:p>
          <w:p w14:paraId="6DA847C6">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□与实际施工情况不相符，修改意见见附件。</w:t>
            </w:r>
          </w:p>
          <w:p w14:paraId="04697AA0">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□与实际施工情况相符，具体金额由造价工程师复核。</w:t>
            </w:r>
          </w:p>
          <w:p w14:paraId="5E032C69">
            <w:pPr>
              <w:pStyle w:val="169"/>
              <w:ind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监理工程师（签字）：______</w:t>
            </w:r>
          </w:p>
          <w:p w14:paraId="221686A1">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c>
          <w:tcPr>
            <w:tcW w:w="4672" w:type="dxa"/>
            <w:vAlign w:val="center"/>
          </w:tcPr>
          <w:p w14:paraId="423C08A3">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复核意见：</w:t>
            </w:r>
          </w:p>
          <w:p w14:paraId="085EE419">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你方提出的支付申请经复核，本周期已完成工程价款为人民币（大写）______（¥______），本期间应支付金额为人民币（大写）______（¥______）。</w:t>
            </w:r>
          </w:p>
          <w:p w14:paraId="2D648452">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造价工程师（签字）：______</w:t>
            </w:r>
          </w:p>
          <w:p w14:paraId="4B1A2676">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r>
      <w:tr w14:paraId="6C97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2AE0CA5D">
            <w:pPr>
              <w:pStyle w:val="169"/>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审核意见：</w:t>
            </w:r>
          </w:p>
          <w:p w14:paraId="4374AC9F">
            <w:pPr>
              <w:pStyle w:val="169"/>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□不同意。</w:t>
            </w:r>
          </w:p>
          <w:p w14:paraId="37D84909">
            <w:pPr>
              <w:pStyle w:val="169"/>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□同意，支付时间为本表签发后的15天内。</w:t>
            </w:r>
          </w:p>
          <w:p w14:paraId="1F745EBB">
            <w:pPr>
              <w:pStyle w:val="169"/>
              <w:ind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发包人（章）：______</w:t>
            </w:r>
          </w:p>
          <w:p w14:paraId="6FC07658">
            <w:pPr>
              <w:pStyle w:val="169"/>
              <w:ind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项目现场代表（签字）：______</w:t>
            </w:r>
          </w:p>
          <w:p w14:paraId="41C32483">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r>
    </w:tbl>
    <w:p w14:paraId="46F377F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注：1.在选择栏中的“□”内作标识“√”。</w:t>
      </w:r>
    </w:p>
    <w:p w14:paraId="3B6C9A47">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2.本表一式肆份，由承包人填报，发包人、监理人、造价咨询人、承包人各存壹份。</w:t>
      </w:r>
    </w:p>
    <w:p w14:paraId="02B24728">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2D790914">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附件12</w:t>
      </w:r>
    </w:p>
    <w:p w14:paraId="0042908C">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竣工结算款支付申请（核准）表</w:t>
      </w:r>
    </w:p>
    <w:p w14:paraId="6AE591F1">
      <w:pPr>
        <w:pStyle w:val="169"/>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工程名称：                                 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1C48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44" w:type="dxa"/>
            <w:gridSpan w:val="2"/>
            <w:vAlign w:val="center"/>
          </w:tcPr>
          <w:p w14:paraId="4A63BC61">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致：______（发包人全称）</w:t>
            </w:r>
          </w:p>
          <w:p w14:paraId="5770C7CE">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我方于______至______期间已完成了合同约定的工作，根据施工合同的约定，现申请支付竣工结算的工程款额为人民币（大写）______（¥______），请予核准。</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37CD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 w:type="dxa"/>
                </w:tcPr>
                <w:p w14:paraId="73B88650">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3260" w:type="dxa"/>
                </w:tcPr>
                <w:p w14:paraId="5EBB2C24">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名称</w:t>
                  </w:r>
                </w:p>
              </w:tc>
              <w:tc>
                <w:tcPr>
                  <w:tcW w:w="1701" w:type="dxa"/>
                </w:tcPr>
                <w:p w14:paraId="421BCC65">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申请金额（元）</w:t>
                  </w:r>
                </w:p>
              </w:tc>
              <w:tc>
                <w:tcPr>
                  <w:tcW w:w="1701" w:type="dxa"/>
                </w:tcPr>
                <w:p w14:paraId="3405A945">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复核金额（元）</w:t>
                  </w:r>
                </w:p>
              </w:tc>
              <w:tc>
                <w:tcPr>
                  <w:tcW w:w="1723" w:type="dxa"/>
                </w:tcPr>
                <w:p w14:paraId="228B8139">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r>
            <w:tr w14:paraId="0511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B3843E2">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3260" w:type="dxa"/>
                </w:tcPr>
                <w:p w14:paraId="3ED7AF2D">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竣工结算合同价款总额</w:t>
                  </w:r>
                </w:p>
              </w:tc>
              <w:tc>
                <w:tcPr>
                  <w:tcW w:w="1701" w:type="dxa"/>
                </w:tcPr>
                <w:p w14:paraId="421929A7">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6B0969BA">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369F277F">
                  <w:pPr>
                    <w:pStyle w:val="169"/>
                    <w:jc w:val="center"/>
                    <w:rPr>
                      <w:rFonts w:hint="eastAsia" w:ascii="仿宋" w:hAnsi="仿宋" w:eastAsia="仿宋" w:cs="仿宋"/>
                      <w:color w:val="000000" w:themeColor="text1"/>
                      <w:szCs w:val="21"/>
                      <w14:textFill>
                        <w14:solidFill>
                          <w14:schemeClr w14:val="tx1"/>
                        </w14:solidFill>
                      </w14:textFill>
                    </w:rPr>
                  </w:pPr>
                </w:p>
              </w:tc>
            </w:tr>
            <w:tr w14:paraId="216E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0885CB4D">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3260" w:type="dxa"/>
                </w:tcPr>
                <w:p w14:paraId="0607DCCA">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累计已实际支付的合同价款</w:t>
                  </w:r>
                </w:p>
              </w:tc>
              <w:tc>
                <w:tcPr>
                  <w:tcW w:w="1701" w:type="dxa"/>
                </w:tcPr>
                <w:p w14:paraId="2422317A">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79D745F9">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02577110">
                  <w:pPr>
                    <w:pStyle w:val="169"/>
                    <w:jc w:val="center"/>
                    <w:rPr>
                      <w:rFonts w:hint="eastAsia" w:ascii="仿宋" w:hAnsi="仿宋" w:eastAsia="仿宋" w:cs="仿宋"/>
                      <w:color w:val="000000" w:themeColor="text1"/>
                      <w:szCs w:val="21"/>
                      <w14:textFill>
                        <w14:solidFill>
                          <w14:schemeClr w14:val="tx1"/>
                        </w14:solidFill>
                      </w14:textFill>
                    </w:rPr>
                  </w:pPr>
                </w:p>
              </w:tc>
            </w:tr>
            <w:tr w14:paraId="7F41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BC20515">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3260" w:type="dxa"/>
                </w:tcPr>
                <w:p w14:paraId="06A79102">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应预留的质量保证金</w:t>
                  </w:r>
                </w:p>
              </w:tc>
              <w:tc>
                <w:tcPr>
                  <w:tcW w:w="1701" w:type="dxa"/>
                </w:tcPr>
                <w:p w14:paraId="16723C90">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328194B0">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4DE7CD48">
                  <w:pPr>
                    <w:pStyle w:val="169"/>
                    <w:jc w:val="center"/>
                    <w:rPr>
                      <w:rFonts w:hint="eastAsia" w:ascii="仿宋" w:hAnsi="仿宋" w:eastAsia="仿宋" w:cs="仿宋"/>
                      <w:color w:val="000000" w:themeColor="text1"/>
                      <w:szCs w:val="21"/>
                      <w14:textFill>
                        <w14:solidFill>
                          <w14:schemeClr w14:val="tx1"/>
                        </w14:solidFill>
                      </w14:textFill>
                    </w:rPr>
                  </w:pPr>
                </w:p>
              </w:tc>
            </w:tr>
            <w:tr w14:paraId="4583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0A9F1B50">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3260" w:type="dxa"/>
                </w:tcPr>
                <w:p w14:paraId="0B162FDE">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应支付的竣工结算款金额</w:t>
                  </w:r>
                </w:p>
              </w:tc>
              <w:tc>
                <w:tcPr>
                  <w:tcW w:w="1701" w:type="dxa"/>
                </w:tcPr>
                <w:p w14:paraId="645BE557">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0770B919">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0CEAE37D">
                  <w:pPr>
                    <w:pStyle w:val="169"/>
                    <w:jc w:val="center"/>
                    <w:rPr>
                      <w:rFonts w:hint="eastAsia" w:ascii="仿宋" w:hAnsi="仿宋" w:eastAsia="仿宋" w:cs="仿宋"/>
                      <w:color w:val="000000" w:themeColor="text1"/>
                      <w:szCs w:val="21"/>
                      <w14:textFill>
                        <w14:solidFill>
                          <w14:schemeClr w14:val="tx1"/>
                        </w14:solidFill>
                      </w14:textFill>
                    </w:rPr>
                  </w:pPr>
                </w:p>
              </w:tc>
            </w:tr>
            <w:tr w14:paraId="5A2A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52301A70">
                  <w:pPr>
                    <w:pStyle w:val="169"/>
                    <w:jc w:val="center"/>
                    <w:rPr>
                      <w:rFonts w:hint="eastAsia" w:ascii="仿宋" w:hAnsi="仿宋" w:eastAsia="仿宋" w:cs="仿宋"/>
                      <w:color w:val="000000" w:themeColor="text1"/>
                      <w:szCs w:val="21"/>
                      <w14:textFill>
                        <w14:solidFill>
                          <w14:schemeClr w14:val="tx1"/>
                        </w14:solidFill>
                      </w14:textFill>
                    </w:rPr>
                  </w:pPr>
                </w:p>
              </w:tc>
              <w:tc>
                <w:tcPr>
                  <w:tcW w:w="3260" w:type="dxa"/>
                </w:tcPr>
                <w:p w14:paraId="4C01C197">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1D78F106">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0557E901">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1F8C6584">
                  <w:pPr>
                    <w:pStyle w:val="169"/>
                    <w:jc w:val="center"/>
                    <w:rPr>
                      <w:rFonts w:hint="eastAsia" w:ascii="仿宋" w:hAnsi="仿宋" w:eastAsia="仿宋" w:cs="仿宋"/>
                      <w:color w:val="000000" w:themeColor="text1"/>
                      <w:szCs w:val="21"/>
                      <w14:textFill>
                        <w14:solidFill>
                          <w14:schemeClr w14:val="tx1"/>
                        </w14:solidFill>
                      </w14:textFill>
                    </w:rPr>
                  </w:pPr>
                </w:p>
              </w:tc>
            </w:tr>
          </w:tbl>
          <w:p w14:paraId="6BFBEAFE">
            <w:pPr>
              <w:pStyle w:val="169"/>
              <w:jc w:val="left"/>
              <w:rPr>
                <w:rFonts w:hint="eastAsia" w:ascii="仿宋" w:hAnsi="仿宋" w:eastAsia="仿宋" w:cs="仿宋"/>
                <w:color w:val="000000" w:themeColor="text1"/>
                <w:szCs w:val="21"/>
                <w14:textFill>
                  <w14:solidFill>
                    <w14:schemeClr w14:val="tx1"/>
                  </w14:solidFill>
                </w14:textFill>
              </w:rPr>
            </w:pPr>
          </w:p>
          <w:p w14:paraId="1D793925">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承包人（章）</w:t>
            </w:r>
          </w:p>
          <w:p w14:paraId="74351BFF">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造价人员：______</w:t>
            </w:r>
          </w:p>
          <w:p w14:paraId="6E8C389E">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承包人代表：______</w:t>
            </w:r>
          </w:p>
          <w:p w14:paraId="472840AF">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r>
      <w:tr w14:paraId="24B9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1B951A37">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复核意见：</w:t>
            </w:r>
          </w:p>
          <w:p w14:paraId="23391D8A">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□与实际施工情况不相符，修改意见见附件。</w:t>
            </w:r>
          </w:p>
          <w:p w14:paraId="06C3B762">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□与实际施工情况相符，具体金额由造价工程师复核。</w:t>
            </w:r>
          </w:p>
          <w:p w14:paraId="2336D3D6">
            <w:pPr>
              <w:pStyle w:val="169"/>
              <w:ind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监理工程师（签字）：______</w:t>
            </w:r>
          </w:p>
          <w:p w14:paraId="6801963A">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c>
          <w:tcPr>
            <w:tcW w:w="4672" w:type="dxa"/>
            <w:vAlign w:val="center"/>
          </w:tcPr>
          <w:p w14:paraId="35E9D6F5">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复核意见：</w:t>
            </w:r>
          </w:p>
          <w:p w14:paraId="71EC68B9">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你方提出的竣工结算支付申请经复核，竣工结算款总额为人民币（大写）______（¥______），扣除前期支付以及质量保证金后应支付金额为人民币（大写）______（¥______）。</w:t>
            </w:r>
          </w:p>
          <w:p w14:paraId="2BAA87F6">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造价工程师（签字）：______</w:t>
            </w:r>
          </w:p>
          <w:p w14:paraId="06D7CF27">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r>
      <w:tr w14:paraId="127E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341DE93D">
            <w:pPr>
              <w:pStyle w:val="169"/>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审核意见：</w:t>
            </w:r>
          </w:p>
          <w:p w14:paraId="0285E149">
            <w:pPr>
              <w:pStyle w:val="169"/>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□不同意。</w:t>
            </w:r>
          </w:p>
          <w:p w14:paraId="5ADF5A4A">
            <w:pPr>
              <w:pStyle w:val="169"/>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□同意，支付时间为本表签发后的15天内。</w:t>
            </w:r>
          </w:p>
          <w:p w14:paraId="5FD6357E">
            <w:pPr>
              <w:pStyle w:val="169"/>
              <w:ind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发包人（章）：______</w:t>
            </w:r>
          </w:p>
          <w:p w14:paraId="7AA7CDFC">
            <w:pPr>
              <w:pStyle w:val="169"/>
              <w:ind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项目现场代表（签字）：______</w:t>
            </w:r>
          </w:p>
          <w:p w14:paraId="2383BC3E">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r>
    </w:tbl>
    <w:p w14:paraId="285F6970">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注：1.在选择栏中的“□”内作标识“√”。</w:t>
      </w:r>
    </w:p>
    <w:p w14:paraId="783AFAF9">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2.本表一式肆份，由承包人填报，发包人、监理人、造价咨询人、承包人各存壹份。</w:t>
      </w:r>
    </w:p>
    <w:p w14:paraId="64FF9DA9">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773ABB9A">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附件13：</w:t>
      </w:r>
    </w:p>
    <w:p w14:paraId="787AB683">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最终结算款支付申请（核准）表</w:t>
      </w:r>
    </w:p>
    <w:p w14:paraId="7F70DCBF">
      <w:pPr>
        <w:pStyle w:val="169"/>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工程名称：                                 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3DA6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776F8AE2">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致：______（发包人全称）</w:t>
            </w:r>
          </w:p>
          <w:p w14:paraId="0B0510CB">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我方于______至______期间已完成了缺陷修复工作，根据施工合同的约定，现申请支付最终结清合同款额为人民币（大写）______（¥______），请予核准。</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60"/>
              <w:gridCol w:w="1701"/>
              <w:gridCol w:w="1701"/>
              <w:gridCol w:w="1723"/>
            </w:tblGrid>
            <w:tr w14:paraId="76D5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40A96DF6">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3260" w:type="dxa"/>
                </w:tcPr>
                <w:p w14:paraId="53F5F699">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名称</w:t>
                  </w:r>
                </w:p>
              </w:tc>
              <w:tc>
                <w:tcPr>
                  <w:tcW w:w="1701" w:type="dxa"/>
                </w:tcPr>
                <w:p w14:paraId="17ACFA1A">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申请金额（元）</w:t>
                  </w:r>
                </w:p>
              </w:tc>
              <w:tc>
                <w:tcPr>
                  <w:tcW w:w="1701" w:type="dxa"/>
                </w:tcPr>
                <w:p w14:paraId="58574054">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复核金额（元）</w:t>
                  </w:r>
                </w:p>
              </w:tc>
              <w:tc>
                <w:tcPr>
                  <w:tcW w:w="1723" w:type="dxa"/>
                </w:tcPr>
                <w:p w14:paraId="6DA05BFC">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r>
            <w:tr w14:paraId="6E81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683FC7BF">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3260" w:type="dxa"/>
                </w:tcPr>
                <w:p w14:paraId="25092BE5">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已预留的质量保证金</w:t>
                  </w:r>
                </w:p>
              </w:tc>
              <w:tc>
                <w:tcPr>
                  <w:tcW w:w="1701" w:type="dxa"/>
                </w:tcPr>
                <w:p w14:paraId="0D9A5F5F">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67F37FD7">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1F992F68">
                  <w:pPr>
                    <w:pStyle w:val="169"/>
                    <w:jc w:val="center"/>
                    <w:rPr>
                      <w:rFonts w:hint="eastAsia" w:ascii="仿宋" w:hAnsi="仿宋" w:eastAsia="仿宋" w:cs="仿宋"/>
                      <w:color w:val="000000" w:themeColor="text1"/>
                      <w:szCs w:val="21"/>
                      <w14:textFill>
                        <w14:solidFill>
                          <w14:schemeClr w14:val="tx1"/>
                        </w14:solidFill>
                      </w14:textFill>
                    </w:rPr>
                  </w:pPr>
                </w:p>
              </w:tc>
            </w:tr>
            <w:tr w14:paraId="4E48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1F1C5E82">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3260" w:type="dxa"/>
                </w:tcPr>
                <w:p w14:paraId="1015B02D">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应增加因发包人原因造成缺陷的修复金额</w:t>
                  </w:r>
                </w:p>
              </w:tc>
              <w:tc>
                <w:tcPr>
                  <w:tcW w:w="1701" w:type="dxa"/>
                </w:tcPr>
                <w:p w14:paraId="12B63440">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0A06B4DB">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079FF491">
                  <w:pPr>
                    <w:pStyle w:val="169"/>
                    <w:jc w:val="center"/>
                    <w:rPr>
                      <w:rFonts w:hint="eastAsia" w:ascii="仿宋" w:hAnsi="仿宋" w:eastAsia="仿宋" w:cs="仿宋"/>
                      <w:color w:val="000000" w:themeColor="text1"/>
                      <w:szCs w:val="21"/>
                      <w14:textFill>
                        <w14:solidFill>
                          <w14:schemeClr w14:val="tx1"/>
                        </w14:solidFill>
                      </w14:textFill>
                    </w:rPr>
                  </w:pPr>
                </w:p>
              </w:tc>
            </w:tr>
            <w:tr w14:paraId="49CB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79F0D8B1">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3260" w:type="dxa"/>
                </w:tcPr>
                <w:p w14:paraId="7B5FB4DA">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应扣减承包人不修复缺陷、发包人组织修复的金额</w:t>
                  </w:r>
                </w:p>
              </w:tc>
              <w:tc>
                <w:tcPr>
                  <w:tcW w:w="1701" w:type="dxa"/>
                </w:tcPr>
                <w:p w14:paraId="28F4BD6D">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6ECA84B6">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0EF4DF52">
                  <w:pPr>
                    <w:pStyle w:val="169"/>
                    <w:jc w:val="center"/>
                    <w:rPr>
                      <w:rFonts w:hint="eastAsia" w:ascii="仿宋" w:hAnsi="仿宋" w:eastAsia="仿宋" w:cs="仿宋"/>
                      <w:color w:val="000000" w:themeColor="text1"/>
                      <w:szCs w:val="21"/>
                      <w14:textFill>
                        <w14:solidFill>
                          <w14:schemeClr w14:val="tx1"/>
                        </w14:solidFill>
                      </w14:textFill>
                    </w:rPr>
                  </w:pPr>
                </w:p>
              </w:tc>
            </w:tr>
            <w:tr w14:paraId="0618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772C876">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3260" w:type="dxa"/>
                </w:tcPr>
                <w:p w14:paraId="5E7AF2E9">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最终应支付的合同价款</w:t>
                  </w:r>
                </w:p>
              </w:tc>
              <w:tc>
                <w:tcPr>
                  <w:tcW w:w="1701" w:type="dxa"/>
                </w:tcPr>
                <w:p w14:paraId="27FE4E03">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37E3A0FB">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28BAA789">
                  <w:pPr>
                    <w:pStyle w:val="169"/>
                    <w:jc w:val="center"/>
                    <w:rPr>
                      <w:rFonts w:hint="eastAsia" w:ascii="仿宋" w:hAnsi="仿宋" w:eastAsia="仿宋" w:cs="仿宋"/>
                      <w:color w:val="000000" w:themeColor="text1"/>
                      <w:szCs w:val="21"/>
                      <w14:textFill>
                        <w14:solidFill>
                          <w14:schemeClr w14:val="tx1"/>
                        </w14:solidFill>
                      </w14:textFill>
                    </w:rPr>
                  </w:pPr>
                </w:p>
              </w:tc>
            </w:tr>
            <w:tr w14:paraId="5401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14:paraId="33D3FE45">
                  <w:pPr>
                    <w:pStyle w:val="169"/>
                    <w:jc w:val="center"/>
                    <w:rPr>
                      <w:rFonts w:hint="eastAsia" w:ascii="仿宋" w:hAnsi="仿宋" w:eastAsia="仿宋" w:cs="仿宋"/>
                      <w:color w:val="000000" w:themeColor="text1"/>
                      <w:szCs w:val="21"/>
                      <w14:textFill>
                        <w14:solidFill>
                          <w14:schemeClr w14:val="tx1"/>
                        </w14:solidFill>
                      </w14:textFill>
                    </w:rPr>
                  </w:pPr>
                </w:p>
              </w:tc>
              <w:tc>
                <w:tcPr>
                  <w:tcW w:w="3260" w:type="dxa"/>
                </w:tcPr>
                <w:p w14:paraId="556836CA">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4255A7B2">
                  <w:pPr>
                    <w:pStyle w:val="169"/>
                    <w:jc w:val="center"/>
                    <w:rPr>
                      <w:rFonts w:hint="eastAsia" w:ascii="仿宋" w:hAnsi="仿宋" w:eastAsia="仿宋" w:cs="仿宋"/>
                      <w:color w:val="000000" w:themeColor="text1"/>
                      <w:szCs w:val="21"/>
                      <w14:textFill>
                        <w14:solidFill>
                          <w14:schemeClr w14:val="tx1"/>
                        </w14:solidFill>
                      </w14:textFill>
                    </w:rPr>
                  </w:pPr>
                </w:p>
              </w:tc>
              <w:tc>
                <w:tcPr>
                  <w:tcW w:w="1701" w:type="dxa"/>
                </w:tcPr>
                <w:p w14:paraId="0816C2AD">
                  <w:pPr>
                    <w:pStyle w:val="169"/>
                    <w:jc w:val="center"/>
                    <w:rPr>
                      <w:rFonts w:hint="eastAsia" w:ascii="仿宋" w:hAnsi="仿宋" w:eastAsia="仿宋" w:cs="仿宋"/>
                      <w:color w:val="000000" w:themeColor="text1"/>
                      <w:szCs w:val="21"/>
                      <w14:textFill>
                        <w14:solidFill>
                          <w14:schemeClr w14:val="tx1"/>
                        </w14:solidFill>
                      </w14:textFill>
                    </w:rPr>
                  </w:pPr>
                </w:p>
              </w:tc>
              <w:tc>
                <w:tcPr>
                  <w:tcW w:w="1723" w:type="dxa"/>
                </w:tcPr>
                <w:p w14:paraId="78810C3B">
                  <w:pPr>
                    <w:pStyle w:val="169"/>
                    <w:jc w:val="center"/>
                    <w:rPr>
                      <w:rFonts w:hint="eastAsia" w:ascii="仿宋" w:hAnsi="仿宋" w:eastAsia="仿宋" w:cs="仿宋"/>
                      <w:color w:val="000000" w:themeColor="text1"/>
                      <w:szCs w:val="21"/>
                      <w14:textFill>
                        <w14:solidFill>
                          <w14:schemeClr w14:val="tx1"/>
                        </w14:solidFill>
                      </w14:textFill>
                    </w:rPr>
                  </w:pPr>
                </w:p>
              </w:tc>
            </w:tr>
          </w:tbl>
          <w:p w14:paraId="67025094">
            <w:pPr>
              <w:pStyle w:val="169"/>
              <w:jc w:val="left"/>
              <w:rPr>
                <w:rFonts w:hint="eastAsia" w:ascii="仿宋" w:hAnsi="仿宋" w:eastAsia="仿宋" w:cs="仿宋"/>
                <w:color w:val="000000" w:themeColor="text1"/>
                <w:szCs w:val="21"/>
                <w14:textFill>
                  <w14:solidFill>
                    <w14:schemeClr w14:val="tx1"/>
                  </w14:solidFill>
                </w14:textFill>
              </w:rPr>
            </w:pPr>
          </w:p>
          <w:p w14:paraId="13BB0271">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承包人（章）</w:t>
            </w:r>
          </w:p>
          <w:p w14:paraId="14892165">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造价人员：______</w:t>
            </w:r>
          </w:p>
          <w:p w14:paraId="6BC5FA81">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承包人代表：______</w:t>
            </w:r>
          </w:p>
          <w:p w14:paraId="3FB96856">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r>
      <w:tr w14:paraId="7948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vAlign w:val="center"/>
          </w:tcPr>
          <w:p w14:paraId="4C616C7D">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复核意见：</w:t>
            </w:r>
          </w:p>
          <w:p w14:paraId="33B71D5C">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□与实际施工情况不相符，修改意见见附件。</w:t>
            </w:r>
          </w:p>
          <w:p w14:paraId="28B07968">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□与实际施工情况相符，具体金额由造价工程师复核。</w:t>
            </w:r>
          </w:p>
          <w:p w14:paraId="0AC359BA">
            <w:pPr>
              <w:pStyle w:val="169"/>
              <w:ind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监理工程师（签字）：______</w:t>
            </w:r>
          </w:p>
          <w:p w14:paraId="603B3974">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c>
          <w:tcPr>
            <w:tcW w:w="4672" w:type="dxa"/>
            <w:vAlign w:val="center"/>
          </w:tcPr>
          <w:p w14:paraId="473EFB6E">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复核意见：</w:t>
            </w:r>
          </w:p>
          <w:p w14:paraId="3F377B5D">
            <w:pPr>
              <w:pStyle w:val="169"/>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你方提出的支付申请经复核，最终应支付金额为人民币（大写）______（¥______）。</w:t>
            </w:r>
          </w:p>
          <w:p w14:paraId="7638088F">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造价工程师（签字）：______</w:t>
            </w:r>
          </w:p>
          <w:p w14:paraId="1B947CF3">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r>
      <w:tr w14:paraId="137A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2"/>
            <w:vAlign w:val="center"/>
          </w:tcPr>
          <w:p w14:paraId="6E11A789">
            <w:pPr>
              <w:pStyle w:val="169"/>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审核意见：</w:t>
            </w:r>
          </w:p>
          <w:p w14:paraId="29584471">
            <w:pPr>
              <w:pStyle w:val="169"/>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□不同意。</w:t>
            </w:r>
          </w:p>
          <w:p w14:paraId="3CADDC68">
            <w:pPr>
              <w:pStyle w:val="169"/>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□同意，支付时间为本表签发后的15天内。</w:t>
            </w:r>
          </w:p>
          <w:p w14:paraId="0375DCFF">
            <w:pPr>
              <w:pStyle w:val="169"/>
              <w:ind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发包人（章）：______</w:t>
            </w:r>
          </w:p>
          <w:p w14:paraId="481A7FE7">
            <w:pPr>
              <w:pStyle w:val="169"/>
              <w:ind w:firstLine="420" w:firstLineChars="20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项目现场代表（签字）：______</w:t>
            </w:r>
          </w:p>
          <w:p w14:paraId="605F655B">
            <w:pPr>
              <w:pStyle w:val="169"/>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r>
    </w:tbl>
    <w:p w14:paraId="13ECC28A">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注：1.在选择栏中的“□”内作标识“√”。如监理人已退场，监理工程师栏可空缺。</w:t>
      </w:r>
    </w:p>
    <w:p w14:paraId="201632BD">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2.本表一式肆份，由承包人填报，发包人、监理人、造价咨询人、承包人各存壹份。</w:t>
      </w:r>
    </w:p>
    <w:p w14:paraId="0B46DDDB">
      <w:pPr>
        <w:pStyle w:val="169"/>
        <w:spacing w:line="360" w:lineRule="auto"/>
        <w:rPr>
          <w:rFonts w:hint="eastAsia" w:ascii="仿宋" w:hAnsi="仿宋" w:eastAsia="仿宋" w:cs="仿宋"/>
          <w:color w:val="000000" w:themeColor="text1"/>
          <w:sz w:val="30"/>
          <w:szCs w:val="30"/>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0130297F">
      <w:pPr>
        <w:pStyle w:val="169"/>
        <w:spacing w:line="360"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附件14：</w:t>
      </w:r>
    </w:p>
    <w:p w14:paraId="734DC24C">
      <w:pPr>
        <w:pStyle w:val="169"/>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总价合同进度款支付分解表</w:t>
      </w:r>
    </w:p>
    <w:p w14:paraId="57A4723B">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工程名称：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336"/>
        <w:gridCol w:w="2336"/>
        <w:gridCol w:w="2336"/>
      </w:tblGrid>
      <w:tr w14:paraId="16DE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1932C078">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进度款期次</w:t>
            </w:r>
          </w:p>
        </w:tc>
        <w:tc>
          <w:tcPr>
            <w:tcW w:w="2336" w:type="dxa"/>
            <w:vAlign w:val="center"/>
          </w:tcPr>
          <w:p w14:paraId="49A556DA">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形象进度</w:t>
            </w:r>
          </w:p>
        </w:tc>
        <w:tc>
          <w:tcPr>
            <w:tcW w:w="2336" w:type="dxa"/>
            <w:vAlign w:val="center"/>
          </w:tcPr>
          <w:p w14:paraId="2EBBCB10">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进度款付款金额（元）</w:t>
            </w:r>
          </w:p>
        </w:tc>
        <w:tc>
          <w:tcPr>
            <w:tcW w:w="2336" w:type="dxa"/>
            <w:vAlign w:val="center"/>
          </w:tcPr>
          <w:p w14:paraId="1FAD979E">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r>
      <w:tr w14:paraId="11D4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402213A1">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第一期</w:t>
            </w:r>
          </w:p>
        </w:tc>
        <w:tc>
          <w:tcPr>
            <w:tcW w:w="2336" w:type="dxa"/>
            <w:vAlign w:val="center"/>
          </w:tcPr>
          <w:p w14:paraId="26DAC5A8">
            <w:pPr>
              <w:pStyle w:val="169"/>
              <w:jc w:val="center"/>
              <w:rPr>
                <w:rFonts w:hint="eastAsia" w:ascii="仿宋" w:hAnsi="仿宋" w:eastAsia="仿宋" w:cs="仿宋"/>
                <w:color w:val="000000" w:themeColor="text1"/>
                <w:szCs w:val="21"/>
                <w14:textFill>
                  <w14:solidFill>
                    <w14:schemeClr w14:val="tx1"/>
                  </w14:solidFill>
                </w14:textFill>
              </w:rPr>
            </w:pPr>
          </w:p>
        </w:tc>
        <w:tc>
          <w:tcPr>
            <w:tcW w:w="2336" w:type="dxa"/>
            <w:vAlign w:val="center"/>
          </w:tcPr>
          <w:p w14:paraId="0DFB1D7C">
            <w:pPr>
              <w:pStyle w:val="169"/>
              <w:jc w:val="center"/>
              <w:rPr>
                <w:rFonts w:hint="eastAsia" w:ascii="仿宋" w:hAnsi="仿宋" w:eastAsia="仿宋" w:cs="仿宋"/>
                <w:color w:val="000000" w:themeColor="text1"/>
                <w:szCs w:val="21"/>
                <w14:textFill>
                  <w14:solidFill>
                    <w14:schemeClr w14:val="tx1"/>
                  </w14:solidFill>
                </w14:textFill>
              </w:rPr>
            </w:pPr>
          </w:p>
        </w:tc>
        <w:tc>
          <w:tcPr>
            <w:tcW w:w="2336" w:type="dxa"/>
            <w:vAlign w:val="center"/>
          </w:tcPr>
          <w:p w14:paraId="144C1456">
            <w:pPr>
              <w:pStyle w:val="169"/>
              <w:jc w:val="center"/>
              <w:rPr>
                <w:rFonts w:hint="eastAsia" w:ascii="仿宋" w:hAnsi="仿宋" w:eastAsia="仿宋" w:cs="仿宋"/>
                <w:color w:val="000000" w:themeColor="text1"/>
                <w:szCs w:val="21"/>
                <w14:textFill>
                  <w14:solidFill>
                    <w14:schemeClr w14:val="tx1"/>
                  </w14:solidFill>
                </w14:textFill>
              </w:rPr>
            </w:pPr>
          </w:p>
        </w:tc>
      </w:tr>
      <w:tr w14:paraId="6858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7A8922D1">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第二期</w:t>
            </w:r>
          </w:p>
        </w:tc>
        <w:tc>
          <w:tcPr>
            <w:tcW w:w="2336" w:type="dxa"/>
            <w:vAlign w:val="center"/>
          </w:tcPr>
          <w:p w14:paraId="06E807CD">
            <w:pPr>
              <w:pStyle w:val="169"/>
              <w:jc w:val="center"/>
              <w:rPr>
                <w:rFonts w:hint="eastAsia" w:ascii="仿宋" w:hAnsi="仿宋" w:eastAsia="仿宋" w:cs="仿宋"/>
                <w:color w:val="000000" w:themeColor="text1"/>
                <w:szCs w:val="21"/>
                <w14:textFill>
                  <w14:solidFill>
                    <w14:schemeClr w14:val="tx1"/>
                  </w14:solidFill>
                </w14:textFill>
              </w:rPr>
            </w:pPr>
          </w:p>
        </w:tc>
        <w:tc>
          <w:tcPr>
            <w:tcW w:w="2336" w:type="dxa"/>
            <w:vAlign w:val="center"/>
          </w:tcPr>
          <w:p w14:paraId="751B2DBD">
            <w:pPr>
              <w:pStyle w:val="169"/>
              <w:jc w:val="center"/>
              <w:rPr>
                <w:rFonts w:hint="eastAsia" w:ascii="仿宋" w:hAnsi="仿宋" w:eastAsia="仿宋" w:cs="仿宋"/>
                <w:color w:val="000000" w:themeColor="text1"/>
                <w:szCs w:val="21"/>
                <w14:textFill>
                  <w14:solidFill>
                    <w14:schemeClr w14:val="tx1"/>
                  </w14:solidFill>
                </w14:textFill>
              </w:rPr>
            </w:pPr>
          </w:p>
        </w:tc>
        <w:tc>
          <w:tcPr>
            <w:tcW w:w="2336" w:type="dxa"/>
            <w:vAlign w:val="center"/>
          </w:tcPr>
          <w:p w14:paraId="7F5DAECA">
            <w:pPr>
              <w:pStyle w:val="169"/>
              <w:jc w:val="center"/>
              <w:rPr>
                <w:rFonts w:hint="eastAsia" w:ascii="仿宋" w:hAnsi="仿宋" w:eastAsia="仿宋" w:cs="仿宋"/>
                <w:color w:val="000000" w:themeColor="text1"/>
                <w:szCs w:val="21"/>
                <w14:textFill>
                  <w14:solidFill>
                    <w14:schemeClr w14:val="tx1"/>
                  </w14:solidFill>
                </w14:textFill>
              </w:rPr>
            </w:pPr>
          </w:p>
        </w:tc>
      </w:tr>
      <w:tr w14:paraId="39C9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1CA6F366">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第三期</w:t>
            </w:r>
          </w:p>
        </w:tc>
        <w:tc>
          <w:tcPr>
            <w:tcW w:w="2336" w:type="dxa"/>
            <w:vAlign w:val="center"/>
          </w:tcPr>
          <w:p w14:paraId="6C277BE7">
            <w:pPr>
              <w:pStyle w:val="169"/>
              <w:jc w:val="center"/>
              <w:rPr>
                <w:rFonts w:hint="eastAsia" w:ascii="仿宋" w:hAnsi="仿宋" w:eastAsia="仿宋" w:cs="仿宋"/>
                <w:color w:val="000000" w:themeColor="text1"/>
                <w:szCs w:val="21"/>
                <w14:textFill>
                  <w14:solidFill>
                    <w14:schemeClr w14:val="tx1"/>
                  </w14:solidFill>
                </w14:textFill>
              </w:rPr>
            </w:pPr>
          </w:p>
        </w:tc>
        <w:tc>
          <w:tcPr>
            <w:tcW w:w="2336" w:type="dxa"/>
            <w:vAlign w:val="center"/>
          </w:tcPr>
          <w:p w14:paraId="2C6BFBFC">
            <w:pPr>
              <w:pStyle w:val="169"/>
              <w:jc w:val="center"/>
              <w:rPr>
                <w:rFonts w:hint="eastAsia" w:ascii="仿宋" w:hAnsi="仿宋" w:eastAsia="仿宋" w:cs="仿宋"/>
                <w:color w:val="000000" w:themeColor="text1"/>
                <w:szCs w:val="21"/>
                <w14:textFill>
                  <w14:solidFill>
                    <w14:schemeClr w14:val="tx1"/>
                  </w14:solidFill>
                </w14:textFill>
              </w:rPr>
            </w:pPr>
          </w:p>
        </w:tc>
        <w:tc>
          <w:tcPr>
            <w:tcW w:w="2336" w:type="dxa"/>
            <w:vAlign w:val="center"/>
          </w:tcPr>
          <w:p w14:paraId="688D6473">
            <w:pPr>
              <w:pStyle w:val="169"/>
              <w:jc w:val="center"/>
              <w:rPr>
                <w:rFonts w:hint="eastAsia" w:ascii="仿宋" w:hAnsi="仿宋" w:eastAsia="仿宋" w:cs="仿宋"/>
                <w:color w:val="000000" w:themeColor="text1"/>
                <w:szCs w:val="21"/>
                <w14:textFill>
                  <w14:solidFill>
                    <w14:schemeClr w14:val="tx1"/>
                  </w14:solidFill>
                </w14:textFill>
              </w:rPr>
            </w:pPr>
          </w:p>
        </w:tc>
      </w:tr>
      <w:tr w14:paraId="7806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vAlign w:val="center"/>
          </w:tcPr>
          <w:p w14:paraId="38B3A474">
            <w:pPr>
              <w:pStyle w:val="169"/>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tc>
        <w:tc>
          <w:tcPr>
            <w:tcW w:w="2336" w:type="dxa"/>
            <w:vAlign w:val="center"/>
          </w:tcPr>
          <w:p w14:paraId="0258BC15">
            <w:pPr>
              <w:pStyle w:val="169"/>
              <w:jc w:val="center"/>
              <w:rPr>
                <w:rFonts w:hint="eastAsia" w:ascii="仿宋" w:hAnsi="仿宋" w:eastAsia="仿宋" w:cs="仿宋"/>
                <w:color w:val="000000" w:themeColor="text1"/>
                <w:szCs w:val="21"/>
                <w14:textFill>
                  <w14:solidFill>
                    <w14:schemeClr w14:val="tx1"/>
                  </w14:solidFill>
                </w14:textFill>
              </w:rPr>
            </w:pPr>
          </w:p>
        </w:tc>
        <w:tc>
          <w:tcPr>
            <w:tcW w:w="2336" w:type="dxa"/>
            <w:vAlign w:val="center"/>
          </w:tcPr>
          <w:p w14:paraId="76376779">
            <w:pPr>
              <w:pStyle w:val="169"/>
              <w:jc w:val="center"/>
              <w:rPr>
                <w:rFonts w:hint="eastAsia" w:ascii="仿宋" w:hAnsi="仿宋" w:eastAsia="仿宋" w:cs="仿宋"/>
                <w:color w:val="000000" w:themeColor="text1"/>
                <w:szCs w:val="21"/>
                <w14:textFill>
                  <w14:solidFill>
                    <w14:schemeClr w14:val="tx1"/>
                  </w14:solidFill>
                </w14:textFill>
              </w:rPr>
            </w:pPr>
          </w:p>
        </w:tc>
        <w:tc>
          <w:tcPr>
            <w:tcW w:w="2336" w:type="dxa"/>
            <w:vAlign w:val="center"/>
          </w:tcPr>
          <w:p w14:paraId="6B256558">
            <w:pPr>
              <w:pStyle w:val="169"/>
              <w:jc w:val="center"/>
              <w:rPr>
                <w:rFonts w:hint="eastAsia" w:ascii="仿宋" w:hAnsi="仿宋" w:eastAsia="仿宋" w:cs="仿宋"/>
                <w:color w:val="000000" w:themeColor="text1"/>
                <w:szCs w:val="21"/>
                <w14:textFill>
                  <w14:solidFill>
                    <w14:schemeClr w14:val="tx1"/>
                  </w14:solidFill>
                </w14:textFill>
              </w:rPr>
            </w:pPr>
          </w:p>
        </w:tc>
      </w:tr>
      <w:tr w14:paraId="5C4A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2" w:type="dxa"/>
            <w:gridSpan w:val="2"/>
            <w:vAlign w:val="center"/>
          </w:tcPr>
          <w:p w14:paraId="69CF314A">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项目现场代表签字：</w:t>
            </w:r>
          </w:p>
          <w:p w14:paraId="46D0A20B">
            <w:pPr>
              <w:pStyle w:val="169"/>
              <w:jc w:val="left"/>
              <w:rPr>
                <w:rFonts w:hint="eastAsia" w:ascii="仿宋" w:hAnsi="仿宋" w:eastAsia="仿宋" w:cs="仿宋"/>
                <w:color w:val="000000" w:themeColor="text1"/>
                <w:szCs w:val="21"/>
                <w14:textFill>
                  <w14:solidFill>
                    <w14:schemeClr w14:val="tx1"/>
                  </w14:solidFill>
                </w14:textFill>
              </w:rPr>
            </w:pPr>
          </w:p>
          <w:p w14:paraId="730862E6">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发包人（盖公章）：</w:t>
            </w:r>
          </w:p>
          <w:p w14:paraId="3BE55882">
            <w:pPr>
              <w:pStyle w:val="169"/>
              <w:jc w:val="left"/>
              <w:rPr>
                <w:rFonts w:hint="eastAsia" w:ascii="仿宋" w:hAnsi="仿宋" w:eastAsia="仿宋" w:cs="仿宋"/>
                <w:color w:val="000000" w:themeColor="text1"/>
                <w:szCs w:val="21"/>
                <w14:textFill>
                  <w14:solidFill>
                    <w14:schemeClr w14:val="tx1"/>
                  </w14:solidFill>
                </w14:textFill>
              </w:rPr>
            </w:pPr>
          </w:p>
          <w:p w14:paraId="4C4C8D6F">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c>
          <w:tcPr>
            <w:tcW w:w="4672" w:type="dxa"/>
            <w:gridSpan w:val="2"/>
            <w:vAlign w:val="center"/>
          </w:tcPr>
          <w:p w14:paraId="7DDC1979">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承包人代表签字：</w:t>
            </w:r>
          </w:p>
          <w:p w14:paraId="1CFED778">
            <w:pPr>
              <w:pStyle w:val="169"/>
              <w:jc w:val="left"/>
              <w:rPr>
                <w:rFonts w:hint="eastAsia" w:ascii="仿宋" w:hAnsi="仿宋" w:eastAsia="仿宋" w:cs="仿宋"/>
                <w:color w:val="000000" w:themeColor="text1"/>
                <w:szCs w:val="21"/>
                <w14:textFill>
                  <w14:solidFill>
                    <w14:schemeClr w14:val="tx1"/>
                  </w14:solidFill>
                </w14:textFill>
              </w:rPr>
            </w:pPr>
          </w:p>
          <w:p w14:paraId="1F10F6EB">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承包人（盖公章）：</w:t>
            </w:r>
          </w:p>
          <w:p w14:paraId="705C620A">
            <w:pPr>
              <w:pStyle w:val="169"/>
              <w:jc w:val="left"/>
              <w:rPr>
                <w:rFonts w:hint="eastAsia" w:ascii="仿宋" w:hAnsi="仿宋" w:eastAsia="仿宋" w:cs="仿宋"/>
                <w:color w:val="000000" w:themeColor="text1"/>
                <w:szCs w:val="21"/>
                <w14:textFill>
                  <w14:solidFill>
                    <w14:schemeClr w14:val="tx1"/>
                  </w14:solidFill>
                </w14:textFill>
              </w:rPr>
            </w:pPr>
          </w:p>
          <w:p w14:paraId="2C81E23B">
            <w:pPr>
              <w:pStyle w:val="169"/>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tc>
      </w:tr>
    </w:tbl>
    <w:p w14:paraId="22C02EFE">
      <w:pPr>
        <w:pStyle w:val="169"/>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504BC27">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638CFF0B">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BA95E3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64C95692">
      <w:pPr>
        <w:pStyle w:val="3"/>
        <w:jc w:val="center"/>
        <w:rPr>
          <w:rFonts w:hint="eastAsia" w:ascii="仿宋" w:hAnsi="仿宋" w:eastAsia="仿宋" w:cs="仿宋"/>
          <w:color w:val="000000" w:themeColor="text1"/>
          <w14:textFill>
            <w14:solidFill>
              <w14:schemeClr w14:val="tx1"/>
            </w14:solidFill>
          </w14:textFill>
        </w:rPr>
      </w:pPr>
      <w:bookmarkStart w:id="268" w:name="OLE_LINK138"/>
      <w:bookmarkStart w:id="269" w:name="OLE_LINK137"/>
      <w:bookmarkStart w:id="270" w:name="_Toc193815666"/>
      <w:r>
        <w:rPr>
          <w:rFonts w:hint="eastAsia" w:ascii="仿宋" w:hAnsi="仿宋" w:eastAsia="仿宋" w:cs="仿宋"/>
          <w:color w:val="000000" w:themeColor="text1"/>
          <w14:textFill>
            <w14:solidFill>
              <w14:schemeClr w14:val="tx1"/>
            </w14:solidFill>
          </w14:textFill>
        </w:rPr>
        <w:t>第七</w:t>
      </w:r>
      <w:r>
        <w:rPr>
          <w:rFonts w:hint="eastAsia" w:ascii="仿宋" w:hAnsi="仿宋" w:eastAsia="仿宋" w:cs="仿宋"/>
          <w:color w:val="000000" w:themeColor="text1"/>
          <w:spacing w:val="100"/>
          <w14:textFill>
            <w14:solidFill>
              <w14:schemeClr w14:val="tx1"/>
            </w14:solidFill>
          </w14:textFill>
        </w:rPr>
        <w:t>章</w:t>
      </w:r>
      <w:bookmarkEnd w:id="268"/>
      <w:bookmarkEnd w:id="269"/>
      <w:r>
        <w:rPr>
          <w:rFonts w:hint="eastAsia" w:ascii="仿宋" w:hAnsi="仿宋" w:eastAsia="仿宋" w:cs="仿宋"/>
          <w:color w:val="000000" w:themeColor="text1"/>
          <w14:textFill>
            <w14:solidFill>
              <w14:schemeClr w14:val="tx1"/>
            </w14:solidFill>
          </w14:textFill>
        </w:rPr>
        <w:t>工程量清单、图纸</w:t>
      </w:r>
      <w:bookmarkEnd w:id="270"/>
    </w:p>
    <w:p w14:paraId="4D1660A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与本项目有关的设计图纸、招标工程量清单文件等附件资料获取方式：网上下载。供应商可自行在“广西政府采购云平台”平台自行下载。</w:t>
      </w:r>
    </w:p>
    <w:p w14:paraId="7AA6C28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sectPr>
          <w:pgSz w:w="11906" w:h="16838"/>
          <w:pgMar w:top="1440" w:right="1134" w:bottom="1440" w:left="1418" w:header="851" w:footer="992" w:gutter="0"/>
          <w:pgNumType w:fmt="decimal"/>
          <w:cols w:space="425" w:num="1"/>
          <w:docGrid w:type="lines" w:linePitch="312" w:charSpace="0"/>
        </w:sectPr>
      </w:pPr>
    </w:p>
    <w:p w14:paraId="1DD540A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EF0F981">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EFB86C9">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826F90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20A4CE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8BD069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FB2C657">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4D77E2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85EF537">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38EF52A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47651541">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5EF3674A">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405B6D94">
      <w:pPr>
        <w:pStyle w:val="3"/>
        <w:jc w:val="center"/>
        <w:rPr>
          <w:rFonts w:hint="eastAsia" w:ascii="仿宋" w:hAnsi="仿宋" w:eastAsia="仿宋" w:cs="仿宋"/>
          <w:color w:val="000000" w:themeColor="text1"/>
          <w14:textFill>
            <w14:solidFill>
              <w14:schemeClr w14:val="tx1"/>
            </w14:solidFill>
          </w14:textFill>
        </w:rPr>
      </w:pPr>
      <w:bookmarkStart w:id="271" w:name="_Toc193815667"/>
      <w:bookmarkStart w:id="272" w:name="_Toc173351898"/>
      <w:bookmarkStart w:id="273" w:name="_Toc145955960"/>
      <w:r>
        <w:rPr>
          <w:rFonts w:hint="eastAsia" w:ascii="仿宋" w:hAnsi="仿宋" w:eastAsia="仿宋" w:cs="仿宋"/>
          <w:color w:val="000000" w:themeColor="text1"/>
          <w14:textFill>
            <w14:solidFill>
              <w14:schemeClr w14:val="tx1"/>
            </w14:solidFill>
          </w14:textFill>
        </w:rPr>
        <w:t>第八</w:t>
      </w:r>
      <w:r>
        <w:rPr>
          <w:rFonts w:hint="eastAsia" w:ascii="仿宋" w:hAnsi="仿宋" w:eastAsia="仿宋" w:cs="仿宋"/>
          <w:color w:val="000000" w:themeColor="text1"/>
          <w:spacing w:val="100"/>
          <w14:textFill>
            <w14:solidFill>
              <w14:schemeClr w14:val="tx1"/>
            </w14:solidFill>
          </w14:textFill>
        </w:rPr>
        <w:t>章</w:t>
      </w:r>
      <w:r>
        <w:rPr>
          <w:rFonts w:hint="eastAsia" w:ascii="仿宋" w:hAnsi="仿宋" w:eastAsia="仿宋" w:cs="仿宋"/>
          <w:color w:val="000000" w:themeColor="text1"/>
          <w14:textFill>
            <w14:solidFill>
              <w14:schemeClr w14:val="tx1"/>
            </w14:solidFill>
          </w14:textFill>
        </w:rPr>
        <w:t>质疑、投诉材料格式</w:t>
      </w:r>
      <w:bookmarkEnd w:id="271"/>
      <w:bookmarkEnd w:id="272"/>
      <w:bookmarkEnd w:id="273"/>
    </w:p>
    <w:p w14:paraId="7E39E709">
      <w:pPr>
        <w:rPr>
          <w:rFonts w:hint="eastAsia" w:ascii="仿宋" w:hAnsi="仿宋" w:eastAsia="仿宋" w:cs="仿宋"/>
          <w:color w:val="000000" w:themeColor="text1"/>
          <w14:textFill>
            <w14:solidFill>
              <w14:schemeClr w14:val="tx1"/>
            </w14:solidFill>
          </w14:textFill>
        </w:rPr>
        <w:sectPr>
          <w:pgSz w:w="11906" w:h="16838"/>
          <w:pgMar w:top="1134" w:right="1134" w:bottom="1134" w:left="1134" w:header="851" w:footer="992" w:gutter="0"/>
          <w:pgNumType w:fmt="decimal"/>
          <w:cols w:space="425" w:num="1"/>
          <w:docGrid w:type="lines" w:linePitch="312" w:charSpace="0"/>
        </w:sectPr>
      </w:pPr>
    </w:p>
    <w:p w14:paraId="7A6DF970">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质疑函（格式）</w:t>
      </w:r>
    </w:p>
    <w:p w14:paraId="06F4291D">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一、质疑供应商基本信息：</w:t>
      </w:r>
    </w:p>
    <w:p w14:paraId="4B4673A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质疑供应商：____________________________________________________________________________</w:t>
      </w:r>
    </w:p>
    <w:p w14:paraId="44283A0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地址：______________________________________邮编：_______________________________________</w:t>
      </w:r>
    </w:p>
    <w:p w14:paraId="35139C2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联系人：____________________________________联系电话：__________________________________</w:t>
      </w:r>
    </w:p>
    <w:p w14:paraId="602BE7E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授权代表：______________________________________________________________________________</w:t>
      </w:r>
    </w:p>
    <w:p w14:paraId="1EE0956A">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联系电话：______________________________________________________________________________</w:t>
      </w:r>
    </w:p>
    <w:p w14:paraId="1FB74FA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地址：______________________________________邮编：______________________________________</w:t>
      </w:r>
    </w:p>
    <w:p w14:paraId="49841D1F">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二、质疑项目基本情况：</w:t>
      </w:r>
    </w:p>
    <w:p w14:paraId="6633C7C5">
      <w:pPr>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质疑项目的名称：_______________________________________________________________________</w:t>
      </w:r>
    </w:p>
    <w:p w14:paraId="7A00A266">
      <w:pPr>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质疑项目的编号：_______________________________________________________________________</w:t>
      </w:r>
    </w:p>
    <w:p w14:paraId="19D0B2AA">
      <w:pPr>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采购人名称：___________________________________________________________________________</w:t>
      </w:r>
    </w:p>
    <w:p w14:paraId="139BCF4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质疑事项：</w:t>
      </w:r>
    </w:p>
    <w:p w14:paraId="2349559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□采购文件，采购文件获取日期：__________________________________________________________</w:t>
      </w:r>
    </w:p>
    <w:p w14:paraId="4A62C75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□采购过程</w:t>
      </w:r>
    </w:p>
    <w:p w14:paraId="24148C6E">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□成交结果</w:t>
      </w:r>
    </w:p>
    <w:p w14:paraId="36083536">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三、质疑事项具体内容</w:t>
      </w:r>
    </w:p>
    <w:p w14:paraId="01228520">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质疑事项1：____________________________________________________________________________</w:t>
      </w:r>
    </w:p>
    <w:p w14:paraId="394BE1B9">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事实依据：______________________________________________________________________________</w:t>
      </w:r>
    </w:p>
    <w:p w14:paraId="0DBBF5F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法律依据：______________________________________________________________________________</w:t>
      </w:r>
    </w:p>
    <w:p w14:paraId="161EC45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质疑事项2：____________________________________________________________________________</w:t>
      </w:r>
    </w:p>
    <w:p w14:paraId="39E98FE9">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p w14:paraId="6C832AB8">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四、与质疑事项相关的质疑请求：</w:t>
      </w:r>
    </w:p>
    <w:p w14:paraId="791FD18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请求：__________________________________________________________________________________</w:t>
      </w:r>
    </w:p>
    <w:p w14:paraId="5B1E4B6F">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签字（签章）：____________________________________公章：___________________________________</w:t>
      </w:r>
    </w:p>
    <w:p w14:paraId="1E68CBE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日期：年月日</w:t>
      </w:r>
    </w:p>
    <w:p w14:paraId="24611BFA">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说明：</w:t>
      </w:r>
    </w:p>
    <w:p w14:paraId="35DFDBA5">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1.供应商提出质疑时，应提交质疑函和必要的证明材料。</w:t>
      </w:r>
    </w:p>
    <w:p w14:paraId="01166322">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A93BA6F">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3.质疑函的质疑事项应具体、明确，并有必要的事实依据和法律依据。</w:t>
      </w:r>
    </w:p>
    <w:p w14:paraId="54D31320">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4.质疑函的质疑请求应与质疑事项相关。</w:t>
      </w:r>
    </w:p>
    <w:p w14:paraId="18A7AD05">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5.质疑供应商为法人或者其他组织的，质疑函应由法定代表人、主要负责人，或者其授权代表签字或者盖章，并加盖公章。</w:t>
      </w:r>
    </w:p>
    <w:p w14:paraId="2A04F052">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sectPr>
          <w:pgSz w:w="11906" w:h="16838"/>
          <w:pgMar w:top="1134" w:right="1134" w:bottom="1134" w:left="1134" w:header="851" w:footer="992" w:gutter="0"/>
          <w:pgNumType w:fmt="decimal"/>
          <w:cols w:space="425" w:num="1"/>
          <w:docGrid w:type="lines" w:linePitch="312" w:charSpace="0"/>
        </w:sectPr>
      </w:pPr>
    </w:p>
    <w:p w14:paraId="0A84C7BD">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投诉书（格式）</w:t>
      </w:r>
    </w:p>
    <w:p w14:paraId="5A87607C">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一、投诉相关主体基本情况：</w:t>
      </w:r>
    </w:p>
    <w:p w14:paraId="5F9DBC4D">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供应商：______________________________________________________________________________</w:t>
      </w:r>
    </w:p>
    <w:p w14:paraId="1C9956E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地址：_____________________________________邮编：______________________________________</w:t>
      </w:r>
    </w:p>
    <w:p w14:paraId="16B3308A">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法定代表人/主要负责人：_______________________________________________________________</w:t>
      </w:r>
    </w:p>
    <w:p w14:paraId="43E17F1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联系电话：____________________________________________________________________________</w:t>
      </w:r>
    </w:p>
    <w:p w14:paraId="10D75274">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授权代表：_________________________________联系电话：__________________________________</w:t>
      </w:r>
    </w:p>
    <w:p w14:paraId="06105B9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地址：________________________________________________________________________________</w:t>
      </w:r>
    </w:p>
    <w:p w14:paraId="3FEA0E5B">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邮编：________________________________________________________________________________</w:t>
      </w:r>
    </w:p>
    <w:p w14:paraId="3B9E7191">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被投诉人1：__________________________________________________________________________</w:t>
      </w:r>
    </w:p>
    <w:p w14:paraId="3FB41AA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地址：________________________________________________________________________________</w:t>
      </w:r>
    </w:p>
    <w:p w14:paraId="796C6B3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邮编：________________________________________________________________________________</w:t>
      </w:r>
    </w:p>
    <w:p w14:paraId="198EDB89">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联系人：__________________________________联系电话：___________________________________</w:t>
      </w:r>
    </w:p>
    <w:p w14:paraId="55ADEF01">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被投诉人2：__________________________________________________________________________</w:t>
      </w:r>
    </w:p>
    <w:p w14:paraId="3CD8B3E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p w14:paraId="1D55EE49">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相关供应商：__________________________________________________________________________</w:t>
      </w:r>
    </w:p>
    <w:p w14:paraId="2C7311D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地址：_____________________________________邮编：______________________________________</w:t>
      </w:r>
    </w:p>
    <w:p w14:paraId="5EF4B08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联系人：__________________________________联系电话：___________________________________</w:t>
      </w:r>
    </w:p>
    <w:p w14:paraId="38F9298A">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二、投诉项目基本情况：</w:t>
      </w:r>
    </w:p>
    <w:p w14:paraId="6E7F6A31">
      <w:pPr>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采购项目的名称：____________________________________________________________________</w:t>
      </w:r>
    </w:p>
    <w:p w14:paraId="5BCFE41E">
      <w:pPr>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采购项目的编号：____________________________________________________________________</w:t>
      </w:r>
    </w:p>
    <w:p w14:paraId="49B79F04">
      <w:pPr>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采购人名称：________________________________________________________________________</w:t>
      </w:r>
    </w:p>
    <w:p w14:paraId="7EF0A1E0">
      <w:pPr>
        <w:spacing w:line="360" w:lineRule="auto"/>
        <w:ind w:firstLine="420" w:firstLineChars="200"/>
        <w:rPr>
          <w:rFonts w:hint="eastAsia"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代理机构名称：______________________________________________________________________</w:t>
      </w:r>
    </w:p>
    <w:p w14:paraId="76E9959A">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招标文件公告：</w:t>
      </w:r>
      <w:r>
        <w:rPr>
          <w:rFonts w:hint="eastAsia" w:ascii="仿宋" w:hAnsi="仿宋" w:eastAsia="仿宋" w:cs="仿宋"/>
          <w:color w:val="000000" w:themeColor="text1"/>
          <w:szCs w:val="21"/>
          <w:u w:val="single"/>
          <w14:textFill>
            <w14:solidFill>
              <w14:schemeClr w14:val="tx1"/>
            </w14:solidFill>
          </w14:textFill>
        </w:rPr>
        <w:t>是/否</w:t>
      </w:r>
      <w:r>
        <w:rPr>
          <w:rFonts w:hint="eastAsia" w:ascii="仿宋" w:hAnsi="仿宋" w:eastAsia="仿宋" w:cs="仿宋"/>
          <w:color w:val="000000" w:themeColor="text1"/>
          <w:szCs w:val="21"/>
          <w14:textFill>
            <w14:solidFill>
              <w14:schemeClr w14:val="tx1"/>
            </w14:solidFill>
          </w14:textFill>
        </w:rPr>
        <w:t>公告期限：__________________________________________________________</w:t>
      </w:r>
    </w:p>
    <w:p w14:paraId="46598E1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采购结果公告：是/否公告期限：__________________________________________________________</w:t>
      </w:r>
    </w:p>
    <w:p w14:paraId="4E99DBA6">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三、质疑基本情况</w:t>
      </w:r>
    </w:p>
    <w:p w14:paraId="599B494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投诉人于______年______月______日，向______提出质疑，质疑事项为：_______________________</w:t>
      </w:r>
    </w:p>
    <w:p w14:paraId="5A631FC1">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u w:val="single"/>
          <w14:textFill>
            <w14:solidFill>
              <w14:schemeClr w14:val="tx1"/>
            </w14:solidFill>
          </w14:textFill>
        </w:rPr>
        <w:t>采购人/代理机构</w:t>
      </w:r>
      <w:r>
        <w:rPr>
          <w:rFonts w:hint="eastAsia" w:ascii="仿宋" w:hAnsi="仿宋" w:eastAsia="仿宋" w:cs="仿宋"/>
          <w:color w:val="000000" w:themeColor="text1"/>
          <w:szCs w:val="21"/>
          <w14:textFill>
            <w14:solidFill>
              <w14:schemeClr w14:val="tx1"/>
            </w14:solidFill>
          </w14:textFill>
        </w:rPr>
        <w:t>于______年______月______日，就质疑事项作出了答复/没有在法定期限内作出答复。</w:t>
      </w:r>
    </w:p>
    <w:p w14:paraId="3B6C92AE">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四、投诉事项具体内容</w:t>
      </w:r>
    </w:p>
    <w:p w14:paraId="4F92F08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投诉事项1：__________________________________________________________________________</w:t>
      </w:r>
    </w:p>
    <w:p w14:paraId="58C0A3D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事实依据：____________________________________________________________________________</w:t>
      </w:r>
    </w:p>
    <w:p w14:paraId="53EFAE3B">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法律依据：____________________________________________________________________________</w:t>
      </w:r>
    </w:p>
    <w:p w14:paraId="314F3D9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投诉事项2：__________________________________________________________________________</w:t>
      </w:r>
    </w:p>
    <w:p w14:paraId="2B27970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p w14:paraId="2F1EACC1">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五、与投诉事项相关的投诉请求：</w:t>
      </w:r>
    </w:p>
    <w:p w14:paraId="439E88C1">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请求：________________________________________________________________________________</w:t>
      </w:r>
    </w:p>
    <w:p w14:paraId="0A61A583">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6ADDA65">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签字（签章）：___________________________________公章：__________________________________</w:t>
      </w:r>
    </w:p>
    <w:p w14:paraId="46B2584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1C60B2D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日期：______年______月______日</w:t>
      </w:r>
    </w:p>
    <w:p w14:paraId="724D2F5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7ED4447C">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0D0648E3">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说明：</w:t>
      </w:r>
    </w:p>
    <w:p w14:paraId="31744955">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1.投诉人提起投诉时，应当提交投诉书和必要的证明材料，并按照被投诉人和与投诉事项有关的供应商数量提供投诉书副本。</w:t>
      </w:r>
    </w:p>
    <w:p w14:paraId="2DDBE15B">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AE559DB">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3.投诉书应简要列明质疑事项，质疑函、质疑答复等作为附件材料提供。</w:t>
      </w:r>
    </w:p>
    <w:p w14:paraId="74E57626">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4.投诉书的投诉事项应具体、明确，并有必要的事实依据和法律依据。</w:t>
      </w:r>
    </w:p>
    <w:p w14:paraId="2CC0A86B">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5.投诉书的投诉请求应与投诉事项相关。</w:t>
      </w:r>
    </w:p>
    <w:p w14:paraId="55423468">
      <w:pPr>
        <w:spacing w:line="360" w:lineRule="auto"/>
        <w:ind w:firstLine="422"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6.投诉人为法人或者其他组织的，投诉书应由法定代表人、主要负责人，或者其授权代表签字或者盖章，并加盖公章。</w:t>
      </w:r>
    </w:p>
    <w:sectPr>
      <w:pgSz w:w="11906" w:h="16838"/>
      <w:pgMar w:top="1440" w:right="1134"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B1025">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A58D">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C2058">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6C2058">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FD"/>
    <w:rsid w:val="00014991"/>
    <w:rsid w:val="00053167"/>
    <w:rsid w:val="0007465F"/>
    <w:rsid w:val="000B4F94"/>
    <w:rsid w:val="000B52E5"/>
    <w:rsid w:val="000C028D"/>
    <w:rsid w:val="000F55F3"/>
    <w:rsid w:val="000F5E82"/>
    <w:rsid w:val="001044C5"/>
    <w:rsid w:val="00117CED"/>
    <w:rsid w:val="00124303"/>
    <w:rsid w:val="001260CA"/>
    <w:rsid w:val="0013277D"/>
    <w:rsid w:val="001879AF"/>
    <w:rsid w:val="001B456B"/>
    <w:rsid w:val="001C72F2"/>
    <w:rsid w:val="001D02C4"/>
    <w:rsid w:val="001D1A46"/>
    <w:rsid w:val="001D43D6"/>
    <w:rsid w:val="00200859"/>
    <w:rsid w:val="00207D8B"/>
    <w:rsid w:val="00212060"/>
    <w:rsid w:val="00214DE4"/>
    <w:rsid w:val="00215A39"/>
    <w:rsid w:val="0022474A"/>
    <w:rsid w:val="002808E5"/>
    <w:rsid w:val="0028214E"/>
    <w:rsid w:val="002821FD"/>
    <w:rsid w:val="00283FCD"/>
    <w:rsid w:val="002B2CC4"/>
    <w:rsid w:val="002B3377"/>
    <w:rsid w:val="002C67F5"/>
    <w:rsid w:val="002D7329"/>
    <w:rsid w:val="002F3AC1"/>
    <w:rsid w:val="003003D9"/>
    <w:rsid w:val="00314AF3"/>
    <w:rsid w:val="00340BDD"/>
    <w:rsid w:val="0034238B"/>
    <w:rsid w:val="00381425"/>
    <w:rsid w:val="003924AF"/>
    <w:rsid w:val="003D6772"/>
    <w:rsid w:val="003E40C5"/>
    <w:rsid w:val="003F78A8"/>
    <w:rsid w:val="004A0ED2"/>
    <w:rsid w:val="004B2B39"/>
    <w:rsid w:val="00506488"/>
    <w:rsid w:val="0052116B"/>
    <w:rsid w:val="00535903"/>
    <w:rsid w:val="005410A4"/>
    <w:rsid w:val="00541530"/>
    <w:rsid w:val="00553C74"/>
    <w:rsid w:val="00560742"/>
    <w:rsid w:val="00563746"/>
    <w:rsid w:val="005774BB"/>
    <w:rsid w:val="00577CFF"/>
    <w:rsid w:val="0058403E"/>
    <w:rsid w:val="00586534"/>
    <w:rsid w:val="005B2818"/>
    <w:rsid w:val="005C0B01"/>
    <w:rsid w:val="005D6040"/>
    <w:rsid w:val="005D74A8"/>
    <w:rsid w:val="005E3110"/>
    <w:rsid w:val="005E558F"/>
    <w:rsid w:val="005F2705"/>
    <w:rsid w:val="00601EEE"/>
    <w:rsid w:val="00602913"/>
    <w:rsid w:val="0060633D"/>
    <w:rsid w:val="00606781"/>
    <w:rsid w:val="0063313F"/>
    <w:rsid w:val="00650DE7"/>
    <w:rsid w:val="00657E70"/>
    <w:rsid w:val="00673B89"/>
    <w:rsid w:val="006820B6"/>
    <w:rsid w:val="006C3CDD"/>
    <w:rsid w:val="006D55AF"/>
    <w:rsid w:val="006E22C1"/>
    <w:rsid w:val="006E2BA3"/>
    <w:rsid w:val="006F5B66"/>
    <w:rsid w:val="00745184"/>
    <w:rsid w:val="0075021F"/>
    <w:rsid w:val="0077071F"/>
    <w:rsid w:val="007739CE"/>
    <w:rsid w:val="00787EAD"/>
    <w:rsid w:val="00790033"/>
    <w:rsid w:val="007B0860"/>
    <w:rsid w:val="007C2339"/>
    <w:rsid w:val="007D4D35"/>
    <w:rsid w:val="007E64B1"/>
    <w:rsid w:val="007F3E3B"/>
    <w:rsid w:val="0081326E"/>
    <w:rsid w:val="008517F4"/>
    <w:rsid w:val="00852539"/>
    <w:rsid w:val="008870C1"/>
    <w:rsid w:val="008929A2"/>
    <w:rsid w:val="008B2F08"/>
    <w:rsid w:val="008C0B98"/>
    <w:rsid w:val="008D563E"/>
    <w:rsid w:val="008E78C2"/>
    <w:rsid w:val="0090152E"/>
    <w:rsid w:val="009067FF"/>
    <w:rsid w:val="00923C05"/>
    <w:rsid w:val="00933E72"/>
    <w:rsid w:val="009440A0"/>
    <w:rsid w:val="009941FA"/>
    <w:rsid w:val="00996D73"/>
    <w:rsid w:val="009B0E2B"/>
    <w:rsid w:val="009C010D"/>
    <w:rsid w:val="009C24A7"/>
    <w:rsid w:val="009C33B6"/>
    <w:rsid w:val="009D0CF0"/>
    <w:rsid w:val="009E0A39"/>
    <w:rsid w:val="00A13B45"/>
    <w:rsid w:val="00A1417D"/>
    <w:rsid w:val="00A30C06"/>
    <w:rsid w:val="00A4327E"/>
    <w:rsid w:val="00A518FB"/>
    <w:rsid w:val="00A56DB7"/>
    <w:rsid w:val="00A73344"/>
    <w:rsid w:val="00A82D1B"/>
    <w:rsid w:val="00A86697"/>
    <w:rsid w:val="00AA291C"/>
    <w:rsid w:val="00AB29D6"/>
    <w:rsid w:val="00AE7758"/>
    <w:rsid w:val="00AF704C"/>
    <w:rsid w:val="00B61F18"/>
    <w:rsid w:val="00B93197"/>
    <w:rsid w:val="00B9338B"/>
    <w:rsid w:val="00BE4876"/>
    <w:rsid w:val="00C04F98"/>
    <w:rsid w:val="00C42D12"/>
    <w:rsid w:val="00C52202"/>
    <w:rsid w:val="00C82AF1"/>
    <w:rsid w:val="00CA05C7"/>
    <w:rsid w:val="00CA1022"/>
    <w:rsid w:val="00CB1D9D"/>
    <w:rsid w:val="00CF584B"/>
    <w:rsid w:val="00D0697C"/>
    <w:rsid w:val="00D10580"/>
    <w:rsid w:val="00D2248A"/>
    <w:rsid w:val="00D66D04"/>
    <w:rsid w:val="00D86543"/>
    <w:rsid w:val="00DA1C7D"/>
    <w:rsid w:val="00DD0DA0"/>
    <w:rsid w:val="00DD4AE5"/>
    <w:rsid w:val="00E0493E"/>
    <w:rsid w:val="00E1714B"/>
    <w:rsid w:val="00E362F1"/>
    <w:rsid w:val="00E430AE"/>
    <w:rsid w:val="00E465FB"/>
    <w:rsid w:val="00E50817"/>
    <w:rsid w:val="00E61CDE"/>
    <w:rsid w:val="00E72F20"/>
    <w:rsid w:val="00E94A77"/>
    <w:rsid w:val="00EA1933"/>
    <w:rsid w:val="00EA7CED"/>
    <w:rsid w:val="00EB271D"/>
    <w:rsid w:val="00EC00D0"/>
    <w:rsid w:val="00EC0898"/>
    <w:rsid w:val="00EE2027"/>
    <w:rsid w:val="00EE7EF4"/>
    <w:rsid w:val="00F03B7F"/>
    <w:rsid w:val="00F338D8"/>
    <w:rsid w:val="00F40AE3"/>
    <w:rsid w:val="00F52E3B"/>
    <w:rsid w:val="00F57C11"/>
    <w:rsid w:val="00F70FE9"/>
    <w:rsid w:val="00F92DA3"/>
    <w:rsid w:val="00F9701F"/>
    <w:rsid w:val="00FA7F41"/>
    <w:rsid w:val="00FB0332"/>
    <w:rsid w:val="00FD2592"/>
    <w:rsid w:val="00FE461D"/>
    <w:rsid w:val="00FE63C8"/>
    <w:rsid w:val="00FF63B1"/>
    <w:rsid w:val="00FF799C"/>
    <w:rsid w:val="0A3232CB"/>
    <w:rsid w:val="0B574F40"/>
    <w:rsid w:val="0D0551D2"/>
    <w:rsid w:val="0EE34D83"/>
    <w:rsid w:val="10EF2478"/>
    <w:rsid w:val="1192401D"/>
    <w:rsid w:val="1250459A"/>
    <w:rsid w:val="1FBA1068"/>
    <w:rsid w:val="22317346"/>
    <w:rsid w:val="24D574D2"/>
    <w:rsid w:val="34FA3BF3"/>
    <w:rsid w:val="37EE37B7"/>
    <w:rsid w:val="3ADA33E5"/>
    <w:rsid w:val="3CB5681D"/>
    <w:rsid w:val="3E2C3F31"/>
    <w:rsid w:val="422A6DE4"/>
    <w:rsid w:val="462C5FFD"/>
    <w:rsid w:val="48CB5DB2"/>
    <w:rsid w:val="4CFF3A27"/>
    <w:rsid w:val="50424731"/>
    <w:rsid w:val="511C335D"/>
    <w:rsid w:val="530B67BD"/>
    <w:rsid w:val="545507D9"/>
    <w:rsid w:val="58F5082B"/>
    <w:rsid w:val="5F722283"/>
    <w:rsid w:val="6192339E"/>
    <w:rsid w:val="61B34FA6"/>
    <w:rsid w:val="623247BD"/>
    <w:rsid w:val="655B02DF"/>
    <w:rsid w:val="6570745F"/>
    <w:rsid w:val="69D43071"/>
    <w:rsid w:val="6EEA7083"/>
    <w:rsid w:val="7454320D"/>
    <w:rsid w:val="754A26A0"/>
    <w:rsid w:val="7B364826"/>
    <w:rsid w:val="7CE56AB5"/>
    <w:rsid w:val="7D232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5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2"/>
    <w:qFormat/>
    <w:uiPriority w:val="99"/>
    <w:pPr>
      <w:keepNext/>
      <w:keepLines/>
      <w:spacing w:line="360" w:lineRule="auto"/>
      <w:outlineLvl w:val="3"/>
    </w:pPr>
    <w:rPr>
      <w:rFonts w:ascii="Arial" w:hAnsi="Arial" w:eastAsia="宋体" w:cs="Times New Roman"/>
      <w:b/>
      <w:bCs/>
      <w:sz w:val="28"/>
      <w:szCs w:val="28"/>
    </w:rPr>
  </w:style>
  <w:style w:type="paragraph" w:styleId="6">
    <w:name w:val="heading 5"/>
    <w:basedOn w:val="1"/>
    <w:next w:val="1"/>
    <w:link w:val="53"/>
    <w:qFormat/>
    <w:uiPriority w:val="99"/>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54"/>
    <w:qFormat/>
    <w:uiPriority w:val="9"/>
    <w:pPr>
      <w:keepNext/>
      <w:keepLines/>
      <w:spacing w:before="240" w:after="64" w:line="317" w:lineRule="auto"/>
      <w:outlineLvl w:val="5"/>
    </w:pPr>
    <w:rPr>
      <w:rFonts w:ascii="Cambria" w:hAnsi="Cambria" w:eastAsia="宋体" w:cs="Times New Roman"/>
      <w:b/>
      <w:bCs/>
      <w:kern w:val="0"/>
      <w:sz w:val="24"/>
      <w:szCs w:val="24"/>
    </w:rPr>
  </w:style>
  <w:style w:type="paragraph" w:styleId="8">
    <w:name w:val="heading 7"/>
    <w:basedOn w:val="1"/>
    <w:next w:val="1"/>
    <w:link w:val="55"/>
    <w:qFormat/>
    <w:uiPriority w:val="9"/>
    <w:pPr>
      <w:keepNext/>
      <w:keepLines/>
      <w:spacing w:before="240" w:after="64" w:line="317" w:lineRule="auto"/>
      <w:outlineLvl w:val="6"/>
    </w:pPr>
    <w:rPr>
      <w:rFonts w:ascii="Calibri" w:hAnsi="Calibri" w:eastAsia="宋体" w:cs="Times New Roman"/>
      <w:b/>
      <w:bCs/>
      <w:kern w:val="0"/>
      <w:sz w:val="24"/>
      <w:szCs w:val="24"/>
    </w:rPr>
  </w:style>
  <w:style w:type="paragraph" w:styleId="9">
    <w:name w:val="heading 8"/>
    <w:basedOn w:val="1"/>
    <w:next w:val="1"/>
    <w:link w:val="56"/>
    <w:qFormat/>
    <w:uiPriority w:val="9"/>
    <w:pPr>
      <w:keepNext/>
      <w:keepLines/>
      <w:spacing w:before="240" w:after="64" w:line="317" w:lineRule="auto"/>
      <w:outlineLvl w:val="7"/>
    </w:pPr>
    <w:rPr>
      <w:rFonts w:ascii="Cambria" w:hAnsi="Cambria" w:eastAsia="宋体" w:cs="Times New Roman"/>
      <w:kern w:val="0"/>
      <w:sz w:val="24"/>
      <w:szCs w:val="24"/>
    </w:rPr>
  </w:style>
  <w:style w:type="paragraph" w:styleId="10">
    <w:name w:val="heading 9"/>
    <w:basedOn w:val="1"/>
    <w:next w:val="1"/>
    <w:link w:val="57"/>
    <w:qFormat/>
    <w:uiPriority w:val="9"/>
    <w:pPr>
      <w:keepNext/>
      <w:keepLines/>
      <w:spacing w:before="240" w:after="64" w:line="317" w:lineRule="auto"/>
      <w:outlineLvl w:val="8"/>
    </w:pPr>
    <w:rPr>
      <w:rFonts w:ascii="Cambria" w:hAnsi="Cambria" w:eastAsia="宋体" w:cs="Times New Roman"/>
      <w:kern w:val="0"/>
      <w:sz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eastAsia="宋体" w:cs="Calibri"/>
    </w:rPr>
  </w:style>
  <w:style w:type="paragraph" w:styleId="12">
    <w:name w:val="index 8"/>
    <w:basedOn w:val="1"/>
    <w:next w:val="1"/>
    <w:unhideWhenUsed/>
    <w:qFormat/>
    <w:uiPriority w:val="0"/>
    <w:pPr>
      <w:ind w:left="2940"/>
    </w:pPr>
  </w:style>
  <w:style w:type="paragraph" w:styleId="13">
    <w:name w:val="Normal Indent"/>
    <w:basedOn w:val="1"/>
    <w:qFormat/>
    <w:uiPriority w:val="99"/>
    <w:pPr>
      <w:widowControl/>
      <w:ind w:firstLine="420"/>
      <w:jc w:val="left"/>
    </w:pPr>
    <w:rPr>
      <w:rFonts w:ascii="Calibri" w:hAnsi="Calibri" w:eastAsia="宋体" w:cs="Times New Roman"/>
      <w:sz w:val="20"/>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67"/>
    <w:semiHidden/>
    <w:qFormat/>
    <w:uiPriority w:val="99"/>
    <w:pPr>
      <w:shd w:val="clear" w:color="auto" w:fill="000080"/>
    </w:pPr>
    <w:rPr>
      <w:sz w:val="24"/>
      <w:szCs w:val="24"/>
      <w:shd w:val="clear" w:color="auto" w:fill="000080"/>
    </w:rPr>
  </w:style>
  <w:style w:type="paragraph" w:styleId="16">
    <w:name w:val="annotation text"/>
    <w:basedOn w:val="1"/>
    <w:link w:val="59"/>
    <w:unhideWhenUsed/>
    <w:qFormat/>
    <w:uiPriority w:val="99"/>
    <w:pPr>
      <w:jc w:val="left"/>
    </w:pPr>
  </w:style>
  <w:style w:type="paragraph" w:styleId="17">
    <w:name w:val="Body Text"/>
    <w:basedOn w:val="1"/>
    <w:link w:val="93"/>
    <w:qFormat/>
    <w:uiPriority w:val="99"/>
    <w:pPr>
      <w:adjustRightInd w:val="0"/>
      <w:spacing w:after="60" w:line="360" w:lineRule="atLeast"/>
      <w:ind w:left="72" w:leftChars="30" w:right="30" w:rightChars="30"/>
      <w:jc w:val="center"/>
      <w:textAlignment w:val="baseline"/>
    </w:pPr>
    <w:rPr>
      <w:rFonts w:eastAsia="宋体"/>
      <w:sz w:val="22"/>
    </w:rPr>
  </w:style>
  <w:style w:type="paragraph" w:styleId="18">
    <w:name w:val="Body Text Indent"/>
    <w:basedOn w:val="1"/>
    <w:link w:val="129"/>
    <w:qFormat/>
    <w:uiPriority w:val="99"/>
    <w:pPr>
      <w:spacing w:before="240" w:line="360" w:lineRule="auto"/>
      <w:ind w:firstLine="552" w:firstLineChars="263"/>
    </w:pPr>
    <w:rPr>
      <w:rFonts w:ascii="宋体" w:eastAsia="宋体" w:cs="宋体"/>
      <w:szCs w:val="21"/>
    </w:rPr>
  </w:style>
  <w:style w:type="paragraph" w:styleId="19">
    <w:name w:val="index 4"/>
    <w:basedOn w:val="1"/>
    <w:next w:val="1"/>
    <w:semiHidden/>
    <w:qFormat/>
    <w:uiPriority w:val="99"/>
    <w:pPr>
      <w:ind w:left="600" w:leftChars="600"/>
    </w:pPr>
    <w:rPr>
      <w:rFonts w:ascii="Calibri" w:hAnsi="Calibri" w:eastAsia="宋体" w:cs="Times New Roman"/>
    </w:rPr>
  </w:style>
  <w:style w:type="paragraph" w:styleId="20">
    <w:name w:val="toc 5"/>
    <w:basedOn w:val="1"/>
    <w:next w:val="1"/>
    <w:qFormat/>
    <w:uiPriority w:val="39"/>
    <w:pPr>
      <w:ind w:left="1680" w:leftChars="800"/>
    </w:pPr>
    <w:rPr>
      <w:rFonts w:ascii="Calibri" w:hAnsi="Calibri" w:eastAsia="宋体" w:cs="Calibri"/>
    </w:rPr>
  </w:style>
  <w:style w:type="paragraph" w:styleId="21">
    <w:name w:val="toc 3"/>
    <w:basedOn w:val="1"/>
    <w:next w:val="1"/>
    <w:autoRedefine/>
    <w:unhideWhenUsed/>
    <w:qFormat/>
    <w:uiPriority w:val="39"/>
    <w:pPr>
      <w:ind w:left="840" w:leftChars="400"/>
    </w:pPr>
  </w:style>
  <w:style w:type="paragraph" w:styleId="22">
    <w:name w:val="Plain Text"/>
    <w:basedOn w:val="1"/>
    <w:next w:val="12"/>
    <w:link w:val="120"/>
    <w:qFormat/>
    <w:uiPriority w:val="0"/>
    <w:rPr>
      <w:rFonts w:ascii="宋体" w:hAnsi="Courier New" w:eastAsia="宋体" w:cs="宋体"/>
      <w:sz w:val="24"/>
      <w:szCs w:val="24"/>
    </w:rPr>
  </w:style>
  <w:style w:type="paragraph" w:styleId="23">
    <w:name w:val="toc 8"/>
    <w:basedOn w:val="1"/>
    <w:next w:val="1"/>
    <w:qFormat/>
    <w:uiPriority w:val="39"/>
    <w:pPr>
      <w:ind w:left="2940" w:leftChars="1400"/>
    </w:pPr>
    <w:rPr>
      <w:rFonts w:ascii="Calibri" w:hAnsi="Calibri" w:eastAsia="宋体" w:cs="Calibri"/>
    </w:rPr>
  </w:style>
  <w:style w:type="paragraph" w:styleId="24">
    <w:name w:val="Date"/>
    <w:basedOn w:val="1"/>
    <w:next w:val="1"/>
    <w:link w:val="133"/>
    <w:qFormat/>
    <w:uiPriority w:val="99"/>
    <w:pPr>
      <w:ind w:left="100" w:leftChars="2500"/>
    </w:pPr>
    <w:rPr>
      <w:sz w:val="24"/>
      <w:szCs w:val="24"/>
    </w:rPr>
  </w:style>
  <w:style w:type="paragraph" w:styleId="25">
    <w:name w:val="Body Text Indent 2"/>
    <w:basedOn w:val="1"/>
    <w:link w:val="125"/>
    <w:qFormat/>
    <w:uiPriority w:val="99"/>
    <w:pPr>
      <w:spacing w:after="120" w:line="480" w:lineRule="auto"/>
      <w:ind w:left="420" w:leftChars="200"/>
    </w:pPr>
    <w:rPr>
      <w:sz w:val="24"/>
      <w:szCs w:val="24"/>
    </w:rPr>
  </w:style>
  <w:style w:type="paragraph" w:styleId="26">
    <w:name w:val="Balloon Text"/>
    <w:basedOn w:val="1"/>
    <w:link w:val="61"/>
    <w:semiHidden/>
    <w:unhideWhenUsed/>
    <w:qFormat/>
    <w:uiPriority w:val="99"/>
    <w:rPr>
      <w:sz w:val="18"/>
      <w:szCs w:val="18"/>
    </w:rPr>
  </w:style>
  <w:style w:type="paragraph" w:styleId="27">
    <w:name w:val="footer"/>
    <w:basedOn w:val="1"/>
    <w:link w:val="49"/>
    <w:unhideWhenUsed/>
    <w:qFormat/>
    <w:uiPriority w:val="99"/>
    <w:pPr>
      <w:tabs>
        <w:tab w:val="center" w:pos="4153"/>
        <w:tab w:val="right" w:pos="8306"/>
      </w:tabs>
      <w:snapToGrid w:val="0"/>
      <w:jc w:val="left"/>
    </w:pPr>
    <w:rPr>
      <w:sz w:val="18"/>
      <w:szCs w:val="18"/>
    </w:rPr>
  </w:style>
  <w:style w:type="paragraph" w:styleId="28">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unhideWhenUsed/>
    <w:qFormat/>
    <w:uiPriority w:val="39"/>
  </w:style>
  <w:style w:type="paragraph" w:styleId="30">
    <w:name w:val="toc 4"/>
    <w:basedOn w:val="1"/>
    <w:next w:val="1"/>
    <w:qFormat/>
    <w:uiPriority w:val="39"/>
    <w:pPr>
      <w:ind w:left="1260" w:leftChars="600"/>
    </w:pPr>
    <w:rPr>
      <w:rFonts w:ascii="Calibri" w:hAnsi="Calibri" w:eastAsia="宋体" w:cs="Calibri"/>
    </w:rPr>
  </w:style>
  <w:style w:type="paragraph" w:styleId="31">
    <w:name w:val="Subtitle"/>
    <w:basedOn w:val="1"/>
    <w:next w:val="1"/>
    <w:link w:val="97"/>
    <w:qFormat/>
    <w:uiPriority w:val="11"/>
    <w:pPr>
      <w:spacing w:before="240" w:after="60" w:line="312" w:lineRule="auto"/>
      <w:jc w:val="center"/>
      <w:outlineLvl w:val="1"/>
    </w:pPr>
    <w:rPr>
      <w:rFonts w:ascii="Cambria" w:hAnsi="Cambria" w:cs="Times New Roman"/>
      <w:b/>
      <w:bCs/>
      <w:kern w:val="28"/>
      <w:sz w:val="32"/>
      <w:szCs w:val="32"/>
    </w:rPr>
  </w:style>
  <w:style w:type="paragraph" w:styleId="32">
    <w:name w:val="footnote text"/>
    <w:basedOn w:val="1"/>
    <w:link w:val="123"/>
    <w:semiHidden/>
    <w:qFormat/>
    <w:uiPriority w:val="99"/>
    <w:pPr>
      <w:adjustRightInd w:val="0"/>
      <w:spacing w:line="312" w:lineRule="atLeast"/>
      <w:jc w:val="left"/>
      <w:textAlignment w:val="baseline"/>
    </w:pPr>
    <w:rPr>
      <w:sz w:val="18"/>
      <w:szCs w:val="18"/>
    </w:rPr>
  </w:style>
  <w:style w:type="paragraph" w:styleId="33">
    <w:name w:val="toc 6"/>
    <w:basedOn w:val="1"/>
    <w:next w:val="1"/>
    <w:qFormat/>
    <w:uiPriority w:val="39"/>
    <w:pPr>
      <w:ind w:left="2100" w:leftChars="1000"/>
    </w:pPr>
    <w:rPr>
      <w:rFonts w:ascii="Calibri" w:hAnsi="Calibri" w:eastAsia="宋体" w:cs="Calibri"/>
    </w:rPr>
  </w:style>
  <w:style w:type="paragraph" w:styleId="34">
    <w:name w:val="toc 2"/>
    <w:basedOn w:val="1"/>
    <w:next w:val="1"/>
    <w:autoRedefine/>
    <w:unhideWhenUsed/>
    <w:qFormat/>
    <w:uiPriority w:val="39"/>
    <w:pPr>
      <w:ind w:left="420" w:leftChars="200"/>
    </w:pPr>
  </w:style>
  <w:style w:type="paragraph" w:styleId="35">
    <w:name w:val="toc 9"/>
    <w:basedOn w:val="1"/>
    <w:next w:val="1"/>
    <w:qFormat/>
    <w:uiPriority w:val="39"/>
    <w:pPr>
      <w:ind w:left="3360" w:leftChars="1600"/>
    </w:pPr>
    <w:rPr>
      <w:rFonts w:ascii="Calibri" w:hAnsi="Calibri" w:eastAsia="宋体" w:cs="Calibri"/>
    </w:rPr>
  </w:style>
  <w:style w:type="paragraph" w:styleId="3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7">
    <w:name w:val="Title"/>
    <w:basedOn w:val="1"/>
    <w:next w:val="1"/>
    <w:link w:val="79"/>
    <w:qFormat/>
    <w:uiPriority w:val="99"/>
    <w:pPr>
      <w:spacing w:before="240" w:after="60"/>
      <w:jc w:val="center"/>
      <w:outlineLvl w:val="0"/>
    </w:pPr>
    <w:rPr>
      <w:rFonts w:ascii="Cambria" w:hAnsi="Cambria" w:cs="Cambria"/>
      <w:b/>
      <w:bCs/>
      <w:sz w:val="32"/>
      <w:szCs w:val="32"/>
    </w:rPr>
  </w:style>
  <w:style w:type="paragraph" w:styleId="38">
    <w:name w:val="annotation subject"/>
    <w:basedOn w:val="16"/>
    <w:next w:val="16"/>
    <w:link w:val="60"/>
    <w:semiHidden/>
    <w:unhideWhenUsed/>
    <w:qFormat/>
    <w:uiPriority w:val="99"/>
    <w:rPr>
      <w:b/>
      <w:bCs/>
    </w:rPr>
  </w:style>
  <w:style w:type="table" w:styleId="40">
    <w:name w:val="Table Grid"/>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22"/>
    <w:rPr>
      <w:b/>
      <w:bCs/>
    </w:rPr>
  </w:style>
  <w:style w:type="character" w:styleId="43">
    <w:name w:val="page number"/>
    <w:basedOn w:val="41"/>
    <w:qFormat/>
    <w:uiPriority w:val="99"/>
  </w:style>
  <w:style w:type="character" w:styleId="44">
    <w:name w:val="FollowedHyperlink"/>
    <w:qFormat/>
    <w:uiPriority w:val="99"/>
    <w:rPr>
      <w:color w:val="800080"/>
      <w:u w:val="single"/>
    </w:rPr>
  </w:style>
  <w:style w:type="character" w:styleId="45">
    <w:name w:val="Emphasis"/>
    <w:qFormat/>
    <w:uiPriority w:val="99"/>
    <w:rPr>
      <w:i/>
      <w:iCs/>
    </w:rPr>
  </w:style>
  <w:style w:type="character" w:styleId="46">
    <w:name w:val="Hyperlink"/>
    <w:basedOn w:val="41"/>
    <w:unhideWhenUsed/>
    <w:qFormat/>
    <w:uiPriority w:val="99"/>
    <w:rPr>
      <w:color w:val="0563C1" w:themeColor="hyperlink"/>
      <w:u w:val="single"/>
      <w14:textFill>
        <w14:solidFill>
          <w14:schemeClr w14:val="hlink"/>
        </w14:solidFill>
      </w14:textFill>
    </w:rPr>
  </w:style>
  <w:style w:type="character" w:styleId="47">
    <w:name w:val="annotation reference"/>
    <w:basedOn w:val="41"/>
    <w:unhideWhenUsed/>
    <w:qFormat/>
    <w:uiPriority w:val="99"/>
    <w:rPr>
      <w:sz w:val="21"/>
      <w:szCs w:val="21"/>
    </w:rPr>
  </w:style>
  <w:style w:type="character" w:customStyle="1" w:styleId="48">
    <w:name w:val="标题 1 Char"/>
    <w:basedOn w:val="41"/>
    <w:link w:val="3"/>
    <w:qFormat/>
    <w:uiPriority w:val="9"/>
    <w:rPr>
      <w:b/>
      <w:bCs/>
      <w:kern w:val="44"/>
      <w:sz w:val="44"/>
      <w:szCs w:val="44"/>
    </w:rPr>
  </w:style>
  <w:style w:type="character" w:customStyle="1" w:styleId="49">
    <w:name w:val="页脚 Char"/>
    <w:basedOn w:val="41"/>
    <w:link w:val="27"/>
    <w:qFormat/>
    <w:uiPriority w:val="99"/>
    <w:rPr>
      <w:sz w:val="18"/>
      <w:szCs w:val="18"/>
    </w:rPr>
  </w:style>
  <w:style w:type="character" w:customStyle="1" w:styleId="50">
    <w:name w:val="标题 2 Char"/>
    <w:basedOn w:val="41"/>
    <w:link w:val="2"/>
    <w:qFormat/>
    <w:uiPriority w:val="9"/>
    <w:rPr>
      <w:rFonts w:asciiTheme="majorHAnsi" w:hAnsiTheme="majorHAnsi" w:eastAsiaTheme="majorEastAsia" w:cstheme="majorBidi"/>
      <w:b/>
      <w:bCs/>
      <w:sz w:val="32"/>
      <w:szCs w:val="32"/>
    </w:rPr>
  </w:style>
  <w:style w:type="character" w:customStyle="1" w:styleId="51">
    <w:name w:val="标题 3 Char"/>
    <w:basedOn w:val="41"/>
    <w:link w:val="4"/>
    <w:qFormat/>
    <w:uiPriority w:val="9"/>
    <w:rPr>
      <w:b/>
      <w:bCs/>
      <w:sz w:val="32"/>
      <w:szCs w:val="32"/>
    </w:rPr>
  </w:style>
  <w:style w:type="character" w:customStyle="1" w:styleId="52">
    <w:name w:val="标题 4 Char"/>
    <w:basedOn w:val="41"/>
    <w:link w:val="5"/>
    <w:qFormat/>
    <w:uiPriority w:val="99"/>
    <w:rPr>
      <w:rFonts w:ascii="Arial" w:hAnsi="Arial" w:eastAsia="宋体" w:cs="Times New Roman"/>
      <w:b/>
      <w:bCs/>
      <w:sz w:val="28"/>
      <w:szCs w:val="28"/>
    </w:rPr>
  </w:style>
  <w:style w:type="character" w:customStyle="1" w:styleId="53">
    <w:name w:val="标题 5 Char"/>
    <w:basedOn w:val="41"/>
    <w:link w:val="6"/>
    <w:qFormat/>
    <w:uiPriority w:val="99"/>
    <w:rPr>
      <w:rFonts w:ascii="Calibri" w:hAnsi="Calibri" w:eastAsia="宋体" w:cs="Times New Roman"/>
      <w:b/>
      <w:bCs/>
      <w:sz w:val="28"/>
      <w:szCs w:val="28"/>
    </w:rPr>
  </w:style>
  <w:style w:type="character" w:customStyle="1" w:styleId="54">
    <w:name w:val="标题 6 Char"/>
    <w:basedOn w:val="41"/>
    <w:link w:val="7"/>
    <w:qFormat/>
    <w:uiPriority w:val="9"/>
    <w:rPr>
      <w:rFonts w:ascii="Cambria" w:hAnsi="Cambria" w:eastAsia="宋体" w:cs="Times New Roman"/>
      <w:b/>
      <w:bCs/>
      <w:kern w:val="0"/>
      <w:sz w:val="24"/>
      <w:szCs w:val="24"/>
    </w:rPr>
  </w:style>
  <w:style w:type="character" w:customStyle="1" w:styleId="55">
    <w:name w:val="标题 7 Char"/>
    <w:basedOn w:val="41"/>
    <w:link w:val="8"/>
    <w:qFormat/>
    <w:uiPriority w:val="9"/>
    <w:rPr>
      <w:rFonts w:ascii="Calibri" w:hAnsi="Calibri" w:eastAsia="宋体" w:cs="Times New Roman"/>
      <w:b/>
      <w:bCs/>
      <w:kern w:val="0"/>
      <w:sz w:val="24"/>
      <w:szCs w:val="24"/>
    </w:rPr>
  </w:style>
  <w:style w:type="character" w:customStyle="1" w:styleId="56">
    <w:name w:val="标题 8 Char"/>
    <w:basedOn w:val="41"/>
    <w:link w:val="9"/>
    <w:qFormat/>
    <w:uiPriority w:val="9"/>
    <w:rPr>
      <w:rFonts w:ascii="Cambria" w:hAnsi="Cambria" w:eastAsia="宋体" w:cs="Times New Roman"/>
      <w:kern w:val="0"/>
      <w:sz w:val="24"/>
      <w:szCs w:val="24"/>
    </w:rPr>
  </w:style>
  <w:style w:type="character" w:customStyle="1" w:styleId="57">
    <w:name w:val="标题 9 Char"/>
    <w:basedOn w:val="41"/>
    <w:link w:val="10"/>
    <w:qFormat/>
    <w:uiPriority w:val="9"/>
    <w:rPr>
      <w:rFonts w:ascii="Cambria" w:hAnsi="Cambria" w:eastAsia="宋体" w:cs="Times New Roman"/>
      <w:kern w:val="0"/>
      <w:sz w:val="20"/>
    </w:rPr>
  </w:style>
  <w:style w:type="character" w:customStyle="1" w:styleId="58">
    <w:name w:val="页眉 Char"/>
    <w:basedOn w:val="41"/>
    <w:link w:val="28"/>
    <w:qFormat/>
    <w:uiPriority w:val="99"/>
    <w:rPr>
      <w:sz w:val="18"/>
      <w:szCs w:val="18"/>
    </w:rPr>
  </w:style>
  <w:style w:type="character" w:customStyle="1" w:styleId="59">
    <w:name w:val="批注文字 Char"/>
    <w:basedOn w:val="41"/>
    <w:link w:val="16"/>
    <w:qFormat/>
    <w:uiPriority w:val="99"/>
  </w:style>
  <w:style w:type="character" w:customStyle="1" w:styleId="60">
    <w:name w:val="批注主题 Char"/>
    <w:basedOn w:val="59"/>
    <w:link w:val="38"/>
    <w:semiHidden/>
    <w:qFormat/>
    <w:uiPriority w:val="99"/>
    <w:rPr>
      <w:b/>
      <w:bCs/>
    </w:rPr>
  </w:style>
  <w:style w:type="character" w:customStyle="1" w:styleId="61">
    <w:name w:val="批注框文本 Char"/>
    <w:basedOn w:val="41"/>
    <w:link w:val="26"/>
    <w:semiHidden/>
    <w:qFormat/>
    <w:uiPriority w:val="99"/>
    <w:rPr>
      <w:sz w:val="18"/>
      <w:szCs w:val="18"/>
    </w:rPr>
  </w:style>
  <w:style w:type="character" w:customStyle="1" w:styleId="62">
    <w:name w:val="批注文字 Char Char"/>
    <w:qFormat/>
    <w:uiPriority w:val="99"/>
    <w:rPr>
      <w:rFonts w:ascii="宋体" w:hAnsi="Times New Roman" w:eastAsia="宋体" w:cs="宋体"/>
      <w:sz w:val="20"/>
      <w:szCs w:val="20"/>
    </w:rPr>
  </w:style>
  <w:style w:type="character" w:customStyle="1" w:styleId="63">
    <w:name w:val="Heading 3 Char"/>
    <w:qFormat/>
    <w:uiPriority w:val="99"/>
    <w:rPr>
      <w:b/>
      <w:bCs/>
      <w:kern w:val="2"/>
      <w:sz w:val="32"/>
      <w:szCs w:val="32"/>
    </w:rPr>
  </w:style>
  <w:style w:type="character" w:customStyle="1" w:styleId="64">
    <w:name w:val="Heading 2 Char"/>
    <w:qFormat/>
    <w:uiPriority w:val="99"/>
    <w:rPr>
      <w:rFonts w:ascii="Arial" w:hAnsi="Arial" w:eastAsia="黑体" w:cs="Arial"/>
      <w:b/>
      <w:bCs/>
      <w:kern w:val="2"/>
      <w:sz w:val="32"/>
      <w:szCs w:val="32"/>
      <w:lang w:val="en-US" w:eastAsia="zh-CN"/>
    </w:rPr>
  </w:style>
  <w:style w:type="character" w:customStyle="1" w:styleId="65">
    <w:name w:val="Balloon Text Char"/>
    <w:qFormat/>
    <w:uiPriority w:val="99"/>
    <w:rPr>
      <w:sz w:val="18"/>
      <w:szCs w:val="18"/>
    </w:rPr>
  </w:style>
  <w:style w:type="character" w:customStyle="1" w:styleId="66">
    <w:name w:val="文档结构图 Char1"/>
    <w:qFormat/>
    <w:uiPriority w:val="99"/>
    <w:rPr>
      <w:rFonts w:ascii="宋体" w:hAnsi="Times New Roman" w:eastAsia="宋体" w:cs="宋体"/>
      <w:sz w:val="18"/>
      <w:szCs w:val="18"/>
    </w:rPr>
  </w:style>
  <w:style w:type="character" w:customStyle="1" w:styleId="67">
    <w:name w:val="文档结构图 Char"/>
    <w:link w:val="15"/>
    <w:semiHidden/>
    <w:qFormat/>
    <w:locked/>
    <w:uiPriority w:val="99"/>
    <w:rPr>
      <w:sz w:val="24"/>
      <w:szCs w:val="24"/>
      <w:shd w:val="clear" w:color="auto" w:fill="000080"/>
    </w:rPr>
  </w:style>
  <w:style w:type="character" w:customStyle="1" w:styleId="68">
    <w:name w:val="文档结构图 Char2"/>
    <w:basedOn w:val="41"/>
    <w:semiHidden/>
    <w:qFormat/>
    <w:uiPriority w:val="99"/>
    <w:rPr>
      <w:rFonts w:ascii="Microsoft YaHei UI" w:eastAsia="Microsoft YaHei UI"/>
      <w:sz w:val="18"/>
      <w:szCs w:val="18"/>
    </w:rPr>
  </w:style>
  <w:style w:type="character" w:customStyle="1" w:styleId="69">
    <w:name w:val="Footnote Text Char"/>
    <w:qFormat/>
    <w:uiPriority w:val="99"/>
    <w:rPr>
      <w:rFonts w:eastAsia="宋体"/>
      <w:sz w:val="18"/>
      <w:szCs w:val="18"/>
      <w:lang w:val="en-US" w:eastAsia="zh-CN"/>
    </w:rPr>
  </w:style>
  <w:style w:type="character" w:customStyle="1" w:styleId="70">
    <w:name w:val="Char Char21"/>
    <w:qFormat/>
    <w:uiPriority w:val="99"/>
    <w:rPr>
      <w:rFonts w:ascii="Arial" w:hAnsi="Arial" w:eastAsia="黑体" w:cs="Arial"/>
      <w:b/>
      <w:bCs/>
      <w:sz w:val="32"/>
      <w:szCs w:val="32"/>
    </w:rPr>
  </w:style>
  <w:style w:type="character" w:customStyle="1" w:styleId="71">
    <w:name w:val="批注文字 Char1"/>
    <w:qFormat/>
    <w:uiPriority w:val="99"/>
    <w:rPr>
      <w:rFonts w:ascii="Times New Roman" w:hAnsi="Times New Roman" w:eastAsia="宋体" w:cs="Times New Roman"/>
      <w:sz w:val="24"/>
      <w:szCs w:val="24"/>
    </w:rPr>
  </w:style>
  <w:style w:type="character" w:customStyle="1" w:styleId="72">
    <w:name w:val="Body Text Indent Char"/>
    <w:qFormat/>
    <w:uiPriority w:val="99"/>
    <w:rPr>
      <w:rFonts w:ascii="宋体" w:hAnsi="宋体" w:eastAsia="宋体" w:cs="宋体"/>
      <w:kern w:val="2"/>
      <w:sz w:val="21"/>
      <w:szCs w:val="21"/>
      <w:lang w:val="en-US" w:eastAsia="zh-CN"/>
    </w:rPr>
  </w:style>
  <w:style w:type="character" w:customStyle="1" w:styleId="73">
    <w:name w:val="不明显参考1"/>
    <w:qFormat/>
    <w:uiPriority w:val="99"/>
    <w:rPr>
      <w:smallCaps/>
      <w:color w:val="auto"/>
      <w:u w:val="single"/>
    </w:rPr>
  </w:style>
  <w:style w:type="character" w:customStyle="1" w:styleId="74">
    <w:name w:val="Heading 4 Char"/>
    <w:qFormat/>
    <w:uiPriority w:val="99"/>
    <w:rPr>
      <w:rFonts w:ascii="Arial" w:hAnsi="Arial" w:eastAsia="宋体" w:cs="Arial"/>
      <w:b/>
      <w:bCs/>
      <w:kern w:val="2"/>
      <w:sz w:val="28"/>
      <w:szCs w:val="28"/>
      <w:lang w:val="en-US" w:eastAsia="zh-CN"/>
    </w:rPr>
  </w:style>
  <w:style w:type="character" w:customStyle="1" w:styleId="75">
    <w:name w:val="Char Char20"/>
    <w:qFormat/>
    <w:uiPriority w:val="99"/>
    <w:rPr>
      <w:rFonts w:ascii="Times New Roman" w:hAnsi="Times New Roman" w:eastAsia="宋体" w:cs="Times New Roman"/>
      <w:b/>
      <w:bCs/>
      <w:sz w:val="32"/>
      <w:szCs w:val="32"/>
    </w:rPr>
  </w:style>
  <w:style w:type="character" w:customStyle="1" w:styleId="76">
    <w:name w:val="Comment Subject Char"/>
    <w:qFormat/>
    <w:uiPriority w:val="99"/>
    <w:rPr>
      <w:b/>
      <w:bCs/>
      <w:sz w:val="24"/>
      <w:szCs w:val="24"/>
    </w:rPr>
  </w:style>
  <w:style w:type="character" w:customStyle="1" w:styleId="77">
    <w:name w:val="Heading 1 Char"/>
    <w:qFormat/>
    <w:uiPriority w:val="99"/>
    <w:rPr>
      <w:rFonts w:eastAsia="宋体"/>
      <w:b/>
      <w:bCs/>
      <w:kern w:val="44"/>
      <w:sz w:val="44"/>
      <w:szCs w:val="44"/>
      <w:lang w:val="en-US" w:eastAsia="zh-CN"/>
    </w:rPr>
  </w:style>
  <w:style w:type="character" w:customStyle="1" w:styleId="78">
    <w:name w:val="批注框文本 Char1"/>
    <w:qFormat/>
    <w:uiPriority w:val="99"/>
    <w:rPr>
      <w:rFonts w:ascii="Times New Roman" w:hAnsi="Times New Roman" w:eastAsia="宋体" w:cs="Times New Roman"/>
      <w:sz w:val="18"/>
      <w:szCs w:val="18"/>
    </w:rPr>
  </w:style>
  <w:style w:type="character" w:customStyle="1" w:styleId="79">
    <w:name w:val="标题 Char"/>
    <w:link w:val="37"/>
    <w:qFormat/>
    <w:locked/>
    <w:uiPriority w:val="99"/>
    <w:rPr>
      <w:rFonts w:ascii="Cambria" w:hAnsi="Cambria" w:cs="Cambria"/>
      <w:b/>
      <w:bCs/>
      <w:sz w:val="32"/>
      <w:szCs w:val="32"/>
    </w:rPr>
  </w:style>
  <w:style w:type="character" w:customStyle="1" w:styleId="80">
    <w:name w:val="标题 Char1"/>
    <w:basedOn w:val="41"/>
    <w:qFormat/>
    <w:uiPriority w:val="99"/>
    <w:rPr>
      <w:rFonts w:eastAsia="宋体" w:asciiTheme="majorHAnsi" w:hAnsiTheme="majorHAnsi" w:cstheme="majorBidi"/>
      <w:b/>
      <w:bCs/>
      <w:sz w:val="32"/>
      <w:szCs w:val="32"/>
    </w:rPr>
  </w:style>
  <w:style w:type="character" w:customStyle="1" w:styleId="81">
    <w:name w:val="Char Char6"/>
    <w:qFormat/>
    <w:uiPriority w:val="99"/>
    <w:rPr>
      <w:rFonts w:eastAsia="宋体"/>
      <w:b/>
      <w:bCs/>
      <w:kern w:val="44"/>
      <w:sz w:val="44"/>
      <w:szCs w:val="44"/>
      <w:lang w:val="en-US" w:eastAsia="zh-CN"/>
    </w:rPr>
  </w:style>
  <w:style w:type="character" w:customStyle="1" w:styleId="82">
    <w:name w:val="Char Char18"/>
    <w:qFormat/>
    <w:uiPriority w:val="99"/>
    <w:rPr>
      <w:rFonts w:ascii="Times New Roman" w:hAnsi="Times New Roman" w:eastAsia="宋体" w:cs="Times New Roman"/>
      <w:b/>
      <w:bCs/>
      <w:sz w:val="28"/>
      <w:szCs w:val="28"/>
    </w:rPr>
  </w:style>
  <w:style w:type="character" w:customStyle="1" w:styleId="83">
    <w:name w:val="Body Text Indent 2 Char"/>
    <w:qFormat/>
    <w:uiPriority w:val="99"/>
    <w:rPr>
      <w:rFonts w:eastAsia="宋体"/>
      <w:kern w:val="2"/>
      <w:sz w:val="24"/>
      <w:szCs w:val="24"/>
      <w:lang w:val="en-US" w:eastAsia="zh-CN"/>
    </w:rPr>
  </w:style>
  <w:style w:type="character" w:customStyle="1" w:styleId="84">
    <w:name w:val="Comment Text Char1"/>
    <w:qFormat/>
    <w:uiPriority w:val="99"/>
    <w:rPr>
      <w:sz w:val="24"/>
      <w:szCs w:val="24"/>
    </w:rPr>
  </w:style>
  <w:style w:type="character" w:customStyle="1" w:styleId="85">
    <w:name w:val="批注文字 Char2"/>
    <w:qFormat/>
    <w:locked/>
    <w:uiPriority w:val="0"/>
    <w:rPr>
      <w:rFonts w:eastAsia="宋体"/>
      <w:kern w:val="2"/>
      <w:sz w:val="24"/>
      <w:szCs w:val="24"/>
      <w:lang w:val="en-US" w:eastAsia="zh-CN"/>
    </w:rPr>
  </w:style>
  <w:style w:type="character" w:customStyle="1" w:styleId="86">
    <w:name w:val="正文文本 Char1"/>
    <w:qFormat/>
    <w:uiPriority w:val="99"/>
    <w:rPr>
      <w:kern w:val="2"/>
      <w:sz w:val="22"/>
      <w:szCs w:val="22"/>
    </w:rPr>
  </w:style>
  <w:style w:type="character" w:customStyle="1" w:styleId="87">
    <w:name w:val="标题5 Char Char"/>
    <w:link w:val="88"/>
    <w:qFormat/>
    <w:locked/>
    <w:uiPriority w:val="99"/>
    <w:rPr>
      <w:rFonts w:ascii="Arial" w:hAnsi="Arial" w:cs="Arial"/>
      <w:b/>
      <w:bCs/>
      <w:sz w:val="32"/>
      <w:szCs w:val="32"/>
    </w:rPr>
  </w:style>
  <w:style w:type="paragraph" w:customStyle="1" w:styleId="88">
    <w:name w:val="标题5"/>
    <w:basedOn w:val="4"/>
    <w:link w:val="87"/>
    <w:qFormat/>
    <w:uiPriority w:val="99"/>
    <w:pPr>
      <w:spacing w:line="413" w:lineRule="auto"/>
    </w:pPr>
    <w:rPr>
      <w:rFonts w:ascii="Arial" w:hAnsi="Arial" w:cs="Arial"/>
    </w:rPr>
  </w:style>
  <w:style w:type="character" w:customStyle="1" w:styleId="89">
    <w:name w:val="批注主题 Char1"/>
    <w:qFormat/>
    <w:uiPriority w:val="99"/>
    <w:rPr>
      <w:rFonts w:ascii="Times New Roman" w:hAnsi="Times New Roman" w:eastAsia="宋体" w:cs="Times New Roman"/>
      <w:b/>
      <w:bCs/>
      <w:sz w:val="24"/>
      <w:szCs w:val="24"/>
    </w:rPr>
  </w:style>
  <w:style w:type="character" w:customStyle="1" w:styleId="90">
    <w:name w:val="Char Char24"/>
    <w:qFormat/>
    <w:uiPriority w:val="99"/>
    <w:rPr>
      <w:rFonts w:eastAsia="宋体"/>
      <w:b/>
      <w:bCs/>
      <w:kern w:val="44"/>
      <w:sz w:val="44"/>
      <w:szCs w:val="44"/>
      <w:lang w:val="en-US" w:eastAsia="zh-CN"/>
    </w:rPr>
  </w:style>
  <w:style w:type="character" w:customStyle="1" w:styleId="91">
    <w:name w:val="Footer Char"/>
    <w:qFormat/>
    <w:uiPriority w:val="99"/>
    <w:rPr>
      <w:rFonts w:eastAsia="宋体"/>
      <w:kern w:val="2"/>
      <w:sz w:val="18"/>
      <w:szCs w:val="18"/>
      <w:lang w:val="en-US" w:eastAsia="zh-CN"/>
    </w:rPr>
  </w:style>
  <w:style w:type="character" w:customStyle="1" w:styleId="92">
    <w:name w:val="Char Char9"/>
    <w:qFormat/>
    <w:uiPriority w:val="99"/>
    <w:rPr>
      <w:rFonts w:eastAsia="宋体"/>
      <w:b/>
      <w:bCs/>
      <w:kern w:val="44"/>
      <w:sz w:val="44"/>
      <w:szCs w:val="44"/>
      <w:lang w:val="en-US" w:eastAsia="zh-CN"/>
    </w:rPr>
  </w:style>
  <w:style w:type="character" w:customStyle="1" w:styleId="93">
    <w:name w:val="正文文本 Char"/>
    <w:link w:val="17"/>
    <w:qFormat/>
    <w:locked/>
    <w:uiPriority w:val="99"/>
    <w:rPr>
      <w:rFonts w:eastAsia="宋体"/>
      <w:sz w:val="22"/>
    </w:rPr>
  </w:style>
  <w:style w:type="character" w:customStyle="1" w:styleId="94">
    <w:name w:val="正文文本 Char2"/>
    <w:basedOn w:val="41"/>
    <w:semiHidden/>
    <w:qFormat/>
    <w:uiPriority w:val="99"/>
  </w:style>
  <w:style w:type="character" w:customStyle="1" w:styleId="95">
    <w:name w:val="Heading 3 Char1"/>
    <w:qFormat/>
    <w:uiPriority w:val="99"/>
    <w:rPr>
      <w:rFonts w:eastAsia="宋体"/>
      <w:b/>
      <w:bCs/>
      <w:kern w:val="2"/>
      <w:sz w:val="32"/>
      <w:szCs w:val="32"/>
      <w:lang w:val="en-US" w:eastAsia="zh-CN"/>
    </w:rPr>
  </w:style>
  <w:style w:type="character" w:customStyle="1" w:styleId="96">
    <w:name w:val="Document Map Char"/>
    <w:qFormat/>
    <w:uiPriority w:val="99"/>
    <w:rPr>
      <w:rFonts w:eastAsia="宋体"/>
      <w:kern w:val="2"/>
      <w:sz w:val="24"/>
      <w:szCs w:val="24"/>
      <w:lang w:val="en-US" w:eastAsia="zh-CN"/>
    </w:rPr>
  </w:style>
  <w:style w:type="character" w:customStyle="1" w:styleId="97">
    <w:name w:val="副标题 Char"/>
    <w:link w:val="31"/>
    <w:qFormat/>
    <w:uiPriority w:val="11"/>
    <w:rPr>
      <w:rFonts w:ascii="Cambria" w:hAnsi="Cambria" w:cs="Times New Roman"/>
      <w:b/>
      <w:bCs/>
      <w:kern w:val="28"/>
      <w:sz w:val="32"/>
      <w:szCs w:val="32"/>
    </w:rPr>
  </w:style>
  <w:style w:type="character" w:customStyle="1" w:styleId="98">
    <w:name w:val="副标题 Char1"/>
    <w:basedOn w:val="41"/>
    <w:qFormat/>
    <w:uiPriority w:val="11"/>
    <w:rPr>
      <w:rFonts w:eastAsia="宋体" w:asciiTheme="majorHAnsi" w:hAnsiTheme="majorHAnsi" w:cstheme="majorBidi"/>
      <w:b/>
      <w:bCs/>
      <w:kern w:val="28"/>
      <w:sz w:val="32"/>
      <w:szCs w:val="32"/>
    </w:rPr>
  </w:style>
  <w:style w:type="character" w:customStyle="1" w:styleId="99">
    <w:name w:val="Char Char22"/>
    <w:qFormat/>
    <w:uiPriority w:val="99"/>
    <w:rPr>
      <w:rFonts w:ascii="Times New Roman" w:hAnsi="Times New Roman" w:eastAsia="宋体" w:cs="Times New Roman"/>
      <w:b/>
      <w:bCs/>
      <w:kern w:val="44"/>
      <w:sz w:val="44"/>
      <w:szCs w:val="44"/>
    </w:rPr>
  </w:style>
  <w:style w:type="character" w:customStyle="1" w:styleId="100">
    <w:name w:val="明显引用 Char"/>
    <w:link w:val="101"/>
    <w:qFormat/>
    <w:locked/>
    <w:uiPriority w:val="99"/>
    <w:rPr>
      <w:b/>
      <w:bCs/>
      <w:i/>
      <w:iCs/>
      <w:color w:val="4F81BD"/>
    </w:rPr>
  </w:style>
  <w:style w:type="paragraph" w:customStyle="1" w:styleId="101">
    <w:name w:val="明显引用1"/>
    <w:basedOn w:val="1"/>
    <w:next w:val="1"/>
    <w:link w:val="100"/>
    <w:qFormat/>
    <w:uiPriority w:val="99"/>
    <w:pPr>
      <w:pBdr>
        <w:bottom w:val="single" w:color="4F81BD" w:sz="4" w:space="4"/>
      </w:pBdr>
      <w:spacing w:before="200" w:after="280"/>
      <w:ind w:left="936" w:right="936"/>
    </w:pPr>
    <w:rPr>
      <w:b/>
      <w:bCs/>
      <w:i/>
      <w:iCs/>
      <w:color w:val="4F81BD"/>
    </w:rPr>
  </w:style>
  <w:style w:type="character" w:customStyle="1" w:styleId="102">
    <w:name w:val="标题4 Char Char"/>
    <w:link w:val="103"/>
    <w:qFormat/>
    <w:locked/>
    <w:uiPriority w:val="99"/>
    <w:rPr>
      <w:rFonts w:ascii="Arial" w:hAnsi="Arial" w:cs="Arial"/>
      <w:b/>
      <w:bCs/>
      <w:sz w:val="32"/>
      <w:szCs w:val="32"/>
    </w:rPr>
  </w:style>
  <w:style w:type="paragraph" w:customStyle="1" w:styleId="103">
    <w:name w:val="标题4"/>
    <w:basedOn w:val="2"/>
    <w:next w:val="19"/>
    <w:link w:val="102"/>
    <w:qFormat/>
    <w:uiPriority w:val="99"/>
    <w:pPr>
      <w:spacing w:before="60" w:after="60" w:line="413" w:lineRule="auto"/>
    </w:pPr>
    <w:rPr>
      <w:rFonts w:ascii="Arial" w:hAnsi="Arial" w:cs="Arial" w:eastAsiaTheme="minorEastAsia"/>
    </w:rPr>
  </w:style>
  <w:style w:type="character" w:customStyle="1" w:styleId="104">
    <w:name w:val="Header Char"/>
    <w:qFormat/>
    <w:uiPriority w:val="99"/>
    <w:rPr>
      <w:rFonts w:eastAsia="宋体"/>
      <w:kern w:val="2"/>
      <w:sz w:val="18"/>
      <w:szCs w:val="18"/>
      <w:lang w:val="en-US" w:eastAsia="zh-CN"/>
    </w:rPr>
  </w:style>
  <w:style w:type="character" w:customStyle="1" w:styleId="105">
    <w:name w:val="明显引用 Char1"/>
    <w:qFormat/>
    <w:uiPriority w:val="99"/>
    <w:rPr>
      <w:rFonts w:ascii="Times New Roman" w:hAnsi="Times New Roman" w:eastAsia="宋体" w:cs="Times New Roman"/>
      <w:b/>
      <w:bCs/>
      <w:i/>
      <w:iCs/>
      <w:color w:val="4F81BD"/>
      <w:sz w:val="24"/>
      <w:szCs w:val="24"/>
    </w:rPr>
  </w:style>
  <w:style w:type="character" w:customStyle="1" w:styleId="106">
    <w:name w:val="Comment Text Char"/>
    <w:qFormat/>
    <w:uiPriority w:val="99"/>
    <w:rPr>
      <w:sz w:val="24"/>
      <w:szCs w:val="24"/>
    </w:rPr>
  </w:style>
  <w:style w:type="character" w:customStyle="1" w:styleId="107">
    <w:name w:val="明显参考1"/>
    <w:qFormat/>
    <w:uiPriority w:val="99"/>
    <w:rPr>
      <w:b/>
      <w:bCs/>
      <w:smallCaps/>
      <w:color w:val="auto"/>
      <w:spacing w:val="5"/>
      <w:u w:val="single"/>
    </w:rPr>
  </w:style>
  <w:style w:type="character" w:customStyle="1" w:styleId="108">
    <w:name w:val="明显强调1"/>
    <w:qFormat/>
    <w:uiPriority w:val="99"/>
    <w:rPr>
      <w:b/>
      <w:bCs/>
      <w:i/>
      <w:iCs/>
      <w:color w:val="4F81BD"/>
    </w:rPr>
  </w:style>
  <w:style w:type="character" w:customStyle="1" w:styleId="109">
    <w:name w:val="引用 Char1"/>
    <w:qFormat/>
    <w:uiPriority w:val="99"/>
    <w:rPr>
      <w:rFonts w:ascii="Times New Roman" w:hAnsi="Times New Roman" w:eastAsia="宋体" w:cs="Times New Roman"/>
      <w:i/>
      <w:iCs/>
      <w:color w:val="000000"/>
      <w:sz w:val="24"/>
      <w:szCs w:val="24"/>
    </w:rPr>
  </w:style>
  <w:style w:type="character" w:customStyle="1" w:styleId="110">
    <w:name w:val="引用 Char"/>
    <w:link w:val="111"/>
    <w:qFormat/>
    <w:locked/>
    <w:uiPriority w:val="99"/>
    <w:rPr>
      <w:i/>
      <w:iCs/>
      <w:color w:val="000000"/>
    </w:rPr>
  </w:style>
  <w:style w:type="paragraph" w:customStyle="1" w:styleId="111">
    <w:name w:val="引用1"/>
    <w:basedOn w:val="1"/>
    <w:next w:val="1"/>
    <w:link w:val="110"/>
    <w:qFormat/>
    <w:uiPriority w:val="99"/>
    <w:rPr>
      <w:i/>
      <w:iCs/>
      <w:color w:val="000000"/>
    </w:rPr>
  </w:style>
  <w:style w:type="character" w:customStyle="1" w:styleId="112">
    <w:name w:val="标题 Char2"/>
    <w:qFormat/>
    <w:uiPriority w:val="99"/>
    <w:rPr>
      <w:rFonts w:ascii="Cambria" w:hAnsi="Cambria" w:eastAsia="宋体" w:cs="Cambria"/>
      <w:b/>
      <w:bCs/>
      <w:sz w:val="32"/>
      <w:szCs w:val="32"/>
    </w:rPr>
  </w:style>
  <w:style w:type="character" w:customStyle="1" w:styleId="113">
    <w:name w:val="Char Char23"/>
    <w:qFormat/>
    <w:uiPriority w:val="99"/>
    <w:rPr>
      <w:rFonts w:eastAsia="宋体"/>
      <w:b/>
      <w:bCs/>
      <w:kern w:val="44"/>
      <w:sz w:val="44"/>
      <w:szCs w:val="44"/>
      <w:lang w:val="en-US" w:eastAsia="zh-CN"/>
    </w:rPr>
  </w:style>
  <w:style w:type="character" w:customStyle="1" w:styleId="114">
    <w:name w:val="Plain Text Char"/>
    <w:qFormat/>
    <w:uiPriority w:val="99"/>
    <w:rPr>
      <w:rFonts w:ascii="宋体" w:hAnsi="Courier New" w:eastAsia="宋体" w:cs="宋体"/>
      <w:sz w:val="24"/>
      <w:szCs w:val="24"/>
    </w:rPr>
  </w:style>
  <w:style w:type="character" w:customStyle="1" w:styleId="115">
    <w:name w:val="Char Char91"/>
    <w:qFormat/>
    <w:uiPriority w:val="99"/>
    <w:rPr>
      <w:rFonts w:eastAsia="宋体"/>
      <w:b/>
      <w:bCs/>
      <w:kern w:val="44"/>
      <w:sz w:val="44"/>
      <w:szCs w:val="44"/>
      <w:lang w:val="en-US" w:eastAsia="zh-CN"/>
    </w:rPr>
  </w:style>
  <w:style w:type="character" w:customStyle="1" w:styleId="116">
    <w:name w:val="纯文本 Char1"/>
    <w:qFormat/>
    <w:uiPriority w:val="99"/>
    <w:rPr>
      <w:rFonts w:ascii="宋体" w:hAnsi="Courier New" w:eastAsia="宋体" w:cs="宋体"/>
      <w:sz w:val="21"/>
      <w:szCs w:val="21"/>
    </w:rPr>
  </w:style>
  <w:style w:type="character" w:customStyle="1" w:styleId="117">
    <w:name w:val="Char Char181"/>
    <w:qFormat/>
    <w:uiPriority w:val="99"/>
    <w:rPr>
      <w:b/>
      <w:bCs/>
      <w:kern w:val="44"/>
      <w:sz w:val="44"/>
      <w:szCs w:val="44"/>
    </w:rPr>
  </w:style>
  <w:style w:type="character" w:customStyle="1" w:styleId="118">
    <w:name w:val="Heading 5 Char"/>
    <w:qFormat/>
    <w:uiPriority w:val="99"/>
    <w:rPr>
      <w:rFonts w:eastAsia="宋体"/>
      <w:b/>
      <w:bCs/>
      <w:kern w:val="2"/>
      <w:sz w:val="28"/>
      <w:szCs w:val="28"/>
      <w:lang w:val="en-US" w:eastAsia="zh-CN"/>
    </w:rPr>
  </w:style>
  <w:style w:type="character" w:customStyle="1" w:styleId="119">
    <w:name w:val="Char Char19"/>
    <w:qFormat/>
    <w:uiPriority w:val="99"/>
    <w:rPr>
      <w:rFonts w:ascii="Arial" w:hAnsi="Arial" w:eastAsia="宋体" w:cs="Arial"/>
      <w:b/>
      <w:bCs/>
      <w:sz w:val="28"/>
      <w:szCs w:val="28"/>
    </w:rPr>
  </w:style>
  <w:style w:type="character" w:customStyle="1" w:styleId="120">
    <w:name w:val="纯文本 Char"/>
    <w:link w:val="22"/>
    <w:qFormat/>
    <w:locked/>
    <w:uiPriority w:val="0"/>
    <w:rPr>
      <w:rFonts w:ascii="宋体" w:hAnsi="Courier New" w:eastAsia="宋体" w:cs="宋体"/>
      <w:sz w:val="24"/>
      <w:szCs w:val="24"/>
    </w:rPr>
  </w:style>
  <w:style w:type="character" w:customStyle="1" w:styleId="121">
    <w:name w:val="纯文本 Char2"/>
    <w:basedOn w:val="41"/>
    <w:semiHidden/>
    <w:qFormat/>
    <w:uiPriority w:val="0"/>
    <w:rPr>
      <w:rFonts w:ascii="宋体" w:hAnsi="Courier New" w:eastAsia="宋体" w:cs="Courier New"/>
      <w:szCs w:val="21"/>
    </w:rPr>
  </w:style>
  <w:style w:type="character" w:customStyle="1" w:styleId="122">
    <w:name w:val="日期 Char1"/>
    <w:qFormat/>
    <w:uiPriority w:val="99"/>
    <w:rPr>
      <w:rFonts w:ascii="Times New Roman" w:hAnsi="Times New Roman" w:eastAsia="宋体" w:cs="Times New Roman"/>
      <w:sz w:val="24"/>
      <w:szCs w:val="24"/>
    </w:rPr>
  </w:style>
  <w:style w:type="character" w:customStyle="1" w:styleId="123">
    <w:name w:val="脚注文本 Char"/>
    <w:link w:val="32"/>
    <w:semiHidden/>
    <w:qFormat/>
    <w:locked/>
    <w:uiPriority w:val="99"/>
    <w:rPr>
      <w:sz w:val="18"/>
      <w:szCs w:val="18"/>
    </w:rPr>
  </w:style>
  <w:style w:type="character" w:customStyle="1" w:styleId="124">
    <w:name w:val="脚注文本 Char1"/>
    <w:basedOn w:val="41"/>
    <w:semiHidden/>
    <w:qFormat/>
    <w:uiPriority w:val="99"/>
    <w:rPr>
      <w:sz w:val="18"/>
      <w:szCs w:val="18"/>
    </w:rPr>
  </w:style>
  <w:style w:type="character" w:customStyle="1" w:styleId="125">
    <w:name w:val="正文文本缩进 2 Char"/>
    <w:link w:val="25"/>
    <w:qFormat/>
    <w:locked/>
    <w:uiPriority w:val="99"/>
    <w:rPr>
      <w:sz w:val="24"/>
      <w:szCs w:val="24"/>
    </w:rPr>
  </w:style>
  <w:style w:type="character" w:customStyle="1" w:styleId="126">
    <w:name w:val="正文文本缩进 2 Char1"/>
    <w:basedOn w:val="41"/>
    <w:semiHidden/>
    <w:qFormat/>
    <w:uiPriority w:val="99"/>
  </w:style>
  <w:style w:type="character" w:customStyle="1" w:styleId="127">
    <w:name w:val="Date Char"/>
    <w:qFormat/>
    <w:uiPriority w:val="99"/>
    <w:rPr>
      <w:rFonts w:eastAsia="宋体"/>
      <w:kern w:val="2"/>
      <w:sz w:val="24"/>
      <w:szCs w:val="24"/>
      <w:lang w:val="en-US" w:eastAsia="zh-CN"/>
    </w:rPr>
  </w:style>
  <w:style w:type="character" w:customStyle="1" w:styleId="128">
    <w:name w:val="Title Char"/>
    <w:qFormat/>
    <w:uiPriority w:val="99"/>
    <w:rPr>
      <w:rFonts w:ascii="Cambria" w:hAnsi="Cambria" w:cs="Cambria"/>
      <w:b/>
      <w:bCs/>
      <w:sz w:val="32"/>
      <w:szCs w:val="32"/>
    </w:rPr>
  </w:style>
  <w:style w:type="character" w:customStyle="1" w:styleId="129">
    <w:name w:val="正文文本缩进 Char"/>
    <w:link w:val="18"/>
    <w:qFormat/>
    <w:locked/>
    <w:uiPriority w:val="99"/>
    <w:rPr>
      <w:rFonts w:ascii="宋体" w:eastAsia="宋体" w:cs="宋体"/>
      <w:szCs w:val="21"/>
    </w:rPr>
  </w:style>
  <w:style w:type="character" w:customStyle="1" w:styleId="130">
    <w:name w:val="正文文本缩进 Char1"/>
    <w:basedOn w:val="41"/>
    <w:semiHidden/>
    <w:qFormat/>
    <w:uiPriority w:val="99"/>
  </w:style>
  <w:style w:type="character" w:customStyle="1" w:styleId="131">
    <w:name w:val="书籍标题1"/>
    <w:qFormat/>
    <w:uiPriority w:val="99"/>
    <w:rPr>
      <w:b/>
      <w:bCs/>
      <w:smallCaps/>
      <w:spacing w:val="5"/>
    </w:rPr>
  </w:style>
  <w:style w:type="character" w:customStyle="1" w:styleId="132">
    <w:name w:val="不明显强调1"/>
    <w:qFormat/>
    <w:uiPriority w:val="99"/>
    <w:rPr>
      <w:i/>
      <w:iCs/>
      <w:color w:val="808080"/>
    </w:rPr>
  </w:style>
  <w:style w:type="character" w:customStyle="1" w:styleId="133">
    <w:name w:val="日期 Char"/>
    <w:link w:val="24"/>
    <w:qFormat/>
    <w:locked/>
    <w:uiPriority w:val="99"/>
    <w:rPr>
      <w:sz w:val="24"/>
      <w:szCs w:val="24"/>
    </w:rPr>
  </w:style>
  <w:style w:type="character" w:customStyle="1" w:styleId="134">
    <w:name w:val="日期 Char2"/>
    <w:basedOn w:val="41"/>
    <w:semiHidden/>
    <w:qFormat/>
    <w:uiPriority w:val="99"/>
  </w:style>
  <w:style w:type="character" w:customStyle="1" w:styleId="135">
    <w:name w:val="textcontents"/>
    <w:qFormat/>
    <w:uiPriority w:val="99"/>
  </w:style>
  <w:style w:type="paragraph" w:customStyle="1" w:styleId="136">
    <w:name w:val="样式1"/>
    <w:basedOn w:val="1"/>
    <w:next w:val="5"/>
    <w:qFormat/>
    <w:uiPriority w:val="99"/>
    <w:pPr>
      <w:spacing w:line="360" w:lineRule="auto"/>
      <w:ind w:firstLine="420" w:firstLineChars="200"/>
    </w:pPr>
    <w:rPr>
      <w:rFonts w:ascii="宋体" w:hAnsi="宋体" w:eastAsia="宋体" w:cs="宋体"/>
    </w:rPr>
  </w:style>
  <w:style w:type="paragraph" w:customStyle="1" w:styleId="137">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38">
    <w:name w:val="Char Char Char Char Char Char Char"/>
    <w:basedOn w:val="1"/>
    <w:qFormat/>
    <w:uiPriority w:val="99"/>
    <w:pPr>
      <w:widowControl/>
      <w:spacing w:after="160" w:line="240" w:lineRule="exact"/>
      <w:jc w:val="left"/>
    </w:pPr>
    <w:rPr>
      <w:rFonts w:ascii="Calibri" w:hAnsi="Calibri" w:eastAsia="宋体" w:cs="Times New Roman"/>
    </w:rPr>
  </w:style>
  <w:style w:type="paragraph" w:customStyle="1" w:styleId="13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0">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1">
    <w:name w:val="TOC 标题1"/>
    <w:basedOn w:val="3"/>
    <w:next w:val="1"/>
    <w:qFormat/>
    <w:uiPriority w:val="99"/>
    <w:pPr>
      <w:spacing w:line="576" w:lineRule="auto"/>
      <w:outlineLvl w:val="9"/>
    </w:pPr>
    <w:rPr>
      <w:rFonts w:ascii="Calibri" w:hAnsi="Calibri" w:eastAsia="黑体" w:cs="Calibri"/>
      <w:lang w:val="zh-CN"/>
    </w:rPr>
  </w:style>
  <w:style w:type="paragraph" w:customStyle="1" w:styleId="142">
    <w:name w:val="空半行"/>
    <w:basedOn w:val="1"/>
    <w:qFormat/>
    <w:uiPriority w:val="99"/>
    <w:pPr>
      <w:adjustRightInd w:val="0"/>
      <w:spacing w:line="120" w:lineRule="exact"/>
      <w:textAlignment w:val="baseline"/>
    </w:pPr>
    <w:rPr>
      <w:rFonts w:ascii="Calibri" w:hAnsi="Calibri" w:eastAsia="仿宋_GB2312" w:cs="Times New Roman"/>
      <w:color w:val="FFFFFF"/>
      <w:kern w:val="0"/>
      <w:sz w:val="30"/>
      <w:szCs w:val="30"/>
    </w:rPr>
  </w:style>
  <w:style w:type="paragraph" w:customStyle="1" w:styleId="143">
    <w:name w:val="p0"/>
    <w:basedOn w:val="1"/>
    <w:qFormat/>
    <w:uiPriority w:val="99"/>
    <w:pPr>
      <w:widowControl/>
    </w:pPr>
    <w:rPr>
      <w:rFonts w:ascii="Calibri" w:hAnsi="Calibri" w:eastAsia="宋体" w:cs="Calibri"/>
      <w:kern w:val="0"/>
    </w:rPr>
  </w:style>
  <w:style w:type="paragraph" w:customStyle="1" w:styleId="144">
    <w:name w:val="Char"/>
    <w:basedOn w:val="1"/>
    <w:qFormat/>
    <w:uiPriority w:val="99"/>
    <w:pPr>
      <w:widowControl/>
      <w:spacing w:after="160" w:line="240" w:lineRule="exact"/>
      <w:jc w:val="left"/>
    </w:pPr>
    <w:rPr>
      <w:rFonts w:ascii="Calibri" w:hAnsi="Calibri" w:eastAsia="宋体" w:cs="Times New Roman"/>
    </w:rPr>
  </w:style>
  <w:style w:type="paragraph" w:customStyle="1" w:styleId="145">
    <w:name w:val="1"/>
    <w:basedOn w:val="1"/>
    <w:next w:val="1"/>
    <w:qFormat/>
    <w:uiPriority w:val="99"/>
    <w:rPr>
      <w:rFonts w:ascii="Calibri" w:hAnsi="Calibri" w:eastAsia="宋体" w:cs="Times New Roman"/>
    </w:rPr>
  </w:style>
  <w:style w:type="paragraph" w:customStyle="1" w:styleId="146">
    <w:name w:val="列出段落2"/>
    <w:basedOn w:val="1"/>
    <w:qFormat/>
    <w:uiPriority w:val="99"/>
    <w:pPr>
      <w:ind w:firstLine="420" w:firstLineChars="200"/>
    </w:pPr>
    <w:rPr>
      <w:rFonts w:ascii="Calibri" w:hAnsi="Calibri" w:eastAsia="宋体" w:cs="Calibri"/>
    </w:rPr>
  </w:style>
  <w:style w:type="paragraph" w:customStyle="1" w:styleId="147">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8">
    <w:name w:val="修订1"/>
    <w:qFormat/>
    <w:uiPriority w:val="99"/>
    <w:rPr>
      <w:rFonts w:ascii="Times New Roman" w:hAnsi="Times New Roman" w:eastAsia="宋体" w:cs="Times New Roman"/>
      <w:kern w:val="2"/>
      <w:sz w:val="21"/>
      <w:szCs w:val="21"/>
      <w:lang w:val="en-US" w:eastAsia="zh-CN" w:bidi="ar-SA"/>
    </w:rPr>
  </w:style>
  <w:style w:type="paragraph" w:customStyle="1" w:styleId="149">
    <w:name w:val="样式 标题 2 + Times New Roman 四号 非加粗 段前: 5 磅 段后: 0 磅 行距: 固定值 20..."/>
    <w:basedOn w:val="2"/>
    <w:qFormat/>
    <w:uiPriority w:val="99"/>
    <w:pPr>
      <w:spacing w:before="100" w:after="0" w:line="400" w:lineRule="exact"/>
    </w:pPr>
    <w:rPr>
      <w:rFonts w:ascii="Times New Roman" w:hAnsi="Times New Roman" w:eastAsia="黑体" w:cs="Times New Roman"/>
      <w:b w:val="0"/>
      <w:bCs w:val="0"/>
      <w:kern w:val="0"/>
      <w:sz w:val="28"/>
      <w:szCs w:val="28"/>
      <w:lang w:val="zh-CN"/>
    </w:rPr>
  </w:style>
  <w:style w:type="paragraph" w:customStyle="1" w:styleId="150">
    <w:name w:val="2-2ji"/>
    <w:basedOn w:val="2"/>
    <w:qFormat/>
    <w:uiPriority w:val="99"/>
    <w:pPr>
      <w:spacing w:before="0" w:after="0" w:line="360" w:lineRule="auto"/>
      <w:jc w:val="center"/>
    </w:pPr>
    <w:rPr>
      <w:rFonts w:ascii="宋体" w:hAnsi="宋体" w:eastAsia="宋体" w:cs="宋体"/>
      <w:sz w:val="36"/>
      <w:szCs w:val="36"/>
      <w:lang w:val="zh-CN"/>
    </w:rPr>
  </w:style>
  <w:style w:type="paragraph" w:customStyle="1" w:styleId="151">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2">
    <w:name w:val="标题 Char3"/>
    <w:basedOn w:val="41"/>
    <w:qFormat/>
    <w:uiPriority w:val="99"/>
    <w:rPr>
      <w:rFonts w:eastAsia="宋体" w:asciiTheme="majorHAnsi" w:hAnsiTheme="majorHAnsi" w:cstheme="majorBidi"/>
      <w:b/>
      <w:bCs/>
      <w:sz w:val="32"/>
      <w:szCs w:val="32"/>
    </w:rPr>
  </w:style>
  <w:style w:type="paragraph" w:customStyle="1" w:styleId="153">
    <w:name w:val="flNote"/>
    <w:basedOn w:val="1"/>
    <w:qFormat/>
    <w:uiPriority w:val="99"/>
    <w:pPr>
      <w:adjustRightInd w:val="0"/>
      <w:spacing w:before="320" w:after="160" w:line="360" w:lineRule="atLeast"/>
      <w:jc w:val="center"/>
      <w:textAlignment w:val="baseline"/>
    </w:pPr>
    <w:rPr>
      <w:rFonts w:ascii="Arial" w:hAnsi="Calibri" w:eastAsia="黑体" w:cs="Arial"/>
      <w:kern w:val="0"/>
      <w:sz w:val="30"/>
      <w:szCs w:val="30"/>
    </w:rPr>
  </w:style>
  <w:style w:type="paragraph" w:styleId="154">
    <w:name w:val="List Paragraph"/>
    <w:basedOn w:val="1"/>
    <w:qFormat/>
    <w:uiPriority w:val="34"/>
    <w:pPr>
      <w:ind w:firstLine="420" w:firstLineChars="200"/>
    </w:pPr>
    <w:rPr>
      <w:rFonts w:ascii="Calibri" w:hAnsi="Calibri" w:eastAsia="宋体" w:cs="Times New Roman"/>
    </w:rPr>
  </w:style>
  <w:style w:type="paragraph" w:customStyle="1" w:styleId="155">
    <w:name w:val="列出段落1"/>
    <w:basedOn w:val="1"/>
    <w:qFormat/>
    <w:uiPriority w:val="99"/>
    <w:pPr>
      <w:ind w:firstLine="420" w:firstLineChars="200"/>
    </w:pPr>
    <w:rPr>
      <w:rFonts w:ascii="Calibri" w:hAnsi="Calibri" w:eastAsia="宋体" w:cs="Calibri"/>
    </w:rPr>
  </w:style>
  <w:style w:type="paragraph" w:customStyle="1" w:styleId="156">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57">
    <w:name w:val="Char1"/>
    <w:basedOn w:val="1"/>
    <w:qFormat/>
    <w:uiPriority w:val="99"/>
    <w:pPr>
      <w:widowControl/>
      <w:spacing w:after="160" w:line="240" w:lineRule="exact"/>
      <w:jc w:val="left"/>
    </w:pPr>
    <w:rPr>
      <w:rFonts w:ascii="Calibri" w:hAnsi="Calibri" w:eastAsia="宋体" w:cs="Times New Roman"/>
    </w:rPr>
  </w:style>
  <w:style w:type="paragraph" w:customStyle="1" w:styleId="158">
    <w:name w:val="_Style 37"/>
    <w:basedOn w:val="1"/>
    <w:next w:val="1"/>
    <w:qFormat/>
    <w:uiPriority w:val="99"/>
    <w:rPr>
      <w:rFonts w:ascii="Calibri" w:hAnsi="Calibri" w:eastAsia="宋体" w:cs="Times New Roman"/>
    </w:rPr>
  </w:style>
  <w:style w:type="paragraph" w:customStyle="1" w:styleId="159">
    <w:name w:val="样式 标题 3 + (中文) 黑体 小四 非加粗 段前: 7.8 磅 段后: 0 磅 行距: 固定值 20 磅"/>
    <w:basedOn w:val="4"/>
    <w:qFormat/>
    <w:uiPriority w:val="99"/>
    <w:pPr>
      <w:spacing w:before="0" w:after="0" w:line="400" w:lineRule="exact"/>
    </w:pPr>
    <w:rPr>
      <w:rFonts w:ascii="Calibri" w:hAnsi="Calibri" w:eastAsia="黑体" w:cs="Times New Roman"/>
      <w:b w:val="0"/>
      <w:bCs w:val="0"/>
      <w:lang w:val="zh-CN"/>
    </w:rPr>
  </w:style>
  <w:style w:type="character" w:customStyle="1" w:styleId="160">
    <w:name w:val="fontstyle01"/>
    <w:qFormat/>
    <w:uiPriority w:val="0"/>
    <w:rPr>
      <w:rFonts w:hint="eastAsia" w:ascii="宋体" w:hAnsi="宋体" w:eastAsia="宋体"/>
      <w:color w:val="000000"/>
      <w:sz w:val="22"/>
      <w:szCs w:val="22"/>
    </w:rPr>
  </w:style>
  <w:style w:type="character" w:customStyle="1" w:styleId="161">
    <w:name w:val="fontstyle21"/>
    <w:qFormat/>
    <w:uiPriority w:val="0"/>
    <w:rPr>
      <w:rFonts w:hint="default" w:ascii="Times New Roman" w:hAnsi="Times New Roman" w:cs="Times New Roman"/>
      <w:b/>
      <w:bCs/>
      <w:color w:val="000000"/>
      <w:sz w:val="22"/>
      <w:szCs w:val="22"/>
    </w:rPr>
  </w:style>
  <w:style w:type="character" w:customStyle="1" w:styleId="162">
    <w:name w:val="fontstyle31"/>
    <w:qFormat/>
    <w:uiPriority w:val="0"/>
    <w:rPr>
      <w:rFonts w:hint="eastAsia" w:ascii="黑体" w:hAnsi="黑体" w:eastAsia="黑体"/>
      <w:color w:val="000000"/>
      <w:sz w:val="28"/>
      <w:szCs w:val="28"/>
    </w:rPr>
  </w:style>
  <w:style w:type="character" w:customStyle="1" w:styleId="163">
    <w:name w:val="fontstyle41"/>
    <w:qFormat/>
    <w:uiPriority w:val="0"/>
    <w:rPr>
      <w:rFonts w:hint="default" w:ascii="Times New Roman" w:hAnsi="Times New Roman" w:cs="Times New Roman"/>
      <w:color w:val="000000"/>
      <w:sz w:val="18"/>
      <w:szCs w:val="18"/>
    </w:rPr>
  </w:style>
  <w:style w:type="character" w:customStyle="1" w:styleId="164">
    <w:name w:val="fontstyle51"/>
    <w:qFormat/>
    <w:uiPriority w:val="0"/>
    <w:rPr>
      <w:rFonts w:hint="eastAsia" w:ascii="楷体" w:hAnsi="楷体" w:eastAsia="楷体"/>
      <w:color w:val="000000"/>
      <w:sz w:val="22"/>
      <w:szCs w:val="22"/>
    </w:rPr>
  </w:style>
  <w:style w:type="paragraph" w:styleId="16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7">
    <w:name w:val="超链接_0"/>
    <w:qFormat/>
    <w:uiPriority w:val="99"/>
    <w:rPr>
      <w:rFonts w:ascii="Calibri" w:hAnsi="Calibri"/>
      <w:color w:val="0000FF"/>
      <w:u w:val="single"/>
    </w:rPr>
  </w:style>
  <w:style w:type="paragraph" w:customStyle="1" w:styleId="168">
    <w:name w:val="标题 2_0"/>
    <w:basedOn w:val="169"/>
    <w:next w:val="169"/>
    <w:link w:val="170"/>
    <w:qFormat/>
    <w:uiPriority w:val="9"/>
    <w:pPr>
      <w:keepNext/>
      <w:keepLines/>
      <w:spacing w:before="260" w:after="260" w:line="412" w:lineRule="auto"/>
      <w:outlineLvl w:val="1"/>
    </w:pPr>
    <w:rPr>
      <w:rFonts w:ascii="Arial" w:hAnsi="Arial" w:eastAsia="黑体"/>
      <w:b/>
      <w:sz w:val="32"/>
      <w:szCs w:val="20"/>
    </w:rPr>
  </w:style>
  <w:style w:type="paragraph" w:customStyle="1" w:styleId="169">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0">
    <w:name w:val="标题 2 Char_0"/>
    <w:link w:val="168"/>
    <w:qFormat/>
    <w:uiPriority w:val="9"/>
    <w:rPr>
      <w:rFonts w:ascii="Arial" w:hAnsi="Arial" w:eastAsia="黑体" w:cs="Times New Roman"/>
      <w:b/>
      <w:sz w:val="32"/>
      <w:szCs w:val="20"/>
    </w:rPr>
  </w:style>
  <w:style w:type="paragraph" w:customStyle="1" w:styleId="171">
    <w:name w:val="标题 3_0"/>
    <w:basedOn w:val="169"/>
    <w:next w:val="169"/>
    <w:link w:val="172"/>
    <w:unhideWhenUsed/>
    <w:qFormat/>
    <w:uiPriority w:val="9"/>
    <w:pPr>
      <w:keepNext/>
      <w:keepLines/>
      <w:spacing w:before="260" w:after="260" w:line="416" w:lineRule="auto"/>
      <w:outlineLvl w:val="2"/>
    </w:pPr>
    <w:rPr>
      <w:b/>
      <w:bCs/>
      <w:sz w:val="32"/>
      <w:szCs w:val="32"/>
    </w:rPr>
  </w:style>
  <w:style w:type="character" w:customStyle="1" w:styleId="172">
    <w:name w:val="标题 3 Char_0"/>
    <w:link w:val="171"/>
    <w:qFormat/>
    <w:uiPriority w:val="9"/>
    <w:rPr>
      <w:rFonts w:ascii="Calibri" w:hAnsi="Calibri" w:eastAsia="宋体" w:cs="Times New Roman"/>
      <w:b/>
      <w:bCs/>
      <w:sz w:val="32"/>
      <w:szCs w:val="32"/>
    </w:rPr>
  </w:style>
  <w:style w:type="paragraph" w:customStyle="1" w:styleId="17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Normal_0"/>
    <w:qFormat/>
    <w:uiPriority w:val="0"/>
    <w:rPr>
      <w:rFonts w:ascii="Times New Roman" w:hAnsi="Times New Roman" w:eastAsia="Times New Roman" w:cs="Times New Roman"/>
      <w:sz w:val="24"/>
      <w:szCs w:val="24"/>
      <w:lang w:val="en-US" w:eastAsia="zh-CN" w:bidi="ar-SA"/>
    </w:rPr>
  </w:style>
  <w:style w:type="paragraph" w:customStyle="1" w:styleId="176">
    <w:name w:val="正文呀2"/>
    <w:basedOn w:val="177"/>
    <w:qFormat/>
    <w:uiPriority w:val="0"/>
    <w:rPr>
      <w:rFonts w:ascii="Times New Roman" w:hAnsi="Times New Roman"/>
    </w:rPr>
  </w:style>
  <w:style w:type="paragraph" w:customStyle="1" w:styleId="177">
    <w:name w:val="正文呀"/>
    <w:basedOn w:val="1"/>
    <w:qFormat/>
    <w:uiPriority w:val="0"/>
    <w:pPr>
      <w:spacing w:line="420" w:lineRule="exact"/>
      <w:ind w:firstLine="420" w:firstLineChars="200"/>
    </w:pPr>
    <w:rPr>
      <w:rFonts w:ascii="宋体" w:hAnsi="宋体"/>
      <w:szCs w:val="21"/>
    </w:rPr>
  </w:style>
  <w:style w:type="paragraph" w:customStyle="1" w:styleId="178">
    <w:name w:val="正文呀2_0"/>
    <w:basedOn w:val="179"/>
    <w:qFormat/>
    <w:uiPriority w:val="0"/>
    <w:pPr>
      <w:spacing w:line="420" w:lineRule="exact"/>
      <w:ind w:firstLine="420" w:firstLineChars="200"/>
    </w:pPr>
  </w:style>
  <w:style w:type="paragraph" w:customStyle="1" w:styleId="179">
    <w:name w:val="正文呀_0"/>
    <w:basedOn w:val="140"/>
    <w:semiHidden/>
    <w:qFormat/>
    <w:uiPriority w:val="0"/>
    <w:pPr>
      <w:spacing w:line="420" w:lineRule="exact"/>
      <w:ind w:firstLine="420" w:firstLineChars="200"/>
    </w:pPr>
    <w:rPr>
      <w:rFonts w:ascii="宋体" w:hAnsi="宋体" w:eastAsia="等线"/>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50B3D-BCDE-48FA-9714-7FBBF8BF734D}">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225</Pages>
  <Words>4010</Words>
  <Characters>4733</Characters>
  <Lines>1030</Lines>
  <Paragraphs>290</Paragraphs>
  <TotalTime>4</TotalTime>
  <ScaleCrop>false</ScaleCrop>
  <LinksUpToDate>false</LinksUpToDate>
  <CharactersWithSpaces>4813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2025-05-20T10:01:00Z</dcterms:created>
  <dc:creator>Windows 用户</dc:creator>
  <cp:lastModifiedBy>  小妮子  </cp:lastModifiedBy>
  <cp:lastPrinted>2025-06-27T02:26:00Z</cp:lastPrinted>
  <dcterms:modified xsi:type="dcterms:W3CDTF">2025-06-30T03:35:10Z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eyJoZGlkIjoiM2RiYWU5MGVlMGQ0MzJiODY0ZjIwYzkwYzU3ZjM4MDMiLCJ1c2VySWQiOiI0NzAzNDEwMTAifQ==</vt:lpwstr>
  </property>
  <property fmtid="{D5CDD505-2E9C-101B-9397-08002B2CF9AE}" pid="3" name="KSOProductBuildVer">
    <vt:lpwstr>2052-12.1.0.20784</vt:lpwstr>
  </property>
  <property fmtid="{D5CDD505-2E9C-101B-9397-08002B2CF9AE}" pid="4" name="ICV">
    <vt:lpwstr>B5B6DCAC98E946A78F685949E7295838_13</vt:lpwstr>
  </property>
</Properties>
</file>