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F228C4">
      <w:pPr>
        <w:spacing w:line="240" w:lineRule="atLeast"/>
        <w:jc w:val="center"/>
        <w:rPr>
          <w:rFonts w:hint="eastAsia" w:ascii="仿宋" w:hAnsi="仿宋" w:eastAsia="仿宋"/>
          <w:sz w:val="52"/>
          <w:szCs w:val="52"/>
          <w:highlight w:val="none"/>
        </w:rPr>
      </w:pPr>
    </w:p>
    <w:p w14:paraId="18BA3045">
      <w:pPr>
        <w:spacing w:line="360" w:lineRule="auto"/>
        <w:jc w:val="center"/>
        <w:rPr>
          <w:rFonts w:hint="eastAsia" w:ascii="仿宋" w:hAnsi="仿宋" w:eastAsia="仿宋"/>
          <w:sz w:val="52"/>
          <w:szCs w:val="52"/>
          <w:highlight w:val="none"/>
        </w:rPr>
      </w:pPr>
      <w:r>
        <w:rPr>
          <w:rFonts w:ascii="仿宋" w:hAnsi="仿宋" w:eastAsia="仿宋"/>
          <w:highlight w:val="none"/>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14:paraId="5AC7EFD5">
      <w:pPr>
        <w:pStyle w:val="25"/>
        <w:ind w:firstLine="0" w:firstLineChars="0"/>
        <w:jc w:val="center"/>
        <w:rPr>
          <w:rFonts w:hint="eastAsia"/>
          <w:sz w:val="52"/>
          <w:szCs w:val="52"/>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506095</wp:posOffset>
                </wp:positionV>
                <wp:extent cx="5486400" cy="0"/>
                <wp:effectExtent l="0" t="0" r="19050" b="1905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wps:spPr>
                      <wps:bodyPr/>
                    </wps:wsp>
                  </a:graphicData>
                </a:graphic>
              </wp:anchor>
            </w:drawing>
          </mc:Choice>
          <mc:Fallback>
            <w:pict>
              <v:line id="Line 2" o:spid="_x0000_s1026" o:spt="20" style="position:absolute;left:0pt;margin-left:39pt;margin-top:39.85pt;height:0pt;width:432pt;z-index:251661312;mso-width-relative:page;mso-height-relative:page;" filled="f" stroked="t" coordsize="21600,21600" o:gfxdata="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Q569c1wAAAAgBAAAPAAAAAAAAAAEAIAAAACIAAABk&#10;cnMvZG93bnJldi54bWxQSwECFAAUAAAACACHTuJA1BholM4BAACrAwAADgAAAAAAAAABACAAAAAm&#10;AQAAZHJzL2Uyb0RvYy54bWxQSwUGAAAAAAYABgBZAQAAZgUAAAAA&#10;">
                <v:fill on="f" focussize="0,0"/>
                <v:stroke weight="1pt" color="#000000" joinstyle="round"/>
                <v:imagedata o:title=""/>
                <o:lock v:ext="edit" aspectratio="f"/>
              </v:line>
            </w:pict>
          </mc:Fallback>
        </mc:AlternateContent>
      </w:r>
      <w:r>
        <w:rPr>
          <w:rFonts w:hint="eastAsia"/>
          <w:sz w:val="52"/>
          <w:szCs w:val="52"/>
          <w:highlight w:val="none"/>
        </w:rPr>
        <w:t xml:space="preserve">广 西 </w:t>
      </w:r>
      <w:r>
        <w:rPr>
          <w:sz w:val="52"/>
          <w:szCs w:val="52"/>
          <w:highlight w:val="none"/>
        </w:rPr>
        <w:t>科</w:t>
      </w:r>
      <w:r>
        <w:rPr>
          <w:rFonts w:hint="eastAsia"/>
          <w:sz w:val="52"/>
          <w:szCs w:val="52"/>
          <w:highlight w:val="none"/>
        </w:rPr>
        <w:t xml:space="preserve"> </w:t>
      </w:r>
      <w:r>
        <w:rPr>
          <w:sz w:val="52"/>
          <w:szCs w:val="52"/>
          <w:highlight w:val="none"/>
        </w:rPr>
        <w:t>文</w:t>
      </w:r>
      <w:r>
        <w:rPr>
          <w:rFonts w:hint="eastAsia"/>
          <w:sz w:val="52"/>
          <w:szCs w:val="52"/>
          <w:highlight w:val="none"/>
        </w:rPr>
        <w:t xml:space="preserve"> </w:t>
      </w:r>
      <w:r>
        <w:rPr>
          <w:sz w:val="52"/>
          <w:szCs w:val="52"/>
          <w:highlight w:val="none"/>
        </w:rPr>
        <w:t>招</w:t>
      </w:r>
      <w:r>
        <w:rPr>
          <w:rFonts w:hint="eastAsia"/>
          <w:sz w:val="52"/>
          <w:szCs w:val="52"/>
          <w:highlight w:val="none"/>
        </w:rPr>
        <w:t xml:space="preserve"> </w:t>
      </w:r>
      <w:r>
        <w:rPr>
          <w:sz w:val="52"/>
          <w:szCs w:val="52"/>
          <w:highlight w:val="none"/>
        </w:rPr>
        <w:t>标</w:t>
      </w:r>
      <w:r>
        <w:rPr>
          <w:rFonts w:hint="eastAsia"/>
          <w:sz w:val="52"/>
          <w:szCs w:val="52"/>
          <w:highlight w:val="none"/>
        </w:rPr>
        <w:t xml:space="preserve"> </w:t>
      </w:r>
      <w:r>
        <w:rPr>
          <w:sz w:val="52"/>
          <w:szCs w:val="52"/>
          <w:highlight w:val="none"/>
        </w:rPr>
        <w:t>有</w:t>
      </w:r>
      <w:r>
        <w:rPr>
          <w:rFonts w:hint="eastAsia"/>
          <w:sz w:val="52"/>
          <w:szCs w:val="52"/>
          <w:highlight w:val="none"/>
        </w:rPr>
        <w:t xml:space="preserve"> </w:t>
      </w:r>
      <w:r>
        <w:rPr>
          <w:sz w:val="52"/>
          <w:szCs w:val="52"/>
          <w:highlight w:val="none"/>
        </w:rPr>
        <w:t>限</w:t>
      </w:r>
      <w:r>
        <w:rPr>
          <w:rFonts w:hint="eastAsia"/>
          <w:sz w:val="52"/>
          <w:szCs w:val="52"/>
          <w:highlight w:val="none"/>
        </w:rPr>
        <w:t xml:space="preserve"> </w:t>
      </w:r>
      <w:r>
        <w:rPr>
          <w:sz w:val="52"/>
          <w:szCs w:val="52"/>
          <w:highlight w:val="none"/>
        </w:rPr>
        <w:t>公</w:t>
      </w:r>
      <w:r>
        <w:rPr>
          <w:rFonts w:hint="eastAsia"/>
          <w:sz w:val="52"/>
          <w:szCs w:val="52"/>
          <w:highlight w:val="none"/>
        </w:rPr>
        <w:t xml:space="preserve"> </w:t>
      </w:r>
      <w:r>
        <w:rPr>
          <w:sz w:val="52"/>
          <w:szCs w:val="52"/>
          <w:highlight w:val="none"/>
        </w:rPr>
        <w:t>司</w:t>
      </w:r>
    </w:p>
    <w:p w14:paraId="2C87C977">
      <w:pPr>
        <w:pStyle w:val="25"/>
        <w:ind w:firstLine="594"/>
        <w:rPr>
          <w:rFonts w:hint="eastAsia"/>
          <w:spacing w:val="28"/>
          <w:highlight w:val="none"/>
        </w:rPr>
      </w:pPr>
    </w:p>
    <w:p w14:paraId="068D6E29">
      <w:pPr>
        <w:snapToGrid w:val="0"/>
        <w:spacing w:before="120" w:beforeLines="50" w:line="360" w:lineRule="auto"/>
        <w:jc w:val="center"/>
        <w:rPr>
          <w:rFonts w:hint="eastAsia" w:ascii="仿宋" w:hAnsi="仿宋" w:eastAsia="仿宋"/>
          <w:sz w:val="120"/>
          <w:szCs w:val="120"/>
          <w:highlight w:val="none"/>
        </w:rPr>
      </w:pPr>
      <w:r>
        <w:rPr>
          <w:rFonts w:hint="eastAsia" w:ascii="仿宋" w:hAnsi="仿宋" w:eastAsia="仿宋"/>
          <w:sz w:val="120"/>
          <w:szCs w:val="120"/>
          <w:highlight w:val="none"/>
        </w:rPr>
        <w:t>招 标 文 件</w:t>
      </w:r>
    </w:p>
    <w:p w14:paraId="4C88D111">
      <w:pPr>
        <w:pStyle w:val="25"/>
        <w:ind w:firstLine="456"/>
        <w:rPr>
          <w:rFonts w:hint="eastAsia"/>
          <w:w w:val="95"/>
          <w:highlight w:val="none"/>
        </w:rPr>
      </w:pPr>
    </w:p>
    <w:p w14:paraId="4E443C98">
      <w:pPr>
        <w:pStyle w:val="25"/>
        <w:ind w:firstLine="570"/>
        <w:jc w:val="center"/>
        <w:rPr>
          <w:rFonts w:hint="eastAsia"/>
          <w:w w:val="95"/>
          <w:sz w:val="30"/>
          <w:szCs w:val="30"/>
          <w:highlight w:val="none"/>
        </w:rPr>
      </w:pPr>
    </w:p>
    <w:p w14:paraId="4B3869AC">
      <w:pPr>
        <w:pStyle w:val="25"/>
        <w:ind w:firstLine="602"/>
        <w:jc w:val="center"/>
        <w:rPr>
          <w:rFonts w:hint="eastAsia" w:eastAsia="仿宋"/>
          <w:sz w:val="30"/>
          <w:szCs w:val="30"/>
          <w:highlight w:val="none"/>
          <w:lang w:eastAsia="zh-CN"/>
        </w:rPr>
      </w:pPr>
      <w:bookmarkStart w:id="0" w:name="OLE_LINK36"/>
      <w:r>
        <w:rPr>
          <w:rFonts w:hint="eastAsia"/>
          <w:sz w:val="30"/>
          <w:szCs w:val="30"/>
          <w:highlight w:val="none"/>
        </w:rPr>
        <w:t>项目名称：</w:t>
      </w:r>
      <w:r>
        <w:rPr>
          <w:rFonts w:hint="eastAsia"/>
          <w:sz w:val="30"/>
          <w:szCs w:val="30"/>
          <w:highlight w:val="none"/>
          <w:lang w:eastAsia="zh-CN"/>
        </w:rPr>
        <w:t>手术无影灯等医疗设备采购</w:t>
      </w:r>
    </w:p>
    <w:p w14:paraId="50B4E63A">
      <w:pPr>
        <w:pStyle w:val="25"/>
        <w:ind w:firstLine="602"/>
        <w:jc w:val="center"/>
        <w:rPr>
          <w:rFonts w:hint="eastAsia" w:eastAsia="仿宋"/>
          <w:sz w:val="30"/>
          <w:szCs w:val="30"/>
          <w:highlight w:val="none"/>
          <w:lang w:eastAsia="zh-CN"/>
        </w:rPr>
      </w:pPr>
      <w:r>
        <w:rPr>
          <w:rFonts w:hint="eastAsia"/>
          <w:sz w:val="30"/>
          <w:szCs w:val="30"/>
          <w:highlight w:val="none"/>
        </w:rPr>
        <w:t>项目编号：</w:t>
      </w:r>
      <w:r>
        <w:rPr>
          <w:rFonts w:hint="eastAsia"/>
          <w:sz w:val="30"/>
          <w:szCs w:val="30"/>
          <w:highlight w:val="none"/>
          <w:lang w:eastAsia="zh-CN"/>
        </w:rPr>
        <w:t>GLZC2025-G1-250039-KWZB</w:t>
      </w:r>
    </w:p>
    <w:bookmarkEnd w:id="0"/>
    <w:p w14:paraId="0F52193B">
      <w:pPr>
        <w:pStyle w:val="25"/>
        <w:ind w:firstLine="602"/>
        <w:rPr>
          <w:rFonts w:hint="eastAsia"/>
          <w:sz w:val="30"/>
          <w:szCs w:val="30"/>
          <w:highlight w:val="none"/>
        </w:rPr>
      </w:pPr>
    </w:p>
    <w:p w14:paraId="6D3A20AC">
      <w:pPr>
        <w:rPr>
          <w:highlight w:val="none"/>
        </w:rPr>
      </w:pPr>
    </w:p>
    <w:p w14:paraId="14B67E3C">
      <w:pPr>
        <w:pStyle w:val="25"/>
        <w:ind w:firstLine="456"/>
        <w:rPr>
          <w:rFonts w:hint="eastAsia"/>
          <w:w w:val="95"/>
          <w:highlight w:val="none"/>
        </w:rPr>
      </w:pPr>
    </w:p>
    <w:p w14:paraId="50B0525B">
      <w:pPr>
        <w:pStyle w:val="25"/>
        <w:ind w:firstLine="456"/>
        <w:rPr>
          <w:rFonts w:hint="eastAsia"/>
          <w:w w:val="95"/>
          <w:highlight w:val="none"/>
        </w:rPr>
      </w:pPr>
    </w:p>
    <w:p w14:paraId="45AF82CD">
      <w:pPr>
        <w:pStyle w:val="25"/>
        <w:ind w:firstLine="456"/>
        <w:rPr>
          <w:rFonts w:hint="eastAsia"/>
          <w:w w:val="95"/>
          <w:highlight w:val="none"/>
        </w:rPr>
      </w:pPr>
    </w:p>
    <w:p w14:paraId="73E4F77F">
      <w:pPr>
        <w:pStyle w:val="25"/>
        <w:ind w:firstLine="456"/>
        <w:rPr>
          <w:rFonts w:hint="eastAsia"/>
          <w:w w:val="95"/>
          <w:highlight w:val="none"/>
        </w:rPr>
      </w:pPr>
    </w:p>
    <w:p w14:paraId="4320BD3A">
      <w:pPr>
        <w:pStyle w:val="25"/>
        <w:ind w:firstLine="456"/>
        <w:rPr>
          <w:rFonts w:hint="eastAsia"/>
          <w:w w:val="95"/>
          <w:highlight w:val="none"/>
        </w:rPr>
      </w:pPr>
    </w:p>
    <w:p w14:paraId="7BDB381C">
      <w:pPr>
        <w:pStyle w:val="25"/>
        <w:ind w:firstLine="456"/>
        <w:jc w:val="center"/>
        <w:rPr>
          <w:rFonts w:hint="eastAsia"/>
          <w:w w:val="95"/>
          <w:highlight w:val="none"/>
        </w:rPr>
      </w:pPr>
    </w:p>
    <w:p w14:paraId="35FF86CB">
      <w:pPr>
        <w:pStyle w:val="25"/>
        <w:ind w:firstLine="0" w:firstLineChars="0"/>
        <w:jc w:val="center"/>
        <w:rPr>
          <w:rFonts w:hint="eastAsia"/>
          <w:sz w:val="30"/>
          <w:szCs w:val="30"/>
          <w:highlight w:val="none"/>
        </w:rPr>
      </w:pPr>
      <w:r>
        <w:rPr>
          <w:rFonts w:hint="eastAsia"/>
          <w:sz w:val="30"/>
          <w:szCs w:val="30"/>
          <w:highlight w:val="none"/>
        </w:rPr>
        <w:t>采购人：</w:t>
      </w:r>
      <w:bookmarkStart w:id="1" w:name="OLE_LINK39"/>
      <w:r>
        <w:rPr>
          <w:rFonts w:hint="eastAsia"/>
          <w:sz w:val="30"/>
          <w:szCs w:val="30"/>
          <w:highlight w:val="none"/>
        </w:rPr>
        <w:t>兴安县人民医院</w:t>
      </w:r>
      <w:bookmarkEnd w:id="1"/>
    </w:p>
    <w:p w14:paraId="5A25EC6A">
      <w:pPr>
        <w:pStyle w:val="25"/>
        <w:ind w:firstLine="0" w:firstLineChars="0"/>
        <w:jc w:val="center"/>
        <w:rPr>
          <w:rFonts w:hint="eastAsia"/>
          <w:sz w:val="30"/>
          <w:szCs w:val="30"/>
          <w:highlight w:val="none"/>
        </w:rPr>
      </w:pPr>
      <w:r>
        <w:rPr>
          <w:rFonts w:hint="eastAsia"/>
          <w:sz w:val="30"/>
          <w:szCs w:val="30"/>
          <w:highlight w:val="none"/>
        </w:rPr>
        <w:t>采购代理机构：广西</w:t>
      </w:r>
      <w:r>
        <w:rPr>
          <w:sz w:val="30"/>
          <w:szCs w:val="30"/>
          <w:highlight w:val="none"/>
        </w:rPr>
        <w:t>科文</w:t>
      </w:r>
      <w:r>
        <w:rPr>
          <w:rFonts w:hint="eastAsia"/>
          <w:sz w:val="30"/>
          <w:szCs w:val="30"/>
          <w:highlight w:val="none"/>
        </w:rPr>
        <w:t>招标有限公司</w:t>
      </w:r>
    </w:p>
    <w:p w14:paraId="047EA188">
      <w:pPr>
        <w:pStyle w:val="25"/>
        <w:ind w:firstLine="0" w:firstLineChars="0"/>
        <w:jc w:val="center"/>
        <w:rPr>
          <w:rFonts w:hint="eastAsia"/>
          <w:sz w:val="30"/>
          <w:szCs w:val="30"/>
          <w:highlight w:val="none"/>
        </w:rPr>
      </w:pPr>
      <w:r>
        <w:rPr>
          <w:rFonts w:hint="eastAsia"/>
          <w:sz w:val="30"/>
          <w:szCs w:val="30"/>
          <w:highlight w:val="none"/>
        </w:rPr>
        <w:t>2025年</w:t>
      </w:r>
      <w:r>
        <w:rPr>
          <w:rFonts w:hint="eastAsia"/>
          <w:sz w:val="30"/>
          <w:szCs w:val="30"/>
          <w:highlight w:val="none"/>
          <w:lang w:val="en-US" w:eastAsia="zh-CN"/>
        </w:rPr>
        <w:t>6</w:t>
      </w:r>
      <w:r>
        <w:rPr>
          <w:rFonts w:hint="eastAsia"/>
          <w:sz w:val="30"/>
          <w:szCs w:val="30"/>
          <w:highlight w:val="none"/>
        </w:rPr>
        <w:t>月</w:t>
      </w:r>
      <w:r>
        <w:rPr>
          <w:rFonts w:hint="eastAsia"/>
          <w:sz w:val="30"/>
          <w:szCs w:val="30"/>
          <w:highlight w:val="none"/>
          <w:lang w:val="en-US" w:eastAsia="zh-CN"/>
        </w:rPr>
        <w:t>17</w:t>
      </w:r>
      <w:r>
        <w:rPr>
          <w:rFonts w:hint="eastAsia"/>
          <w:sz w:val="30"/>
          <w:szCs w:val="30"/>
          <w:highlight w:val="none"/>
        </w:rPr>
        <w:t>日</w:t>
      </w:r>
    </w:p>
    <w:p w14:paraId="34F2463A">
      <w:pPr>
        <w:spacing w:line="360" w:lineRule="auto"/>
        <w:jc w:val="center"/>
        <w:rPr>
          <w:rFonts w:hint="eastAsia" w:ascii="仿宋" w:hAnsi="仿宋" w:eastAsia="仿宋"/>
          <w:b/>
          <w:sz w:val="44"/>
          <w:szCs w:val="44"/>
          <w:highlight w:val="none"/>
        </w:rPr>
      </w:pPr>
      <w:r>
        <w:rPr>
          <w:rFonts w:hint="eastAsia" w:ascii="仿宋" w:hAnsi="仿宋" w:eastAsia="仿宋"/>
          <w:b/>
          <w:sz w:val="44"/>
          <w:szCs w:val="44"/>
          <w:highlight w:val="none"/>
        </w:rPr>
        <w:t>目  录</w:t>
      </w:r>
    </w:p>
    <w:p w14:paraId="12BA4DC5">
      <w:pPr>
        <w:pStyle w:val="33"/>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219" w:firstLineChars="61"/>
        <w:textAlignment w:val="auto"/>
        <w:rPr>
          <w:rFonts w:hint="eastAsia" w:ascii="仿宋" w:hAnsi="仿宋" w:eastAsia="仿宋" w:cs="仿宋"/>
          <w:sz w:val="32"/>
          <w:szCs w:val="32"/>
          <w:highlight w:val="none"/>
        </w:rPr>
      </w:pPr>
      <w:r>
        <w:rPr>
          <w:rFonts w:ascii="仿宋" w:hAnsi="仿宋" w:eastAsia="仿宋"/>
          <w:b w:val="0"/>
          <w:sz w:val="36"/>
          <w:szCs w:val="36"/>
          <w:highlight w:val="none"/>
        </w:rPr>
        <w:fldChar w:fldCharType="begin"/>
      </w:r>
      <w:r>
        <w:rPr>
          <w:rFonts w:ascii="仿宋" w:hAnsi="仿宋" w:eastAsia="仿宋"/>
          <w:b w:val="0"/>
          <w:sz w:val="36"/>
          <w:szCs w:val="36"/>
          <w:highlight w:val="none"/>
        </w:rPr>
        <w:instrText xml:space="preserve"> </w:instrText>
      </w:r>
      <w:r>
        <w:rPr>
          <w:rFonts w:hint="eastAsia" w:ascii="仿宋" w:hAnsi="仿宋" w:eastAsia="仿宋"/>
          <w:b w:val="0"/>
          <w:sz w:val="36"/>
          <w:szCs w:val="36"/>
          <w:highlight w:val="none"/>
        </w:rPr>
        <w:instrText xml:space="preserve">TOC \o "1-2" \h \z \u</w:instrText>
      </w:r>
      <w:r>
        <w:rPr>
          <w:rFonts w:ascii="仿宋" w:hAnsi="仿宋" w:eastAsia="仿宋"/>
          <w:b w:val="0"/>
          <w:sz w:val="36"/>
          <w:szCs w:val="36"/>
          <w:highlight w:val="none"/>
        </w:rPr>
        <w:instrText xml:space="preserve"> </w:instrText>
      </w:r>
      <w:r>
        <w:rPr>
          <w:rFonts w:ascii="仿宋" w:hAnsi="仿宋" w:eastAsia="仿宋"/>
          <w:b w:val="0"/>
          <w:sz w:val="36"/>
          <w:szCs w:val="36"/>
          <w:highlight w:val="none"/>
        </w:rPr>
        <w:fldChar w:fldCharType="separate"/>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_Toc19327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xml:space="preserve">第一章 </w:t>
      </w:r>
      <w:r>
        <w:rPr>
          <w:rFonts w:hint="eastAsia" w:ascii="仿宋" w:hAnsi="仿宋" w:eastAsia="仿宋"/>
          <w:b w:val="0"/>
          <w:sz w:val="32"/>
          <w:szCs w:val="32"/>
          <w:highlight w:val="none"/>
          <w:lang w:val="en-US" w:eastAsia="zh-CN"/>
        </w:rPr>
        <w:t xml:space="preserve"> </w:t>
      </w:r>
      <w:r>
        <w:rPr>
          <w:rFonts w:hint="eastAsia" w:ascii="仿宋" w:hAnsi="仿宋" w:eastAsia="仿宋"/>
          <w:b w:val="0"/>
          <w:sz w:val="32"/>
          <w:szCs w:val="32"/>
          <w:highlight w:val="none"/>
        </w:rPr>
        <w:t>招标公告</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_Toc19327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- 1 -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14:paraId="4D4310C4">
      <w:pPr>
        <w:pStyle w:val="33"/>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rFonts w:hint="eastAsia" w:ascii="仿宋" w:hAnsi="仿宋" w:eastAsia="仿宋"/>
          <w:b w:val="0"/>
          <w:sz w:val="32"/>
          <w:szCs w:val="32"/>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_Toc31332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第二章  采购需求</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_Toc31332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- 5 -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14:paraId="6C3FF65A">
      <w:pPr>
        <w:pStyle w:val="33"/>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rFonts w:hint="eastAsia" w:ascii="仿宋" w:hAnsi="仿宋" w:eastAsia="仿宋"/>
          <w:b w:val="0"/>
          <w:sz w:val="32"/>
          <w:szCs w:val="32"/>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_Toc21766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第三章  投标人须知</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_Toc21766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- 33 -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14:paraId="10D354BE">
      <w:pPr>
        <w:pStyle w:val="33"/>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rFonts w:hint="eastAsia" w:ascii="仿宋" w:hAnsi="仿宋" w:eastAsia="仿宋"/>
          <w:b w:val="0"/>
          <w:sz w:val="32"/>
          <w:szCs w:val="32"/>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_Toc18970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第四章  评标方法及评标标准</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_Toc18970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- 55 -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14:paraId="18777238">
      <w:pPr>
        <w:pStyle w:val="33"/>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rFonts w:hint="eastAsia" w:ascii="仿宋" w:hAnsi="仿宋" w:eastAsia="仿宋"/>
          <w:b w:val="0"/>
          <w:sz w:val="32"/>
          <w:szCs w:val="32"/>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_Toc24990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第五章  拟签订的合同文本</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_Toc24990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- 63 -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14:paraId="4A470C82">
      <w:pPr>
        <w:pStyle w:val="33"/>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_Toc13518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第六章　投标文件格式</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_Toc13518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- 76 -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14:paraId="1AFCA7AE">
      <w:pPr>
        <w:spacing w:line="480" w:lineRule="auto"/>
        <w:jc w:val="center"/>
        <w:rPr>
          <w:rFonts w:hint="eastAsia" w:ascii="仿宋" w:hAnsi="仿宋" w:eastAsia="仿宋"/>
          <w:sz w:val="24"/>
          <w:highlight w:val="none"/>
        </w:rPr>
      </w:pPr>
      <w:r>
        <w:rPr>
          <w:rFonts w:ascii="仿宋" w:hAnsi="仿宋" w:eastAsia="仿宋"/>
          <w:szCs w:val="36"/>
          <w:highlight w:val="none"/>
        </w:rPr>
        <w:fldChar w:fldCharType="end"/>
      </w:r>
    </w:p>
    <w:p w14:paraId="74CF3D6C">
      <w:pPr>
        <w:spacing w:before="120" w:beforeLines="50" w:line="480" w:lineRule="exact"/>
        <w:rPr>
          <w:rFonts w:hint="eastAsia" w:ascii="仿宋" w:hAnsi="仿宋" w:eastAsia="仿宋"/>
          <w:sz w:val="30"/>
          <w:highlight w:val="none"/>
        </w:rPr>
      </w:pPr>
    </w:p>
    <w:p w14:paraId="289C47EC">
      <w:pPr>
        <w:pStyle w:val="16"/>
        <w:rPr>
          <w:rFonts w:hint="eastAsia" w:ascii="仿宋" w:hAnsi="仿宋" w:eastAsia="仿宋" w:cs="宋体"/>
          <w:b/>
          <w:bCs/>
          <w:highlight w:val="none"/>
        </w:rPr>
      </w:pPr>
      <w:bookmarkStart w:id="2" w:name="_Toc254970489"/>
      <w:bookmarkStart w:id="3" w:name="_Toc254970630"/>
    </w:p>
    <w:p w14:paraId="0846FF13">
      <w:pPr>
        <w:pStyle w:val="2"/>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cs="宋体"/>
          <w:b w:val="0"/>
          <w:bCs w:val="0"/>
          <w:highlight w:val="none"/>
        </w:rPr>
      </w:pPr>
    </w:p>
    <w:p w14:paraId="68B475A5">
      <w:pPr>
        <w:rPr>
          <w:highlight w:val="none"/>
        </w:rPr>
      </w:pPr>
    </w:p>
    <w:p w14:paraId="64C4BF11">
      <w:pPr>
        <w:rPr>
          <w:highlight w:val="none"/>
        </w:rPr>
      </w:pPr>
    </w:p>
    <w:p w14:paraId="76E951ED">
      <w:pPr>
        <w:rPr>
          <w:highlight w:val="none"/>
        </w:rPr>
      </w:pPr>
    </w:p>
    <w:p w14:paraId="11424C10">
      <w:pPr>
        <w:rPr>
          <w:highlight w:val="none"/>
        </w:rPr>
      </w:pPr>
    </w:p>
    <w:p w14:paraId="76580629">
      <w:pPr>
        <w:rPr>
          <w:highlight w:val="none"/>
        </w:rPr>
      </w:pPr>
    </w:p>
    <w:p w14:paraId="5BA8BE16">
      <w:pPr>
        <w:rPr>
          <w:highlight w:val="none"/>
        </w:rPr>
      </w:pPr>
    </w:p>
    <w:p w14:paraId="1996E78D">
      <w:pPr>
        <w:rPr>
          <w:highlight w:val="none"/>
        </w:rPr>
      </w:pPr>
    </w:p>
    <w:p w14:paraId="20E0D7DF">
      <w:pPr>
        <w:rPr>
          <w:highlight w:val="none"/>
        </w:rPr>
      </w:pPr>
    </w:p>
    <w:p w14:paraId="0C9115EE">
      <w:pPr>
        <w:rPr>
          <w:highlight w:val="none"/>
        </w:rPr>
      </w:pPr>
    </w:p>
    <w:p w14:paraId="1FB95427">
      <w:pPr>
        <w:pStyle w:val="2"/>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highlight w:val="none"/>
        </w:rPr>
        <w:sectPr>
          <w:footerReference r:id="rId7" w:type="first"/>
          <w:headerReference r:id="rId5" w:type="default"/>
          <w:footerReference r:id="rId6" w:type="even"/>
          <w:pgSz w:w="11906" w:h="16838"/>
          <w:pgMar w:top="907" w:right="955" w:bottom="907" w:left="1071" w:header="680" w:footer="510" w:gutter="0"/>
          <w:pgNumType w:fmt="numberInDash" w:start="0"/>
          <w:cols w:space="720" w:num="1"/>
          <w:titlePg/>
          <w:docGrid w:linePitch="312" w:charSpace="0"/>
        </w:sectPr>
      </w:pPr>
    </w:p>
    <w:p w14:paraId="21F0DAA6">
      <w:pPr>
        <w:pStyle w:val="2"/>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highlight w:val="none"/>
        </w:rPr>
      </w:pPr>
      <w:bookmarkStart w:id="4" w:name="_Toc19327"/>
      <w:r>
        <w:rPr>
          <w:rFonts w:hint="eastAsia" w:ascii="仿宋" w:hAnsi="仿宋" w:eastAsia="仿宋"/>
          <w:highlight w:val="none"/>
        </w:rPr>
        <w:t>第一章</w:t>
      </w:r>
      <w:bookmarkEnd w:id="2"/>
      <w:bookmarkEnd w:id="3"/>
      <w:bookmarkStart w:id="5" w:name="_Toc35393789"/>
      <w:bookmarkStart w:id="6" w:name="_Toc28359001"/>
      <w:r>
        <w:rPr>
          <w:rFonts w:hint="eastAsia" w:ascii="仿宋" w:hAnsi="仿宋" w:eastAsia="仿宋"/>
          <w:highlight w:val="none"/>
        </w:rPr>
        <w:t xml:space="preserve"> 招标公告</w:t>
      </w:r>
      <w:bookmarkEnd w:id="4"/>
      <w:bookmarkEnd w:id="5"/>
      <w:bookmarkEnd w:id="6"/>
    </w:p>
    <w:p w14:paraId="1BDBF58E">
      <w:pPr>
        <w:bidi w:val="0"/>
        <w:jc w:val="center"/>
        <w:rPr>
          <w:rFonts w:hint="eastAsia" w:ascii="仿宋" w:hAnsi="仿宋" w:eastAsia="仿宋" w:cs="仿宋"/>
          <w:b/>
          <w:bCs/>
          <w:sz w:val="30"/>
          <w:szCs w:val="30"/>
          <w:highlight w:val="none"/>
        </w:rPr>
      </w:pPr>
      <w:bookmarkStart w:id="7" w:name="OLE_LINK12"/>
      <w:bookmarkStart w:id="8" w:name="OLE_LINK38"/>
      <w:r>
        <w:rPr>
          <w:rFonts w:hint="eastAsia" w:ascii="仿宋" w:hAnsi="仿宋" w:eastAsia="仿宋" w:cs="仿宋"/>
          <w:b/>
          <w:bCs/>
          <w:sz w:val="30"/>
          <w:szCs w:val="30"/>
          <w:highlight w:val="none"/>
          <w:lang w:eastAsia="zh-CN"/>
        </w:rPr>
        <w:t>手术无影灯等医疗设备采购</w:t>
      </w:r>
      <w:r>
        <w:rPr>
          <w:rFonts w:hint="eastAsia" w:ascii="仿宋" w:hAnsi="仿宋" w:eastAsia="仿宋" w:cs="仿宋"/>
          <w:b/>
          <w:bCs/>
          <w:sz w:val="30"/>
          <w:szCs w:val="30"/>
          <w:highlight w:val="none"/>
        </w:rPr>
        <w:t>（</w:t>
      </w:r>
      <w:r>
        <w:rPr>
          <w:rFonts w:hint="eastAsia" w:ascii="仿宋" w:hAnsi="仿宋" w:eastAsia="仿宋" w:cs="仿宋"/>
          <w:b/>
          <w:bCs/>
          <w:sz w:val="30"/>
          <w:szCs w:val="30"/>
          <w:highlight w:val="none"/>
          <w:lang w:eastAsia="zh-CN"/>
        </w:rPr>
        <w:t>GLZC2025-G1-250039-KWZB</w:t>
      </w:r>
      <w:r>
        <w:rPr>
          <w:rFonts w:hint="eastAsia" w:ascii="仿宋" w:hAnsi="仿宋" w:eastAsia="仿宋" w:cs="仿宋"/>
          <w:b/>
          <w:bCs/>
          <w:sz w:val="30"/>
          <w:szCs w:val="30"/>
          <w:highlight w:val="none"/>
        </w:rPr>
        <w:t>）招标公告</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0"/>
      </w:tblGrid>
      <w:tr w14:paraId="1FE9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9540" w:type="dxa"/>
            <w:vAlign w:val="top"/>
          </w:tcPr>
          <w:p w14:paraId="032D87C3">
            <w:pPr>
              <w:keepNext w:val="0"/>
              <w:keepLines w:val="0"/>
              <w:pageBreakBefore w:val="0"/>
              <w:kinsoku/>
              <w:overflowPunct/>
              <w:topLinePunct w:val="0"/>
              <w:autoSpaceDE/>
              <w:autoSpaceDN/>
              <w:bidi w:val="0"/>
              <w:adjustRightInd/>
              <w:snapToGrid/>
              <w:spacing w:line="360" w:lineRule="exact"/>
              <w:textAlignment w:val="auto"/>
              <w:rPr>
                <w:rFonts w:hint="eastAsia" w:ascii="仿宋" w:hAnsi="仿宋" w:eastAsia="仿宋"/>
                <w:sz w:val="24"/>
                <w:highlight w:val="none"/>
              </w:rPr>
            </w:pPr>
            <w:r>
              <w:rPr>
                <w:rFonts w:hint="eastAsia" w:ascii="仿宋" w:hAnsi="仿宋" w:eastAsia="仿宋"/>
                <w:sz w:val="24"/>
                <w:highlight w:val="none"/>
              </w:rPr>
              <w:t>项目概况</w:t>
            </w:r>
          </w:p>
          <w:p w14:paraId="30AB9D89">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highlight w:val="none"/>
                <w:vertAlign w:val="baseline"/>
              </w:rPr>
            </w:pPr>
            <w:r>
              <w:rPr>
                <w:rFonts w:hint="eastAsia" w:ascii="仿宋" w:hAnsi="仿宋" w:eastAsia="仿宋"/>
                <w:sz w:val="24"/>
                <w:highlight w:val="none"/>
              </w:rPr>
              <w:t>手术无影灯等医疗设备采购招标项目的潜在投标人应在“广西政府采购云平台”（ https://www.gcy.zfcg.gxzf.gov.cn/）获取招标文件，并于2025年</w:t>
            </w:r>
            <w:r>
              <w:rPr>
                <w:rFonts w:hint="eastAsia" w:ascii="仿宋" w:hAnsi="仿宋" w:eastAsia="仿宋"/>
                <w:sz w:val="24"/>
                <w:highlight w:val="none"/>
                <w:lang w:val="en-US" w:eastAsia="zh-CN"/>
              </w:rPr>
              <w:t>7</w:t>
            </w:r>
            <w:r>
              <w:rPr>
                <w:rFonts w:hint="eastAsia" w:ascii="仿宋" w:hAnsi="仿宋" w:eastAsia="仿宋"/>
                <w:sz w:val="24"/>
                <w:highlight w:val="none"/>
              </w:rPr>
              <w:t>月</w:t>
            </w:r>
            <w:r>
              <w:rPr>
                <w:rFonts w:hint="eastAsia" w:ascii="仿宋" w:hAnsi="仿宋" w:eastAsia="仿宋"/>
                <w:sz w:val="24"/>
                <w:highlight w:val="none"/>
                <w:lang w:val="en-US" w:eastAsia="zh-CN"/>
              </w:rPr>
              <w:t>9</w:t>
            </w:r>
            <w:r>
              <w:rPr>
                <w:rFonts w:hint="eastAsia" w:ascii="仿宋" w:hAnsi="仿宋" w:eastAsia="仿宋"/>
                <w:sz w:val="24"/>
                <w:highlight w:val="none"/>
              </w:rPr>
              <w:t>日9：30（北京时间）前递交投标文件。</w:t>
            </w:r>
          </w:p>
        </w:tc>
      </w:tr>
    </w:tbl>
    <w:p w14:paraId="4A090F61">
      <w:pPr>
        <w:keepNext w:val="0"/>
        <w:keepLines w:val="0"/>
        <w:pageBreakBefore w:val="0"/>
        <w:widowControl w:val="0"/>
        <w:kinsoku/>
        <w:overflowPunct/>
        <w:topLinePunct w:val="0"/>
        <w:autoSpaceDE/>
        <w:autoSpaceDN/>
        <w:bidi w:val="0"/>
        <w:adjustRightInd/>
        <w:snapToGrid/>
        <w:spacing w:line="360" w:lineRule="exact"/>
        <w:textAlignment w:val="auto"/>
        <w:rPr>
          <w:rFonts w:hint="eastAsia"/>
          <w:highlight w:val="none"/>
        </w:rPr>
      </w:pPr>
    </w:p>
    <w:p w14:paraId="3E16D135">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仿宋" w:hAnsi="仿宋" w:eastAsia="仿宋"/>
          <w:b/>
          <w:bCs/>
          <w:sz w:val="24"/>
          <w:highlight w:val="none"/>
        </w:rPr>
      </w:pPr>
      <w:bookmarkStart w:id="9" w:name="_Toc28359079"/>
      <w:bookmarkStart w:id="10" w:name="_Toc35393621"/>
      <w:bookmarkStart w:id="11" w:name="_Toc35393790"/>
      <w:bookmarkStart w:id="12" w:name="_Toc28359002"/>
      <w:bookmarkStart w:id="13" w:name="_Hlk24379207"/>
      <w:r>
        <w:rPr>
          <w:rFonts w:hint="eastAsia" w:ascii="仿宋" w:hAnsi="仿宋" w:eastAsia="仿宋"/>
          <w:b/>
          <w:bCs/>
          <w:sz w:val="24"/>
          <w:highlight w:val="none"/>
        </w:rPr>
        <w:t>一、项目基本情况</w:t>
      </w:r>
      <w:bookmarkEnd w:id="9"/>
      <w:bookmarkEnd w:id="10"/>
      <w:bookmarkEnd w:id="11"/>
      <w:bookmarkEnd w:id="12"/>
    </w:p>
    <w:p w14:paraId="4992968B">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lang w:eastAsia="zh-CN"/>
        </w:rPr>
      </w:pPr>
      <w:r>
        <w:rPr>
          <w:rFonts w:hint="eastAsia" w:ascii="仿宋" w:hAnsi="仿宋" w:eastAsia="仿宋"/>
          <w:sz w:val="24"/>
          <w:highlight w:val="none"/>
        </w:rPr>
        <w:t>项目编号：</w:t>
      </w:r>
      <w:r>
        <w:rPr>
          <w:rFonts w:hint="eastAsia" w:ascii="仿宋" w:hAnsi="仿宋" w:eastAsia="仿宋"/>
          <w:sz w:val="24"/>
          <w:highlight w:val="none"/>
          <w:lang w:eastAsia="zh-CN"/>
        </w:rPr>
        <w:t>GLZC2025-G1-250039-KWZB</w:t>
      </w:r>
    </w:p>
    <w:p w14:paraId="6A2D6DCF">
      <w:pPr>
        <w:pStyle w:val="18"/>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highlight w:val="none"/>
          <w:lang w:eastAsia="zh-CN"/>
        </w:rPr>
      </w:pPr>
      <w:r>
        <w:rPr>
          <w:rFonts w:hint="eastAsia"/>
          <w:highlight w:val="none"/>
          <w:lang w:eastAsia="zh-CN"/>
        </w:rPr>
        <w:t>政府采购计划编号：XAZC2025-G1-00202</w:t>
      </w:r>
    </w:p>
    <w:p w14:paraId="31D3E406">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lang w:eastAsia="zh-CN"/>
        </w:rPr>
      </w:pPr>
      <w:r>
        <w:rPr>
          <w:rFonts w:hint="eastAsia" w:ascii="仿宋" w:hAnsi="仿宋" w:eastAsia="仿宋"/>
          <w:sz w:val="24"/>
          <w:highlight w:val="none"/>
        </w:rPr>
        <w:t>项目名称：</w:t>
      </w:r>
      <w:r>
        <w:rPr>
          <w:rFonts w:hint="eastAsia" w:ascii="仿宋" w:hAnsi="仿宋" w:eastAsia="仿宋" w:cs="Arial"/>
          <w:bCs/>
          <w:sz w:val="24"/>
          <w:highlight w:val="none"/>
          <w:lang w:eastAsia="zh-CN"/>
        </w:rPr>
        <w:t>手术无影灯等医疗设备采购</w:t>
      </w:r>
    </w:p>
    <w:bookmarkEnd w:id="13"/>
    <w:p w14:paraId="6A09BAC3">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预算总金额（元）：</w:t>
      </w:r>
      <w:r>
        <w:rPr>
          <w:rFonts w:hint="eastAsia" w:ascii="仿宋" w:hAnsi="仿宋" w:eastAsia="仿宋"/>
          <w:iCs/>
          <w:sz w:val="24"/>
          <w:highlight w:val="none"/>
          <w:lang w:val="en-US" w:eastAsia="zh-CN"/>
        </w:rPr>
        <w:t>1775000</w:t>
      </w:r>
      <w:r>
        <w:rPr>
          <w:rFonts w:ascii="仿宋" w:hAnsi="仿宋" w:eastAsia="仿宋"/>
          <w:iCs/>
          <w:sz w:val="24"/>
          <w:highlight w:val="none"/>
        </w:rPr>
        <w:t>.00</w:t>
      </w:r>
      <w:r>
        <w:rPr>
          <w:rFonts w:hint="eastAsia" w:ascii="仿宋" w:hAnsi="仿宋" w:eastAsia="仿宋"/>
          <w:sz w:val="24"/>
          <w:highlight w:val="none"/>
        </w:rPr>
        <w:t>元</w:t>
      </w:r>
    </w:p>
    <w:p w14:paraId="3FC04C54">
      <w:pPr>
        <w:pStyle w:val="18"/>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highlight w:val="none"/>
        </w:rPr>
      </w:pPr>
      <w:r>
        <w:rPr>
          <w:rFonts w:hint="eastAsia"/>
          <w:highlight w:val="none"/>
        </w:rPr>
        <w:t>最高限价（如有）：</w:t>
      </w:r>
      <w:r>
        <w:rPr>
          <w:rFonts w:hint="eastAsia" w:ascii="仿宋" w:hAnsi="仿宋" w:eastAsia="仿宋"/>
          <w:iCs/>
          <w:sz w:val="24"/>
          <w:highlight w:val="none"/>
          <w:lang w:val="en-US" w:eastAsia="zh-CN"/>
        </w:rPr>
        <w:t>177</w:t>
      </w:r>
      <w:r>
        <w:rPr>
          <w:rFonts w:hint="eastAsia"/>
          <w:iCs/>
          <w:sz w:val="24"/>
          <w:highlight w:val="none"/>
          <w:lang w:val="en-US" w:eastAsia="zh-CN"/>
        </w:rPr>
        <w:t>.</w:t>
      </w:r>
      <w:r>
        <w:rPr>
          <w:rFonts w:hint="eastAsia" w:ascii="仿宋" w:hAnsi="仿宋" w:eastAsia="仿宋"/>
          <w:iCs/>
          <w:sz w:val="24"/>
          <w:highlight w:val="none"/>
          <w:lang w:val="en-US" w:eastAsia="zh-CN"/>
        </w:rPr>
        <w:t>50</w:t>
      </w:r>
      <w:r>
        <w:rPr>
          <w:rFonts w:hint="eastAsia"/>
          <w:iCs/>
          <w:sz w:val="24"/>
          <w:highlight w:val="none"/>
          <w:lang w:val="en-US" w:eastAsia="zh-CN"/>
        </w:rPr>
        <w:t>万</w:t>
      </w:r>
      <w:r>
        <w:rPr>
          <w:rFonts w:hint="eastAsia"/>
          <w:highlight w:val="none"/>
        </w:rPr>
        <w:t>元</w:t>
      </w:r>
    </w:p>
    <w:p w14:paraId="1D254AAA">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项目需求：</w:t>
      </w:r>
    </w:p>
    <w:p w14:paraId="251DDE7B">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 xml:space="preserve">标项一 </w:t>
      </w:r>
    </w:p>
    <w:p w14:paraId="64B82D30">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标项名称:A</w:t>
      </w:r>
    </w:p>
    <w:p w14:paraId="1CA3FE87">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数量:不限</w:t>
      </w:r>
    </w:p>
    <w:p w14:paraId="3A1F3EE8">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预算金额（元）:</w:t>
      </w:r>
      <w:r>
        <w:rPr>
          <w:rFonts w:hint="eastAsia" w:ascii="仿宋" w:hAnsi="仿宋" w:eastAsia="仿宋"/>
          <w:sz w:val="24"/>
          <w:highlight w:val="none"/>
          <w:lang w:val="en-US" w:eastAsia="zh-CN"/>
        </w:rPr>
        <w:t>105</w:t>
      </w:r>
      <w:r>
        <w:rPr>
          <w:rFonts w:hint="eastAsia" w:ascii="仿宋" w:hAnsi="仿宋" w:eastAsia="仿宋"/>
          <w:sz w:val="24"/>
          <w:highlight w:val="none"/>
        </w:rPr>
        <w:t>0000.00</w:t>
      </w:r>
    </w:p>
    <w:p w14:paraId="24FBA01F">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简要规格描述或项目基本概况介绍、用途：手术无影灯</w:t>
      </w:r>
      <w:r>
        <w:rPr>
          <w:rFonts w:hint="eastAsia" w:ascii="仿宋" w:hAnsi="仿宋" w:eastAsia="仿宋"/>
          <w:sz w:val="24"/>
          <w:highlight w:val="none"/>
          <w:lang w:val="en-US" w:eastAsia="zh-CN"/>
        </w:rPr>
        <w:t>8</w:t>
      </w:r>
      <w:r>
        <w:rPr>
          <w:rFonts w:hint="eastAsia" w:ascii="仿宋" w:hAnsi="仿宋" w:eastAsia="仿宋"/>
          <w:sz w:val="24"/>
          <w:highlight w:val="none"/>
        </w:rPr>
        <w:t>套</w:t>
      </w:r>
      <w:r>
        <w:rPr>
          <w:rFonts w:hint="eastAsia" w:ascii="仿宋" w:hAnsi="仿宋" w:eastAsia="仿宋"/>
          <w:sz w:val="24"/>
          <w:highlight w:val="none"/>
          <w:lang w:eastAsia="zh-CN"/>
        </w:rPr>
        <w:t>、</w:t>
      </w:r>
      <w:r>
        <w:rPr>
          <w:rFonts w:hint="eastAsia" w:ascii="仿宋" w:hAnsi="仿宋" w:eastAsia="仿宋"/>
          <w:sz w:val="24"/>
          <w:highlight w:val="none"/>
        </w:rPr>
        <w:t>双通道注射泵2台</w:t>
      </w:r>
      <w:r>
        <w:rPr>
          <w:rFonts w:hint="eastAsia" w:ascii="仿宋" w:hAnsi="仿宋" w:eastAsia="仿宋"/>
          <w:sz w:val="24"/>
          <w:highlight w:val="none"/>
          <w:lang w:eastAsia="zh-CN"/>
        </w:rPr>
        <w:t>、</w:t>
      </w:r>
      <w:r>
        <w:rPr>
          <w:rFonts w:hint="eastAsia" w:ascii="仿宋" w:hAnsi="仿宋" w:eastAsia="仿宋"/>
          <w:sz w:val="24"/>
          <w:highlight w:val="none"/>
        </w:rPr>
        <w:t>麻醉机1台</w:t>
      </w:r>
      <w:r>
        <w:rPr>
          <w:rFonts w:hint="eastAsia" w:ascii="仿宋" w:hAnsi="仿宋" w:eastAsia="仿宋"/>
          <w:sz w:val="24"/>
          <w:highlight w:val="none"/>
          <w:lang w:eastAsia="zh-CN"/>
        </w:rPr>
        <w:t>、</w:t>
      </w:r>
      <w:r>
        <w:rPr>
          <w:rFonts w:hint="eastAsia" w:ascii="仿宋" w:hAnsi="仿宋" w:eastAsia="仿宋"/>
          <w:sz w:val="24"/>
          <w:highlight w:val="none"/>
        </w:rPr>
        <w:t>医用升温毯1张，具体要求详见招标文件。</w:t>
      </w:r>
    </w:p>
    <w:p w14:paraId="1D95EB14">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default" w:ascii="仿宋" w:hAnsi="仿宋" w:eastAsia="仿宋"/>
          <w:sz w:val="24"/>
          <w:highlight w:val="none"/>
          <w:lang w:val="en-US" w:eastAsia="zh-CN"/>
        </w:rPr>
      </w:pPr>
      <w:r>
        <w:rPr>
          <w:rFonts w:hint="eastAsia" w:ascii="仿宋" w:hAnsi="仿宋" w:eastAsia="仿宋"/>
          <w:sz w:val="24"/>
          <w:highlight w:val="none"/>
        </w:rPr>
        <w:t>最高限价（如有）：</w:t>
      </w:r>
      <w:r>
        <w:rPr>
          <w:rFonts w:hint="eastAsia" w:ascii="仿宋" w:hAnsi="仿宋" w:eastAsia="仿宋"/>
          <w:sz w:val="24"/>
          <w:highlight w:val="none"/>
          <w:lang w:val="en-US" w:eastAsia="zh-CN"/>
        </w:rPr>
        <w:t>105.</w:t>
      </w:r>
      <w:r>
        <w:rPr>
          <w:rFonts w:hint="eastAsia" w:ascii="仿宋" w:hAnsi="仿宋" w:eastAsia="仿宋"/>
          <w:sz w:val="24"/>
          <w:highlight w:val="none"/>
        </w:rPr>
        <w:t>00</w:t>
      </w:r>
      <w:r>
        <w:rPr>
          <w:rFonts w:hint="eastAsia" w:ascii="仿宋" w:hAnsi="仿宋" w:eastAsia="仿宋"/>
          <w:sz w:val="24"/>
          <w:highlight w:val="none"/>
          <w:lang w:val="en-US" w:eastAsia="zh-CN"/>
        </w:rPr>
        <w:t>万元</w:t>
      </w:r>
    </w:p>
    <w:p w14:paraId="59BB2CA3">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合同履约期限：</w:t>
      </w: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30</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个日历日内，安装调试完毕并交付使用。</w:t>
      </w:r>
    </w:p>
    <w:p w14:paraId="519A287A">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本标项（否）接受联合体投标</w:t>
      </w:r>
    </w:p>
    <w:p w14:paraId="357C8733">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备注：</w:t>
      </w:r>
    </w:p>
    <w:p w14:paraId="433E441A">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p>
    <w:p w14:paraId="29578E70">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 xml:space="preserve">标项二 </w:t>
      </w:r>
    </w:p>
    <w:p w14:paraId="1F9E015C">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标项名称:B</w:t>
      </w:r>
    </w:p>
    <w:p w14:paraId="2E457AC4">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数量:不限</w:t>
      </w:r>
    </w:p>
    <w:p w14:paraId="51E8C309">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预算金额（元）:</w:t>
      </w:r>
      <w:r>
        <w:rPr>
          <w:rFonts w:hint="eastAsia" w:ascii="仿宋" w:hAnsi="仿宋" w:eastAsia="仿宋"/>
          <w:sz w:val="24"/>
          <w:highlight w:val="none"/>
          <w:lang w:val="en-US" w:eastAsia="zh-CN"/>
        </w:rPr>
        <w:t>4200</w:t>
      </w:r>
      <w:r>
        <w:rPr>
          <w:rFonts w:hint="eastAsia" w:ascii="仿宋" w:hAnsi="仿宋" w:eastAsia="仿宋"/>
          <w:sz w:val="24"/>
          <w:highlight w:val="none"/>
        </w:rPr>
        <w:t>00.00</w:t>
      </w:r>
    </w:p>
    <w:p w14:paraId="3A981491">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简要规格描述或项目基本概况介绍、用途：血气分析仪1套</w:t>
      </w:r>
      <w:r>
        <w:rPr>
          <w:rFonts w:hint="eastAsia" w:ascii="仿宋" w:hAnsi="仿宋" w:eastAsia="仿宋"/>
          <w:sz w:val="24"/>
          <w:highlight w:val="none"/>
          <w:lang w:eastAsia="zh-CN"/>
        </w:rPr>
        <w:t>、</w:t>
      </w:r>
      <w:r>
        <w:rPr>
          <w:rFonts w:hint="eastAsia" w:ascii="仿宋" w:hAnsi="仿宋" w:eastAsia="仿宋"/>
          <w:sz w:val="24"/>
          <w:highlight w:val="none"/>
        </w:rPr>
        <w:t>全自动清洗消毒器1套，具体要求详见招标文件。</w:t>
      </w:r>
    </w:p>
    <w:p w14:paraId="13222971">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default" w:ascii="仿宋" w:hAnsi="仿宋" w:eastAsia="仿宋"/>
          <w:sz w:val="24"/>
          <w:highlight w:val="none"/>
          <w:lang w:val="en-US" w:eastAsia="zh-CN"/>
        </w:rPr>
      </w:pPr>
      <w:r>
        <w:rPr>
          <w:rFonts w:hint="eastAsia" w:ascii="仿宋" w:hAnsi="仿宋" w:eastAsia="仿宋"/>
          <w:sz w:val="24"/>
          <w:highlight w:val="none"/>
        </w:rPr>
        <w:t>最高限价（如有）：</w:t>
      </w:r>
      <w:r>
        <w:rPr>
          <w:rFonts w:hint="eastAsia" w:ascii="仿宋" w:hAnsi="仿宋" w:eastAsia="仿宋"/>
          <w:sz w:val="24"/>
          <w:highlight w:val="none"/>
          <w:lang w:val="en-US" w:eastAsia="zh-CN"/>
        </w:rPr>
        <w:t>42.</w:t>
      </w:r>
      <w:r>
        <w:rPr>
          <w:rFonts w:hint="eastAsia" w:ascii="仿宋" w:hAnsi="仿宋" w:eastAsia="仿宋"/>
          <w:sz w:val="24"/>
          <w:highlight w:val="none"/>
        </w:rPr>
        <w:t>00</w:t>
      </w:r>
      <w:r>
        <w:rPr>
          <w:rFonts w:hint="eastAsia" w:ascii="仿宋" w:hAnsi="仿宋" w:eastAsia="仿宋"/>
          <w:sz w:val="24"/>
          <w:highlight w:val="none"/>
          <w:lang w:val="en-US" w:eastAsia="zh-CN"/>
        </w:rPr>
        <w:t>万元</w:t>
      </w:r>
    </w:p>
    <w:p w14:paraId="37FA3ECF">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合同履约期限：</w:t>
      </w: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30</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个日历日内，安装调试完毕并交付使用。</w:t>
      </w:r>
    </w:p>
    <w:p w14:paraId="56503137">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本标项（否）接受联合体投标</w:t>
      </w:r>
    </w:p>
    <w:p w14:paraId="0B5F2B73">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备注：</w:t>
      </w:r>
    </w:p>
    <w:p w14:paraId="3C45FBC2">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p>
    <w:p w14:paraId="50903166">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 xml:space="preserve">标项三 </w:t>
      </w:r>
    </w:p>
    <w:p w14:paraId="2EA77BFC">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标项名称:C</w:t>
      </w:r>
    </w:p>
    <w:p w14:paraId="4DF9A9BB">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数量:不限</w:t>
      </w:r>
    </w:p>
    <w:p w14:paraId="311C7E00">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预算金额（元）:</w:t>
      </w:r>
      <w:r>
        <w:rPr>
          <w:rFonts w:hint="eastAsia" w:ascii="仿宋" w:hAnsi="仿宋" w:eastAsia="仿宋"/>
          <w:sz w:val="24"/>
          <w:highlight w:val="none"/>
          <w:lang w:val="en-US" w:eastAsia="zh-CN"/>
        </w:rPr>
        <w:t>305</w:t>
      </w:r>
      <w:r>
        <w:rPr>
          <w:rFonts w:hint="eastAsia" w:ascii="仿宋" w:hAnsi="仿宋" w:eastAsia="仿宋"/>
          <w:sz w:val="24"/>
          <w:highlight w:val="none"/>
        </w:rPr>
        <w:t>000.00</w:t>
      </w:r>
    </w:p>
    <w:p w14:paraId="7F9BD4F7">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简要规格描述或项目基本概况介绍、用途：体外除颤监护仪1台</w:t>
      </w:r>
      <w:r>
        <w:rPr>
          <w:rFonts w:hint="eastAsia" w:ascii="仿宋" w:hAnsi="仿宋" w:eastAsia="仿宋"/>
          <w:sz w:val="24"/>
          <w:highlight w:val="none"/>
          <w:lang w:eastAsia="zh-CN"/>
        </w:rPr>
        <w:t>、</w:t>
      </w:r>
      <w:r>
        <w:rPr>
          <w:rFonts w:hint="eastAsia" w:ascii="仿宋" w:hAnsi="仿宋" w:eastAsia="仿宋"/>
          <w:sz w:val="24"/>
          <w:highlight w:val="none"/>
        </w:rPr>
        <w:t>双通道注射泵1台</w:t>
      </w:r>
      <w:r>
        <w:rPr>
          <w:rFonts w:hint="eastAsia" w:ascii="仿宋" w:hAnsi="仿宋" w:eastAsia="仿宋"/>
          <w:sz w:val="24"/>
          <w:highlight w:val="none"/>
          <w:lang w:eastAsia="zh-CN"/>
        </w:rPr>
        <w:t>、</w:t>
      </w:r>
      <w:r>
        <w:rPr>
          <w:rFonts w:hint="eastAsia" w:ascii="仿宋" w:hAnsi="仿宋" w:eastAsia="仿宋"/>
          <w:sz w:val="24"/>
          <w:highlight w:val="none"/>
        </w:rPr>
        <w:t>便携式超声机1台，具体要求详见招标文件。</w:t>
      </w:r>
    </w:p>
    <w:p w14:paraId="14EC5866">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default" w:ascii="仿宋" w:hAnsi="仿宋" w:eastAsia="仿宋"/>
          <w:sz w:val="24"/>
          <w:highlight w:val="none"/>
          <w:lang w:val="en-US" w:eastAsia="zh-CN"/>
        </w:rPr>
      </w:pPr>
      <w:r>
        <w:rPr>
          <w:rFonts w:hint="eastAsia" w:ascii="仿宋" w:hAnsi="仿宋" w:eastAsia="仿宋"/>
          <w:sz w:val="24"/>
          <w:highlight w:val="none"/>
        </w:rPr>
        <w:t>最高限价（如有）：</w:t>
      </w:r>
      <w:r>
        <w:rPr>
          <w:rFonts w:hint="eastAsia" w:ascii="仿宋" w:hAnsi="仿宋" w:eastAsia="仿宋"/>
          <w:sz w:val="24"/>
          <w:highlight w:val="none"/>
          <w:lang w:val="en-US" w:eastAsia="zh-CN"/>
        </w:rPr>
        <w:t>30.5</w:t>
      </w:r>
      <w:r>
        <w:rPr>
          <w:rFonts w:hint="eastAsia" w:ascii="仿宋" w:hAnsi="仿宋" w:eastAsia="仿宋"/>
          <w:sz w:val="24"/>
          <w:highlight w:val="none"/>
        </w:rPr>
        <w:t>0</w:t>
      </w:r>
      <w:r>
        <w:rPr>
          <w:rFonts w:hint="eastAsia" w:ascii="仿宋" w:hAnsi="仿宋" w:eastAsia="仿宋"/>
          <w:sz w:val="24"/>
          <w:highlight w:val="none"/>
          <w:lang w:val="en-US" w:eastAsia="zh-CN"/>
        </w:rPr>
        <w:t>万元</w:t>
      </w:r>
    </w:p>
    <w:p w14:paraId="0AEF460E">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合同履约期限：</w:t>
      </w: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30</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个日历日内，安装调试完毕并交付使用。</w:t>
      </w:r>
    </w:p>
    <w:p w14:paraId="4A541CE6">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本标项（否）接受联合体投标</w:t>
      </w:r>
    </w:p>
    <w:p w14:paraId="752275ED">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备注：</w:t>
      </w:r>
    </w:p>
    <w:p w14:paraId="22191535">
      <w:pPr>
        <w:pStyle w:val="18"/>
        <w:keepNext w:val="0"/>
        <w:keepLines w:val="0"/>
        <w:pageBreakBefore w:val="0"/>
        <w:widowControl w:val="0"/>
        <w:kinsoku/>
        <w:overflowPunct/>
        <w:topLinePunct w:val="0"/>
        <w:autoSpaceDE/>
        <w:autoSpaceDN/>
        <w:bidi w:val="0"/>
        <w:adjustRightInd/>
        <w:snapToGrid/>
        <w:spacing w:line="360" w:lineRule="exact"/>
        <w:textAlignment w:val="auto"/>
        <w:rPr>
          <w:rFonts w:hint="eastAsia"/>
          <w:highlight w:val="none"/>
        </w:rPr>
      </w:pPr>
    </w:p>
    <w:p w14:paraId="0A1F5E9D">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仿宋" w:hAnsi="仿宋" w:eastAsia="仿宋"/>
          <w:b/>
          <w:bCs/>
          <w:sz w:val="24"/>
          <w:highlight w:val="none"/>
        </w:rPr>
      </w:pPr>
      <w:bookmarkStart w:id="14" w:name="_Toc35393791"/>
      <w:bookmarkStart w:id="15" w:name="_Toc35393622"/>
      <w:bookmarkStart w:id="16" w:name="_Toc28359080"/>
      <w:bookmarkStart w:id="17" w:name="_Toc28359003"/>
      <w:r>
        <w:rPr>
          <w:rFonts w:hint="eastAsia" w:ascii="仿宋" w:hAnsi="仿宋" w:eastAsia="仿宋"/>
          <w:b/>
          <w:bCs/>
          <w:sz w:val="24"/>
          <w:highlight w:val="none"/>
        </w:rPr>
        <w:t>二、申请人的资格要求：</w:t>
      </w:r>
      <w:bookmarkEnd w:id="14"/>
      <w:bookmarkEnd w:id="15"/>
      <w:bookmarkEnd w:id="16"/>
      <w:bookmarkEnd w:id="17"/>
    </w:p>
    <w:p w14:paraId="466D7E87">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bookmarkStart w:id="18" w:name="_Hlk51746371"/>
      <w:bookmarkStart w:id="19" w:name="_Toc28359004"/>
      <w:bookmarkStart w:id="20" w:name="_Toc28359081"/>
      <w:r>
        <w:rPr>
          <w:rFonts w:hint="eastAsia" w:ascii="仿宋" w:hAnsi="仿宋" w:eastAsia="仿宋"/>
          <w:sz w:val="24"/>
          <w:highlight w:val="none"/>
        </w:rPr>
        <w:t>1、满足《中华人民共和国政府采购法》第二十二条规定；</w:t>
      </w:r>
    </w:p>
    <w:p w14:paraId="71A2A911">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、落实政府采购政策需满足的资格要求：分标1</w:t>
      </w:r>
      <w:r>
        <w:rPr>
          <w:rFonts w:hint="eastAsia" w:ascii="仿宋" w:hAnsi="仿宋" w:eastAsia="仿宋"/>
          <w:sz w:val="24"/>
          <w:highlight w:val="none"/>
          <w:lang w:eastAsia="zh-CN"/>
        </w:rPr>
        <w:t>、</w:t>
      </w:r>
      <w:r>
        <w:rPr>
          <w:rFonts w:hint="eastAsia" w:ascii="仿宋" w:hAnsi="仿宋" w:eastAsia="仿宋"/>
          <w:sz w:val="24"/>
          <w:highlight w:val="none"/>
          <w:lang w:val="en-US" w:eastAsia="zh-CN"/>
        </w:rPr>
        <w:t>分标2、分标3</w:t>
      </w:r>
      <w:r>
        <w:rPr>
          <w:rFonts w:hint="eastAsia" w:ascii="仿宋" w:hAnsi="仿宋" w:eastAsia="仿宋"/>
          <w:sz w:val="24"/>
          <w:highlight w:val="none"/>
        </w:rPr>
        <w:t>：无</w:t>
      </w:r>
    </w:p>
    <w:p w14:paraId="5730D8C0">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r>
        <w:rPr>
          <w:rFonts w:hint="eastAsia" w:ascii="仿宋" w:hAnsi="仿宋" w:eastAsia="仿宋"/>
          <w:sz w:val="24"/>
          <w:highlight w:val="none"/>
        </w:rPr>
        <w:t>3、本项目的特定资格要求：供应商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p>
    <w:bookmarkEnd w:id="18"/>
    <w:p w14:paraId="1F9506E3">
      <w:pPr>
        <w:keepNext w:val="0"/>
        <w:keepLines w:val="0"/>
        <w:pageBreakBefore w:val="0"/>
        <w:widowControl w:val="0"/>
        <w:kinsoku/>
        <w:overflowPunct/>
        <w:topLinePunct w:val="0"/>
        <w:autoSpaceDE/>
        <w:autoSpaceDN/>
        <w:bidi w:val="0"/>
        <w:adjustRightInd/>
        <w:snapToGrid/>
        <w:spacing w:line="360" w:lineRule="exact"/>
        <w:textAlignment w:val="auto"/>
        <w:rPr>
          <w:rFonts w:hint="eastAsia" w:ascii="仿宋" w:hAnsi="仿宋" w:eastAsia="仿宋"/>
          <w:b/>
          <w:bCs/>
          <w:sz w:val="24"/>
          <w:highlight w:val="none"/>
        </w:rPr>
      </w:pPr>
      <w:bookmarkStart w:id="21" w:name="_Toc35393792"/>
      <w:bookmarkStart w:id="22" w:name="_Toc35393623"/>
      <w:r>
        <w:rPr>
          <w:rFonts w:hint="eastAsia" w:ascii="仿宋" w:hAnsi="仿宋" w:eastAsia="仿宋"/>
          <w:b/>
          <w:bCs/>
          <w:sz w:val="24"/>
          <w:highlight w:val="none"/>
        </w:rPr>
        <w:t>三、</w:t>
      </w:r>
      <w:bookmarkStart w:id="23" w:name="OLE_LINK15"/>
      <w:r>
        <w:rPr>
          <w:rFonts w:hint="eastAsia" w:ascii="仿宋" w:hAnsi="仿宋" w:eastAsia="仿宋"/>
          <w:b/>
          <w:bCs/>
          <w:sz w:val="24"/>
          <w:highlight w:val="none"/>
        </w:rPr>
        <w:t>获取招标文件</w:t>
      </w:r>
      <w:bookmarkEnd w:id="19"/>
      <w:bookmarkEnd w:id="20"/>
      <w:bookmarkEnd w:id="21"/>
      <w:bookmarkEnd w:id="22"/>
      <w:bookmarkEnd w:id="23"/>
    </w:p>
    <w:p w14:paraId="54E8370C">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bCs/>
          <w:kern w:val="0"/>
          <w:sz w:val="24"/>
          <w:highlight w:val="none"/>
        </w:rPr>
      </w:pPr>
      <w:r>
        <w:rPr>
          <w:rFonts w:hint="eastAsia" w:ascii="仿宋" w:hAnsi="仿宋" w:eastAsia="仿宋" w:cs="宋体"/>
          <w:bCs/>
          <w:kern w:val="0"/>
          <w:sz w:val="24"/>
          <w:highlight w:val="none"/>
        </w:rPr>
        <w:t>时间：</w:t>
      </w:r>
      <w:r>
        <w:rPr>
          <w:rFonts w:ascii="仿宋" w:hAnsi="仿宋" w:eastAsia="仿宋" w:cs="Arial"/>
          <w:sz w:val="24"/>
          <w:highlight w:val="none"/>
        </w:rPr>
        <w:t>/</w:t>
      </w:r>
      <w:r>
        <w:rPr>
          <w:rFonts w:hint="eastAsia" w:ascii="仿宋" w:hAnsi="仿宋" w:eastAsia="仿宋" w:cs="Arial"/>
          <w:sz w:val="24"/>
          <w:highlight w:val="none"/>
        </w:rPr>
        <w:t>至</w:t>
      </w:r>
      <w:r>
        <w:rPr>
          <w:rFonts w:hint="eastAsia" w:ascii="仿宋" w:hAnsi="仿宋" w:eastAsia="仿宋" w:cs="Arial"/>
          <w:sz w:val="24"/>
          <w:highlight w:val="none"/>
          <w:lang w:eastAsia="zh-CN"/>
        </w:rPr>
        <w:t>2025年</w:t>
      </w:r>
      <w:r>
        <w:rPr>
          <w:rFonts w:hint="eastAsia" w:ascii="仿宋" w:hAnsi="仿宋" w:eastAsia="仿宋" w:cs="Arial"/>
          <w:sz w:val="24"/>
          <w:highlight w:val="none"/>
          <w:lang w:val="en-US" w:eastAsia="zh-CN"/>
        </w:rPr>
        <w:t>6</w:t>
      </w:r>
      <w:r>
        <w:rPr>
          <w:rFonts w:hint="eastAsia" w:ascii="仿宋" w:hAnsi="仿宋" w:eastAsia="仿宋" w:cs="Arial"/>
          <w:sz w:val="24"/>
          <w:highlight w:val="none"/>
          <w:lang w:eastAsia="zh-CN"/>
        </w:rPr>
        <w:t>月</w:t>
      </w:r>
      <w:r>
        <w:rPr>
          <w:rFonts w:hint="eastAsia" w:ascii="仿宋" w:hAnsi="仿宋" w:eastAsia="仿宋" w:cs="Arial"/>
          <w:sz w:val="24"/>
          <w:highlight w:val="none"/>
          <w:lang w:val="en-US" w:eastAsia="zh-CN"/>
        </w:rPr>
        <w:t>25</w:t>
      </w:r>
      <w:r>
        <w:rPr>
          <w:rFonts w:hint="eastAsia" w:ascii="仿宋" w:hAnsi="仿宋" w:eastAsia="仿宋" w:cs="Arial"/>
          <w:sz w:val="24"/>
          <w:highlight w:val="none"/>
          <w:lang w:eastAsia="zh-CN"/>
        </w:rPr>
        <w:t>日</w:t>
      </w:r>
      <w:r>
        <w:rPr>
          <w:rFonts w:hint="eastAsia" w:ascii="仿宋" w:hAnsi="仿宋" w:eastAsia="仿宋" w:cs="Arial"/>
          <w:sz w:val="24"/>
          <w:highlight w:val="none"/>
        </w:rPr>
        <w:t>，每天上午00:00至</w:t>
      </w:r>
      <w:r>
        <w:rPr>
          <w:rFonts w:ascii="仿宋" w:hAnsi="仿宋" w:eastAsia="仿宋" w:cs="Arial"/>
          <w:sz w:val="24"/>
          <w:highlight w:val="none"/>
        </w:rPr>
        <w:t>12</w:t>
      </w:r>
      <w:r>
        <w:rPr>
          <w:rFonts w:hint="eastAsia" w:ascii="仿宋" w:hAnsi="仿宋" w:eastAsia="仿宋" w:cs="Arial"/>
          <w:sz w:val="24"/>
          <w:highlight w:val="none"/>
        </w:rPr>
        <w:t>:</w:t>
      </w:r>
      <w:r>
        <w:rPr>
          <w:rFonts w:ascii="仿宋" w:hAnsi="仿宋" w:eastAsia="仿宋" w:cs="Arial"/>
          <w:sz w:val="24"/>
          <w:highlight w:val="none"/>
        </w:rPr>
        <w:t>00</w:t>
      </w:r>
      <w:r>
        <w:rPr>
          <w:rFonts w:hint="eastAsia" w:ascii="仿宋" w:hAnsi="仿宋" w:eastAsia="仿宋" w:cs="Arial"/>
          <w:sz w:val="24"/>
          <w:highlight w:val="none"/>
        </w:rPr>
        <w:t>；下午12:0</w:t>
      </w:r>
      <w:r>
        <w:rPr>
          <w:rFonts w:ascii="仿宋" w:hAnsi="仿宋" w:eastAsia="仿宋" w:cs="Arial"/>
          <w:sz w:val="24"/>
          <w:highlight w:val="none"/>
        </w:rPr>
        <w:t>1</w:t>
      </w:r>
      <w:r>
        <w:rPr>
          <w:rFonts w:hint="eastAsia" w:ascii="仿宋" w:hAnsi="仿宋" w:eastAsia="仿宋" w:cs="Arial"/>
          <w:sz w:val="24"/>
          <w:highlight w:val="none"/>
        </w:rPr>
        <w:t>-23:59（北京时间，</w:t>
      </w:r>
      <w:r>
        <w:rPr>
          <w:rFonts w:ascii="仿宋" w:hAnsi="仿宋" w:eastAsia="仿宋" w:cs="Arial"/>
          <w:sz w:val="24"/>
          <w:highlight w:val="none"/>
        </w:rPr>
        <w:t>法定节假日</w:t>
      </w:r>
      <w:r>
        <w:rPr>
          <w:rFonts w:hint="eastAsia" w:ascii="仿宋" w:hAnsi="仿宋" w:eastAsia="仿宋" w:cs="Arial"/>
          <w:sz w:val="24"/>
          <w:highlight w:val="none"/>
        </w:rPr>
        <w:t>除外）</w:t>
      </w:r>
    </w:p>
    <w:p w14:paraId="7E022E5B">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bCs/>
          <w:kern w:val="0"/>
          <w:sz w:val="24"/>
          <w:highlight w:val="none"/>
        </w:rPr>
      </w:pPr>
      <w:r>
        <w:rPr>
          <w:rFonts w:hint="eastAsia" w:ascii="仿宋" w:hAnsi="仿宋" w:eastAsia="仿宋" w:cs="宋体"/>
          <w:bCs/>
          <w:kern w:val="0"/>
          <w:sz w:val="24"/>
          <w:highlight w:val="none"/>
        </w:rPr>
        <w:t>地点（网址）：广西政府采购云平台（</w:t>
      </w:r>
      <w:r>
        <w:rPr>
          <w:rFonts w:ascii="仿宋" w:hAnsi="仿宋" w:eastAsia="仿宋" w:cs="宋体"/>
          <w:bCs/>
          <w:kern w:val="0"/>
          <w:sz w:val="24"/>
          <w:highlight w:val="none"/>
        </w:rPr>
        <w:t>https://www.gcy.zfcg.gxzf.gov.cn/</w:t>
      </w:r>
      <w:r>
        <w:rPr>
          <w:rFonts w:hint="eastAsia" w:ascii="仿宋" w:hAnsi="仿宋" w:eastAsia="仿宋" w:cs="宋体"/>
          <w:bCs/>
          <w:kern w:val="0"/>
          <w:sz w:val="24"/>
          <w:highlight w:val="none"/>
        </w:rPr>
        <w:t>）</w:t>
      </w:r>
    </w:p>
    <w:p w14:paraId="5C907C4A">
      <w:pPr>
        <w:keepNext w:val="0"/>
        <w:keepLines w:val="0"/>
        <w:pageBreakBefore w:val="0"/>
        <w:widowControl w:val="0"/>
        <w:kinsoku/>
        <w:wordWrap w:val="0"/>
        <w:overflowPunct/>
        <w:topLinePunct w:val="0"/>
        <w:autoSpaceDE/>
        <w:autoSpaceDN/>
        <w:bidi w:val="0"/>
        <w:adjustRightInd/>
        <w:snapToGrid/>
        <w:spacing w:line="360" w:lineRule="exact"/>
        <w:ind w:firstLine="480" w:firstLineChars="200"/>
        <w:textAlignment w:val="auto"/>
        <w:rPr>
          <w:rFonts w:hint="eastAsia" w:ascii="仿宋" w:hAnsi="仿宋" w:eastAsia="仿宋" w:cs="宋体"/>
          <w:bCs/>
          <w:kern w:val="0"/>
          <w:sz w:val="24"/>
          <w:highlight w:val="none"/>
        </w:rPr>
      </w:pPr>
      <w:r>
        <w:rPr>
          <w:rFonts w:hint="eastAsia" w:ascii="仿宋" w:hAnsi="仿宋" w:eastAsia="仿宋" w:cs="宋体"/>
          <w:bCs/>
          <w:kern w:val="0"/>
          <w:sz w:val="24"/>
          <w:highlight w:val="none"/>
        </w:rPr>
        <w:t>方式：网上下载。供应商应自行登陆</w:t>
      </w:r>
      <w:r>
        <w:rPr>
          <w:highlight w:val="none"/>
        </w:rPr>
        <w:fldChar w:fldCharType="begin"/>
      </w:r>
      <w:r>
        <w:rPr>
          <w:highlight w:val="none"/>
        </w:rPr>
        <w:instrText xml:space="preserve"> HYPERLINK </w:instrText>
      </w:r>
      <w:r>
        <w:rPr>
          <w:highlight w:val="none"/>
        </w:rPr>
        <w:fldChar w:fldCharType="separate"/>
      </w:r>
      <w:r>
        <w:rPr>
          <w:highlight w:val="none"/>
        </w:rPr>
        <w:fldChar w:fldCharType="end"/>
      </w:r>
      <w:r>
        <w:rPr>
          <w:rFonts w:hint="eastAsia" w:ascii="仿宋" w:hAnsi="仿宋" w:eastAsia="仿宋" w:cs="宋体"/>
          <w:bCs/>
          <w:kern w:val="0"/>
          <w:sz w:val="24"/>
          <w:highlight w:val="none"/>
        </w:rPr>
        <w:t>广西政府采购云平台（</w:t>
      </w:r>
      <w:r>
        <w:rPr>
          <w:rFonts w:ascii="仿宋" w:hAnsi="仿宋" w:eastAsia="仿宋" w:cs="宋体"/>
          <w:bCs/>
          <w:kern w:val="0"/>
          <w:sz w:val="24"/>
          <w:highlight w:val="none"/>
        </w:rPr>
        <w:t>https://www.gcy.zfcg.gxzf.gov.cn/</w:t>
      </w:r>
      <w:r>
        <w:rPr>
          <w:rFonts w:hint="eastAsia" w:ascii="仿宋" w:hAnsi="仿宋" w:eastAsia="仿宋" w:cs="宋体"/>
          <w:bCs/>
          <w:kern w:val="0"/>
          <w:sz w:val="24"/>
          <w:highlight w:val="none"/>
        </w:rPr>
        <w:t>）下载招标文件（操作路径：登录广西政府采购云平台-项目采购-获取采购文件-找到本项目-点击“申请获取采购文件”），电子投标文件制作需要基于“广西政府采购云平台”获取的招标文件编。</w:t>
      </w:r>
    </w:p>
    <w:p w14:paraId="36741DEE">
      <w:pPr>
        <w:keepNext w:val="0"/>
        <w:keepLines w:val="0"/>
        <w:pageBreakBefore w:val="0"/>
        <w:widowControl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sz w:val="24"/>
          <w:highlight w:val="none"/>
        </w:rPr>
      </w:pPr>
      <w:r>
        <w:rPr>
          <w:rFonts w:hint="eastAsia" w:ascii="仿宋" w:hAnsi="仿宋" w:eastAsia="仿宋" w:cs="宋体"/>
          <w:bCs/>
          <w:kern w:val="0"/>
          <w:sz w:val="24"/>
          <w:highlight w:val="none"/>
        </w:rPr>
        <w:t>售价：0元</w:t>
      </w:r>
    </w:p>
    <w:p w14:paraId="19042E85">
      <w:pPr>
        <w:keepNext w:val="0"/>
        <w:keepLines w:val="0"/>
        <w:pageBreakBefore w:val="0"/>
        <w:kinsoku/>
        <w:overflowPunct/>
        <w:topLinePunct w:val="0"/>
        <w:autoSpaceDE/>
        <w:autoSpaceDN/>
        <w:bidi w:val="0"/>
        <w:adjustRightInd/>
        <w:snapToGrid/>
        <w:spacing w:line="360" w:lineRule="exact"/>
        <w:textAlignment w:val="auto"/>
        <w:rPr>
          <w:rFonts w:hint="eastAsia" w:ascii="仿宋" w:hAnsi="仿宋" w:eastAsia="仿宋"/>
          <w:b/>
          <w:bCs/>
          <w:sz w:val="24"/>
          <w:highlight w:val="none"/>
        </w:rPr>
      </w:pPr>
      <w:bookmarkStart w:id="24" w:name="_Toc28359005"/>
      <w:bookmarkStart w:id="25" w:name="_Toc28359082"/>
      <w:bookmarkStart w:id="26" w:name="_Toc35393624"/>
      <w:bookmarkStart w:id="27" w:name="_Toc35393793"/>
      <w:r>
        <w:rPr>
          <w:rFonts w:hint="eastAsia" w:ascii="仿宋" w:hAnsi="仿宋" w:eastAsia="仿宋"/>
          <w:b/>
          <w:bCs/>
          <w:sz w:val="24"/>
          <w:highlight w:val="none"/>
        </w:rPr>
        <w:t>四、提交投标文件</w:t>
      </w:r>
      <w:bookmarkEnd w:id="24"/>
      <w:bookmarkEnd w:id="25"/>
      <w:r>
        <w:rPr>
          <w:rFonts w:hint="eastAsia" w:ascii="仿宋" w:hAnsi="仿宋" w:eastAsia="仿宋"/>
          <w:b/>
          <w:bCs/>
          <w:sz w:val="24"/>
          <w:highlight w:val="none"/>
        </w:rPr>
        <w:t>截止时间、开标时间和地点</w:t>
      </w:r>
      <w:bookmarkEnd w:id="26"/>
      <w:bookmarkEnd w:id="27"/>
    </w:p>
    <w:p w14:paraId="7A4AA119">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sz w:val="24"/>
          <w:highlight w:val="none"/>
        </w:rPr>
      </w:pPr>
      <w:bookmarkStart w:id="28" w:name="_Toc28359007"/>
      <w:bookmarkStart w:id="29" w:name="_Toc35393794"/>
      <w:bookmarkStart w:id="30" w:name="_Toc35393625"/>
      <w:bookmarkStart w:id="31" w:name="_Toc28359084"/>
      <w:r>
        <w:rPr>
          <w:rFonts w:hint="eastAsia" w:ascii="仿宋" w:hAnsi="仿宋" w:eastAsia="仿宋"/>
          <w:sz w:val="24"/>
          <w:highlight w:val="none"/>
        </w:rPr>
        <w:t>1、提交</w:t>
      </w:r>
      <w:r>
        <w:rPr>
          <w:rFonts w:ascii="仿宋" w:hAnsi="仿宋" w:eastAsia="仿宋"/>
          <w:sz w:val="24"/>
          <w:highlight w:val="none"/>
        </w:rPr>
        <w:t>投标文件</w:t>
      </w:r>
      <w:r>
        <w:rPr>
          <w:rFonts w:hint="eastAsia" w:ascii="仿宋" w:hAnsi="仿宋" w:eastAsia="仿宋" w:cs="宋体"/>
          <w:sz w:val="24"/>
          <w:highlight w:val="none"/>
          <w:lang w:bidi="ar"/>
        </w:rPr>
        <w:t>截止时间</w:t>
      </w:r>
      <w:r>
        <w:rPr>
          <w:rFonts w:hint="eastAsia" w:ascii="仿宋" w:hAnsi="仿宋" w:eastAsia="仿宋"/>
          <w:sz w:val="24"/>
          <w:highlight w:val="none"/>
        </w:rPr>
        <w:t>：</w:t>
      </w:r>
      <w:bookmarkStart w:id="32" w:name="OLE_LINK16"/>
      <w:r>
        <w:rPr>
          <w:rFonts w:hint="eastAsia" w:ascii="仿宋" w:hAnsi="仿宋" w:eastAsia="仿宋" w:cs="Arial"/>
          <w:sz w:val="24"/>
          <w:highlight w:val="none"/>
          <w:lang w:eastAsia="zh-CN"/>
        </w:rPr>
        <w:t>2025年</w:t>
      </w:r>
      <w:r>
        <w:rPr>
          <w:rFonts w:hint="eastAsia" w:ascii="仿宋" w:hAnsi="仿宋" w:eastAsia="仿宋" w:cs="Arial"/>
          <w:sz w:val="24"/>
          <w:highlight w:val="none"/>
          <w:lang w:val="en-US" w:eastAsia="zh-CN"/>
        </w:rPr>
        <w:t>7</w:t>
      </w:r>
      <w:r>
        <w:rPr>
          <w:rFonts w:hint="eastAsia" w:ascii="仿宋" w:hAnsi="仿宋" w:eastAsia="仿宋" w:cs="Arial"/>
          <w:sz w:val="24"/>
          <w:highlight w:val="none"/>
          <w:lang w:eastAsia="zh-CN"/>
        </w:rPr>
        <w:t>月</w:t>
      </w:r>
      <w:r>
        <w:rPr>
          <w:rFonts w:hint="eastAsia" w:ascii="仿宋" w:hAnsi="仿宋" w:eastAsia="仿宋" w:cs="Arial"/>
          <w:sz w:val="24"/>
          <w:highlight w:val="none"/>
          <w:lang w:val="en-US" w:eastAsia="zh-CN"/>
        </w:rPr>
        <w:t>9</w:t>
      </w:r>
      <w:r>
        <w:rPr>
          <w:rFonts w:hint="eastAsia" w:ascii="仿宋" w:hAnsi="仿宋" w:eastAsia="仿宋" w:cs="Arial"/>
          <w:sz w:val="24"/>
          <w:highlight w:val="none"/>
          <w:lang w:eastAsia="zh-CN"/>
        </w:rPr>
        <w:t>日</w:t>
      </w:r>
      <w:r>
        <w:rPr>
          <w:rFonts w:hint="eastAsia" w:ascii="仿宋" w:hAnsi="仿宋" w:eastAsia="仿宋" w:cs="Arial"/>
          <w:sz w:val="24"/>
          <w:highlight w:val="none"/>
        </w:rPr>
        <w:t>0</w:t>
      </w:r>
      <w:r>
        <w:rPr>
          <w:rFonts w:ascii="仿宋" w:hAnsi="仿宋" w:eastAsia="仿宋"/>
          <w:sz w:val="24"/>
          <w:highlight w:val="none"/>
        </w:rPr>
        <w:t>9</w:t>
      </w:r>
      <w:r>
        <w:rPr>
          <w:rFonts w:hint="eastAsia" w:ascii="仿宋" w:hAnsi="仿宋" w:eastAsia="仿宋"/>
          <w:sz w:val="24"/>
          <w:highlight w:val="none"/>
        </w:rPr>
        <w:t>：30</w:t>
      </w:r>
      <w:bookmarkEnd w:id="32"/>
      <w:r>
        <w:rPr>
          <w:rFonts w:hint="eastAsia" w:ascii="仿宋" w:hAnsi="仿宋" w:eastAsia="仿宋"/>
          <w:sz w:val="24"/>
          <w:highlight w:val="none"/>
        </w:rPr>
        <w:t>（北京时间）</w:t>
      </w:r>
    </w:p>
    <w:p w14:paraId="431B523B">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sz w:val="24"/>
          <w:highlight w:val="none"/>
          <w:lang w:bidi="ar"/>
        </w:rPr>
      </w:pPr>
      <w:r>
        <w:rPr>
          <w:rFonts w:hint="eastAsia" w:ascii="仿宋" w:hAnsi="仿宋" w:eastAsia="仿宋"/>
          <w:sz w:val="24"/>
          <w:highlight w:val="none"/>
        </w:rPr>
        <w:t>2、投标地点（网址）：</w:t>
      </w:r>
      <w:r>
        <w:rPr>
          <w:rFonts w:hint="eastAsia" w:ascii="仿宋" w:hAnsi="仿宋" w:eastAsia="仿宋" w:cs="宋体"/>
          <w:sz w:val="24"/>
          <w:highlight w:val="none"/>
          <w:lang w:bidi="ar"/>
        </w:rPr>
        <w:t>通过“广西政府采购云平台”在线提交投标文件</w:t>
      </w:r>
    </w:p>
    <w:p w14:paraId="4E11F5C9">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sz w:val="24"/>
          <w:highlight w:val="none"/>
          <w:lang w:bidi="ar"/>
        </w:rPr>
      </w:pPr>
      <w:r>
        <w:rPr>
          <w:rFonts w:hint="eastAsia" w:ascii="仿宋" w:hAnsi="仿宋" w:eastAsia="仿宋" w:cs="宋体"/>
          <w:sz w:val="24"/>
          <w:highlight w:val="none"/>
          <w:lang w:bidi="ar"/>
        </w:rPr>
        <w:t>3、</w:t>
      </w:r>
      <w:r>
        <w:rPr>
          <w:rFonts w:ascii="仿宋" w:hAnsi="仿宋" w:eastAsia="仿宋" w:cs="宋体"/>
          <w:sz w:val="24"/>
          <w:highlight w:val="none"/>
          <w:lang w:bidi="ar"/>
        </w:rPr>
        <w:t>开标时间：</w:t>
      </w:r>
      <w:r>
        <w:rPr>
          <w:rFonts w:hint="eastAsia" w:ascii="仿宋" w:hAnsi="仿宋" w:eastAsia="仿宋" w:cs="宋体"/>
          <w:sz w:val="24"/>
          <w:highlight w:val="none"/>
          <w:lang w:eastAsia="zh-CN" w:bidi="ar"/>
        </w:rPr>
        <w:t>2025年</w:t>
      </w:r>
      <w:r>
        <w:rPr>
          <w:rFonts w:hint="eastAsia" w:ascii="仿宋" w:hAnsi="仿宋" w:eastAsia="仿宋" w:cs="宋体"/>
          <w:sz w:val="24"/>
          <w:highlight w:val="none"/>
          <w:lang w:val="en-US" w:eastAsia="zh-CN" w:bidi="ar"/>
        </w:rPr>
        <w:t>7</w:t>
      </w:r>
      <w:r>
        <w:rPr>
          <w:rFonts w:hint="eastAsia" w:ascii="仿宋" w:hAnsi="仿宋" w:eastAsia="仿宋" w:cs="宋体"/>
          <w:sz w:val="24"/>
          <w:highlight w:val="none"/>
          <w:lang w:eastAsia="zh-CN" w:bidi="ar"/>
        </w:rPr>
        <w:t>月</w:t>
      </w:r>
      <w:r>
        <w:rPr>
          <w:rFonts w:hint="eastAsia" w:ascii="仿宋" w:hAnsi="仿宋" w:eastAsia="仿宋" w:cs="宋体"/>
          <w:sz w:val="24"/>
          <w:highlight w:val="none"/>
          <w:lang w:val="en-US" w:eastAsia="zh-CN" w:bidi="ar"/>
        </w:rPr>
        <w:t>9</w:t>
      </w:r>
      <w:r>
        <w:rPr>
          <w:rFonts w:hint="eastAsia" w:ascii="仿宋" w:hAnsi="仿宋" w:eastAsia="仿宋" w:cs="宋体"/>
          <w:sz w:val="24"/>
          <w:highlight w:val="none"/>
          <w:lang w:eastAsia="zh-CN" w:bidi="ar"/>
        </w:rPr>
        <w:t>日</w:t>
      </w:r>
      <w:r>
        <w:rPr>
          <w:rFonts w:hint="eastAsia" w:ascii="仿宋" w:hAnsi="仿宋" w:eastAsia="仿宋" w:cs="宋体"/>
          <w:sz w:val="24"/>
          <w:highlight w:val="none"/>
          <w:lang w:bidi="ar"/>
        </w:rPr>
        <w:t>09：30</w:t>
      </w:r>
    </w:p>
    <w:p w14:paraId="2A4AD84D">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sz w:val="24"/>
          <w:highlight w:val="none"/>
          <w:lang w:bidi="ar"/>
        </w:rPr>
      </w:pPr>
      <w:r>
        <w:rPr>
          <w:rFonts w:ascii="仿宋" w:hAnsi="仿宋" w:eastAsia="仿宋" w:cs="宋体"/>
          <w:sz w:val="24"/>
          <w:highlight w:val="none"/>
          <w:lang w:bidi="ar"/>
        </w:rPr>
        <w:t>4</w:t>
      </w:r>
      <w:r>
        <w:rPr>
          <w:rFonts w:hint="eastAsia" w:ascii="仿宋" w:hAnsi="仿宋" w:eastAsia="仿宋" w:cs="宋体"/>
          <w:sz w:val="24"/>
          <w:highlight w:val="none"/>
          <w:lang w:bidi="ar"/>
        </w:rPr>
        <w:t>、开标地点：通过“</w:t>
      </w:r>
      <w:r>
        <w:rPr>
          <w:rFonts w:hint="eastAsia" w:ascii="仿宋" w:hAnsi="仿宋" w:eastAsia="仿宋" w:cs="宋体"/>
          <w:bCs/>
          <w:kern w:val="0"/>
          <w:sz w:val="24"/>
          <w:highlight w:val="none"/>
        </w:rPr>
        <w:t>广西政府采购云平台</w:t>
      </w:r>
      <w:r>
        <w:rPr>
          <w:rFonts w:hint="eastAsia" w:ascii="仿宋" w:hAnsi="仿宋" w:eastAsia="仿宋" w:cs="宋体"/>
          <w:sz w:val="24"/>
          <w:highlight w:val="none"/>
          <w:lang w:bidi="ar"/>
        </w:rPr>
        <w:t>”在线开启</w:t>
      </w:r>
      <w:r>
        <w:rPr>
          <w:rFonts w:ascii="仿宋" w:hAnsi="仿宋" w:eastAsia="仿宋" w:cs="宋体"/>
          <w:sz w:val="24"/>
          <w:highlight w:val="none"/>
          <w:lang w:bidi="ar"/>
        </w:rPr>
        <w:t>投标文件</w:t>
      </w:r>
    </w:p>
    <w:p w14:paraId="1A1F8F99">
      <w:pPr>
        <w:keepNext w:val="0"/>
        <w:keepLines w:val="0"/>
        <w:pageBreakBefore w:val="0"/>
        <w:kinsoku/>
        <w:overflowPunct/>
        <w:topLinePunct w:val="0"/>
        <w:autoSpaceDE/>
        <w:autoSpaceDN/>
        <w:bidi w:val="0"/>
        <w:adjustRightInd/>
        <w:snapToGrid/>
        <w:spacing w:line="360" w:lineRule="exact"/>
        <w:textAlignment w:val="auto"/>
        <w:rPr>
          <w:rFonts w:hint="eastAsia" w:ascii="仿宋" w:hAnsi="仿宋" w:eastAsia="仿宋"/>
          <w:b/>
          <w:bCs/>
          <w:sz w:val="24"/>
          <w:highlight w:val="none"/>
        </w:rPr>
      </w:pPr>
      <w:r>
        <w:rPr>
          <w:rFonts w:hint="eastAsia" w:ascii="仿宋" w:hAnsi="仿宋" w:eastAsia="仿宋"/>
          <w:b/>
          <w:bCs/>
          <w:sz w:val="24"/>
          <w:highlight w:val="none"/>
        </w:rPr>
        <w:t>五、公告期限</w:t>
      </w:r>
      <w:bookmarkEnd w:id="28"/>
      <w:bookmarkEnd w:id="29"/>
      <w:bookmarkEnd w:id="30"/>
      <w:bookmarkEnd w:id="31"/>
    </w:p>
    <w:p w14:paraId="5415206A">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自本公告发布之日起5个工作日。</w:t>
      </w:r>
    </w:p>
    <w:p w14:paraId="478D198A">
      <w:pPr>
        <w:keepNext w:val="0"/>
        <w:keepLines w:val="0"/>
        <w:pageBreakBefore w:val="0"/>
        <w:kinsoku/>
        <w:overflowPunct/>
        <w:topLinePunct w:val="0"/>
        <w:autoSpaceDE/>
        <w:autoSpaceDN/>
        <w:bidi w:val="0"/>
        <w:adjustRightInd/>
        <w:snapToGrid/>
        <w:spacing w:line="360" w:lineRule="exact"/>
        <w:textAlignment w:val="auto"/>
        <w:rPr>
          <w:rFonts w:hint="eastAsia" w:ascii="仿宋" w:hAnsi="仿宋" w:eastAsia="仿宋"/>
          <w:b/>
          <w:bCs/>
          <w:sz w:val="24"/>
          <w:highlight w:val="none"/>
        </w:rPr>
      </w:pPr>
      <w:bookmarkStart w:id="33" w:name="_Toc35393626"/>
      <w:bookmarkStart w:id="34" w:name="_Toc35393795"/>
      <w:r>
        <w:rPr>
          <w:rFonts w:hint="eastAsia" w:ascii="仿宋" w:hAnsi="仿宋" w:eastAsia="仿宋"/>
          <w:b/>
          <w:bCs/>
          <w:sz w:val="24"/>
          <w:highlight w:val="none"/>
        </w:rPr>
        <w:t>六、其他补充事宜</w:t>
      </w:r>
      <w:bookmarkEnd w:id="33"/>
      <w:bookmarkEnd w:id="34"/>
    </w:p>
    <w:p w14:paraId="4C501E42">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bookmarkStart w:id="35" w:name="_Hlk37429674"/>
      <w:bookmarkStart w:id="36" w:name="OLE_LINK19"/>
      <w:r>
        <w:rPr>
          <w:rFonts w:hint="eastAsia" w:ascii="仿宋" w:hAnsi="仿宋" w:eastAsia="仿宋" w:cs="宋体"/>
          <w:kern w:val="0"/>
          <w:sz w:val="24"/>
          <w:highlight w:val="none"/>
        </w:rPr>
        <w:t>1、投标保证金（人民币）：本项目</w:t>
      </w:r>
      <w:r>
        <w:rPr>
          <w:rFonts w:ascii="仿宋" w:hAnsi="仿宋" w:eastAsia="仿宋" w:cs="宋体"/>
          <w:kern w:val="0"/>
          <w:sz w:val="24"/>
          <w:highlight w:val="none"/>
        </w:rPr>
        <w:t>无需缴纳投标</w:t>
      </w:r>
      <w:r>
        <w:rPr>
          <w:rFonts w:hint="eastAsia" w:ascii="仿宋" w:hAnsi="仿宋" w:eastAsia="仿宋" w:cs="宋体"/>
          <w:kern w:val="0"/>
          <w:sz w:val="24"/>
          <w:highlight w:val="none"/>
        </w:rPr>
        <w:t>保证</w:t>
      </w:r>
      <w:r>
        <w:rPr>
          <w:rFonts w:ascii="仿宋" w:hAnsi="仿宋" w:eastAsia="仿宋" w:cs="宋体"/>
          <w:kern w:val="0"/>
          <w:sz w:val="24"/>
          <w:highlight w:val="none"/>
        </w:rPr>
        <w:t>金</w:t>
      </w:r>
      <w:r>
        <w:rPr>
          <w:rFonts w:hint="eastAsia" w:ascii="仿宋" w:hAnsi="仿宋" w:eastAsia="仿宋" w:cs="宋体"/>
          <w:kern w:val="0"/>
          <w:sz w:val="24"/>
          <w:highlight w:val="none"/>
        </w:rPr>
        <w:t>。</w:t>
      </w:r>
    </w:p>
    <w:p w14:paraId="54201095">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A071418">
      <w:pPr>
        <w:keepNext w:val="0"/>
        <w:keepLines w:val="0"/>
        <w:pageBreakBefore w:val="0"/>
        <w:kinsoku/>
        <w:wordWrap w:val="0"/>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6243644F">
      <w:pPr>
        <w:keepNext w:val="0"/>
        <w:keepLines w:val="0"/>
        <w:pageBreakBefore w:val="0"/>
        <w:kinsoku/>
        <w:wordWrap w:val="0"/>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4、网上查询地址：中国政府采购网（www.ccgp.gov.cn）、广西政府采购网（zfcg.gxzf.gov.cn）、桂林市政府采购网（zfcg.czj.guilin.gov.cn/）。</w:t>
      </w:r>
    </w:p>
    <w:p w14:paraId="17E69E21">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5、本项目需要落实的政府采购政策：</w:t>
      </w:r>
    </w:p>
    <w:p w14:paraId="690E3BFB">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（1）政府采购促进中小企业发展政策。</w:t>
      </w:r>
    </w:p>
    <w:p w14:paraId="55C8EF82">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（2）政府采购支持采用本国产品的政策。</w:t>
      </w:r>
    </w:p>
    <w:p w14:paraId="5839A403">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（3）强制采购节能产品；优先采购节能产品、环境标志产品。</w:t>
      </w:r>
    </w:p>
    <w:p w14:paraId="55532922">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（4）政府采购促进残疾人就业政策。</w:t>
      </w:r>
    </w:p>
    <w:p w14:paraId="2F575366">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kern w:val="0"/>
          <w:sz w:val="24"/>
          <w:highlight w:val="none"/>
        </w:rPr>
      </w:pPr>
      <w:r>
        <w:rPr>
          <w:rFonts w:hint="eastAsia" w:ascii="仿宋" w:hAnsi="仿宋" w:eastAsia="仿宋" w:cs="宋体"/>
          <w:kern w:val="0"/>
          <w:sz w:val="24"/>
          <w:highlight w:val="none"/>
        </w:rPr>
        <w:t>（5）政府采购支持监狱企业发展政策。</w:t>
      </w:r>
    </w:p>
    <w:p w14:paraId="22774601">
      <w:pPr>
        <w:keepNext w:val="0"/>
        <w:keepLines w:val="0"/>
        <w:pageBreakBefore w:val="0"/>
        <w:widowControl/>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sz w:val="24"/>
          <w:highlight w:val="none"/>
          <w:lang w:bidi="ar"/>
        </w:rPr>
      </w:pPr>
      <w:r>
        <w:rPr>
          <w:rFonts w:hint="eastAsia" w:ascii="仿宋" w:hAnsi="仿宋" w:eastAsia="仿宋" w:cs="宋体"/>
          <w:sz w:val="24"/>
          <w:highlight w:val="none"/>
          <w:lang w:bidi="ar"/>
        </w:rPr>
        <w:t>6、投标注意事项：</w:t>
      </w:r>
      <w:bookmarkEnd w:id="35"/>
      <w:bookmarkStart w:id="37" w:name="_Toc35393627"/>
      <w:bookmarkStart w:id="38" w:name="_Toc28359085"/>
      <w:bookmarkStart w:id="39" w:name="_Toc28359008"/>
      <w:bookmarkStart w:id="40" w:name="_Toc35393796"/>
    </w:p>
    <w:p w14:paraId="5E58EBC3">
      <w:pPr>
        <w:keepNext w:val="0"/>
        <w:keepLines w:val="0"/>
        <w:pageBreakBefore w:val="0"/>
        <w:widowControl/>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sz w:val="24"/>
          <w:highlight w:val="none"/>
          <w:lang w:bidi="ar"/>
        </w:rPr>
      </w:pPr>
      <w:r>
        <w:rPr>
          <w:rFonts w:hint="eastAsia" w:ascii="仿宋" w:hAnsi="仿宋" w:eastAsia="仿宋" w:cs="宋体"/>
          <w:sz w:val="24"/>
          <w:highlight w:val="none"/>
          <w:lang w:bidi="ar"/>
        </w:rPr>
        <w:t>（1）本项目实行全流程电子化采购，投标人通过“广西政府采购云平台”平台参与电子投标，并应做好以下相关准备工作：①在“广西政府采购云平台”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分标目管理系统--供应商客户端”（操作方法详见广西壮族自治区政府采购网—办事服务—下载专区，以下称“广西政府采购云平台电子投标客户端”）并安装成功，投标人应当在提交投标文件截止时间前在“广西政府采购云平台”平台完成的身份认证，确保能够对相关数据电文进行加密和使用电子签章；④自备计算机和网络设备并确保能接入互联网（费用由投标人自行承担，设备确保可进行视频通话和读取广西政府采购云平台CA证书）。因投标人未做好相关准备工作等自身原因导致无法参加本项目电子投标或投标失败的，造成的一切后果，由投标人自行承担。</w:t>
      </w:r>
    </w:p>
    <w:p w14:paraId="4B1EAFB7">
      <w:pPr>
        <w:keepNext w:val="0"/>
        <w:keepLines w:val="0"/>
        <w:pageBreakBefore w:val="0"/>
        <w:widowControl/>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sz w:val="24"/>
          <w:highlight w:val="none"/>
          <w:lang w:bidi="ar"/>
        </w:rPr>
      </w:pPr>
      <w:r>
        <w:rPr>
          <w:rFonts w:hint="eastAsia" w:ascii="仿宋" w:hAnsi="仿宋" w:eastAsia="仿宋" w:cs="宋体"/>
          <w:sz w:val="24"/>
          <w:highlight w:val="none"/>
          <w:lang w:bidi="ar"/>
        </w:rPr>
        <w:t>（2）电子投标具体操作流程参考《政府采购项目电子交易管理操作指南-供应商》（详见桂林市政府采购网—采购资讯—重要通知）；如遇平台技术问题详询95763。</w:t>
      </w:r>
    </w:p>
    <w:p w14:paraId="625ED69B">
      <w:pPr>
        <w:keepNext w:val="0"/>
        <w:keepLines w:val="0"/>
        <w:pageBreakBefore w:val="0"/>
        <w:widowControl/>
        <w:kinsoku/>
        <w:overflowPunct/>
        <w:topLinePunct w:val="0"/>
        <w:autoSpaceDE/>
        <w:autoSpaceDN/>
        <w:bidi w:val="0"/>
        <w:adjustRightInd/>
        <w:snapToGrid/>
        <w:spacing w:line="360" w:lineRule="exact"/>
        <w:ind w:firstLine="480" w:firstLineChars="200"/>
        <w:textAlignment w:val="auto"/>
        <w:rPr>
          <w:rFonts w:hint="eastAsia" w:ascii="仿宋" w:hAnsi="仿宋" w:eastAsia="仿宋" w:cs="宋体"/>
          <w:sz w:val="24"/>
          <w:highlight w:val="none"/>
          <w:lang w:bidi="ar"/>
        </w:rPr>
      </w:pPr>
      <w:r>
        <w:rPr>
          <w:rFonts w:hint="eastAsia" w:ascii="仿宋" w:hAnsi="仿宋" w:eastAsia="仿宋" w:cs="宋体"/>
          <w:sz w:val="24"/>
          <w:highlight w:val="none"/>
          <w:lang w:bidi="ar"/>
        </w:rPr>
        <w:t>（3）电子投标文件的制作、加密、提交、解密等相关事宜详见第二章 “投标人须知”。</w:t>
      </w:r>
    </w:p>
    <w:bookmarkEnd w:id="36"/>
    <w:p w14:paraId="44D0FE79">
      <w:pPr>
        <w:keepNext w:val="0"/>
        <w:keepLines w:val="0"/>
        <w:pageBreakBefore w:val="0"/>
        <w:kinsoku/>
        <w:overflowPunct/>
        <w:topLinePunct w:val="0"/>
        <w:autoSpaceDE/>
        <w:autoSpaceDN/>
        <w:bidi w:val="0"/>
        <w:adjustRightInd/>
        <w:snapToGrid/>
        <w:spacing w:line="360" w:lineRule="exact"/>
        <w:textAlignment w:val="auto"/>
        <w:rPr>
          <w:rFonts w:hint="eastAsia" w:ascii="仿宋" w:hAnsi="仿宋" w:eastAsia="仿宋"/>
          <w:b/>
          <w:bCs/>
          <w:sz w:val="24"/>
          <w:highlight w:val="none"/>
        </w:rPr>
      </w:pPr>
      <w:r>
        <w:rPr>
          <w:rFonts w:hint="eastAsia" w:ascii="仿宋" w:hAnsi="仿宋" w:eastAsia="仿宋"/>
          <w:b/>
          <w:bCs/>
          <w:sz w:val="24"/>
          <w:highlight w:val="none"/>
        </w:rPr>
        <w:t>七、对本次招标提出询问，请按</w:t>
      </w:r>
      <w:r>
        <w:rPr>
          <w:rFonts w:ascii="仿宋" w:hAnsi="仿宋" w:eastAsia="仿宋"/>
          <w:b/>
          <w:bCs/>
          <w:sz w:val="24"/>
          <w:highlight w:val="none"/>
        </w:rPr>
        <w:t>以下方式</w:t>
      </w:r>
      <w:r>
        <w:rPr>
          <w:rFonts w:hint="eastAsia" w:ascii="仿宋" w:hAnsi="仿宋" w:eastAsia="仿宋"/>
          <w:b/>
          <w:bCs/>
          <w:sz w:val="24"/>
          <w:highlight w:val="none"/>
        </w:rPr>
        <w:t>联系。</w:t>
      </w:r>
      <w:bookmarkEnd w:id="37"/>
      <w:bookmarkEnd w:id="38"/>
      <w:bookmarkEnd w:id="39"/>
      <w:bookmarkEnd w:id="40"/>
    </w:p>
    <w:p w14:paraId="0C9D2551">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eastAsia" w:ascii="仿宋" w:hAnsi="仿宋" w:eastAsia="仿宋" w:cs="宋体"/>
          <w:sz w:val="24"/>
          <w:highlight w:val="none"/>
        </w:rPr>
      </w:pPr>
      <w:r>
        <w:rPr>
          <w:rFonts w:hint="eastAsia" w:ascii="仿宋" w:hAnsi="仿宋" w:eastAsia="仿宋" w:cs="宋体"/>
          <w:sz w:val="24"/>
          <w:highlight w:val="none"/>
        </w:rPr>
        <w:t>1.采购人信息</w:t>
      </w:r>
    </w:p>
    <w:p w14:paraId="4E31F323">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eastAsia" w:ascii="仿宋" w:hAnsi="仿宋" w:eastAsia="仿宋"/>
          <w:sz w:val="24"/>
          <w:highlight w:val="none"/>
        </w:rPr>
      </w:pPr>
      <w:r>
        <w:rPr>
          <w:rFonts w:hint="eastAsia" w:ascii="仿宋" w:hAnsi="仿宋" w:eastAsia="仿宋"/>
          <w:sz w:val="24"/>
          <w:highlight w:val="none"/>
        </w:rPr>
        <w:t>名 称：兴安县人民医院</w:t>
      </w:r>
    </w:p>
    <w:p w14:paraId="3A40325C">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eastAsia" w:ascii="仿宋" w:hAnsi="仿宋" w:eastAsia="仿宋"/>
          <w:sz w:val="24"/>
          <w:highlight w:val="none"/>
        </w:rPr>
      </w:pPr>
      <w:r>
        <w:rPr>
          <w:rFonts w:hint="eastAsia" w:ascii="仿宋" w:hAnsi="仿宋" w:eastAsia="仿宋"/>
          <w:sz w:val="24"/>
          <w:highlight w:val="none"/>
        </w:rPr>
        <w:t>地址：</w:t>
      </w:r>
      <w:r>
        <w:rPr>
          <w:rFonts w:hint="eastAsia" w:ascii="仿宋" w:hAnsi="仿宋" w:eastAsia="仿宋" w:cs="宋体"/>
          <w:sz w:val="24"/>
          <w:highlight w:val="none"/>
        </w:rPr>
        <w:t>兴安县兴安镇康宁街78号</w:t>
      </w:r>
    </w:p>
    <w:p w14:paraId="54FE32D6">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eastAsia" w:ascii="仿宋" w:hAnsi="仿宋" w:eastAsia="仿宋"/>
          <w:sz w:val="24"/>
          <w:highlight w:val="none"/>
        </w:rPr>
      </w:pPr>
      <w:bookmarkStart w:id="41" w:name="_Toc28359086"/>
      <w:bookmarkStart w:id="42" w:name="_Toc28359009"/>
      <w:r>
        <w:rPr>
          <w:rFonts w:hint="eastAsia" w:ascii="仿宋" w:hAnsi="仿宋" w:eastAsia="仿宋"/>
          <w:sz w:val="24"/>
          <w:highlight w:val="none"/>
        </w:rPr>
        <w:t>项目联系人：</w:t>
      </w:r>
      <w:r>
        <w:rPr>
          <w:rFonts w:hint="eastAsia" w:ascii="仿宋" w:hAnsi="仿宋" w:eastAsia="仿宋"/>
          <w:sz w:val="24"/>
          <w:highlight w:val="none"/>
          <w:lang w:val="en-US" w:eastAsia="zh-CN"/>
        </w:rPr>
        <w:t>刘主任</w:t>
      </w:r>
    </w:p>
    <w:p w14:paraId="58E755F0">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eastAsia" w:ascii="仿宋" w:hAnsi="仿宋" w:eastAsia="仿宋"/>
          <w:sz w:val="24"/>
          <w:highlight w:val="none"/>
        </w:rPr>
      </w:pPr>
      <w:r>
        <w:rPr>
          <w:rFonts w:hint="eastAsia" w:ascii="仿宋" w:hAnsi="仿宋" w:eastAsia="仿宋"/>
          <w:sz w:val="24"/>
          <w:highlight w:val="none"/>
        </w:rPr>
        <w:t>项目联系方式：0773-6222121</w:t>
      </w:r>
    </w:p>
    <w:p w14:paraId="26E55FFC">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eastAsia" w:ascii="仿宋" w:hAnsi="仿宋" w:eastAsia="仿宋"/>
          <w:sz w:val="24"/>
          <w:highlight w:val="none"/>
        </w:rPr>
      </w:pPr>
      <w:r>
        <w:rPr>
          <w:rFonts w:hint="eastAsia" w:ascii="仿宋" w:hAnsi="仿宋" w:eastAsia="仿宋" w:cs="宋体"/>
          <w:sz w:val="24"/>
          <w:highlight w:val="none"/>
        </w:rPr>
        <w:t>2.采购代理机构信息</w:t>
      </w:r>
      <w:bookmarkEnd w:id="41"/>
      <w:bookmarkEnd w:id="42"/>
    </w:p>
    <w:p w14:paraId="21AF6F23">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eastAsia" w:ascii="仿宋" w:hAnsi="仿宋" w:eastAsia="仿宋"/>
          <w:sz w:val="24"/>
          <w:highlight w:val="none"/>
        </w:rPr>
      </w:pPr>
      <w:r>
        <w:rPr>
          <w:rFonts w:hint="eastAsia" w:ascii="仿宋" w:hAnsi="仿宋" w:eastAsia="仿宋"/>
          <w:sz w:val="24"/>
          <w:highlight w:val="none"/>
        </w:rPr>
        <w:t>名  称：广西科文</w:t>
      </w:r>
      <w:r>
        <w:rPr>
          <w:rFonts w:ascii="仿宋" w:hAnsi="仿宋" w:eastAsia="仿宋"/>
          <w:sz w:val="24"/>
          <w:highlight w:val="none"/>
        </w:rPr>
        <w:t>招标有限公司</w:t>
      </w:r>
    </w:p>
    <w:p w14:paraId="45BBA220">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eastAsia" w:ascii="仿宋" w:hAnsi="仿宋" w:eastAsia="仿宋"/>
          <w:sz w:val="24"/>
          <w:highlight w:val="none"/>
        </w:rPr>
      </w:pPr>
      <w:r>
        <w:rPr>
          <w:rFonts w:hint="eastAsia" w:ascii="仿宋" w:hAnsi="仿宋" w:eastAsia="仿宋"/>
          <w:sz w:val="24"/>
          <w:highlight w:val="none"/>
        </w:rPr>
        <w:t>地　址：</w:t>
      </w:r>
      <w:bookmarkStart w:id="43" w:name="OLE_LINK21"/>
      <w:r>
        <w:rPr>
          <w:rFonts w:hint="eastAsia" w:ascii="仿宋" w:hAnsi="仿宋" w:eastAsia="仿宋"/>
          <w:sz w:val="24"/>
          <w:highlight w:val="none"/>
        </w:rPr>
        <w:t>桂林市七星区穿山东路41号彰泰</w:t>
      </w:r>
      <w:r>
        <w:rPr>
          <w:rFonts w:hint="eastAsia" w:ascii="微软雅黑" w:hAnsi="微软雅黑" w:eastAsia="微软雅黑" w:cs="微软雅黑"/>
          <w:sz w:val="24"/>
          <w:highlight w:val="none"/>
        </w:rPr>
        <w:t>•</w:t>
      </w:r>
      <w:r>
        <w:rPr>
          <w:rFonts w:hint="eastAsia" w:ascii="仿宋" w:hAnsi="仿宋" w:eastAsia="仿宋"/>
          <w:sz w:val="24"/>
          <w:highlight w:val="none"/>
        </w:rPr>
        <w:t>天街V+国际中心1#楼八层802号</w:t>
      </w:r>
      <w:bookmarkEnd w:id="43"/>
    </w:p>
    <w:p w14:paraId="1D8FEE5E">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default" w:ascii="仿宋" w:hAnsi="仿宋" w:eastAsia="仿宋"/>
          <w:sz w:val="24"/>
          <w:highlight w:val="none"/>
          <w:lang w:val="en-US" w:eastAsia="zh-CN"/>
        </w:rPr>
      </w:pPr>
      <w:r>
        <w:rPr>
          <w:rFonts w:hint="eastAsia" w:ascii="仿宋" w:hAnsi="仿宋" w:eastAsia="仿宋"/>
          <w:sz w:val="24"/>
          <w:highlight w:val="none"/>
        </w:rPr>
        <w:t>项目联系人：</w:t>
      </w:r>
      <w:r>
        <w:rPr>
          <w:rFonts w:hint="eastAsia" w:ascii="仿宋" w:hAnsi="仿宋" w:eastAsia="仿宋"/>
          <w:sz w:val="24"/>
          <w:highlight w:val="none"/>
          <w:lang w:val="en-US" w:eastAsia="zh-CN"/>
        </w:rPr>
        <w:t>潘虹</w:t>
      </w:r>
    </w:p>
    <w:p w14:paraId="49BA80B7">
      <w:pPr>
        <w:keepNext w:val="0"/>
        <w:keepLines w:val="0"/>
        <w:pageBreakBefore w:val="0"/>
        <w:kinsoku/>
        <w:overflowPunct/>
        <w:topLinePunct w:val="0"/>
        <w:autoSpaceDE/>
        <w:autoSpaceDN/>
        <w:bidi w:val="0"/>
        <w:adjustRightInd/>
        <w:snapToGrid/>
        <w:spacing w:line="360" w:lineRule="exact"/>
        <w:ind w:firstLine="648" w:firstLineChars="270"/>
        <w:jc w:val="left"/>
        <w:textAlignment w:val="auto"/>
        <w:rPr>
          <w:rFonts w:hint="default" w:ascii="仿宋" w:hAnsi="仿宋" w:eastAsia="仿宋"/>
          <w:sz w:val="24"/>
          <w:highlight w:val="none"/>
          <w:lang w:val="en-US" w:eastAsia="zh-CN"/>
        </w:rPr>
      </w:pPr>
      <w:r>
        <w:rPr>
          <w:rFonts w:hint="eastAsia" w:ascii="仿宋" w:hAnsi="仿宋" w:eastAsia="仿宋"/>
          <w:sz w:val="24"/>
          <w:highlight w:val="none"/>
        </w:rPr>
        <w:t>电　话：</w:t>
      </w:r>
      <w:bookmarkStart w:id="44" w:name="OLE_LINK4"/>
      <w:r>
        <w:rPr>
          <w:rFonts w:hint="eastAsia" w:ascii="仿宋" w:hAnsi="仿宋" w:eastAsia="仿宋"/>
          <w:sz w:val="24"/>
          <w:highlight w:val="none"/>
        </w:rPr>
        <w:t>0773-</w:t>
      </w:r>
      <w:bookmarkEnd w:id="7"/>
      <w:bookmarkEnd w:id="44"/>
      <w:r>
        <w:rPr>
          <w:rFonts w:hint="eastAsia" w:ascii="仿宋" w:hAnsi="仿宋" w:eastAsia="仿宋"/>
          <w:sz w:val="24"/>
          <w:highlight w:val="none"/>
          <w:lang w:val="en-US" w:eastAsia="zh-CN"/>
        </w:rPr>
        <w:t>8998063</w:t>
      </w:r>
    </w:p>
    <w:bookmarkEnd w:id="8"/>
    <w:p w14:paraId="53F95BBE">
      <w:pPr>
        <w:wordWrap w:val="0"/>
        <w:spacing w:line="400" w:lineRule="exact"/>
        <w:jc w:val="right"/>
        <w:rPr>
          <w:rFonts w:hint="eastAsia" w:ascii="仿宋" w:hAnsi="仿宋" w:eastAsia="仿宋"/>
          <w:sz w:val="24"/>
          <w:highlight w:val="none"/>
        </w:rPr>
      </w:pPr>
      <w:r>
        <w:rPr>
          <w:rFonts w:hint="eastAsia" w:ascii="仿宋" w:hAnsi="仿宋" w:eastAsia="仿宋" w:cs="Arial"/>
          <w:sz w:val="24"/>
          <w:highlight w:val="none"/>
        </w:rPr>
        <w:t xml:space="preserve"> </w:t>
      </w:r>
    </w:p>
    <w:p w14:paraId="259747A4">
      <w:pPr>
        <w:pStyle w:val="2"/>
        <w:keepNext w:val="0"/>
        <w:keepLines w:val="0"/>
        <w:pageBreakBefore/>
        <w:spacing w:before="0" w:after="0" w:line="500" w:lineRule="exact"/>
        <w:jc w:val="center"/>
        <w:rPr>
          <w:rFonts w:hint="eastAsia" w:ascii="仿宋" w:hAnsi="仿宋" w:eastAsia="仿宋"/>
          <w:highlight w:val="none"/>
        </w:rPr>
      </w:pPr>
      <w:bookmarkStart w:id="45" w:name="_Toc31332"/>
      <w:r>
        <w:rPr>
          <w:rFonts w:hint="eastAsia" w:ascii="仿宋" w:hAnsi="仿宋" w:eastAsia="仿宋"/>
          <w:highlight w:val="none"/>
        </w:rPr>
        <w:t>第二章  采购需求</w:t>
      </w:r>
      <w:bookmarkEnd w:id="45"/>
    </w:p>
    <w:p w14:paraId="3BBB4E2D">
      <w:pPr>
        <w:spacing w:line="400" w:lineRule="exact"/>
        <w:jc w:val="left"/>
        <w:rPr>
          <w:rFonts w:hint="eastAsia" w:ascii="仿宋" w:hAnsi="仿宋" w:eastAsia="仿宋" w:cs="宋体"/>
          <w:b/>
          <w:sz w:val="24"/>
          <w:highlight w:val="none"/>
        </w:rPr>
      </w:pPr>
      <w:bookmarkStart w:id="46" w:name="_Toc254970490"/>
      <w:bookmarkStart w:id="47" w:name="_Toc254970631"/>
      <w:r>
        <w:rPr>
          <w:rFonts w:hint="eastAsia" w:ascii="仿宋" w:hAnsi="仿宋" w:eastAsia="仿宋" w:cs="宋体"/>
          <w:b/>
          <w:sz w:val="24"/>
          <w:highlight w:val="none"/>
        </w:rPr>
        <w:t>说明：</w:t>
      </w:r>
    </w:p>
    <w:p w14:paraId="0B427C75">
      <w:pPr>
        <w:spacing w:line="400" w:lineRule="exact"/>
        <w:ind w:firstLine="482" w:firstLineChars="200"/>
        <w:jc w:val="left"/>
        <w:rPr>
          <w:rFonts w:hint="eastAsia" w:ascii="仿宋" w:hAnsi="仿宋" w:eastAsia="仿宋" w:cs="宋体"/>
          <w:b/>
          <w:sz w:val="24"/>
          <w:highlight w:val="none"/>
        </w:rPr>
      </w:pPr>
      <w:r>
        <w:rPr>
          <w:rFonts w:hint="eastAsia" w:ascii="仿宋" w:hAnsi="仿宋" w:eastAsia="仿宋"/>
          <w:b/>
          <w:bCs/>
          <w:sz w:val="24"/>
          <w:highlight w:val="none"/>
        </w:rPr>
        <w:t>1、采购需求中如出现品牌、型号或者生产厂家等均仅起参考作用，不属于指定品牌、型号或者生产厂家的情形，投标人可参照或者选用其他相当的品牌、型号或者生产厂家替代。但投标人的产品实质上应相当于或优于本需求</w:t>
      </w:r>
      <w:r>
        <w:rPr>
          <w:rFonts w:ascii="仿宋" w:hAnsi="仿宋" w:eastAsia="仿宋"/>
          <w:b/>
          <w:bCs/>
          <w:sz w:val="24"/>
          <w:highlight w:val="none"/>
        </w:rPr>
        <w:t>中</w:t>
      </w:r>
      <w:r>
        <w:rPr>
          <w:rFonts w:hint="eastAsia" w:ascii="仿宋" w:hAnsi="仿宋" w:eastAsia="仿宋"/>
          <w:b/>
          <w:bCs/>
          <w:sz w:val="24"/>
          <w:highlight w:val="none"/>
        </w:rPr>
        <w:t>的技术要求。</w:t>
      </w:r>
    </w:p>
    <w:p w14:paraId="50393F11">
      <w:pPr>
        <w:spacing w:line="400" w:lineRule="exact"/>
        <w:ind w:firstLine="482" w:firstLineChars="200"/>
        <w:jc w:val="left"/>
        <w:rPr>
          <w:rFonts w:hint="eastAsia" w:ascii="仿宋" w:hAnsi="仿宋" w:eastAsia="仿宋" w:cs="宋体"/>
          <w:b/>
          <w:sz w:val="24"/>
          <w:highlight w:val="none"/>
        </w:rPr>
      </w:pPr>
      <w:r>
        <w:rPr>
          <w:rFonts w:hint="eastAsia" w:ascii="仿宋" w:hAnsi="仿宋" w:eastAsia="仿宋"/>
          <w:b/>
          <w:bCs/>
          <w:sz w:val="24"/>
          <w:highlight w:val="none"/>
        </w:rPr>
        <w:t>2、</w:t>
      </w:r>
      <w:r>
        <w:rPr>
          <w:rFonts w:ascii="仿宋" w:hAnsi="仿宋" w:eastAsia="仿宋"/>
          <w:b/>
          <w:bCs/>
          <w:sz w:val="24"/>
          <w:highlight w:val="none"/>
        </w:rPr>
        <w:t>根据《财政部 发展改革委 生态环境部 市场监管总局关于调整优化节能产品、环境标志产品政府采购执行机制的通知》（财库〔2019〕9号）和《关于印发节能产品政府采购品目清单的通知》（财库〔2019〕19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w:t>
      </w:r>
      <w:r>
        <w:rPr>
          <w:rFonts w:hint="eastAsia" w:ascii="仿宋" w:hAnsi="仿宋" w:eastAsia="仿宋"/>
          <w:b/>
          <w:bCs/>
          <w:sz w:val="24"/>
          <w:highlight w:val="none"/>
        </w:rPr>
        <w:t>，投标文件中必须提供国家有关行政部门认可的认证机构出具的、处于有效期之内的节能产品认证证书复印件</w:t>
      </w:r>
      <w:r>
        <w:rPr>
          <w:rFonts w:ascii="仿宋" w:hAnsi="仿宋" w:eastAsia="仿宋"/>
          <w:b/>
          <w:bCs/>
          <w:sz w:val="24"/>
          <w:highlight w:val="none"/>
        </w:rPr>
        <w:t>，否则投标文件作无效处理。</w:t>
      </w:r>
    </w:p>
    <w:p w14:paraId="75657330">
      <w:pPr>
        <w:spacing w:line="400" w:lineRule="exact"/>
        <w:ind w:firstLine="482" w:firstLineChars="200"/>
        <w:jc w:val="left"/>
        <w:rPr>
          <w:rFonts w:hint="eastAsia" w:ascii="仿宋" w:hAnsi="仿宋" w:eastAsia="仿宋" w:cs="宋体"/>
          <w:b/>
          <w:sz w:val="24"/>
          <w:highlight w:val="none"/>
        </w:rPr>
      </w:pPr>
      <w:r>
        <w:rPr>
          <w:rFonts w:ascii="仿宋" w:hAnsi="仿宋" w:eastAsia="仿宋"/>
          <w:b/>
          <w:bCs/>
          <w:sz w:val="24"/>
          <w:highlight w:val="none"/>
        </w:rPr>
        <w:t>3</w:t>
      </w:r>
      <w:r>
        <w:rPr>
          <w:rFonts w:hint="eastAsia" w:ascii="仿宋" w:hAnsi="仿宋" w:eastAsia="仿宋"/>
          <w:b/>
          <w:bCs/>
          <w:sz w:val="24"/>
          <w:highlight w:val="none"/>
        </w:rPr>
        <w:t>、如投标人投标产品存在侵犯他人的知识产权或者专利成果行为的，由投标人自行承担相应法律责任。</w:t>
      </w:r>
    </w:p>
    <w:p w14:paraId="51B299F5">
      <w:pPr>
        <w:spacing w:line="40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lang w:val="en-US" w:eastAsia="zh-CN"/>
        </w:rPr>
        <w:t>4</w:t>
      </w:r>
      <w:r>
        <w:rPr>
          <w:rFonts w:hint="eastAsia" w:ascii="仿宋" w:hAnsi="仿宋" w:eastAsia="仿宋"/>
          <w:b/>
          <w:bCs/>
          <w:sz w:val="24"/>
          <w:highlight w:val="none"/>
        </w:rPr>
        <w:t>、“实质性要求”是指招标文件中已经指明不满足则投标无效的条款，或者不能负偏离的条款，或者采购需求中标注“</w:t>
      </w:r>
      <w:r>
        <w:rPr>
          <w:rFonts w:hint="eastAsia" w:ascii="仿宋" w:hAnsi="仿宋" w:eastAsia="仿宋" w:cs="仿宋"/>
          <w:sz w:val="24"/>
          <w:highlight w:val="none"/>
        </w:rPr>
        <w:t>★</w:t>
      </w:r>
      <w:r>
        <w:rPr>
          <w:rFonts w:hint="eastAsia" w:ascii="仿宋" w:hAnsi="仿宋" w:eastAsia="仿宋"/>
          <w:b/>
          <w:bCs/>
          <w:sz w:val="24"/>
          <w:highlight w:val="none"/>
        </w:rPr>
        <w:t>”号的条款。</w:t>
      </w:r>
    </w:p>
    <w:p w14:paraId="3FCB2A22">
      <w:pPr>
        <w:spacing w:line="400" w:lineRule="exact"/>
        <w:ind w:firstLine="482" w:firstLineChars="200"/>
        <w:jc w:val="left"/>
        <w:rPr>
          <w:rFonts w:hint="eastAsia" w:ascii="仿宋" w:hAnsi="仿宋" w:eastAsia="仿宋" w:cs="宋体"/>
          <w:b/>
          <w:bCs/>
          <w:sz w:val="24"/>
          <w:highlight w:val="none"/>
        </w:rPr>
      </w:pPr>
      <w:r>
        <w:rPr>
          <w:rFonts w:hint="eastAsia" w:ascii="仿宋" w:hAnsi="仿宋" w:eastAsia="仿宋"/>
          <w:b/>
          <w:bCs/>
          <w:sz w:val="24"/>
          <w:highlight w:val="none"/>
          <w:lang w:val="en-US" w:eastAsia="zh-CN"/>
        </w:rPr>
        <w:t>5</w:t>
      </w:r>
      <w:r>
        <w:rPr>
          <w:rFonts w:hint="eastAsia" w:ascii="仿宋" w:hAnsi="仿宋" w:eastAsia="仿宋"/>
          <w:b/>
          <w:bCs/>
          <w:sz w:val="24"/>
          <w:highlight w:val="none"/>
        </w:rPr>
        <w:t>、</w:t>
      </w:r>
      <w:bookmarkStart w:id="48" w:name="OLE_LINK2"/>
      <w:r>
        <w:rPr>
          <w:rFonts w:hint="eastAsia" w:ascii="仿宋" w:hAnsi="仿宋" w:eastAsia="仿宋"/>
          <w:b/>
          <w:bCs/>
          <w:sz w:val="24"/>
          <w:highlight w:val="none"/>
        </w:rPr>
        <w:t>本项目</w:t>
      </w:r>
      <w:bookmarkEnd w:id="48"/>
      <w:r>
        <w:rPr>
          <w:rFonts w:hint="eastAsia" w:ascii="仿宋" w:hAnsi="仿宋" w:eastAsia="仿宋" w:cs="宋体"/>
          <w:b/>
          <w:bCs/>
          <w:sz w:val="24"/>
          <w:highlight w:val="none"/>
        </w:rPr>
        <w:t>中小企业划分标准所属行业名称（行业名称及划分见本章附件</w:t>
      </w:r>
      <w:r>
        <w:rPr>
          <w:rFonts w:ascii="仿宋" w:hAnsi="仿宋" w:eastAsia="仿宋" w:cs="宋体"/>
          <w:b/>
          <w:bCs/>
          <w:sz w:val="24"/>
          <w:highlight w:val="none"/>
        </w:rPr>
        <w:t>2</w:t>
      </w:r>
      <w:r>
        <w:rPr>
          <w:rFonts w:hint="eastAsia" w:ascii="仿宋" w:hAnsi="仿宋" w:eastAsia="仿宋" w:cs="宋体"/>
          <w:b/>
          <w:bCs/>
          <w:sz w:val="24"/>
          <w:highlight w:val="none"/>
        </w:rPr>
        <w:t>）：详见下表。</w:t>
      </w:r>
    </w:p>
    <w:p w14:paraId="309579A6">
      <w:pPr>
        <w:spacing w:line="400" w:lineRule="exact"/>
        <w:ind w:firstLine="482" w:firstLineChars="200"/>
        <w:jc w:val="left"/>
        <w:rPr>
          <w:rFonts w:hint="default" w:ascii="仿宋" w:hAnsi="仿宋" w:eastAsia="仿宋" w:cs="宋体"/>
          <w:b/>
          <w:bCs/>
          <w:sz w:val="24"/>
          <w:highlight w:val="none"/>
          <w:lang w:val="en-US" w:eastAsia="zh-CN"/>
        </w:rPr>
      </w:pPr>
      <w:r>
        <w:rPr>
          <w:rFonts w:hint="eastAsia" w:ascii="仿宋" w:hAnsi="仿宋" w:eastAsia="仿宋" w:cs="宋体"/>
          <w:b/>
          <w:bCs/>
          <w:sz w:val="24"/>
          <w:highlight w:val="none"/>
          <w:lang w:val="en-US" w:eastAsia="zh-CN"/>
        </w:rPr>
        <w:t>A分标   本分标所属行业：工业</w:t>
      </w:r>
    </w:p>
    <w:tbl>
      <w:tblPr>
        <w:tblStyle w:val="49"/>
        <w:tblW w:w="10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92"/>
        <w:gridCol w:w="331"/>
        <w:gridCol w:w="5419"/>
        <w:gridCol w:w="712"/>
        <w:gridCol w:w="713"/>
        <w:gridCol w:w="1276"/>
      </w:tblGrid>
      <w:tr w14:paraId="4F96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14:paraId="38B6A1E3">
            <w:pPr>
              <w:adjustRightInd w:val="0"/>
              <w:snapToGrid w:val="0"/>
              <w:spacing w:line="35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一、采购内容及技术要求</w:t>
            </w:r>
          </w:p>
        </w:tc>
      </w:tr>
      <w:tr w14:paraId="1A77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41475B74">
            <w:pPr>
              <w:adjustRightInd w:val="0"/>
              <w:snapToGrid w:val="0"/>
              <w:spacing w:line="350" w:lineRule="exact"/>
              <w:jc w:val="center"/>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项号</w:t>
            </w:r>
          </w:p>
        </w:tc>
        <w:tc>
          <w:tcPr>
            <w:tcW w:w="992" w:type="dxa"/>
            <w:tcBorders>
              <w:top w:val="single" w:color="auto" w:sz="4" w:space="0"/>
              <w:left w:val="single" w:color="auto" w:sz="4" w:space="0"/>
              <w:bottom w:val="single" w:color="auto" w:sz="4" w:space="0"/>
              <w:right w:val="single" w:color="auto" w:sz="4" w:space="0"/>
            </w:tcBorders>
            <w:vAlign w:val="center"/>
          </w:tcPr>
          <w:p w14:paraId="5841D5CF">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标的的名称</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19DE40D4">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技术要求</w:t>
            </w:r>
          </w:p>
        </w:tc>
        <w:tc>
          <w:tcPr>
            <w:tcW w:w="712" w:type="dxa"/>
            <w:tcBorders>
              <w:top w:val="single" w:color="auto" w:sz="4" w:space="0"/>
              <w:left w:val="single" w:color="auto" w:sz="4" w:space="0"/>
              <w:bottom w:val="single" w:color="auto" w:sz="4" w:space="0"/>
              <w:right w:val="single" w:color="auto" w:sz="4" w:space="0"/>
            </w:tcBorders>
            <w:vAlign w:val="center"/>
          </w:tcPr>
          <w:p w14:paraId="1FD07ADE">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13" w:type="dxa"/>
            <w:tcBorders>
              <w:top w:val="single" w:color="auto" w:sz="4" w:space="0"/>
              <w:left w:val="single" w:color="auto" w:sz="4" w:space="0"/>
              <w:bottom w:val="single" w:color="auto" w:sz="4" w:space="0"/>
              <w:right w:val="single" w:color="auto" w:sz="4" w:space="0"/>
            </w:tcBorders>
            <w:vAlign w:val="center"/>
          </w:tcPr>
          <w:p w14:paraId="059FA7C1">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1276" w:type="dxa"/>
            <w:tcBorders>
              <w:top w:val="single" w:color="auto" w:sz="4" w:space="0"/>
              <w:left w:val="single" w:color="auto" w:sz="4" w:space="0"/>
              <w:bottom w:val="single" w:color="auto" w:sz="4" w:space="0"/>
              <w:right w:val="single" w:color="auto" w:sz="4" w:space="0"/>
            </w:tcBorders>
            <w:vAlign w:val="center"/>
          </w:tcPr>
          <w:p w14:paraId="76438990">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参考</w:t>
            </w:r>
            <w:r>
              <w:rPr>
                <w:rFonts w:hint="eastAsia" w:ascii="仿宋" w:hAnsi="仿宋" w:eastAsia="仿宋" w:cs="仿宋"/>
                <w:b/>
                <w:color w:val="auto"/>
                <w:sz w:val="24"/>
                <w:highlight w:val="none"/>
                <w:lang w:val="en-US" w:eastAsia="zh-CN"/>
              </w:rPr>
              <w:t>单</w:t>
            </w:r>
            <w:r>
              <w:rPr>
                <w:rFonts w:hint="eastAsia" w:ascii="仿宋" w:hAnsi="仿宋" w:eastAsia="仿宋" w:cs="仿宋"/>
                <w:b/>
                <w:color w:val="auto"/>
                <w:sz w:val="24"/>
                <w:highlight w:val="none"/>
              </w:rPr>
              <w:t>价</w:t>
            </w:r>
          </w:p>
          <w:p w14:paraId="15FF6660">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（万元）</w:t>
            </w:r>
          </w:p>
        </w:tc>
      </w:tr>
      <w:tr w14:paraId="6444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3FAC5A5F">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1</w:t>
            </w:r>
          </w:p>
        </w:tc>
        <w:tc>
          <w:tcPr>
            <w:tcW w:w="992" w:type="dxa"/>
            <w:tcBorders>
              <w:top w:val="single" w:color="auto" w:sz="4" w:space="0"/>
              <w:left w:val="single" w:color="auto" w:sz="4" w:space="0"/>
              <w:bottom w:val="single" w:color="auto" w:sz="4" w:space="0"/>
              <w:right w:val="single" w:color="auto" w:sz="4" w:space="0"/>
            </w:tcBorders>
            <w:vAlign w:val="center"/>
          </w:tcPr>
          <w:p w14:paraId="66842784">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手术无影灯</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35CB5DEC">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采用医用级LED冷光源，母灯灯珠数量≥36个，子灯灯珠数量≥15个。</w:t>
            </w:r>
          </w:p>
          <w:p w14:paraId="13E795C7">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灯壳外罩采用铝合金材质，宜于散热，表面采用环保粉沫喷塑处理，粉末通过抑菌检测。</w:t>
            </w:r>
          </w:p>
          <w:p w14:paraId="068C15C9">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基础架负载10000N˙m的作用力持续10min，法兰盘水平倾斜角小于0.6°；旋转转轴在负重300kg状态下旋转寿命≥10万次。</w:t>
            </w:r>
          </w:p>
          <w:p w14:paraId="0E5558F7">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母灯采用液晶触控面板，位于灯盘转轴处，角度可调60°，便于医生操作观察，具有普通照明、明亮照明、腔镜照明，可选配自动模式。</w:t>
            </w:r>
          </w:p>
          <w:p w14:paraId="65F9CEE4">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母灯具有自定义临床模式，科室可根据临床使用习惯自定义保存3个不同照明参数，一键切换。</w:t>
            </w:r>
          </w:p>
          <w:p w14:paraId="24F66A6B">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采用圆形旋转平衡臂悬挂系统，六组关节联动、移动轻巧、定位稳定，340度的全方位设计，可满足手术中不同高度和角度的需要。</w:t>
            </w:r>
          </w:p>
          <w:p w14:paraId="434EEC3C">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母灯具有照度稳定技术，调节光斑大小时，照度会自动补偿，保持中心照度恒定不变。</w:t>
            </w:r>
          </w:p>
          <w:p w14:paraId="3F20542D">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母灯可配置自动对焦功能，开启自动功能后能适应不同创口距离，移动灯盘位置，保持照度不变。</w:t>
            </w:r>
          </w:p>
          <w:p w14:paraId="0EC38599">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无菌手柄设计，采用PPSU材料，耐受高温高压蒸汽灭菌≥134℃，且便于安装拆卸，清洁消毒，同时手柄具有照度调节功能，通过顺时针/逆时针旋转可改变照度大小。</w:t>
            </w:r>
          </w:p>
          <w:p w14:paraId="7962CC2E">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采用DC调光技术，直接控制灯珠电流大小来实现照度调节，不对光源进行PWM调光，避免低频频闪给医护人员带来视觉疲劳和不适，同时消除摄像时的水波纹。</w:t>
            </w:r>
          </w:p>
          <w:p w14:paraId="0AFDC007">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手术灯移动轻巧便捷，子母灯上下移动作用力不大于40N，水平位移作用力不大于20N。</w:t>
            </w:r>
          </w:p>
          <w:p w14:paraId="2235842A">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母灯可配置智能阴影管理系统，开启后，母灯单遮挡无影率实测值≥95%。</w:t>
            </w:r>
          </w:p>
          <w:p w14:paraId="22167526">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母灯显色指数Ra实测值≥97，确保光源能最真实的还原创面的实际面貌。</w:t>
            </w:r>
          </w:p>
          <w:p w14:paraId="593305DF">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母灯光斑十档可调：最小光斑≤180mm，最大光斑≥300mm。子灯光斑230mm±10mm。</w:t>
            </w:r>
          </w:p>
          <w:p w14:paraId="4AB7F2E1">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母灯照明深度实测实≥1400mm，能很好的为深腔手术提供照明。</w:t>
            </w:r>
          </w:p>
          <w:p w14:paraId="6497DCDE">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辐照度Ee和照度Ec的比值应不超过3.7±10%  mW/（m2·lux）。</w:t>
            </w:r>
          </w:p>
          <w:p w14:paraId="3734AA35">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照度十档可调：母灯40000-160000lux/子灯40000-130000lux。</w:t>
            </w:r>
          </w:p>
          <w:p w14:paraId="16C98D38">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子母灯可一键切换为腔镜模式，母灯腔镜照度≤8500lux，子灯腔镜照度≤500lux，子灯并可选择白光或者绿光。</w:t>
            </w:r>
          </w:p>
          <w:p w14:paraId="0DFFE22D">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母灯、子灯显色指数R9实测值≥95。</w:t>
            </w:r>
          </w:p>
        </w:tc>
        <w:tc>
          <w:tcPr>
            <w:tcW w:w="712" w:type="dxa"/>
            <w:tcBorders>
              <w:top w:val="single" w:color="auto" w:sz="4" w:space="0"/>
              <w:left w:val="single" w:color="auto" w:sz="4" w:space="0"/>
              <w:bottom w:val="single" w:color="auto" w:sz="4" w:space="0"/>
              <w:right w:val="single" w:color="auto" w:sz="4" w:space="0"/>
            </w:tcBorders>
            <w:vAlign w:val="center"/>
          </w:tcPr>
          <w:p w14:paraId="4F24A04E">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8</w:t>
            </w:r>
          </w:p>
        </w:tc>
        <w:tc>
          <w:tcPr>
            <w:tcW w:w="713" w:type="dxa"/>
            <w:tcBorders>
              <w:top w:val="single" w:color="auto" w:sz="4" w:space="0"/>
              <w:left w:val="single" w:color="auto" w:sz="4" w:space="0"/>
              <w:bottom w:val="single" w:color="auto" w:sz="4" w:space="0"/>
              <w:right w:val="single" w:color="auto" w:sz="4" w:space="0"/>
            </w:tcBorders>
            <w:vAlign w:val="center"/>
          </w:tcPr>
          <w:p w14:paraId="5D151305">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套</w:t>
            </w:r>
          </w:p>
        </w:tc>
        <w:tc>
          <w:tcPr>
            <w:tcW w:w="1276" w:type="dxa"/>
            <w:tcBorders>
              <w:top w:val="single" w:color="auto" w:sz="4" w:space="0"/>
              <w:left w:val="single" w:color="auto" w:sz="4" w:space="0"/>
              <w:bottom w:val="single" w:color="auto" w:sz="4" w:space="0"/>
              <w:right w:val="single" w:color="auto" w:sz="4" w:space="0"/>
            </w:tcBorders>
            <w:vAlign w:val="center"/>
          </w:tcPr>
          <w:p w14:paraId="187E901C">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10.00</w:t>
            </w:r>
          </w:p>
        </w:tc>
      </w:tr>
      <w:tr w14:paraId="212C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093EEE1C">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tcBorders>
              <w:top w:val="single" w:color="auto" w:sz="4" w:space="0"/>
              <w:left w:val="single" w:color="auto" w:sz="4" w:space="0"/>
              <w:bottom w:val="single" w:color="auto" w:sz="4" w:space="0"/>
              <w:right w:val="single" w:color="auto" w:sz="4" w:space="0"/>
            </w:tcBorders>
            <w:vAlign w:val="center"/>
          </w:tcPr>
          <w:p w14:paraId="574F0725">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双通道注射泵</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6C03AF3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适用注射器： 适用于符合国家标准的注射器，内置≥13个常用品牌；其他品牌可标定。</w:t>
            </w:r>
          </w:p>
          <w:p w14:paraId="589BFCD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适用注射器规格：5ml、10ml、20ml、30ml、50/60ml注射器。</w:t>
            </w:r>
          </w:p>
          <w:p w14:paraId="0988EC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注射速度：</w:t>
            </w:r>
          </w:p>
          <w:p w14:paraId="26907A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注射器规格50/60mL，流速设置范围：（0.1～2000.0）mL/h</w:t>
            </w:r>
            <w:r>
              <w:rPr>
                <w:rFonts w:hint="eastAsia" w:ascii="仿宋" w:hAnsi="仿宋" w:eastAsia="仿宋" w:cs="仿宋"/>
                <w:color w:val="auto"/>
                <w:sz w:val="24"/>
                <w:highlight w:val="none"/>
                <w:lang w:val="en-US" w:eastAsia="zh-CN"/>
              </w:rPr>
              <w:t>；</w:t>
            </w:r>
          </w:p>
          <w:p w14:paraId="7BEF9AF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注射器规格30mL，流速设置范围：（0.1～1200.0）mL/h</w:t>
            </w:r>
            <w:r>
              <w:rPr>
                <w:rFonts w:hint="eastAsia" w:ascii="仿宋" w:hAnsi="仿宋" w:eastAsia="仿宋" w:cs="仿宋"/>
                <w:color w:val="auto"/>
                <w:sz w:val="24"/>
                <w:highlight w:val="none"/>
                <w:lang w:val="en-US" w:eastAsia="zh-CN"/>
              </w:rPr>
              <w:t>；</w:t>
            </w:r>
          </w:p>
          <w:p w14:paraId="4A97FCA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注射器规格20mL，流速设置范围：（0.1～800.0）mL/h</w:t>
            </w:r>
            <w:r>
              <w:rPr>
                <w:rFonts w:hint="eastAsia" w:ascii="仿宋" w:hAnsi="仿宋" w:eastAsia="仿宋" w:cs="仿宋"/>
                <w:color w:val="auto"/>
                <w:sz w:val="24"/>
                <w:highlight w:val="none"/>
                <w:lang w:val="en-US" w:eastAsia="zh-CN"/>
              </w:rPr>
              <w:t>；</w:t>
            </w:r>
          </w:p>
          <w:p w14:paraId="34056F7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注射器规格10mL，流速设置范围：（0.1～400.0）mL/h；</w:t>
            </w:r>
          </w:p>
          <w:p w14:paraId="15DA32C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注射器规格5mL，流速设置范围：（0.1～200.0）mL/h；最小增量：0.1mL/h</w:t>
            </w:r>
            <w:r>
              <w:rPr>
                <w:rFonts w:hint="eastAsia" w:ascii="仿宋" w:hAnsi="仿宋" w:eastAsia="仿宋" w:cs="仿宋"/>
                <w:color w:val="auto"/>
                <w:sz w:val="24"/>
                <w:highlight w:val="none"/>
                <w:lang w:eastAsia="zh-CN"/>
              </w:rPr>
              <w:t>。</w:t>
            </w:r>
          </w:p>
          <w:p w14:paraId="7FF79BD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准确度：±2%</w:t>
            </w:r>
            <w:r>
              <w:rPr>
                <w:rFonts w:hint="eastAsia" w:ascii="仿宋" w:hAnsi="仿宋" w:eastAsia="仿宋" w:cs="仿宋"/>
                <w:color w:val="auto"/>
                <w:sz w:val="24"/>
                <w:highlight w:val="none"/>
                <w:lang w:eastAsia="zh-CN"/>
              </w:rPr>
              <w:t>。</w:t>
            </w:r>
          </w:p>
          <w:p w14:paraId="3E7321B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预输量：范围：0.1～9999.9ml,增量0.1ml</w:t>
            </w:r>
            <w:r>
              <w:rPr>
                <w:rFonts w:hint="eastAsia" w:ascii="仿宋" w:hAnsi="仿宋" w:eastAsia="仿宋" w:cs="仿宋"/>
                <w:color w:val="auto"/>
                <w:sz w:val="24"/>
                <w:highlight w:val="none"/>
                <w:lang w:eastAsia="zh-CN"/>
              </w:rPr>
              <w:t>。</w:t>
            </w:r>
          </w:p>
          <w:p w14:paraId="54C9BEE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注射时间：范围：00h01min～99h59min增量：1min；输注界面可显示剩余输液时间和剩余药液量</w:t>
            </w:r>
            <w:r>
              <w:rPr>
                <w:rFonts w:hint="eastAsia" w:ascii="仿宋" w:hAnsi="仿宋" w:eastAsia="仿宋" w:cs="仿宋"/>
                <w:color w:val="auto"/>
                <w:sz w:val="24"/>
                <w:highlight w:val="none"/>
                <w:lang w:eastAsia="zh-CN"/>
              </w:rPr>
              <w:t>。</w:t>
            </w:r>
          </w:p>
          <w:p w14:paraId="13A3A02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五种注射模式可供选择：速度模式、时间模式、序列模式、剂量模式、药物库模式</w:t>
            </w:r>
            <w:r>
              <w:rPr>
                <w:rFonts w:hint="eastAsia" w:ascii="仿宋" w:hAnsi="仿宋" w:eastAsia="仿宋" w:cs="仿宋"/>
                <w:color w:val="auto"/>
                <w:sz w:val="24"/>
                <w:highlight w:val="none"/>
                <w:lang w:eastAsia="zh-CN"/>
              </w:rPr>
              <w:t>。</w:t>
            </w:r>
          </w:p>
          <w:p w14:paraId="14E0E3D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剂量模式：剂量范围：0.001～9999，最小增量0.001</w:t>
            </w:r>
          </w:p>
          <w:p w14:paraId="21A6FCC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药物量：0.1～999.9，增量0.1</w:t>
            </w:r>
            <w:r>
              <w:rPr>
                <w:rFonts w:hint="eastAsia" w:ascii="仿宋" w:hAnsi="仿宋" w:eastAsia="仿宋" w:cs="仿宋"/>
                <w:color w:val="auto"/>
                <w:sz w:val="24"/>
                <w:highlight w:val="none"/>
                <w:lang w:val="en-US" w:eastAsia="zh-CN"/>
              </w:rPr>
              <w:t>；</w:t>
            </w:r>
          </w:p>
          <w:p w14:paraId="643A20E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药液量：0.1~999.9ml,增量0.1ml</w:t>
            </w:r>
            <w:r>
              <w:rPr>
                <w:rFonts w:hint="eastAsia" w:ascii="仿宋" w:hAnsi="仿宋" w:eastAsia="仿宋" w:cs="仿宋"/>
                <w:color w:val="auto"/>
                <w:sz w:val="24"/>
                <w:highlight w:val="none"/>
                <w:lang w:val="en-US" w:eastAsia="zh-CN"/>
              </w:rPr>
              <w:t>；</w:t>
            </w:r>
          </w:p>
          <w:p w14:paraId="5438B5A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体重：0.1～300.0kg,增量：0.1kg</w:t>
            </w:r>
            <w:r>
              <w:rPr>
                <w:rFonts w:hint="eastAsia" w:ascii="仿宋" w:hAnsi="仿宋" w:eastAsia="仿宋" w:cs="仿宋"/>
                <w:color w:val="auto"/>
                <w:sz w:val="24"/>
                <w:highlight w:val="none"/>
                <w:lang w:val="en-US" w:eastAsia="zh-CN"/>
              </w:rPr>
              <w:t>；</w:t>
            </w:r>
          </w:p>
          <w:p w14:paraId="22D40F5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多剂量单位选择</w:t>
            </w:r>
            <w:r>
              <w:rPr>
                <w:rFonts w:hint="eastAsia" w:ascii="仿宋" w:hAnsi="仿宋" w:eastAsia="仿宋" w:cs="仿宋"/>
                <w:color w:val="auto"/>
                <w:sz w:val="24"/>
                <w:highlight w:val="none"/>
                <w:lang w:eastAsia="zh-CN"/>
              </w:rPr>
              <w:t>。</w:t>
            </w:r>
          </w:p>
          <w:p w14:paraId="63893BA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25种速度单位（剂量单位）可供选择：ug/kg/min、</w:t>
            </w:r>
          </w:p>
          <w:p w14:paraId="4BF2B8D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ng/kg/min、ml/h、IU/kg/h、IU/kg/min、U/kg/h、U/kg/min、IU/h、IU/min、U/h、U/min、g/h、mg/h、ug/h、ng/h、g/min、mg/min、ug/min、ug/min、g/kg/h、mg/kg/h、ug/kg/h、ng/kg/h、g/kg/min、mg/kg/min</w:t>
            </w:r>
            <w:r>
              <w:rPr>
                <w:rFonts w:hint="eastAsia" w:ascii="仿宋" w:hAnsi="仿宋" w:eastAsia="仿宋" w:cs="仿宋"/>
                <w:color w:val="auto"/>
                <w:sz w:val="24"/>
                <w:highlight w:val="none"/>
                <w:lang w:eastAsia="zh-CN"/>
              </w:rPr>
              <w:t>。</w:t>
            </w:r>
          </w:p>
          <w:p w14:paraId="459BF9C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报警功能：阻塞报警、注射器脱落报警、注射器推空报警、速度异常报警、电池耗尽报警、无电池报警、按键卡住报警、注射完成报警、注射器近空报警，无操作超时报警、网电源中断报警、电量低报警。</w:t>
            </w:r>
          </w:p>
          <w:p w14:paraId="3588D66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防水等级：IPX4</w:t>
            </w:r>
            <w:r>
              <w:rPr>
                <w:rFonts w:hint="eastAsia" w:ascii="仿宋" w:hAnsi="仿宋" w:eastAsia="仿宋" w:cs="仿宋"/>
                <w:color w:val="auto"/>
                <w:sz w:val="24"/>
                <w:highlight w:val="none"/>
                <w:lang w:eastAsia="zh-CN"/>
              </w:rPr>
              <w:t>。</w:t>
            </w:r>
          </w:p>
          <w:p w14:paraId="10F61BE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运行速度可调：在线注射速度可调功能，保证泵运行状态仍可调整注射速度。</w:t>
            </w:r>
          </w:p>
          <w:p w14:paraId="4FB3A3E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BOLUS速度：0.1～1800ml/h可调，自动/手动可选</w:t>
            </w:r>
            <w:r>
              <w:rPr>
                <w:rFonts w:hint="eastAsia" w:ascii="仿宋" w:hAnsi="仿宋" w:eastAsia="仿宋" w:cs="仿宋"/>
                <w:color w:val="auto"/>
                <w:sz w:val="24"/>
                <w:highlight w:val="none"/>
                <w:lang w:eastAsia="zh-CN"/>
              </w:rPr>
              <w:t>。</w:t>
            </w:r>
          </w:p>
          <w:p w14:paraId="15711B4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BOLUS量：1.0mL～50.0mL；最小增量0.1mL</w:t>
            </w:r>
            <w:r>
              <w:rPr>
                <w:rFonts w:hint="eastAsia" w:ascii="仿宋" w:hAnsi="仿宋" w:eastAsia="仿宋" w:cs="仿宋"/>
                <w:color w:val="auto"/>
                <w:sz w:val="24"/>
                <w:highlight w:val="none"/>
                <w:lang w:eastAsia="zh-CN"/>
              </w:rPr>
              <w:t>。</w:t>
            </w:r>
          </w:p>
          <w:p w14:paraId="6FBD9E5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快推速度：</w:t>
            </w:r>
          </w:p>
          <w:p w14:paraId="10E6550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注射器规格50/60mL，快推速度设定值：≤1500.0mL/h</w:t>
            </w:r>
            <w:r>
              <w:rPr>
                <w:rFonts w:hint="eastAsia" w:ascii="仿宋" w:hAnsi="仿宋" w:eastAsia="仿宋" w:cs="仿宋"/>
                <w:color w:val="auto"/>
                <w:sz w:val="24"/>
                <w:highlight w:val="none"/>
                <w:lang w:val="en-US" w:eastAsia="zh-CN"/>
              </w:rPr>
              <w:t>；</w:t>
            </w:r>
          </w:p>
          <w:p w14:paraId="49DA521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注射器规格30mL，快推速度设定值：≤1200.0mL/h</w:t>
            </w:r>
            <w:r>
              <w:rPr>
                <w:rFonts w:hint="eastAsia" w:ascii="仿宋" w:hAnsi="仿宋" w:eastAsia="仿宋" w:cs="仿宋"/>
                <w:color w:val="auto"/>
                <w:sz w:val="24"/>
                <w:highlight w:val="none"/>
                <w:lang w:val="en-US" w:eastAsia="zh-CN"/>
              </w:rPr>
              <w:t>；</w:t>
            </w:r>
          </w:p>
          <w:p w14:paraId="75BD902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注射器规格20mL，快推速度设定值：≤800.0mL/h</w:t>
            </w:r>
            <w:r>
              <w:rPr>
                <w:rFonts w:hint="eastAsia" w:ascii="仿宋" w:hAnsi="仿宋" w:eastAsia="仿宋" w:cs="仿宋"/>
                <w:color w:val="auto"/>
                <w:sz w:val="24"/>
                <w:highlight w:val="none"/>
                <w:lang w:val="en-US" w:eastAsia="zh-CN"/>
              </w:rPr>
              <w:t>；</w:t>
            </w:r>
          </w:p>
          <w:p w14:paraId="2A7C87B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注射器规格10mL，快推速度设定值：≤400.0mL/h</w:t>
            </w:r>
            <w:r>
              <w:rPr>
                <w:rFonts w:hint="eastAsia" w:ascii="仿宋" w:hAnsi="仿宋" w:eastAsia="仿宋" w:cs="仿宋"/>
                <w:color w:val="auto"/>
                <w:sz w:val="24"/>
                <w:highlight w:val="none"/>
                <w:lang w:val="en-US" w:eastAsia="zh-CN"/>
              </w:rPr>
              <w:t>；</w:t>
            </w:r>
          </w:p>
          <w:p w14:paraId="56CE24C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注射器规格5mL，快推速度设定值：≤200.0mL/h</w:t>
            </w:r>
            <w:r>
              <w:rPr>
                <w:rFonts w:hint="eastAsia" w:ascii="仿宋" w:hAnsi="仿宋" w:eastAsia="仿宋" w:cs="仿宋"/>
                <w:color w:val="auto"/>
                <w:sz w:val="24"/>
                <w:highlight w:val="none"/>
                <w:lang w:eastAsia="zh-CN"/>
              </w:rPr>
              <w:t>。</w:t>
            </w:r>
          </w:p>
          <w:p w14:paraId="05DF36F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KVO速度：0.1～5.0ml/h可调</w:t>
            </w:r>
            <w:r>
              <w:rPr>
                <w:rFonts w:hint="eastAsia" w:ascii="仿宋" w:hAnsi="仿宋" w:eastAsia="仿宋" w:cs="仿宋"/>
                <w:color w:val="auto"/>
                <w:sz w:val="24"/>
                <w:highlight w:val="none"/>
                <w:lang w:eastAsia="zh-CN"/>
              </w:rPr>
              <w:t>。</w:t>
            </w:r>
          </w:p>
          <w:p w14:paraId="0BC0E9F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DPS动态阻塞压力报警，分高中低三档可调</w:t>
            </w:r>
          </w:p>
          <w:p w14:paraId="57FD002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高：120（±15）kPa </w:t>
            </w:r>
            <w:r>
              <w:rPr>
                <w:rFonts w:hint="eastAsia" w:ascii="仿宋" w:hAnsi="仿宋" w:eastAsia="仿宋" w:cs="仿宋"/>
                <w:color w:val="auto"/>
                <w:sz w:val="24"/>
                <w:highlight w:val="none"/>
                <w:lang w:val="en-US" w:eastAsia="zh-CN"/>
              </w:rPr>
              <w:t>；</w:t>
            </w:r>
          </w:p>
          <w:p w14:paraId="5C73DB3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中：90（±15）kPa </w:t>
            </w:r>
            <w:r>
              <w:rPr>
                <w:rFonts w:hint="eastAsia" w:ascii="仿宋" w:hAnsi="仿宋" w:eastAsia="仿宋" w:cs="仿宋"/>
                <w:color w:val="auto"/>
                <w:sz w:val="24"/>
                <w:highlight w:val="none"/>
                <w:lang w:val="en-US" w:eastAsia="zh-CN"/>
              </w:rPr>
              <w:t>；</w:t>
            </w:r>
          </w:p>
          <w:p w14:paraId="78F0476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低：60（±15）kPa</w:t>
            </w:r>
            <w:r>
              <w:rPr>
                <w:rFonts w:hint="eastAsia" w:ascii="仿宋" w:hAnsi="仿宋" w:eastAsia="仿宋" w:cs="仿宋"/>
                <w:color w:val="auto"/>
                <w:sz w:val="24"/>
                <w:highlight w:val="none"/>
                <w:lang w:eastAsia="zh-CN"/>
              </w:rPr>
              <w:t>。</w:t>
            </w:r>
          </w:p>
          <w:p w14:paraId="4C306BA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显示屏亮度：1-10档可调</w:t>
            </w:r>
            <w:r>
              <w:rPr>
                <w:rFonts w:hint="eastAsia" w:ascii="仿宋" w:hAnsi="仿宋" w:eastAsia="仿宋" w:cs="仿宋"/>
                <w:color w:val="auto"/>
                <w:sz w:val="24"/>
                <w:highlight w:val="none"/>
                <w:lang w:eastAsia="zh-CN"/>
              </w:rPr>
              <w:t>。</w:t>
            </w:r>
          </w:p>
          <w:p w14:paraId="35A8C23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19</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历史记录：≥2000条历史记录可供查看和导出</w:t>
            </w:r>
            <w:r>
              <w:rPr>
                <w:rFonts w:hint="eastAsia" w:ascii="仿宋" w:hAnsi="仿宋" w:eastAsia="仿宋" w:cs="仿宋"/>
                <w:color w:val="auto"/>
                <w:sz w:val="24"/>
                <w:highlight w:val="none"/>
                <w:lang w:eastAsia="zh-CN"/>
              </w:rPr>
              <w:t>。</w:t>
            </w:r>
          </w:p>
          <w:p w14:paraId="5B71C3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接入端口：RS232</w:t>
            </w:r>
            <w:r>
              <w:rPr>
                <w:rFonts w:hint="eastAsia" w:ascii="仿宋" w:hAnsi="仿宋" w:eastAsia="仿宋" w:cs="仿宋"/>
                <w:color w:val="auto"/>
                <w:sz w:val="24"/>
                <w:highlight w:val="none"/>
                <w:lang w:eastAsia="zh-CN"/>
              </w:rPr>
              <w:t>。</w:t>
            </w:r>
          </w:p>
          <w:p w14:paraId="1C56AC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电源：AC：220V，50Hz</w:t>
            </w:r>
            <w:r>
              <w:rPr>
                <w:rFonts w:hint="eastAsia" w:ascii="仿宋" w:hAnsi="仿宋" w:eastAsia="仿宋" w:cs="仿宋"/>
                <w:color w:val="auto"/>
                <w:sz w:val="24"/>
                <w:highlight w:val="none"/>
                <w:lang w:eastAsia="zh-CN"/>
              </w:rPr>
              <w:t>。</w:t>
            </w:r>
          </w:p>
          <w:p w14:paraId="14F0526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内置电池：聚合物锂电池11.1Vdc</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2000mAh</w:t>
            </w:r>
            <w:r>
              <w:rPr>
                <w:rFonts w:hint="eastAsia" w:ascii="仿宋" w:hAnsi="仿宋" w:eastAsia="仿宋" w:cs="仿宋"/>
                <w:color w:val="auto"/>
                <w:sz w:val="24"/>
                <w:highlight w:val="none"/>
                <w:lang w:val="en-US" w:eastAsia="zh-CN"/>
              </w:rPr>
              <w:t>；</w:t>
            </w:r>
          </w:p>
          <w:p w14:paraId="2D917DC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中速运行，续航时间约为7小时</w:t>
            </w:r>
            <w:r>
              <w:rPr>
                <w:rFonts w:hint="eastAsia" w:ascii="仿宋" w:hAnsi="仿宋" w:eastAsia="仿宋" w:cs="仿宋"/>
                <w:color w:val="auto"/>
                <w:sz w:val="24"/>
                <w:highlight w:val="none"/>
                <w:lang w:eastAsia="zh-CN"/>
              </w:rPr>
              <w:t>。</w:t>
            </w:r>
          </w:p>
          <w:p w14:paraId="1C6E07B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安全等级：I类CF型，外壳防护等级IPX4，可连续运行</w:t>
            </w:r>
            <w:r>
              <w:rPr>
                <w:rFonts w:hint="eastAsia" w:ascii="仿宋" w:hAnsi="仿宋" w:eastAsia="仿宋" w:cs="仿宋"/>
                <w:color w:val="auto"/>
                <w:sz w:val="24"/>
                <w:highlight w:val="none"/>
                <w:lang w:eastAsia="zh-CN"/>
              </w:rPr>
              <w:t>。</w:t>
            </w:r>
          </w:p>
          <w:p w14:paraId="7B699FB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固定夹：使用时360度可旋转整机固定夹，水平和垂直方向可固定。</w:t>
            </w:r>
          </w:p>
          <w:p w14:paraId="78753E1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模块化自由组合：根据临床需要可任意组合成多个通道</w:t>
            </w:r>
            <w:r>
              <w:rPr>
                <w:rFonts w:hint="eastAsia" w:ascii="仿宋" w:hAnsi="仿宋" w:eastAsia="仿宋" w:cs="仿宋"/>
                <w:color w:val="auto"/>
                <w:sz w:val="24"/>
                <w:highlight w:val="none"/>
                <w:lang w:eastAsia="zh-CN"/>
              </w:rPr>
              <w:t>。</w:t>
            </w:r>
          </w:p>
        </w:tc>
        <w:tc>
          <w:tcPr>
            <w:tcW w:w="712" w:type="dxa"/>
            <w:tcBorders>
              <w:top w:val="single" w:color="auto" w:sz="4" w:space="0"/>
              <w:left w:val="single" w:color="auto" w:sz="4" w:space="0"/>
              <w:bottom w:val="single" w:color="auto" w:sz="4" w:space="0"/>
              <w:right w:val="single" w:color="auto" w:sz="4" w:space="0"/>
            </w:tcBorders>
            <w:vAlign w:val="center"/>
          </w:tcPr>
          <w:p w14:paraId="1CD0952A">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w:t>
            </w:r>
          </w:p>
        </w:tc>
        <w:tc>
          <w:tcPr>
            <w:tcW w:w="713" w:type="dxa"/>
            <w:tcBorders>
              <w:top w:val="single" w:color="auto" w:sz="4" w:space="0"/>
              <w:left w:val="single" w:color="auto" w:sz="4" w:space="0"/>
              <w:bottom w:val="single" w:color="auto" w:sz="4" w:space="0"/>
              <w:right w:val="single" w:color="auto" w:sz="4" w:space="0"/>
            </w:tcBorders>
            <w:vAlign w:val="center"/>
          </w:tcPr>
          <w:p w14:paraId="3B9A794C">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14:paraId="44B55E72">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0.5</w:t>
            </w:r>
          </w:p>
        </w:tc>
      </w:tr>
      <w:tr w14:paraId="0BB4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6498BF77">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992" w:type="dxa"/>
            <w:tcBorders>
              <w:top w:val="single" w:color="auto" w:sz="4" w:space="0"/>
              <w:left w:val="single" w:color="auto" w:sz="4" w:space="0"/>
              <w:bottom w:val="single" w:color="auto" w:sz="4" w:space="0"/>
              <w:right w:val="single" w:color="auto" w:sz="4" w:space="0"/>
            </w:tcBorders>
            <w:vAlign w:val="center"/>
          </w:tcPr>
          <w:p w14:paraId="33FFE0E4">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麻醉机</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789F2758">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1、★气动电控呼吸机，中文界面，彩色触摸显示屏≥8英寸，波形最多支持显示≥5通道。内置彩色触摸屏，上升式风箱，可以直接观察病人实际呼吸状态。</w:t>
            </w:r>
          </w:p>
          <w:p w14:paraId="2C77F482">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2、气源：具有氧气空气双气源及接口。氧气、空气流量范围0～15L/min，笑气流量范围0～10L/min。快速充氧范围25-75L/min。</w:t>
            </w:r>
          </w:p>
          <w:p w14:paraId="4C39DB42">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3、配置附加吸氧功能，支持氧空混合吸氧，无需开机即可给病人吸氧。</w:t>
            </w:r>
          </w:p>
          <w:p w14:paraId="2BA63D43">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4、APL阀门，具有快排功能。后续可选配升级附加新鲜气体出口，可以直接连接特殊的开放式回路，如Bain回路、T管回路。</w:t>
            </w:r>
          </w:p>
          <w:p w14:paraId="1CB8DF22">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5、具备加热与集水系统，保证回路不受积水影响。</w:t>
            </w:r>
          </w:p>
          <w:p w14:paraId="409F47AB">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6、具备CO2旁路功能，可术中不关机更换钠石灰。</w:t>
            </w:r>
          </w:p>
          <w:p w14:paraId="4E7BDAD9">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7、配置氧电池实时监测氧浓度，检测范围：21～100%。</w:t>
            </w:r>
          </w:p>
          <w:p w14:paraId="44A1E469">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★8、配置抽屉数量≥3个，后续可支持升级负压排痰系统，可选配具有国际专利的AGSS废气回收系统，自主吸引废弃排空，同时有效的保证麻醉气体不会被排出浪费。</w:t>
            </w:r>
          </w:p>
          <w:p w14:paraId="4A8A43EB">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9、后备电池≥2200mAh，后续可选配升级≥4400 mAh，最多支持6小时运行。</w:t>
            </w:r>
          </w:p>
          <w:p w14:paraId="5FA60105">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★10、通气模式：容量控制、压力控制、SIMV-VC、SIMV-PC（触发窗范围手动可调）、CPAP/PSV、手动通气、电子PEEP；后续可选配升级PRVC、SIMV-PRVC、PSVpro。</w:t>
            </w:r>
          </w:p>
          <w:p w14:paraId="4B5F2F3B">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11、容量控制下潮气量控制范围：20～1500ml。</w:t>
            </w:r>
          </w:p>
          <w:p w14:paraId="4E258456">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12、呼吸频率控制范围：6～100 次/分钟。</w:t>
            </w:r>
          </w:p>
          <w:p w14:paraId="2A8DD03E">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13、吸呼比控制范围：4:1～1:9。</w:t>
            </w:r>
          </w:p>
          <w:p w14:paraId="2FFDDC02">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14、压力限制范围：10～100 cmH2O。</w:t>
            </w:r>
          </w:p>
          <w:p w14:paraId="11763FDC">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15、具备同步间歇指令通气：通气触发窗调节范围：5%～90%；触发流速和压力调节范围：0.2 L /min～15 L/min和-20 cmH2O～-1cmH2O；吸气中止水平调节范围：5%～80%。</w:t>
            </w:r>
          </w:p>
          <w:p w14:paraId="13CC41FB">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16、具备窒息保护功能：窒息压力调节范围：3cmH2O～60cmH2O。窒息吸呼比调节范围：4：1～1：8。窒息时间调节范围：10～30s。</w:t>
            </w:r>
          </w:p>
          <w:p w14:paraId="34E61EA2">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17、标配工作模式：通气模式、待机模式和心脏手术体外循环模式（一键式操作）。</w:t>
            </w:r>
          </w:p>
          <w:p w14:paraId="4B0A75CB">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18、具备60小时迷你趋势显示，可手术中与其他呼吸机参数同屏分屏显示。可保持2000条报警记录。</w:t>
            </w:r>
          </w:p>
          <w:p w14:paraId="42598B2B">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19、监测参数：呼吸频率、潮气量、吸呼比、分钟通气量、气道压（峰压、平台压、平均压、PEEP）、气阻、顺应性；实时压力时间、流速时间、容积时间呼吸波形描记并同屏显示。支持高端监测功能：气阻监测范围：0～600cmH2O/(L/s)，顺应性监测范围：0～300 mL/cmH2O，可选配环图功能，包括P-V、F-V、P-F三种。</w:t>
            </w:r>
          </w:p>
          <w:p w14:paraId="0E0F6494">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20、配主流呼吸末二氧化碳模块，后续可选配升级旁流呼吸末二氧化碳模块、麻醉气体模块、顺磁氧模块、麻醉深度模块。可术中热插拔使用，无需关机重启；开机状态下即可更换。模块可在麻醉机插槽与监护仪插件位之间通用。监测参数需与呼吸机参数同屏显示。</w:t>
            </w:r>
          </w:p>
        </w:tc>
        <w:tc>
          <w:tcPr>
            <w:tcW w:w="712" w:type="dxa"/>
            <w:tcBorders>
              <w:top w:val="single" w:color="auto" w:sz="4" w:space="0"/>
              <w:left w:val="single" w:color="auto" w:sz="4" w:space="0"/>
              <w:bottom w:val="single" w:color="auto" w:sz="4" w:space="0"/>
              <w:right w:val="single" w:color="auto" w:sz="4" w:space="0"/>
            </w:tcBorders>
            <w:vAlign w:val="center"/>
          </w:tcPr>
          <w:p w14:paraId="5153B678">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14:paraId="58AC34E4">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14:paraId="2EF81A24">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20.00</w:t>
            </w:r>
          </w:p>
        </w:tc>
      </w:tr>
      <w:tr w14:paraId="2572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263EC9E7">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4</w:t>
            </w:r>
          </w:p>
        </w:tc>
        <w:tc>
          <w:tcPr>
            <w:tcW w:w="992" w:type="dxa"/>
            <w:tcBorders>
              <w:top w:val="single" w:color="auto" w:sz="4" w:space="0"/>
              <w:left w:val="single" w:color="auto" w:sz="4" w:space="0"/>
              <w:bottom w:val="single" w:color="auto" w:sz="4" w:space="0"/>
              <w:right w:val="single" w:color="auto" w:sz="4" w:space="0"/>
            </w:tcBorders>
            <w:vAlign w:val="center"/>
          </w:tcPr>
          <w:p w14:paraId="0067BD13">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bCs/>
                <w:color w:val="auto"/>
                <w:sz w:val="24"/>
                <w:highlight w:val="none"/>
                <w:lang w:val="en-US" w:eastAsia="zh-CN"/>
              </w:rPr>
              <w:t>医用升温毯</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480E415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充热空气式加温，具有气流量大、加热快、噪音低、温控精准等特点。适用于低温患者物理升温以及保持体温的患者。</w:t>
            </w:r>
          </w:p>
          <w:p w14:paraId="3976B05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液晶显示屏；显示热空气实时温度、显示当前设定的温度、显示当前是热风输出还是自然风输出、显示当前风量等级等工作状态信息。</w:t>
            </w:r>
          </w:p>
          <w:p w14:paraId="148AD6A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主机面板具有一键式温度设置自然风键、38℃、43℃快捷键、温度调节及风量调节键。</w:t>
            </w:r>
          </w:p>
          <w:p w14:paraId="2AEB2DD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温度调节范围： 33-43℃、0.5℃步进。</w:t>
            </w:r>
          </w:p>
          <w:p w14:paraId="461D6D8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控温精度：±0.5℃。</w:t>
            </w:r>
          </w:p>
          <w:p w14:paraId="34F96D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多种声、光、图文报警提示：高温危险报警、温度失调高、温度失调低、加热器故障报警、风机故障报警、传感器故障报警。</w:t>
            </w:r>
          </w:p>
          <w:p w14:paraId="74877A3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高温危险报警：温度持续 1 分钟≥48℃，主机报警、自动停止工作。</w:t>
            </w:r>
          </w:p>
          <w:p w14:paraId="18ACD09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温度失调报警;\：当导气管出气温度连续 3 分钟高于或低于设置温度 1℃以上，发出两种报警。</w:t>
            </w:r>
          </w:p>
          <w:p w14:paraId="1BBCF0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设备具有工作模式：自然风模式、温控模式。</w:t>
            </w:r>
          </w:p>
          <w:p w14:paraId="136216E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自然风模式;设备不对气体进行加温，直接用风机送出压缩气体。</w:t>
            </w:r>
          </w:p>
          <w:p w14:paraId="308D2A0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温控模式;设备对气体按照预设温度加温，设备具有高精度传感器和温控算法，保证加温的精准度。</w:t>
            </w:r>
          </w:p>
          <w:p w14:paraId="51A92BD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风机，风机最大转速：不超过 8500 转/分钟。</w:t>
            </w:r>
          </w:p>
          <w:p w14:paraId="5D40F4E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风量：≥6 档可选，至少包含以下档位;0 档 15m</w:t>
            </w:r>
            <w:r>
              <w:rPr>
                <w:rFonts w:hint="eastAsia" w:ascii="仿宋" w:hAnsi="仿宋" w:eastAsia="仿宋" w:cs="仿宋"/>
                <w:color w:val="auto"/>
                <w:sz w:val="24"/>
                <w:highlight w:val="none"/>
                <w:vertAlign w:val="superscript"/>
              </w:rPr>
              <w:t>3</w:t>
            </w:r>
            <w:r>
              <w:rPr>
                <w:rFonts w:hint="eastAsia" w:ascii="仿宋" w:hAnsi="仿宋" w:eastAsia="仿宋" w:cs="仿宋"/>
                <w:color w:val="auto"/>
                <w:sz w:val="24"/>
                <w:highlight w:val="none"/>
              </w:rPr>
              <w:t>/h</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1 档 30m</w:t>
            </w:r>
            <w:r>
              <w:rPr>
                <w:rFonts w:hint="eastAsia" w:ascii="仿宋" w:hAnsi="仿宋" w:eastAsia="仿宋" w:cs="仿宋"/>
                <w:color w:val="auto"/>
                <w:sz w:val="24"/>
                <w:highlight w:val="none"/>
                <w:vertAlign w:val="superscript"/>
              </w:rPr>
              <w:t>3</w:t>
            </w:r>
            <w:r>
              <w:rPr>
                <w:rFonts w:hint="eastAsia" w:ascii="仿宋" w:hAnsi="仿宋" w:eastAsia="仿宋" w:cs="仿宋"/>
                <w:color w:val="auto"/>
                <w:sz w:val="24"/>
                <w:highlight w:val="none"/>
              </w:rPr>
              <w:t>/h</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2 档 45m</w:t>
            </w:r>
            <w:r>
              <w:rPr>
                <w:rFonts w:hint="eastAsia" w:ascii="仿宋" w:hAnsi="仿宋" w:eastAsia="仿宋" w:cs="仿宋"/>
                <w:color w:val="auto"/>
                <w:sz w:val="24"/>
                <w:highlight w:val="none"/>
                <w:vertAlign w:val="superscript"/>
              </w:rPr>
              <w:t>3</w:t>
            </w:r>
            <w:r>
              <w:rPr>
                <w:rFonts w:hint="eastAsia" w:ascii="仿宋" w:hAnsi="仿宋" w:eastAsia="仿宋" w:cs="仿宋"/>
                <w:color w:val="auto"/>
                <w:sz w:val="24"/>
                <w:highlight w:val="none"/>
              </w:rPr>
              <w:t>/h</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3 档 60m</w:t>
            </w:r>
            <w:r>
              <w:rPr>
                <w:rFonts w:hint="eastAsia" w:ascii="仿宋" w:hAnsi="仿宋" w:eastAsia="仿宋" w:cs="仿宋"/>
                <w:color w:val="auto"/>
                <w:sz w:val="24"/>
                <w:highlight w:val="none"/>
                <w:vertAlign w:val="superscript"/>
              </w:rPr>
              <w:t>3</w:t>
            </w:r>
            <w:r>
              <w:rPr>
                <w:rFonts w:hint="eastAsia" w:ascii="仿宋" w:hAnsi="仿宋" w:eastAsia="仿宋" w:cs="仿宋"/>
                <w:color w:val="auto"/>
                <w:sz w:val="24"/>
                <w:highlight w:val="none"/>
              </w:rPr>
              <w:t xml:space="preserve">/h </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4 档 70m</w:t>
            </w:r>
            <w:r>
              <w:rPr>
                <w:rFonts w:hint="eastAsia" w:ascii="仿宋" w:hAnsi="仿宋" w:eastAsia="仿宋" w:cs="仿宋"/>
                <w:color w:val="auto"/>
                <w:sz w:val="24"/>
                <w:highlight w:val="none"/>
                <w:vertAlign w:val="superscript"/>
              </w:rPr>
              <w:t>3</w:t>
            </w:r>
            <w:r>
              <w:rPr>
                <w:rFonts w:hint="eastAsia" w:ascii="仿宋" w:hAnsi="仿宋" w:eastAsia="仿宋" w:cs="仿宋"/>
                <w:color w:val="auto"/>
                <w:sz w:val="24"/>
                <w:highlight w:val="none"/>
              </w:rPr>
              <w:t>/h</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5 档 85m</w:t>
            </w:r>
            <w:r>
              <w:rPr>
                <w:rFonts w:hint="eastAsia" w:ascii="仿宋" w:hAnsi="仿宋" w:eastAsia="仿宋" w:cs="仿宋"/>
                <w:color w:val="auto"/>
                <w:sz w:val="24"/>
                <w:highlight w:val="none"/>
                <w:vertAlign w:val="superscript"/>
              </w:rPr>
              <w:t>3</w:t>
            </w:r>
            <w:r>
              <w:rPr>
                <w:rFonts w:hint="eastAsia" w:ascii="仿宋" w:hAnsi="仿宋" w:eastAsia="仿宋" w:cs="仿宋"/>
                <w:color w:val="auto"/>
                <w:sz w:val="24"/>
                <w:highlight w:val="none"/>
              </w:rPr>
              <w:t>/h</w:t>
            </w:r>
            <w:r>
              <w:rPr>
                <w:rFonts w:hint="eastAsia" w:ascii="仿宋" w:hAnsi="仿宋" w:eastAsia="仿宋" w:cs="仿宋"/>
                <w:color w:val="auto"/>
                <w:sz w:val="24"/>
                <w:highlight w:val="none"/>
                <w:lang w:eastAsia="zh-CN"/>
              </w:rPr>
              <w:t>。</w:t>
            </w:r>
          </w:p>
          <w:p w14:paraId="05882CB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出气压力＞2600Pa</w:t>
            </w:r>
            <w:r>
              <w:rPr>
                <w:rFonts w:hint="eastAsia" w:ascii="仿宋" w:hAnsi="仿宋" w:eastAsia="仿宋" w:cs="仿宋"/>
                <w:color w:val="auto"/>
                <w:sz w:val="24"/>
                <w:highlight w:val="none"/>
                <w:lang w:eastAsia="zh-CN"/>
              </w:rPr>
              <w:t>。</w:t>
            </w:r>
          </w:p>
          <w:p w14:paraId="7B6F8EE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配套移动小车，方便主机转运移动。</w:t>
            </w:r>
          </w:p>
          <w:p w14:paraId="540BD17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配备空气过滤器，滤过颗粒直径</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0.2μm。</w:t>
            </w:r>
          </w:p>
          <w:p w14:paraId="4E4CCA5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毯型分为一次性使用和可重复使用两种可选，一次性分为无菌型和非无菌，可重复毯可以清洗、灭菌。</w:t>
            </w:r>
          </w:p>
          <w:p w14:paraId="70DF38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毯型的规格型号≥21 种，包括不限于：半身盖、全身盖、全身垫、儿童毯、肩部毯等。</w:t>
            </w:r>
          </w:p>
          <w:p w14:paraId="651D2DC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主机内置熔断器，规格型号：F10A/250V，保护使用安全。</w:t>
            </w:r>
          </w:p>
          <w:p w14:paraId="0CB052C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 I 类 BF 型电器安全要求、环境要求。</w:t>
            </w:r>
          </w:p>
          <w:p w14:paraId="1B33F2D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正常工作条件</w:t>
            </w:r>
          </w:p>
          <w:p w14:paraId="1D1DC4C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环境温度：＋10℃～＋40℃</w:t>
            </w:r>
            <w:r>
              <w:rPr>
                <w:rFonts w:hint="eastAsia" w:ascii="仿宋" w:hAnsi="仿宋" w:eastAsia="仿宋" w:cs="仿宋"/>
                <w:color w:val="auto"/>
                <w:sz w:val="24"/>
                <w:highlight w:val="none"/>
                <w:lang w:val="en-US" w:eastAsia="zh-CN"/>
              </w:rPr>
              <w:t xml:space="preserve">； </w:t>
            </w:r>
          </w:p>
          <w:p w14:paraId="0ABE259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相对湿度：30％～75％</w:t>
            </w:r>
            <w:r>
              <w:rPr>
                <w:rFonts w:hint="eastAsia" w:ascii="仿宋" w:hAnsi="仿宋" w:eastAsia="仿宋" w:cs="仿宋"/>
                <w:color w:val="auto"/>
                <w:sz w:val="24"/>
                <w:highlight w:val="none"/>
                <w:lang w:val="en-US" w:eastAsia="zh-CN"/>
              </w:rPr>
              <w:t>；</w:t>
            </w:r>
          </w:p>
          <w:p w14:paraId="03D8BF1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大气压力： 700hPa～1060hPa。</w:t>
            </w:r>
          </w:p>
        </w:tc>
        <w:tc>
          <w:tcPr>
            <w:tcW w:w="712" w:type="dxa"/>
            <w:tcBorders>
              <w:top w:val="single" w:color="auto" w:sz="4" w:space="0"/>
              <w:left w:val="single" w:color="auto" w:sz="4" w:space="0"/>
              <w:bottom w:val="single" w:color="auto" w:sz="4" w:space="0"/>
              <w:right w:val="single" w:color="auto" w:sz="4" w:space="0"/>
            </w:tcBorders>
            <w:vAlign w:val="center"/>
          </w:tcPr>
          <w:p w14:paraId="4A88D44A">
            <w:pPr>
              <w:spacing w:line="4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14:paraId="4F8099B6">
            <w:pPr>
              <w:spacing w:line="4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张</w:t>
            </w:r>
          </w:p>
        </w:tc>
        <w:tc>
          <w:tcPr>
            <w:tcW w:w="1276" w:type="dxa"/>
            <w:tcBorders>
              <w:top w:val="single" w:color="auto" w:sz="4" w:space="0"/>
              <w:left w:val="single" w:color="auto" w:sz="4" w:space="0"/>
              <w:bottom w:val="single" w:color="auto" w:sz="4" w:space="0"/>
              <w:right w:val="single" w:color="auto" w:sz="4" w:space="0"/>
            </w:tcBorders>
            <w:vAlign w:val="center"/>
          </w:tcPr>
          <w:p w14:paraId="60DFC54B">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4.00</w:t>
            </w:r>
          </w:p>
        </w:tc>
      </w:tr>
      <w:tr w14:paraId="1D1D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14:paraId="12C59B06">
            <w:pPr>
              <w:spacing w:line="460" w:lineRule="exact"/>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核心产品：本</w:t>
            </w:r>
            <w:r>
              <w:rPr>
                <w:rFonts w:hint="eastAsia" w:ascii="仿宋" w:hAnsi="仿宋" w:eastAsia="仿宋" w:cs="仿宋"/>
                <w:b/>
                <w:color w:val="auto"/>
                <w:sz w:val="24"/>
                <w:highlight w:val="none"/>
                <w:lang w:val="en-US" w:eastAsia="zh-CN"/>
              </w:rPr>
              <w:t>分标</w:t>
            </w:r>
            <w:r>
              <w:rPr>
                <w:rFonts w:hint="eastAsia" w:ascii="仿宋" w:hAnsi="仿宋" w:eastAsia="仿宋" w:cs="仿宋"/>
                <w:b/>
                <w:color w:val="auto"/>
                <w:sz w:val="24"/>
                <w:highlight w:val="none"/>
              </w:rPr>
              <w:t>核心产品为第</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u w:val="single"/>
                <w:lang w:val="en-US" w:eastAsia="zh-CN"/>
              </w:rPr>
              <w:t xml:space="preserve">1 </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rPr>
              <w:t>项标的</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u w:val="single"/>
                <w:lang w:val="en-US" w:eastAsia="zh-CN"/>
              </w:rPr>
              <w:t>手术无影灯</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rPr>
              <w:t>。</w:t>
            </w:r>
          </w:p>
        </w:tc>
      </w:tr>
      <w:tr w14:paraId="2E0B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14:paraId="149C5C0F">
            <w:pPr>
              <w:spacing w:line="46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二、商务要求</w:t>
            </w:r>
          </w:p>
        </w:tc>
      </w:tr>
      <w:tr w14:paraId="45A0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436BD664">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免费</w:t>
            </w:r>
            <w:r>
              <w:rPr>
                <w:rFonts w:hint="eastAsia" w:ascii="仿宋" w:hAnsi="仿宋" w:eastAsia="仿宋" w:cs="仿宋"/>
                <w:b/>
                <w:color w:val="auto"/>
                <w:kern w:val="0"/>
                <w:sz w:val="24"/>
                <w:highlight w:val="none"/>
              </w:rPr>
              <w:t>保修期</w:t>
            </w:r>
          </w:p>
        </w:tc>
        <w:tc>
          <w:tcPr>
            <w:tcW w:w="8120" w:type="dxa"/>
            <w:gridSpan w:val="4"/>
            <w:vAlign w:val="center"/>
          </w:tcPr>
          <w:p w14:paraId="46F979B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1、本项目全部标的设备的免费保修期自交货验收合格之日起不少于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2</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年，并按国家有关产品“三包”规定执行“三包”。产品在免费保修期内出现故障的，免费保修期时间相应顺延。</w:t>
            </w:r>
          </w:p>
        </w:tc>
      </w:tr>
      <w:tr w14:paraId="4AF6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0A1130FB">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售后服务要求</w:t>
            </w:r>
          </w:p>
        </w:tc>
        <w:tc>
          <w:tcPr>
            <w:tcW w:w="8120" w:type="dxa"/>
            <w:gridSpan w:val="4"/>
            <w:vAlign w:val="center"/>
          </w:tcPr>
          <w:p w14:paraId="72A40E5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一、总体要求</w:t>
            </w:r>
          </w:p>
          <w:p w14:paraId="5218DC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1、免费送货上门、免费安装调试合格，免费培训采购人相关工作人员能熟练使用，提供产品终身免费上门维修服务。</w:t>
            </w:r>
          </w:p>
          <w:p w14:paraId="2D6ABDE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2、在免费保修期内因产品本身的质量问题发生故障，中标供应商应负责免费修理和更换零部件。对达不到技术要求者，根据实际情况，经双方协商，可按以下办法处理：</w:t>
            </w:r>
          </w:p>
          <w:p w14:paraId="297BD4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（1）更换：由中标供应商承担所有发生的全部费用。</w:t>
            </w:r>
          </w:p>
          <w:p w14:paraId="1AA0E38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（2）贬值处理：由采购人、中标供应商双方合议定价。</w:t>
            </w:r>
          </w:p>
          <w:p w14:paraId="2C94D9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（3）退货处理：中标供应商应退还采购人支付的合同款，同时应承担该货物的直接费用（运输、保险、检验、贷款利息及银行手续费等）。</w:t>
            </w:r>
          </w:p>
          <w:p w14:paraId="09941F0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3、免费保修期内定期上门保养、设备故障时提供上门维修。保修期内在使用过程中若产品发生质量问题或故障，在接到采购人通知后厂家工程师提供</w:t>
            </w:r>
            <w:r>
              <w:rPr>
                <w:rFonts w:hint="eastAsia" w:ascii="仿宋" w:hAnsi="仿宋" w:eastAsia="仿宋" w:cs="仿宋"/>
                <w:color w:val="auto"/>
                <w:kern w:val="0"/>
                <w:sz w:val="24"/>
                <w:highlight w:val="none"/>
                <w:u w:val="single"/>
              </w:rPr>
              <w:t xml:space="preserve">    24</w:t>
            </w:r>
            <w:r>
              <w:rPr>
                <w:rFonts w:hint="eastAsia" w:ascii="仿宋" w:hAnsi="仿宋" w:eastAsia="仿宋" w:cs="仿宋"/>
                <w:color w:val="auto"/>
                <w:kern w:val="0"/>
                <w:sz w:val="24"/>
                <w:highlight w:val="none"/>
              </w:rPr>
              <w:t>小时在线服务。如需更换配件，应当在</w:t>
            </w:r>
            <w:r>
              <w:rPr>
                <w:rFonts w:hint="eastAsia" w:ascii="仿宋" w:hAnsi="仿宋" w:eastAsia="仿宋" w:cs="仿宋"/>
                <w:color w:val="auto"/>
                <w:kern w:val="0"/>
                <w:sz w:val="24"/>
                <w:highlight w:val="none"/>
                <w:u w:val="single"/>
              </w:rPr>
              <w:t xml:space="preserve">  48  </w:t>
            </w:r>
            <w:r>
              <w:rPr>
                <w:rFonts w:hint="eastAsia" w:ascii="仿宋" w:hAnsi="仿宋" w:eastAsia="仿宋" w:cs="仿宋"/>
                <w:color w:val="auto"/>
                <w:kern w:val="0"/>
                <w:sz w:val="24"/>
                <w:highlight w:val="none"/>
              </w:rPr>
              <w:t>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14:paraId="44AF05A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4、若产品自带软件的，则须提供免费保修期内提供软件升级服务。</w:t>
            </w:r>
          </w:p>
          <w:p w14:paraId="1755851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如将设备运离采购人处进行维修，须事先征得采购人同意，并办理书面移交手续。免费保修期内厂家应每年对设备进行不少于1次的巡回检修，并出具检修报告。由设备本身原因产生的事故、纠纷、安全事故等由中标供应商负责。</w:t>
            </w:r>
          </w:p>
          <w:p w14:paraId="1E90DFE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6、在医疗设备使用年限之内，按要求需要对设备进行的检测项目，检测所产生的相关费用由成交供应商负责。</w:t>
            </w:r>
          </w:p>
          <w:p w14:paraId="5FEAE95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7、设备进入医院后需与采购人信息系统连接的，开通端口及连接所需花费的费用由成交供应商承担。</w:t>
            </w:r>
          </w:p>
        </w:tc>
      </w:tr>
      <w:tr w14:paraId="3177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213E5AF3">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★交付时间</w:t>
            </w:r>
          </w:p>
        </w:tc>
        <w:tc>
          <w:tcPr>
            <w:tcW w:w="8120" w:type="dxa"/>
            <w:gridSpan w:val="4"/>
          </w:tcPr>
          <w:p w14:paraId="65EF9FD6">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30</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个日历日内，安装调试完毕并交付使用。</w:t>
            </w:r>
          </w:p>
        </w:tc>
      </w:tr>
      <w:tr w14:paraId="06DA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5B8E7D1E">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交付地点</w:t>
            </w:r>
          </w:p>
        </w:tc>
        <w:tc>
          <w:tcPr>
            <w:tcW w:w="8120" w:type="dxa"/>
            <w:gridSpan w:val="4"/>
          </w:tcPr>
          <w:p w14:paraId="2113220A">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采购人指定地点。</w:t>
            </w:r>
          </w:p>
        </w:tc>
      </w:tr>
      <w:tr w14:paraId="268F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603C1B1A">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★付款方式</w:t>
            </w:r>
          </w:p>
        </w:tc>
        <w:tc>
          <w:tcPr>
            <w:tcW w:w="8120" w:type="dxa"/>
            <w:gridSpan w:val="4"/>
            <w:vAlign w:val="center"/>
          </w:tcPr>
          <w:p w14:paraId="329C345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设备安装调试并经采购人验收合格后，中标供应商开具足额发票给采购人，采购人收到发票后</w:t>
            </w:r>
            <w:r>
              <w:rPr>
                <w:rFonts w:hint="eastAsia" w:ascii="仿宋" w:hAnsi="仿宋" w:eastAsia="仿宋" w:cs="仿宋"/>
                <w:color w:val="auto"/>
                <w:kern w:val="0"/>
                <w:sz w:val="24"/>
                <w:highlight w:val="none"/>
                <w:lang w:val="en-US" w:eastAsia="zh-CN"/>
              </w:rPr>
              <w:t>15个工作日内支付</w:t>
            </w:r>
            <w:r>
              <w:rPr>
                <w:rFonts w:hint="eastAsia" w:ascii="仿宋" w:hAnsi="仿宋" w:eastAsia="仿宋" w:cs="仿宋"/>
                <w:bCs/>
                <w:color w:val="auto"/>
                <w:sz w:val="24"/>
                <w:szCs w:val="24"/>
                <w:highlight w:val="none"/>
              </w:rPr>
              <w:t>合同总金额的100%（无息）。</w:t>
            </w:r>
          </w:p>
        </w:tc>
      </w:tr>
      <w:tr w14:paraId="2E97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70906E38">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包装和运输</w:t>
            </w:r>
          </w:p>
        </w:tc>
        <w:tc>
          <w:tcPr>
            <w:tcW w:w="8120" w:type="dxa"/>
            <w:gridSpan w:val="4"/>
            <w:vAlign w:val="center"/>
          </w:tcPr>
          <w:p w14:paraId="5EFB44B1">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1.原厂原包装，包装完好完整、无破损、未开封。</w:t>
            </w:r>
          </w:p>
          <w:p w14:paraId="1EB687A2">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2.包装及运输方式应综合考虑运输距离、防潮、防震、防锈和防破损装卸等要求。</w:t>
            </w:r>
          </w:p>
          <w:p w14:paraId="04DF3422">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3.国家对包装及运输有相关强制性标准或要求的，中标供应商应当执行。</w:t>
            </w:r>
          </w:p>
          <w:p w14:paraId="6D133BF0">
            <w:pPr>
              <w:keepNext w:val="0"/>
              <w:keepLines w:val="0"/>
              <w:pageBreakBefore w:val="0"/>
              <w:widowControl w:val="0"/>
              <w:kinsoku/>
              <w:wordWrap/>
              <w:overflowPunct/>
              <w:topLinePunct w:val="0"/>
              <w:autoSpaceDE/>
              <w:autoSpaceDN/>
              <w:bidi w:val="0"/>
              <w:spacing w:line="3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4.产品（含包装）运抵采购人指定交付地点前发生损坏、丢失等全部风险和责任均由中标供应商自行承担。</w:t>
            </w:r>
          </w:p>
        </w:tc>
      </w:tr>
      <w:tr w14:paraId="6E92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76621E57">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保险</w:t>
            </w:r>
          </w:p>
        </w:tc>
        <w:tc>
          <w:tcPr>
            <w:tcW w:w="8120" w:type="dxa"/>
            <w:gridSpan w:val="4"/>
            <w:vAlign w:val="center"/>
          </w:tcPr>
          <w:p w14:paraId="650CB598">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本项目执行中相关的一切税费、保险均由供应商自行负担。</w:t>
            </w:r>
          </w:p>
        </w:tc>
      </w:tr>
      <w:tr w14:paraId="1A73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4FB8E6A6">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★验收标准</w:t>
            </w:r>
          </w:p>
        </w:tc>
        <w:tc>
          <w:tcPr>
            <w:tcW w:w="8120" w:type="dxa"/>
            <w:gridSpan w:val="4"/>
            <w:vAlign w:val="center"/>
          </w:tcPr>
          <w:p w14:paraId="5451E659">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1.投标人提供的产品必须符合国家强制执行的相关质量标准要求以及产品制造厂家合格产品的出厂质量标准。</w:t>
            </w:r>
          </w:p>
          <w:p w14:paraId="2EE33FC6">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2.设备需全新、完好、无破损</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设备</w:t>
            </w:r>
            <w:r>
              <w:rPr>
                <w:rFonts w:hint="eastAsia" w:ascii="仿宋" w:hAnsi="仿宋" w:eastAsia="仿宋" w:cs="仿宋"/>
                <w:color w:val="auto"/>
                <w:kern w:val="0"/>
                <w:sz w:val="24"/>
                <w:highlight w:val="none"/>
                <w:lang w:val="en-US" w:eastAsia="zh-CN"/>
              </w:rPr>
              <w:t>生产日期不能超过到院时间6个月</w:t>
            </w:r>
            <w:r>
              <w:rPr>
                <w:rFonts w:hint="eastAsia" w:ascii="仿宋" w:hAnsi="仿宋" w:eastAsia="仿宋" w:cs="仿宋"/>
                <w:color w:val="auto"/>
                <w:kern w:val="0"/>
                <w:sz w:val="24"/>
                <w:highlight w:val="none"/>
              </w:rPr>
              <w:t>，产品到货后，采购人现场根据招标文件要求及投标文件承诺逐条对应进行核验，必要时，采购人有权邀请国家质量监督检验部门或国家认可的检测机构参与共同验收。如产品不满足招标文件要求、投标文件承诺或国家强制执行的相关质量标准要求以及产品制造厂家合格产品的出厂质量标准，采购人有权不予验收，由此造成采购人的经济损失由中标人承担全部赔偿责任。</w:t>
            </w:r>
          </w:p>
          <w:p w14:paraId="5D5B8990">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3.验收其他要求按合同条款以及政府采购相关法律法规规定执行。</w:t>
            </w:r>
          </w:p>
        </w:tc>
      </w:tr>
      <w:tr w14:paraId="2C0A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70277DDB">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验收程序</w:t>
            </w:r>
          </w:p>
        </w:tc>
        <w:tc>
          <w:tcPr>
            <w:tcW w:w="8120" w:type="dxa"/>
            <w:gridSpan w:val="4"/>
            <w:shd w:val="clear" w:color="auto" w:fill="auto"/>
            <w:vAlign w:val="center"/>
          </w:tcPr>
          <w:p w14:paraId="580D8313">
            <w:pPr>
              <w:adjustRightInd w:val="0"/>
              <w:snapToGrid w:val="0"/>
              <w:spacing w:line="460" w:lineRule="exact"/>
              <w:textAlignment w:val="center"/>
              <w:rPr>
                <w:rFonts w:hint="eastAsia" w:ascii="仿宋" w:hAnsi="仿宋" w:eastAsia="仿宋" w:cs="仿宋"/>
                <w:color w:val="auto"/>
                <w:kern w:val="0"/>
                <w:sz w:val="24"/>
                <w:highlight w:val="none"/>
                <w:shd w:val="clear" w:color="auto" w:fill="C6D9F0"/>
              </w:rPr>
            </w:pPr>
            <w:r>
              <w:rPr>
                <w:rFonts w:hint="eastAsia" w:ascii="仿宋" w:hAnsi="仿宋" w:eastAsia="仿宋" w:cs="仿宋"/>
                <w:color w:val="auto"/>
                <w:kern w:val="0"/>
                <w:sz w:val="24"/>
                <w:highlight w:val="none"/>
              </w:rPr>
              <w:t>货物送至采购人指定地点后，供应商与采购人共同对货物数量、外观等进行初步验收；货物安装调试完毕后7个工作日内，供应商与采购人根据采购合同相关要求对全部硬件和软件进行试运行1个月，试运行期间硬件和软件能够正常运行的，并交付采购人使用，采购人给予验收合格；对不符合质量要求的硬件和软件，供应商应在采购人要求时间内免费更换或调试直至合格，验收结果应由双方盖章、签字。</w:t>
            </w:r>
          </w:p>
        </w:tc>
      </w:tr>
      <w:tr w14:paraId="39F5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4B45B1D1">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履约保证金</w:t>
            </w:r>
          </w:p>
        </w:tc>
        <w:tc>
          <w:tcPr>
            <w:tcW w:w="8120" w:type="dxa"/>
            <w:gridSpan w:val="4"/>
            <w:vAlign w:val="center"/>
          </w:tcPr>
          <w:p w14:paraId="522C72ED">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14:paraId="1579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1DA7E3AB">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进口产品说明</w:t>
            </w:r>
          </w:p>
        </w:tc>
        <w:tc>
          <w:tcPr>
            <w:tcW w:w="8120" w:type="dxa"/>
            <w:gridSpan w:val="4"/>
            <w:vAlign w:val="center"/>
          </w:tcPr>
          <w:p w14:paraId="5A53BF7E">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本分标所有产品均</w:t>
            </w:r>
            <w:r>
              <w:rPr>
                <w:rFonts w:hint="eastAsia" w:ascii="仿宋" w:hAnsi="仿宋" w:eastAsia="仿宋" w:cs="仿宋"/>
                <w:color w:val="auto"/>
                <w:kern w:val="0"/>
                <w:sz w:val="24"/>
                <w:highlight w:val="none"/>
              </w:rPr>
              <w:t>不接受进口产品（即通过中国海关报关验放进入中国境内且产自关境外的产品）投标，如投标产品为进口产品的，投标无效。</w:t>
            </w:r>
          </w:p>
        </w:tc>
      </w:tr>
      <w:tr w14:paraId="260A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50199A64">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其他要求</w:t>
            </w:r>
          </w:p>
        </w:tc>
        <w:tc>
          <w:tcPr>
            <w:tcW w:w="8120" w:type="dxa"/>
            <w:gridSpan w:val="4"/>
            <w:vAlign w:val="center"/>
          </w:tcPr>
          <w:p w14:paraId="5D6791FB">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1、本项目“采购需求”中标注</w:t>
            </w:r>
            <w:bookmarkStart w:id="49" w:name="OLE_LINK6"/>
            <w:r>
              <w:rPr>
                <w:rFonts w:hint="eastAsia" w:ascii="仿宋" w:hAnsi="仿宋" w:eastAsia="仿宋" w:cs="仿宋"/>
                <w:color w:val="auto"/>
                <w:sz w:val="24"/>
                <w:highlight w:val="none"/>
              </w:rPr>
              <w:t>★</w:t>
            </w:r>
            <w:bookmarkEnd w:id="49"/>
            <w:r>
              <w:rPr>
                <w:rFonts w:hint="eastAsia" w:ascii="仿宋" w:hAnsi="仿宋" w:eastAsia="仿宋" w:cs="仿宋"/>
                <w:color w:val="auto"/>
                <w:kern w:val="0"/>
                <w:sz w:val="24"/>
                <w:highlight w:val="none"/>
              </w:rPr>
              <w:t>号项的条款为实质性要求，投标文件相应内容如不满足，按投标无效处理。</w:t>
            </w:r>
          </w:p>
          <w:p w14:paraId="2C05CCDB">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2、本项目采购需求中标注▲</w:t>
            </w:r>
            <w:r>
              <w:rPr>
                <w:rFonts w:hint="eastAsia" w:ascii="仿宋" w:hAnsi="仿宋" w:eastAsia="仿宋" w:cs="仿宋"/>
                <w:color w:val="auto"/>
                <w:sz w:val="24"/>
                <w:highlight w:val="none"/>
              </w:rPr>
              <w:t>号项为重要技术要求。</w:t>
            </w:r>
          </w:p>
          <w:p w14:paraId="6D0B1FDB">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3、本项目“技术要求”的技术条款负偏离≤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5</w:t>
            </w:r>
            <w:r>
              <w:rPr>
                <w:rFonts w:hint="eastAsia" w:ascii="仿宋" w:hAnsi="仿宋" w:eastAsia="仿宋" w:cs="仿宋"/>
                <w:color w:val="auto"/>
                <w:kern w:val="0"/>
                <w:sz w:val="24"/>
                <w:highlight w:val="none"/>
              </w:rPr>
              <w:t>项（经评标委员会认定的负偏离），投标人所投产品技术参数超过规定的负偏离数量的，投标文件按无效处理。</w:t>
            </w:r>
          </w:p>
        </w:tc>
      </w:tr>
    </w:tbl>
    <w:p w14:paraId="3B378AA1">
      <w:pPr>
        <w:spacing w:line="400" w:lineRule="exact"/>
        <w:jc w:val="left"/>
        <w:rPr>
          <w:rFonts w:hint="eastAsia" w:ascii="仿宋" w:hAnsi="仿宋" w:eastAsia="仿宋"/>
          <w:b/>
          <w:bCs/>
          <w:sz w:val="30"/>
          <w:szCs w:val="30"/>
          <w:highlight w:val="none"/>
        </w:rPr>
      </w:pPr>
    </w:p>
    <w:p w14:paraId="4047AE29">
      <w:pPr>
        <w:spacing w:line="400" w:lineRule="exact"/>
        <w:ind w:firstLine="482" w:firstLineChars="200"/>
        <w:jc w:val="left"/>
        <w:rPr>
          <w:rFonts w:hint="default" w:ascii="仿宋" w:hAnsi="仿宋" w:eastAsia="仿宋" w:cs="宋体"/>
          <w:b/>
          <w:bCs/>
          <w:sz w:val="24"/>
          <w:highlight w:val="none"/>
          <w:lang w:val="en-US" w:eastAsia="zh-CN"/>
        </w:rPr>
      </w:pPr>
      <w:r>
        <w:rPr>
          <w:rFonts w:hint="eastAsia" w:ascii="仿宋" w:hAnsi="仿宋" w:eastAsia="仿宋" w:cs="宋体"/>
          <w:b/>
          <w:bCs/>
          <w:sz w:val="24"/>
          <w:highlight w:val="none"/>
          <w:lang w:val="en-US" w:eastAsia="zh-CN"/>
        </w:rPr>
        <w:t>B分标   本分标所属行业：工业</w:t>
      </w:r>
    </w:p>
    <w:tbl>
      <w:tblPr>
        <w:tblStyle w:val="49"/>
        <w:tblW w:w="10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92"/>
        <w:gridCol w:w="331"/>
        <w:gridCol w:w="5419"/>
        <w:gridCol w:w="712"/>
        <w:gridCol w:w="713"/>
        <w:gridCol w:w="1276"/>
      </w:tblGrid>
      <w:tr w14:paraId="4499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14:paraId="4A959165">
            <w:pPr>
              <w:adjustRightInd w:val="0"/>
              <w:snapToGrid w:val="0"/>
              <w:spacing w:line="35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一、采购内容及技术要求</w:t>
            </w:r>
          </w:p>
        </w:tc>
      </w:tr>
      <w:tr w14:paraId="47D6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1D1313CC">
            <w:pPr>
              <w:adjustRightInd w:val="0"/>
              <w:snapToGrid w:val="0"/>
              <w:spacing w:line="350" w:lineRule="exact"/>
              <w:jc w:val="center"/>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项号</w:t>
            </w:r>
          </w:p>
        </w:tc>
        <w:tc>
          <w:tcPr>
            <w:tcW w:w="992" w:type="dxa"/>
            <w:tcBorders>
              <w:top w:val="single" w:color="auto" w:sz="4" w:space="0"/>
              <w:left w:val="single" w:color="auto" w:sz="4" w:space="0"/>
              <w:bottom w:val="single" w:color="auto" w:sz="4" w:space="0"/>
              <w:right w:val="single" w:color="auto" w:sz="4" w:space="0"/>
            </w:tcBorders>
            <w:vAlign w:val="center"/>
          </w:tcPr>
          <w:p w14:paraId="2FC3D4BF">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标的的名称</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1D3293B4">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技术要求</w:t>
            </w:r>
          </w:p>
        </w:tc>
        <w:tc>
          <w:tcPr>
            <w:tcW w:w="712" w:type="dxa"/>
            <w:tcBorders>
              <w:top w:val="single" w:color="auto" w:sz="4" w:space="0"/>
              <w:left w:val="single" w:color="auto" w:sz="4" w:space="0"/>
              <w:bottom w:val="single" w:color="auto" w:sz="4" w:space="0"/>
              <w:right w:val="single" w:color="auto" w:sz="4" w:space="0"/>
            </w:tcBorders>
            <w:vAlign w:val="center"/>
          </w:tcPr>
          <w:p w14:paraId="7F05D4B4">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13" w:type="dxa"/>
            <w:tcBorders>
              <w:top w:val="single" w:color="auto" w:sz="4" w:space="0"/>
              <w:left w:val="single" w:color="auto" w:sz="4" w:space="0"/>
              <w:bottom w:val="single" w:color="auto" w:sz="4" w:space="0"/>
              <w:right w:val="single" w:color="auto" w:sz="4" w:space="0"/>
            </w:tcBorders>
            <w:vAlign w:val="center"/>
          </w:tcPr>
          <w:p w14:paraId="3C1CD05B">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1276" w:type="dxa"/>
            <w:tcBorders>
              <w:top w:val="single" w:color="auto" w:sz="4" w:space="0"/>
              <w:left w:val="single" w:color="auto" w:sz="4" w:space="0"/>
              <w:bottom w:val="single" w:color="auto" w:sz="4" w:space="0"/>
              <w:right w:val="single" w:color="auto" w:sz="4" w:space="0"/>
            </w:tcBorders>
            <w:vAlign w:val="center"/>
          </w:tcPr>
          <w:p w14:paraId="21A2E8C6">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参考</w:t>
            </w:r>
            <w:r>
              <w:rPr>
                <w:rFonts w:hint="eastAsia" w:ascii="仿宋" w:hAnsi="仿宋" w:eastAsia="仿宋" w:cs="仿宋"/>
                <w:b/>
                <w:color w:val="auto"/>
                <w:sz w:val="24"/>
                <w:highlight w:val="none"/>
                <w:lang w:val="en-US" w:eastAsia="zh-CN"/>
              </w:rPr>
              <w:t>单</w:t>
            </w:r>
            <w:r>
              <w:rPr>
                <w:rFonts w:hint="eastAsia" w:ascii="仿宋" w:hAnsi="仿宋" w:eastAsia="仿宋" w:cs="仿宋"/>
                <w:b/>
                <w:color w:val="auto"/>
                <w:sz w:val="24"/>
                <w:highlight w:val="none"/>
              </w:rPr>
              <w:t>价</w:t>
            </w:r>
          </w:p>
          <w:p w14:paraId="4F79C75C">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（万元）</w:t>
            </w:r>
          </w:p>
        </w:tc>
      </w:tr>
      <w:tr w14:paraId="19C8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3530D4C0">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1</w:t>
            </w:r>
          </w:p>
        </w:tc>
        <w:tc>
          <w:tcPr>
            <w:tcW w:w="992" w:type="dxa"/>
            <w:tcBorders>
              <w:top w:val="single" w:color="auto" w:sz="4" w:space="0"/>
              <w:left w:val="single" w:color="auto" w:sz="4" w:space="0"/>
              <w:bottom w:val="single" w:color="auto" w:sz="4" w:space="0"/>
              <w:right w:val="single" w:color="auto" w:sz="4" w:space="0"/>
            </w:tcBorders>
            <w:vAlign w:val="center"/>
          </w:tcPr>
          <w:p w14:paraId="244EC600">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全自动清洗机</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2B037B4B">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一</w:t>
            </w:r>
            <w:r>
              <w:rPr>
                <w:rFonts w:hint="eastAsia" w:ascii="仿宋" w:hAnsi="仿宋" w:eastAsia="仿宋" w:cs="仿宋"/>
                <w:color w:val="auto"/>
                <w:sz w:val="24"/>
                <w:highlight w:val="none"/>
              </w:rPr>
              <w:t>、技术参数</w:t>
            </w:r>
          </w:p>
          <w:p w14:paraId="2BB974B9">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使用范围：适用于医院消毒供应室对重复使用的各类手术刀、止血钳、镊子、试管、奶瓶、盘子、换药碗、麻醉呼吸机管道、湿化瓶、压脉带等常规手术器械、诊疗器械、器皿进行全自动清洗、漂洗、消毒上油、干燥</w:t>
            </w:r>
            <w:r>
              <w:rPr>
                <w:rFonts w:hint="eastAsia" w:ascii="仿宋" w:hAnsi="仿宋" w:eastAsia="仿宋" w:cs="仿宋"/>
                <w:color w:val="auto"/>
                <w:sz w:val="24"/>
                <w:highlight w:val="none"/>
                <w:lang w:eastAsia="zh-CN"/>
              </w:rPr>
              <w:t>。</w:t>
            </w:r>
          </w:p>
          <w:p w14:paraId="2B1B6911">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数量1台，单台容积：≥530L，须提供清洗舱内槽尺寸</w:t>
            </w:r>
            <w:r>
              <w:rPr>
                <w:rFonts w:hint="eastAsia" w:ascii="仿宋" w:hAnsi="仿宋" w:eastAsia="仿宋" w:cs="仿宋"/>
                <w:color w:val="auto"/>
                <w:sz w:val="24"/>
                <w:highlight w:val="none"/>
                <w:lang w:eastAsia="zh-CN"/>
              </w:rPr>
              <w:t>。</w:t>
            </w:r>
          </w:p>
          <w:p w14:paraId="132FFA2D">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采用高性能喷淋清洗技术，喷淋臂镶嵌高压喷嘴，非打孔式喷淋口</w:t>
            </w:r>
            <w:r>
              <w:rPr>
                <w:rFonts w:hint="eastAsia" w:ascii="仿宋" w:hAnsi="仿宋" w:eastAsia="仿宋" w:cs="仿宋"/>
                <w:color w:val="auto"/>
                <w:sz w:val="24"/>
                <w:highlight w:val="none"/>
                <w:lang w:eastAsia="zh-CN"/>
              </w:rPr>
              <w:t>（</w:t>
            </w:r>
            <w:r>
              <w:rPr>
                <w:rFonts w:hint="eastAsia" w:ascii="仿宋" w:hAnsi="仿宋" w:eastAsia="仿宋" w:cs="仿宋"/>
                <w:b/>
                <w:bCs/>
                <w:color w:val="auto"/>
                <w:sz w:val="24"/>
                <w:highlight w:val="none"/>
                <w:lang w:val="en-US" w:eastAsia="zh-CN"/>
              </w:rPr>
              <w:t>投标文件中</w:t>
            </w:r>
            <w:r>
              <w:rPr>
                <w:rFonts w:hint="eastAsia" w:ascii="仿宋" w:hAnsi="仿宋" w:eastAsia="仿宋" w:cs="仿宋"/>
                <w:b/>
                <w:bCs/>
                <w:color w:val="auto"/>
                <w:sz w:val="24"/>
                <w:highlight w:val="none"/>
              </w:rPr>
              <w:t>提供拥有相关技术的证明资料及喷淋臂实物图片</w:t>
            </w:r>
            <w:r>
              <w:rPr>
                <w:rFonts w:hint="eastAsia" w:ascii="仿宋" w:hAnsi="仿宋" w:eastAsia="仿宋" w:cs="仿宋"/>
                <w:color w:val="auto"/>
                <w:sz w:val="24"/>
                <w:highlight w:val="none"/>
                <w:lang w:eastAsia="zh-CN"/>
              </w:rPr>
              <w:t>）。</w:t>
            </w:r>
          </w:p>
          <w:p w14:paraId="01D6D320">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清洗架对接口位于清洗腔体中心的侧面，≥3个对接口，对接口采用弹簧预紧和水压压紧双向密封方式，喷淋压力更均匀</w:t>
            </w:r>
            <w:r>
              <w:rPr>
                <w:rFonts w:hint="eastAsia" w:ascii="仿宋" w:hAnsi="仿宋" w:eastAsia="仿宋" w:cs="仿宋"/>
                <w:color w:val="auto"/>
                <w:sz w:val="24"/>
                <w:highlight w:val="none"/>
                <w:lang w:eastAsia="zh-CN"/>
              </w:rPr>
              <w:t>。</w:t>
            </w:r>
          </w:p>
          <w:p w14:paraId="152B7DEA">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门结构自动升降双扉门，双门互锁，带智能防压保护功能</w:t>
            </w:r>
            <w:r>
              <w:rPr>
                <w:rFonts w:hint="eastAsia" w:ascii="仿宋" w:hAnsi="仿宋" w:eastAsia="仿宋" w:cs="仿宋"/>
                <w:color w:val="auto"/>
                <w:sz w:val="24"/>
                <w:highlight w:val="none"/>
                <w:lang w:eastAsia="zh-CN"/>
              </w:rPr>
              <w:t>。</w:t>
            </w:r>
          </w:p>
          <w:p w14:paraId="5D3399C0">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门升降采用齿轮齿条传动方式，非同步皮带传动方式，使开关门更加平稳、可靠、经久耐用、防止漏水</w:t>
            </w:r>
            <w:r>
              <w:rPr>
                <w:rFonts w:hint="eastAsia" w:ascii="仿宋" w:hAnsi="仿宋" w:eastAsia="仿宋" w:cs="仿宋"/>
                <w:color w:val="auto"/>
                <w:sz w:val="24"/>
                <w:highlight w:val="none"/>
                <w:lang w:eastAsia="zh-CN"/>
              </w:rPr>
              <w:t>（</w:t>
            </w:r>
            <w:r>
              <w:rPr>
                <w:rFonts w:hint="eastAsia" w:ascii="仿宋" w:hAnsi="仿宋" w:eastAsia="仿宋" w:cs="仿宋"/>
                <w:b/>
                <w:bCs/>
                <w:color w:val="auto"/>
                <w:sz w:val="24"/>
                <w:highlight w:val="none"/>
                <w:lang w:val="en-US" w:eastAsia="zh-CN"/>
              </w:rPr>
              <w:t>投标文件中</w:t>
            </w:r>
            <w:r>
              <w:rPr>
                <w:rFonts w:hint="eastAsia" w:ascii="仿宋" w:hAnsi="仿宋" w:eastAsia="仿宋" w:cs="仿宋"/>
                <w:b/>
                <w:bCs/>
                <w:color w:val="auto"/>
                <w:sz w:val="24"/>
                <w:highlight w:val="none"/>
              </w:rPr>
              <w:t>提供门升降传动装置的实物图片</w:t>
            </w:r>
            <w:r>
              <w:rPr>
                <w:rFonts w:hint="eastAsia" w:ascii="仿宋" w:hAnsi="仿宋" w:eastAsia="仿宋" w:cs="仿宋"/>
                <w:color w:val="auto"/>
                <w:sz w:val="24"/>
                <w:highlight w:val="none"/>
                <w:lang w:eastAsia="zh-CN"/>
              </w:rPr>
              <w:t>）。</w:t>
            </w:r>
          </w:p>
          <w:p w14:paraId="4EC9A6AC">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采用双彩色触摸屏操作，去污区和检查包装灭菌器各有1个触摸屏，智能数显实时清洗温度、时间、消毒温度、时间、上油时间、A0值、干燥温度、时间等数据</w:t>
            </w:r>
            <w:r>
              <w:rPr>
                <w:rFonts w:hint="eastAsia" w:ascii="仿宋" w:hAnsi="仿宋" w:eastAsia="仿宋" w:cs="仿宋"/>
                <w:color w:val="auto"/>
                <w:sz w:val="24"/>
                <w:highlight w:val="none"/>
                <w:lang w:eastAsia="zh-CN"/>
              </w:rPr>
              <w:t>。</w:t>
            </w:r>
          </w:p>
          <w:p w14:paraId="1392E6AB">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设备运行数据自动采集、存储、打印，可自行保存3年以上，也可使用U盘等USB存储设备将数据导出进行存储</w:t>
            </w:r>
            <w:r>
              <w:rPr>
                <w:rFonts w:hint="eastAsia" w:ascii="仿宋" w:hAnsi="仿宋" w:eastAsia="仿宋" w:cs="仿宋"/>
                <w:color w:val="auto"/>
                <w:sz w:val="24"/>
                <w:highlight w:val="none"/>
                <w:lang w:eastAsia="zh-CN"/>
              </w:rPr>
              <w:t>。</w:t>
            </w:r>
          </w:p>
          <w:p w14:paraId="646A31A1">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清洗舱具有LED照明灯，以便观察舱内运载情况</w:t>
            </w:r>
            <w:r>
              <w:rPr>
                <w:rFonts w:hint="eastAsia" w:ascii="仿宋" w:hAnsi="仿宋" w:eastAsia="仿宋" w:cs="仿宋"/>
                <w:color w:val="auto"/>
                <w:sz w:val="24"/>
                <w:highlight w:val="none"/>
                <w:lang w:eastAsia="zh-CN"/>
              </w:rPr>
              <w:t>。</w:t>
            </w:r>
          </w:p>
          <w:p w14:paraId="395973AD">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具有高低液位安全控制及故障自动检测报警系统</w:t>
            </w:r>
            <w:r>
              <w:rPr>
                <w:rFonts w:hint="eastAsia" w:ascii="仿宋" w:hAnsi="仿宋" w:eastAsia="仿宋" w:cs="仿宋"/>
                <w:color w:val="auto"/>
                <w:sz w:val="24"/>
                <w:highlight w:val="none"/>
                <w:lang w:eastAsia="zh-CN"/>
              </w:rPr>
              <w:t>。</w:t>
            </w:r>
          </w:p>
          <w:p w14:paraId="45394F03">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具有超温自动保护装置：超过设定温度，系统自动切断加热电源</w:t>
            </w:r>
            <w:r>
              <w:rPr>
                <w:rFonts w:hint="eastAsia" w:ascii="仿宋" w:hAnsi="仿宋" w:eastAsia="仿宋" w:cs="仿宋"/>
                <w:color w:val="auto"/>
                <w:sz w:val="24"/>
                <w:highlight w:val="none"/>
                <w:lang w:eastAsia="zh-CN"/>
              </w:rPr>
              <w:t>。</w:t>
            </w:r>
          </w:p>
          <w:p w14:paraId="1F4C297F">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具有防干烧保护装置：水位低造成加热管干烧时，系统自动切断加热电源</w:t>
            </w:r>
            <w:r>
              <w:rPr>
                <w:rFonts w:hint="eastAsia" w:ascii="仿宋" w:hAnsi="仿宋" w:eastAsia="仿宋" w:cs="仿宋"/>
                <w:color w:val="auto"/>
                <w:sz w:val="24"/>
                <w:highlight w:val="none"/>
                <w:lang w:eastAsia="zh-CN"/>
              </w:rPr>
              <w:t>。</w:t>
            </w:r>
          </w:p>
          <w:p w14:paraId="5E39BCE6">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具有风压低保护装置：风压过低造成空气加热管干烧时，系统自动切断加热电源。</w:t>
            </w:r>
          </w:p>
          <w:p w14:paraId="4A937D7A">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具有门障碍保护装置：门在关闭过程中遇到阻碍时，会停止关门，并且向相反方向运行。</w:t>
            </w:r>
          </w:p>
          <w:p w14:paraId="4073752E">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具有电机过流保护装置：设备电机过载时，过流保护开关动作，电机停止工作。</w:t>
            </w:r>
          </w:p>
          <w:p w14:paraId="7CC60ADE">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采用低碳节能环保技术，更加高速，更加实惠</w:t>
            </w:r>
            <w:r>
              <w:rPr>
                <w:rFonts w:hint="eastAsia" w:ascii="仿宋" w:hAnsi="仿宋" w:eastAsia="仿宋" w:cs="仿宋"/>
                <w:color w:val="auto"/>
                <w:sz w:val="24"/>
                <w:highlight w:val="none"/>
                <w:lang w:eastAsia="zh-CN"/>
              </w:rPr>
              <w:t>。</w:t>
            </w:r>
          </w:p>
          <w:p w14:paraId="727AD100">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多种清洗程序储存，可根据清洗要求的不同选择不同的清洗程序</w:t>
            </w:r>
            <w:r>
              <w:rPr>
                <w:rFonts w:hint="eastAsia" w:ascii="仿宋" w:hAnsi="仿宋" w:eastAsia="仿宋" w:cs="仿宋"/>
                <w:color w:val="auto"/>
                <w:sz w:val="24"/>
                <w:highlight w:val="none"/>
                <w:lang w:eastAsia="zh-CN"/>
              </w:rPr>
              <w:t>。</w:t>
            </w:r>
          </w:p>
          <w:p w14:paraId="16CA56D2">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加热方式：非蒸汽加热</w:t>
            </w:r>
            <w:r>
              <w:rPr>
                <w:rFonts w:hint="eastAsia" w:ascii="仿宋" w:hAnsi="仿宋" w:eastAsia="仿宋" w:cs="仿宋"/>
                <w:color w:val="auto"/>
                <w:sz w:val="24"/>
                <w:highlight w:val="none"/>
                <w:lang w:eastAsia="zh-CN"/>
              </w:rPr>
              <w:t>。</w:t>
            </w:r>
          </w:p>
          <w:p w14:paraId="26B67B77">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19</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消毒方式：热力消毒</w:t>
            </w:r>
            <w:r>
              <w:rPr>
                <w:rFonts w:hint="eastAsia" w:ascii="仿宋" w:hAnsi="仿宋" w:eastAsia="仿宋" w:cs="仿宋"/>
                <w:color w:val="auto"/>
                <w:sz w:val="24"/>
                <w:highlight w:val="none"/>
                <w:lang w:eastAsia="zh-CN"/>
              </w:rPr>
              <w:t>。</w:t>
            </w:r>
          </w:p>
          <w:p w14:paraId="70DFDD4B">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消毒温度：93℃热水</w:t>
            </w:r>
            <w:r>
              <w:rPr>
                <w:rFonts w:hint="eastAsia" w:ascii="仿宋" w:hAnsi="仿宋" w:eastAsia="仿宋" w:cs="仿宋"/>
                <w:color w:val="auto"/>
                <w:sz w:val="24"/>
                <w:highlight w:val="none"/>
                <w:lang w:eastAsia="zh-CN"/>
              </w:rPr>
              <w:t>。</w:t>
            </w:r>
          </w:p>
          <w:p w14:paraId="119FF0DF">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A0值≥3000</w:t>
            </w:r>
            <w:r>
              <w:rPr>
                <w:rFonts w:hint="eastAsia" w:ascii="仿宋" w:hAnsi="仿宋" w:eastAsia="仿宋" w:cs="仿宋"/>
                <w:color w:val="auto"/>
                <w:sz w:val="24"/>
                <w:highlight w:val="none"/>
                <w:lang w:eastAsia="zh-CN"/>
              </w:rPr>
              <w:t>。</w:t>
            </w:r>
          </w:p>
          <w:p w14:paraId="2FE6119F">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清洗数量：≥5层15个洗篮，篮筐尺寸</w:t>
            </w:r>
            <w:r>
              <w:rPr>
                <w:rFonts w:hint="eastAsia" w:ascii="仿宋" w:hAnsi="仿宋" w:eastAsia="仿宋" w:cs="仿宋"/>
                <w:color w:val="auto"/>
                <w:sz w:val="24"/>
                <w:highlight w:val="none"/>
                <w:lang w:val="en-US" w:eastAsia="zh-CN"/>
              </w:rPr>
              <w:t>约</w:t>
            </w:r>
            <w:r>
              <w:rPr>
                <w:rFonts w:hint="eastAsia" w:ascii="仿宋" w:hAnsi="仿宋" w:eastAsia="仿宋" w:cs="仿宋"/>
                <w:color w:val="auto"/>
                <w:sz w:val="24"/>
                <w:highlight w:val="none"/>
              </w:rPr>
              <w:t>480*250*50mm</w:t>
            </w:r>
            <w:r>
              <w:rPr>
                <w:rFonts w:hint="eastAsia" w:ascii="仿宋" w:hAnsi="仿宋" w:eastAsia="仿宋" w:cs="仿宋"/>
                <w:color w:val="auto"/>
                <w:sz w:val="24"/>
                <w:highlight w:val="none"/>
                <w:lang w:eastAsia="zh-CN"/>
              </w:rPr>
              <w:t>。</w:t>
            </w:r>
          </w:p>
          <w:p w14:paraId="36A6EBF6">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加热功率：≤32KW</w:t>
            </w:r>
            <w:r>
              <w:rPr>
                <w:rFonts w:hint="eastAsia" w:ascii="仿宋" w:hAnsi="仿宋" w:eastAsia="仿宋" w:cs="仿宋"/>
                <w:color w:val="auto"/>
                <w:sz w:val="24"/>
                <w:highlight w:val="none"/>
                <w:lang w:eastAsia="zh-CN"/>
              </w:rPr>
              <w:t>。</w:t>
            </w:r>
          </w:p>
          <w:p w14:paraId="7BA483CC">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设备总功率：≤42KW</w:t>
            </w:r>
            <w:r>
              <w:rPr>
                <w:rFonts w:hint="eastAsia" w:ascii="仿宋" w:hAnsi="仿宋" w:eastAsia="仿宋" w:cs="仿宋"/>
                <w:color w:val="auto"/>
                <w:sz w:val="24"/>
                <w:highlight w:val="none"/>
                <w:lang w:eastAsia="zh-CN"/>
              </w:rPr>
              <w:t>。</w:t>
            </w:r>
          </w:p>
          <w:p w14:paraId="2CDEF913">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标准工作周期：≤45min</w:t>
            </w:r>
            <w:r>
              <w:rPr>
                <w:rFonts w:hint="eastAsia" w:ascii="仿宋" w:hAnsi="仿宋" w:eastAsia="仿宋" w:cs="仿宋"/>
                <w:color w:val="auto"/>
                <w:sz w:val="24"/>
                <w:highlight w:val="none"/>
                <w:lang w:eastAsia="zh-CN"/>
              </w:rPr>
              <w:t>。</w:t>
            </w:r>
          </w:p>
          <w:p w14:paraId="76108B6B">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整机采用304不锈钢制作</w:t>
            </w:r>
            <w:r>
              <w:rPr>
                <w:rFonts w:hint="eastAsia" w:ascii="仿宋" w:hAnsi="仿宋" w:eastAsia="仿宋" w:cs="仿宋"/>
                <w:color w:val="auto"/>
                <w:sz w:val="24"/>
                <w:highlight w:val="none"/>
                <w:lang w:eastAsia="zh-CN"/>
              </w:rPr>
              <w:t>。</w:t>
            </w:r>
          </w:p>
          <w:p w14:paraId="1A4D2387">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打印机采用热敏打印机</w:t>
            </w:r>
            <w:r>
              <w:rPr>
                <w:rFonts w:hint="eastAsia" w:ascii="仿宋" w:hAnsi="仿宋" w:eastAsia="仿宋" w:cs="仿宋"/>
                <w:color w:val="auto"/>
                <w:sz w:val="24"/>
                <w:highlight w:val="none"/>
                <w:lang w:eastAsia="zh-CN"/>
              </w:rPr>
              <w:t>。</w:t>
            </w:r>
          </w:p>
          <w:p w14:paraId="7F5BA272">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二、配置要求：</w:t>
            </w:r>
          </w:p>
          <w:p w14:paraId="5DBCD217">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1、主机1台</w:t>
            </w:r>
            <w:r>
              <w:rPr>
                <w:rFonts w:hint="eastAsia" w:ascii="仿宋" w:hAnsi="仿宋" w:eastAsia="仿宋" w:cs="仿宋"/>
                <w:color w:val="auto"/>
                <w:sz w:val="24"/>
                <w:highlight w:val="none"/>
                <w:lang w:eastAsia="zh-CN"/>
              </w:rPr>
              <w:t>。</w:t>
            </w:r>
          </w:p>
          <w:p w14:paraId="26CF0D0D">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2、普通器械清洗架1个</w:t>
            </w:r>
            <w:r>
              <w:rPr>
                <w:rFonts w:hint="eastAsia" w:ascii="仿宋" w:hAnsi="仿宋" w:eastAsia="仿宋" w:cs="仿宋"/>
                <w:color w:val="auto"/>
                <w:sz w:val="24"/>
                <w:highlight w:val="none"/>
                <w:lang w:eastAsia="zh-CN"/>
              </w:rPr>
              <w:t>。</w:t>
            </w:r>
          </w:p>
          <w:p w14:paraId="6AFFBDB7">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3、清洗篮筐15个</w:t>
            </w:r>
            <w:r>
              <w:rPr>
                <w:rFonts w:hint="eastAsia" w:ascii="仿宋" w:hAnsi="仿宋" w:eastAsia="仿宋" w:cs="仿宋"/>
                <w:color w:val="auto"/>
                <w:sz w:val="24"/>
                <w:highlight w:val="none"/>
                <w:lang w:eastAsia="zh-CN"/>
              </w:rPr>
              <w:t>。</w:t>
            </w:r>
          </w:p>
          <w:p w14:paraId="1ACE3A84">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4、清洗外车2辆</w:t>
            </w:r>
            <w:r>
              <w:rPr>
                <w:rFonts w:hint="eastAsia" w:ascii="仿宋" w:hAnsi="仿宋" w:eastAsia="仿宋" w:cs="仿宋"/>
                <w:color w:val="auto"/>
                <w:sz w:val="24"/>
                <w:highlight w:val="none"/>
                <w:lang w:eastAsia="zh-CN"/>
              </w:rPr>
              <w:t>。</w:t>
            </w:r>
          </w:p>
        </w:tc>
        <w:tc>
          <w:tcPr>
            <w:tcW w:w="712" w:type="dxa"/>
            <w:tcBorders>
              <w:top w:val="single" w:color="auto" w:sz="4" w:space="0"/>
              <w:left w:val="single" w:color="auto" w:sz="4" w:space="0"/>
              <w:bottom w:val="single" w:color="auto" w:sz="4" w:space="0"/>
              <w:right w:val="single" w:color="auto" w:sz="4" w:space="0"/>
            </w:tcBorders>
            <w:vAlign w:val="center"/>
          </w:tcPr>
          <w:p w14:paraId="50FD01B1">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14:paraId="38D1C51E">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14:paraId="20D0820A">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30.00</w:t>
            </w:r>
          </w:p>
        </w:tc>
      </w:tr>
      <w:tr w14:paraId="7878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59B62FBB">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tcBorders>
              <w:top w:val="single" w:color="auto" w:sz="4" w:space="0"/>
              <w:left w:val="single" w:color="auto" w:sz="4" w:space="0"/>
              <w:bottom w:val="single" w:color="auto" w:sz="4" w:space="0"/>
              <w:right w:val="single" w:color="auto" w:sz="4" w:space="0"/>
            </w:tcBorders>
            <w:vAlign w:val="center"/>
          </w:tcPr>
          <w:p w14:paraId="475C39BC">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全自动血气分析仪</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66D2F03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▲1、定量直接测量项目不少于17项：PH、PCO2、PO2、Na＋、K＋、Cl—、Ca＋＋、Glu、Lac、Hct、tHb、O2Hb、COHb、MetHb、HHb、SO2、tBili。</w:t>
            </w:r>
          </w:p>
          <w:p w14:paraId="59F133A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2、测试方法：电极法，光学法（血氧）。</w:t>
            </w:r>
          </w:p>
          <w:p w14:paraId="24B4D2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3、测试速度：≤45s全参数。</w:t>
            </w:r>
          </w:p>
          <w:p w14:paraId="58372C4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4、全检测项目样本体积≤150μL，微量模式样本体积≤65μL</w:t>
            </w:r>
          </w:p>
          <w:p w14:paraId="75EA109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▲5、进样方式：全自动进样模式，进样针模块内置于分析包内，无需手动调整进样角度。毛细采血管或安剖瓶进样时无需另接适配器。</w:t>
            </w:r>
          </w:p>
          <w:p w14:paraId="7F0BEDC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▲6、使用不可拆分的一体式、多人份分析包。电极卡、定标、质控溶液、参比液、溶血剂、废液盒密封于同一个分析包内，电极及管路系统免保养维护。</w:t>
            </w:r>
          </w:p>
          <w:p w14:paraId="39E4F91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7、生物安全性：仪器本身无血样及试剂流通通道，从而尽可能保障操作人员的生物安全性。</w:t>
            </w:r>
          </w:p>
          <w:p w14:paraId="191109A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▲8、分析包、电极卡有效期≥180天，且所有消耗品（电极卡，试剂包，质控液）均可常温储存≥3个月。分析包、电极卡等所有消耗品上机效期≥31天。</w:t>
            </w:r>
          </w:p>
          <w:p w14:paraId="520A46B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9、具有实时监测微小凝块的功能，减少凝块带来的误差和堵包，若标本受到凝块影响，仪器能够检测到干扰物质并将受影响的结果标记出来。</w:t>
            </w:r>
          </w:p>
          <w:p w14:paraId="55F6026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▲10、具备内置的全自动质控系统：仪器自动执行质控程序且不消耗电极卡和试剂包测试人份数,显著节省科室费用。</w:t>
            </w:r>
          </w:p>
          <w:p w14:paraId="2F742E7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11、质控频率：质控品集成在分析包内，以高频率主动进行实时、连续的质量控制，及时发现问题，自动识别错误并纠错，自动生成质控报告。对每个血气标本“分析前-中-后”的质量核查，从而保证每一个检测结果的准确性。</w:t>
            </w:r>
          </w:p>
          <w:p w14:paraId="5C90DEB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12、可通过信息管理系统将全院各临床科室血气分析仪全部联网，并可通过电脑端、移动端、血气分析仪端远程访问进行统一的管理，实现操作人员、分析仪、数据的管理控制。</w:t>
            </w:r>
          </w:p>
          <w:p w14:paraId="778CE31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13、用户可自定义测量单位，数据打印形式，参考及报警范围。</w:t>
            </w:r>
          </w:p>
          <w:p w14:paraId="32CE930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14、数据输出：内置热敏打印机可随时打印报告；标配各种国际标准接口如RS232和无线网络接口等，可与医院LIS/HIS系统联网。</w:t>
            </w:r>
          </w:p>
          <w:p w14:paraId="0F10788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15、存储功能: 可存储≥35000个样本检测结果。</w:t>
            </w:r>
          </w:p>
          <w:p w14:paraId="4FD3C86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16、提供的配套仪器发生故障，中标人需派人2小时到现场处理，4小时维修好或者提供备用机的技术服务。</w:t>
            </w:r>
          </w:p>
          <w:p w14:paraId="1D303AD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lang w:eastAsia="zh-CN"/>
              </w:rPr>
              <w:t>单人份耗材价格≤33元，一年总预算为118800元。</w:t>
            </w:r>
          </w:p>
        </w:tc>
        <w:tc>
          <w:tcPr>
            <w:tcW w:w="712" w:type="dxa"/>
            <w:tcBorders>
              <w:top w:val="single" w:color="auto" w:sz="4" w:space="0"/>
              <w:left w:val="single" w:color="auto" w:sz="4" w:space="0"/>
              <w:bottom w:val="single" w:color="auto" w:sz="4" w:space="0"/>
              <w:right w:val="single" w:color="auto" w:sz="4" w:space="0"/>
            </w:tcBorders>
            <w:vAlign w:val="center"/>
          </w:tcPr>
          <w:p w14:paraId="62E6B91B">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14:paraId="0B3A9FD2">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14:paraId="2898B400">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12.00</w:t>
            </w:r>
          </w:p>
        </w:tc>
      </w:tr>
      <w:tr w14:paraId="738C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14:paraId="16797AF8">
            <w:pPr>
              <w:spacing w:line="460" w:lineRule="exact"/>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核心产品：本</w:t>
            </w:r>
            <w:r>
              <w:rPr>
                <w:rFonts w:hint="eastAsia" w:ascii="仿宋" w:hAnsi="仿宋" w:eastAsia="仿宋" w:cs="仿宋"/>
                <w:b/>
                <w:color w:val="auto"/>
                <w:sz w:val="24"/>
                <w:highlight w:val="none"/>
                <w:lang w:val="en-US" w:eastAsia="zh-CN"/>
              </w:rPr>
              <w:t>分标</w:t>
            </w:r>
            <w:r>
              <w:rPr>
                <w:rFonts w:hint="eastAsia" w:ascii="仿宋" w:hAnsi="仿宋" w:eastAsia="仿宋" w:cs="仿宋"/>
                <w:b/>
                <w:color w:val="auto"/>
                <w:sz w:val="24"/>
                <w:highlight w:val="none"/>
              </w:rPr>
              <w:t>核心产品为第</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u w:val="single"/>
                <w:lang w:val="en-US" w:eastAsia="zh-CN"/>
              </w:rPr>
              <w:t>1</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rPr>
              <w:t>项标的</w:t>
            </w:r>
            <w:r>
              <w:rPr>
                <w:rFonts w:hint="eastAsia" w:ascii="仿宋" w:hAnsi="仿宋" w:eastAsia="仿宋" w:cs="仿宋"/>
                <w:b/>
                <w:color w:val="auto"/>
                <w:sz w:val="24"/>
                <w:highlight w:val="none"/>
                <w:u w:val="single"/>
              </w:rPr>
              <w:t xml:space="preserve"> “全自动清洗机” </w:t>
            </w:r>
            <w:r>
              <w:rPr>
                <w:rFonts w:hint="eastAsia" w:ascii="仿宋" w:hAnsi="仿宋" w:eastAsia="仿宋" w:cs="仿宋"/>
                <w:b/>
                <w:color w:val="auto"/>
                <w:sz w:val="24"/>
                <w:highlight w:val="none"/>
              </w:rPr>
              <w:t>。</w:t>
            </w:r>
          </w:p>
        </w:tc>
      </w:tr>
      <w:tr w14:paraId="2904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14:paraId="5979C77C">
            <w:pPr>
              <w:spacing w:line="46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二、商务要求</w:t>
            </w:r>
          </w:p>
        </w:tc>
      </w:tr>
      <w:tr w14:paraId="3A32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4EC108CA">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免费</w:t>
            </w:r>
            <w:r>
              <w:rPr>
                <w:rFonts w:hint="eastAsia" w:ascii="仿宋" w:hAnsi="仿宋" w:eastAsia="仿宋" w:cs="仿宋"/>
                <w:b/>
                <w:color w:val="auto"/>
                <w:kern w:val="0"/>
                <w:sz w:val="24"/>
                <w:highlight w:val="none"/>
              </w:rPr>
              <w:t>保修期</w:t>
            </w:r>
          </w:p>
        </w:tc>
        <w:tc>
          <w:tcPr>
            <w:tcW w:w="8120" w:type="dxa"/>
            <w:gridSpan w:val="4"/>
            <w:vAlign w:val="center"/>
          </w:tcPr>
          <w:p w14:paraId="03C8E66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1、本项目全部标的设备的免费保修期自交货验收合格之日起不少于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年，并按国家有关产品“三包”规定执行“三包”。产品在免费保修期内出现故障的，免费保修期时间相应顺延。</w:t>
            </w:r>
          </w:p>
        </w:tc>
      </w:tr>
      <w:tr w14:paraId="4128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61FC5BA8">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售后服务要求</w:t>
            </w:r>
          </w:p>
        </w:tc>
        <w:tc>
          <w:tcPr>
            <w:tcW w:w="8120" w:type="dxa"/>
            <w:gridSpan w:val="4"/>
            <w:vAlign w:val="center"/>
          </w:tcPr>
          <w:p w14:paraId="148288E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一、总体要求</w:t>
            </w:r>
          </w:p>
          <w:p w14:paraId="23DB1B0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1、免费送货上门、免费安装调试合格，免费培训采购人相关工作人员能熟练使用，提供产品终身免费上门维修服务。</w:t>
            </w:r>
          </w:p>
          <w:p w14:paraId="658980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2、在免费保修期内因产品本身的质量问题发生故障，中标供应商应负责免费修理和更换零部件。对达不到技术要求者，根据实际情况，经双方协商，可按以下办法处理：</w:t>
            </w:r>
          </w:p>
          <w:p w14:paraId="39DB149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（1）更换：由中标供应商承担所有发生的全部费用。</w:t>
            </w:r>
          </w:p>
          <w:p w14:paraId="695149C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（2）贬值处理：由采购人、中标供应商双方合议定价。</w:t>
            </w:r>
          </w:p>
          <w:p w14:paraId="046BD45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（3）退货处理：中标供应商应退还采购人支付的合同款，同时应承担该货物的直接费用（运输、保险、检验、贷款利息及银行手续费等）。</w:t>
            </w:r>
          </w:p>
          <w:p w14:paraId="711CFD3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3、免费保修期内定期上门保养、设备故障时提供上门维修。保修期内在使用过程中若产品发生质量问题或故障，在接到采购人通知后厂家工程师提供</w:t>
            </w:r>
            <w:r>
              <w:rPr>
                <w:rFonts w:hint="eastAsia" w:ascii="仿宋" w:hAnsi="仿宋" w:eastAsia="仿宋" w:cs="仿宋"/>
                <w:color w:val="auto"/>
                <w:kern w:val="0"/>
                <w:sz w:val="24"/>
                <w:highlight w:val="none"/>
                <w:u w:val="single"/>
              </w:rPr>
              <w:t xml:space="preserve">    24</w:t>
            </w:r>
            <w:r>
              <w:rPr>
                <w:rFonts w:hint="eastAsia" w:ascii="仿宋" w:hAnsi="仿宋" w:eastAsia="仿宋" w:cs="仿宋"/>
                <w:color w:val="auto"/>
                <w:kern w:val="0"/>
                <w:sz w:val="24"/>
                <w:highlight w:val="none"/>
              </w:rPr>
              <w:t>小时在线服务。如需更换配件，应当在</w:t>
            </w:r>
            <w:r>
              <w:rPr>
                <w:rFonts w:hint="eastAsia" w:ascii="仿宋" w:hAnsi="仿宋" w:eastAsia="仿宋" w:cs="仿宋"/>
                <w:color w:val="auto"/>
                <w:kern w:val="0"/>
                <w:sz w:val="24"/>
                <w:highlight w:val="none"/>
                <w:u w:val="single"/>
              </w:rPr>
              <w:t xml:space="preserve">  48  </w:t>
            </w:r>
            <w:r>
              <w:rPr>
                <w:rFonts w:hint="eastAsia" w:ascii="仿宋" w:hAnsi="仿宋" w:eastAsia="仿宋" w:cs="仿宋"/>
                <w:color w:val="auto"/>
                <w:kern w:val="0"/>
                <w:sz w:val="24"/>
                <w:highlight w:val="none"/>
              </w:rPr>
              <w:t>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14:paraId="7291DA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4、若产品自带软件的，则须提供免费保修期内提供软件升级服务。</w:t>
            </w:r>
          </w:p>
          <w:p w14:paraId="49D1B8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如将设备运离采购人处进行维修，须事先征得采购人同意，并办理书面移交手续。免费保修期内厂家应每年对设备进行不少于1次的巡回检修，并出具检修报告。由设备本身原因产生的事故、纠纷、安全事故等由中标供应商负责。</w:t>
            </w:r>
          </w:p>
          <w:p w14:paraId="058C0F3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6、在医疗设备使用年限之内，按要求需要对设备进行的检测项目，检测所产生的相关费用由成交供应商负责。</w:t>
            </w:r>
          </w:p>
          <w:p w14:paraId="3D894E8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7、设备进入医院后需与采购人信息系统连接的，开通端口及连接所需花费的费用由成交供应商承担。</w:t>
            </w:r>
          </w:p>
        </w:tc>
      </w:tr>
      <w:tr w14:paraId="2F1F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52B837F4">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★交付时间</w:t>
            </w:r>
          </w:p>
        </w:tc>
        <w:tc>
          <w:tcPr>
            <w:tcW w:w="8120" w:type="dxa"/>
            <w:gridSpan w:val="4"/>
          </w:tcPr>
          <w:p w14:paraId="72B80074">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30</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个日历日内，安装调试完毕并交付使用。</w:t>
            </w:r>
          </w:p>
        </w:tc>
      </w:tr>
      <w:tr w14:paraId="5904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400484FF">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交付地点</w:t>
            </w:r>
          </w:p>
        </w:tc>
        <w:tc>
          <w:tcPr>
            <w:tcW w:w="8120" w:type="dxa"/>
            <w:gridSpan w:val="4"/>
          </w:tcPr>
          <w:p w14:paraId="56ACADA9">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采购人指定地点。</w:t>
            </w:r>
          </w:p>
        </w:tc>
      </w:tr>
      <w:tr w14:paraId="4FCB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3EECF3D5">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★付款方式</w:t>
            </w:r>
          </w:p>
        </w:tc>
        <w:tc>
          <w:tcPr>
            <w:tcW w:w="8120" w:type="dxa"/>
            <w:gridSpan w:val="4"/>
            <w:vAlign w:val="center"/>
          </w:tcPr>
          <w:p w14:paraId="5097043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设备安装调试并经采购人验收合格后，中标供应商开具足额发票给采购人，采购人收到发票后</w:t>
            </w:r>
            <w:r>
              <w:rPr>
                <w:rFonts w:hint="eastAsia" w:ascii="仿宋" w:hAnsi="仿宋" w:eastAsia="仿宋" w:cs="仿宋"/>
                <w:color w:val="auto"/>
                <w:kern w:val="0"/>
                <w:sz w:val="24"/>
                <w:highlight w:val="none"/>
                <w:lang w:val="en-US" w:eastAsia="zh-CN"/>
              </w:rPr>
              <w:t>15个工作日内支付</w:t>
            </w:r>
            <w:r>
              <w:rPr>
                <w:rFonts w:hint="eastAsia" w:ascii="仿宋" w:hAnsi="仿宋" w:eastAsia="仿宋" w:cs="仿宋"/>
                <w:bCs/>
                <w:color w:val="auto"/>
                <w:sz w:val="24"/>
                <w:szCs w:val="24"/>
                <w:highlight w:val="none"/>
              </w:rPr>
              <w:t>合同总金额的100%（无息）。</w:t>
            </w:r>
          </w:p>
        </w:tc>
      </w:tr>
      <w:tr w14:paraId="47A0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3273DD1F">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包装和运输</w:t>
            </w:r>
          </w:p>
        </w:tc>
        <w:tc>
          <w:tcPr>
            <w:tcW w:w="8120" w:type="dxa"/>
            <w:gridSpan w:val="4"/>
            <w:vAlign w:val="center"/>
          </w:tcPr>
          <w:p w14:paraId="7CA2D85A">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1.原厂原包装，包装完好完整、无破损、未开封。</w:t>
            </w:r>
          </w:p>
          <w:p w14:paraId="1B54CA2E">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2.包装及运输方式应综合考虑运输距离、防潮、防震、防锈和防破损装卸等要求。</w:t>
            </w:r>
          </w:p>
          <w:p w14:paraId="467DB120">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3.国家对包装及运输有相关强制性标准或要求的，中标供应商应当执行。</w:t>
            </w:r>
          </w:p>
          <w:p w14:paraId="76CAA462">
            <w:pPr>
              <w:keepNext w:val="0"/>
              <w:keepLines w:val="0"/>
              <w:pageBreakBefore w:val="0"/>
              <w:widowControl w:val="0"/>
              <w:kinsoku/>
              <w:wordWrap/>
              <w:overflowPunct/>
              <w:topLinePunct w:val="0"/>
              <w:autoSpaceDE/>
              <w:autoSpaceDN/>
              <w:bidi w:val="0"/>
              <w:spacing w:line="3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4.产品（含包装）运抵采购人指定交付地点前发生损坏、丢失等全部风险和责任均由中标供应商自行承担。</w:t>
            </w:r>
          </w:p>
        </w:tc>
      </w:tr>
      <w:tr w14:paraId="462A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7E6D0DBF">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保险</w:t>
            </w:r>
          </w:p>
        </w:tc>
        <w:tc>
          <w:tcPr>
            <w:tcW w:w="8120" w:type="dxa"/>
            <w:gridSpan w:val="4"/>
            <w:vAlign w:val="center"/>
          </w:tcPr>
          <w:p w14:paraId="350CBBDB">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本项目执行中相关的一切税费、保险均由供应商自行负担。</w:t>
            </w:r>
          </w:p>
        </w:tc>
      </w:tr>
      <w:tr w14:paraId="06F1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59F0ADCC">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★验收标准</w:t>
            </w:r>
          </w:p>
        </w:tc>
        <w:tc>
          <w:tcPr>
            <w:tcW w:w="8120" w:type="dxa"/>
            <w:gridSpan w:val="4"/>
            <w:vAlign w:val="center"/>
          </w:tcPr>
          <w:p w14:paraId="0802FE98">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1.投标人提供的产品必须符合国家强制执行的相关质量标准要求以及产品制造厂家合格产品的出厂质量标准。</w:t>
            </w:r>
          </w:p>
          <w:p w14:paraId="5FBEB322">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2.设备需全新、完好、无破损，设备</w:t>
            </w:r>
            <w:r>
              <w:rPr>
                <w:rFonts w:hint="eastAsia" w:ascii="仿宋" w:hAnsi="仿宋" w:eastAsia="仿宋" w:cs="仿宋"/>
                <w:color w:val="auto"/>
                <w:kern w:val="0"/>
                <w:sz w:val="24"/>
                <w:highlight w:val="none"/>
                <w:lang w:val="en-US" w:eastAsia="zh-CN"/>
              </w:rPr>
              <w:t>生产日期不能超过到院时间6个月</w:t>
            </w:r>
            <w:r>
              <w:rPr>
                <w:rFonts w:hint="eastAsia" w:ascii="仿宋" w:hAnsi="仿宋" w:eastAsia="仿宋" w:cs="仿宋"/>
                <w:color w:val="auto"/>
                <w:kern w:val="0"/>
                <w:sz w:val="24"/>
                <w:highlight w:val="none"/>
              </w:rPr>
              <w:t>，产品到货后，采购人现场根据招标文件要求及投标文件承诺逐条对应进行核验，必要时，采购人有权邀请国家质量监督检验部门或国家认可的检测机构参与共同验收。如产品不满足招标文件要求、投标文件承诺或国家强制执行的相关质量标准要求以及产品制造厂家合格产品的出厂质量标准，采购人有权不予验收，由此造成采购人的经济损失由中标人承担全部赔偿责任。</w:t>
            </w:r>
          </w:p>
          <w:p w14:paraId="6497EE28">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3.验收其他要求按合同条款以及政府采购相关法律法规规定执行。</w:t>
            </w:r>
          </w:p>
        </w:tc>
      </w:tr>
      <w:tr w14:paraId="2495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751E780C">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验收程序</w:t>
            </w:r>
          </w:p>
        </w:tc>
        <w:tc>
          <w:tcPr>
            <w:tcW w:w="8120" w:type="dxa"/>
            <w:gridSpan w:val="4"/>
            <w:shd w:val="clear" w:color="auto" w:fill="auto"/>
            <w:vAlign w:val="center"/>
          </w:tcPr>
          <w:p w14:paraId="1CB8F637">
            <w:pPr>
              <w:adjustRightInd w:val="0"/>
              <w:snapToGrid w:val="0"/>
              <w:spacing w:line="460" w:lineRule="exact"/>
              <w:textAlignment w:val="center"/>
              <w:rPr>
                <w:rFonts w:hint="eastAsia" w:ascii="仿宋" w:hAnsi="仿宋" w:eastAsia="仿宋" w:cs="仿宋"/>
                <w:color w:val="auto"/>
                <w:kern w:val="0"/>
                <w:sz w:val="24"/>
                <w:highlight w:val="none"/>
                <w:shd w:val="clear" w:color="auto" w:fill="C6D9F0"/>
              </w:rPr>
            </w:pPr>
            <w:r>
              <w:rPr>
                <w:rFonts w:hint="eastAsia" w:ascii="仿宋" w:hAnsi="仿宋" w:eastAsia="仿宋" w:cs="仿宋"/>
                <w:color w:val="auto"/>
                <w:kern w:val="0"/>
                <w:sz w:val="24"/>
                <w:highlight w:val="none"/>
              </w:rPr>
              <w:t>货物送至采购人指定地点后，供应商与采购人共同对货物数量、外观等进行初步验收；货物安装调试完毕后7个工作日内，供应商与采购人根据采购合同相关要求对全部硬件和软件进行试运行1个月，试运行期间硬件和软件能够正常运行的，并交付采购人使用，采购人给予验收合格；对不符合质量要求的硬件和软件，供应商应在采购人要求时间内免费更换或调试直至合格，验收结果应由双方盖章、签字。</w:t>
            </w:r>
          </w:p>
        </w:tc>
      </w:tr>
      <w:tr w14:paraId="1E04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00B465AC">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履约保证金</w:t>
            </w:r>
          </w:p>
        </w:tc>
        <w:tc>
          <w:tcPr>
            <w:tcW w:w="8120" w:type="dxa"/>
            <w:gridSpan w:val="4"/>
            <w:vAlign w:val="center"/>
          </w:tcPr>
          <w:p w14:paraId="1F44BF76">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14:paraId="2044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689F7DEA">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进口产品说明</w:t>
            </w:r>
          </w:p>
        </w:tc>
        <w:tc>
          <w:tcPr>
            <w:tcW w:w="8120" w:type="dxa"/>
            <w:gridSpan w:val="4"/>
            <w:vAlign w:val="center"/>
          </w:tcPr>
          <w:p w14:paraId="345C27A7">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本分标所有产品均</w:t>
            </w:r>
            <w:r>
              <w:rPr>
                <w:rFonts w:hint="eastAsia" w:ascii="仿宋" w:hAnsi="仿宋" w:eastAsia="仿宋" w:cs="仿宋"/>
                <w:color w:val="auto"/>
                <w:kern w:val="0"/>
                <w:sz w:val="24"/>
                <w:highlight w:val="none"/>
              </w:rPr>
              <w:t>不接受进口产品（即通过中国海关报关验放进入中国境内且产自关境外的产品）投标，如投标产品为进口产品的，投标无效。</w:t>
            </w:r>
          </w:p>
        </w:tc>
      </w:tr>
      <w:tr w14:paraId="65C8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7A519DFB">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其他要求</w:t>
            </w:r>
          </w:p>
        </w:tc>
        <w:tc>
          <w:tcPr>
            <w:tcW w:w="8120" w:type="dxa"/>
            <w:gridSpan w:val="4"/>
            <w:vAlign w:val="center"/>
          </w:tcPr>
          <w:p w14:paraId="4635F8CC">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1、本项目“采购需求”中标注</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号项的条款为实质性要求，投标文件相应内容如不满足，按投标无效处理。</w:t>
            </w:r>
          </w:p>
          <w:p w14:paraId="7E6DE4D1">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2、本项目采购需求中标注▲</w:t>
            </w:r>
            <w:r>
              <w:rPr>
                <w:rFonts w:hint="eastAsia" w:ascii="仿宋" w:hAnsi="仿宋" w:eastAsia="仿宋" w:cs="仿宋"/>
                <w:color w:val="auto"/>
                <w:sz w:val="24"/>
                <w:highlight w:val="none"/>
              </w:rPr>
              <w:t>号项为重要技术要求。</w:t>
            </w:r>
          </w:p>
          <w:p w14:paraId="64D87E0F">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3、本项目“技术要求”的技术条款负偏离≤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5</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项（经评标委员会认定的负偏离），投标人所投产品技术参数超过规定的负偏离数量的，投标文件按无效处理。</w:t>
            </w:r>
          </w:p>
        </w:tc>
      </w:tr>
    </w:tbl>
    <w:p w14:paraId="4D86E314">
      <w:pPr>
        <w:spacing w:line="400" w:lineRule="exact"/>
        <w:jc w:val="left"/>
        <w:rPr>
          <w:rFonts w:hint="eastAsia" w:ascii="仿宋" w:hAnsi="仿宋" w:eastAsia="仿宋"/>
          <w:b/>
          <w:bCs/>
          <w:sz w:val="30"/>
          <w:szCs w:val="30"/>
          <w:highlight w:val="none"/>
        </w:rPr>
      </w:pPr>
    </w:p>
    <w:p w14:paraId="539D6617">
      <w:pPr>
        <w:spacing w:line="400" w:lineRule="exact"/>
        <w:jc w:val="left"/>
        <w:rPr>
          <w:rFonts w:hint="eastAsia" w:ascii="仿宋" w:hAnsi="仿宋" w:eastAsia="仿宋"/>
          <w:b/>
          <w:bCs/>
          <w:sz w:val="30"/>
          <w:szCs w:val="30"/>
          <w:highlight w:val="none"/>
        </w:rPr>
      </w:pPr>
    </w:p>
    <w:p w14:paraId="0164F181">
      <w:pPr>
        <w:spacing w:line="400" w:lineRule="exact"/>
        <w:jc w:val="left"/>
        <w:rPr>
          <w:rFonts w:hint="eastAsia" w:ascii="仿宋" w:hAnsi="仿宋" w:eastAsia="仿宋"/>
          <w:b/>
          <w:bCs/>
          <w:sz w:val="30"/>
          <w:szCs w:val="30"/>
          <w:highlight w:val="none"/>
        </w:rPr>
      </w:pPr>
    </w:p>
    <w:p w14:paraId="012F2F19">
      <w:pPr>
        <w:spacing w:line="400" w:lineRule="exact"/>
        <w:jc w:val="left"/>
        <w:rPr>
          <w:rFonts w:hint="eastAsia" w:ascii="仿宋" w:hAnsi="仿宋" w:eastAsia="仿宋"/>
          <w:b/>
          <w:bCs/>
          <w:sz w:val="30"/>
          <w:szCs w:val="30"/>
          <w:highlight w:val="none"/>
        </w:rPr>
      </w:pPr>
    </w:p>
    <w:p w14:paraId="081F3AB5">
      <w:pPr>
        <w:spacing w:line="400" w:lineRule="exact"/>
        <w:jc w:val="left"/>
        <w:rPr>
          <w:rFonts w:hint="eastAsia" w:ascii="仿宋" w:hAnsi="仿宋" w:eastAsia="仿宋"/>
          <w:b/>
          <w:bCs/>
          <w:sz w:val="30"/>
          <w:szCs w:val="30"/>
          <w:highlight w:val="none"/>
        </w:rPr>
      </w:pPr>
    </w:p>
    <w:p w14:paraId="521FDA3B">
      <w:pPr>
        <w:spacing w:line="400" w:lineRule="exact"/>
        <w:ind w:firstLine="482" w:firstLineChars="200"/>
        <w:jc w:val="left"/>
        <w:rPr>
          <w:rFonts w:hint="default" w:ascii="仿宋" w:hAnsi="仿宋" w:eastAsia="仿宋" w:cs="宋体"/>
          <w:b/>
          <w:bCs/>
          <w:sz w:val="24"/>
          <w:highlight w:val="none"/>
          <w:lang w:val="en-US" w:eastAsia="zh-CN"/>
        </w:rPr>
      </w:pPr>
      <w:r>
        <w:rPr>
          <w:rFonts w:hint="eastAsia" w:ascii="仿宋" w:hAnsi="仿宋" w:eastAsia="仿宋" w:cs="宋体"/>
          <w:b/>
          <w:bCs/>
          <w:sz w:val="24"/>
          <w:highlight w:val="none"/>
          <w:lang w:val="en-US" w:eastAsia="zh-CN"/>
        </w:rPr>
        <w:t>C分标   本分标所属行业：工业</w:t>
      </w:r>
    </w:p>
    <w:tbl>
      <w:tblPr>
        <w:tblStyle w:val="49"/>
        <w:tblW w:w="10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92"/>
        <w:gridCol w:w="331"/>
        <w:gridCol w:w="5419"/>
        <w:gridCol w:w="712"/>
        <w:gridCol w:w="713"/>
        <w:gridCol w:w="1276"/>
      </w:tblGrid>
      <w:tr w14:paraId="1186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14:paraId="4CB7C57D">
            <w:pPr>
              <w:adjustRightInd w:val="0"/>
              <w:snapToGrid w:val="0"/>
              <w:spacing w:line="35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一、采购内容及技术要求</w:t>
            </w:r>
          </w:p>
        </w:tc>
      </w:tr>
      <w:tr w14:paraId="5A2F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043D8DD8">
            <w:pPr>
              <w:adjustRightInd w:val="0"/>
              <w:snapToGrid w:val="0"/>
              <w:spacing w:line="350" w:lineRule="exact"/>
              <w:jc w:val="center"/>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项号</w:t>
            </w:r>
          </w:p>
        </w:tc>
        <w:tc>
          <w:tcPr>
            <w:tcW w:w="992" w:type="dxa"/>
            <w:tcBorders>
              <w:top w:val="single" w:color="auto" w:sz="4" w:space="0"/>
              <w:left w:val="single" w:color="auto" w:sz="4" w:space="0"/>
              <w:bottom w:val="single" w:color="auto" w:sz="4" w:space="0"/>
              <w:right w:val="single" w:color="auto" w:sz="4" w:space="0"/>
            </w:tcBorders>
            <w:vAlign w:val="center"/>
          </w:tcPr>
          <w:p w14:paraId="74F548E0">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标的的名称</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030B4951">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技术要求</w:t>
            </w:r>
          </w:p>
        </w:tc>
        <w:tc>
          <w:tcPr>
            <w:tcW w:w="712" w:type="dxa"/>
            <w:tcBorders>
              <w:top w:val="single" w:color="auto" w:sz="4" w:space="0"/>
              <w:left w:val="single" w:color="auto" w:sz="4" w:space="0"/>
              <w:bottom w:val="single" w:color="auto" w:sz="4" w:space="0"/>
              <w:right w:val="single" w:color="auto" w:sz="4" w:space="0"/>
            </w:tcBorders>
            <w:vAlign w:val="center"/>
          </w:tcPr>
          <w:p w14:paraId="56342B9E">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13" w:type="dxa"/>
            <w:tcBorders>
              <w:top w:val="single" w:color="auto" w:sz="4" w:space="0"/>
              <w:left w:val="single" w:color="auto" w:sz="4" w:space="0"/>
              <w:bottom w:val="single" w:color="auto" w:sz="4" w:space="0"/>
              <w:right w:val="single" w:color="auto" w:sz="4" w:space="0"/>
            </w:tcBorders>
            <w:vAlign w:val="center"/>
          </w:tcPr>
          <w:p w14:paraId="7BE7E7DF">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1276" w:type="dxa"/>
            <w:tcBorders>
              <w:top w:val="single" w:color="auto" w:sz="4" w:space="0"/>
              <w:left w:val="single" w:color="auto" w:sz="4" w:space="0"/>
              <w:bottom w:val="single" w:color="auto" w:sz="4" w:space="0"/>
              <w:right w:val="single" w:color="auto" w:sz="4" w:space="0"/>
            </w:tcBorders>
            <w:vAlign w:val="center"/>
          </w:tcPr>
          <w:p w14:paraId="307221DA">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参考</w:t>
            </w:r>
            <w:r>
              <w:rPr>
                <w:rFonts w:hint="eastAsia" w:ascii="仿宋" w:hAnsi="仿宋" w:eastAsia="仿宋" w:cs="仿宋"/>
                <w:b/>
                <w:color w:val="auto"/>
                <w:sz w:val="24"/>
                <w:highlight w:val="none"/>
                <w:lang w:val="en-US" w:eastAsia="zh-CN"/>
              </w:rPr>
              <w:t>单</w:t>
            </w:r>
            <w:r>
              <w:rPr>
                <w:rFonts w:hint="eastAsia" w:ascii="仿宋" w:hAnsi="仿宋" w:eastAsia="仿宋" w:cs="仿宋"/>
                <w:b/>
                <w:color w:val="auto"/>
                <w:sz w:val="24"/>
                <w:highlight w:val="none"/>
              </w:rPr>
              <w:t>价</w:t>
            </w:r>
          </w:p>
          <w:p w14:paraId="044632EC">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（万元）</w:t>
            </w:r>
          </w:p>
        </w:tc>
      </w:tr>
      <w:tr w14:paraId="4802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69123039">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1</w:t>
            </w:r>
          </w:p>
        </w:tc>
        <w:tc>
          <w:tcPr>
            <w:tcW w:w="992" w:type="dxa"/>
            <w:tcBorders>
              <w:top w:val="single" w:color="auto" w:sz="4" w:space="0"/>
              <w:left w:val="single" w:color="auto" w:sz="4" w:space="0"/>
              <w:bottom w:val="single" w:color="auto" w:sz="4" w:space="0"/>
              <w:right w:val="single" w:color="auto" w:sz="4" w:space="0"/>
            </w:tcBorders>
            <w:vAlign w:val="center"/>
          </w:tcPr>
          <w:p w14:paraId="6B9D2FBF">
            <w:pPr>
              <w:spacing w:line="460" w:lineRule="exact"/>
              <w:jc w:val="center"/>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体外除颤监护仪</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3D05552A">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1、具备手动除颤、心电监护、呼吸监护、半自动体外除颤（AED）功能(附件选配)。</w:t>
            </w:r>
          </w:p>
          <w:p w14:paraId="46EAC70B">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2、整机带电极板、电池的重量：不超过 5kg。</w:t>
            </w:r>
          </w:p>
          <w:p w14:paraId="74289E98">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3、除颤采用双相波技术，具备自动阻抗补偿功能。</w:t>
            </w:r>
          </w:p>
          <w:p w14:paraId="0384E0D4">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4、手动除颤分为同步和非同步两种方式，能量分20档以上，可通过体外电极板进行能量选择。</w:t>
            </w:r>
          </w:p>
          <w:p w14:paraId="072B21C1">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5、除颤充电迅速，充电至200J&lt; 5s，充电至360J&lt; 8s。</w:t>
            </w:r>
          </w:p>
          <w:p w14:paraId="06F10A33">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6、除颤后心电基线恢复时间≤ 2.5s。</w:t>
            </w:r>
          </w:p>
          <w:p w14:paraId="763D219B">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7、开机到可正常使用时间≤ 2s。</w:t>
            </w:r>
          </w:p>
          <w:p w14:paraId="495C0320">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8、可选配体外起搏功能，起搏分为固定和按需两种模式，具备降速起搏功能。</w:t>
            </w:r>
          </w:p>
          <w:p w14:paraId="2B6F3401">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9、心电波形扫描时间&gt; 10s，扫描长度&gt; 100mm。</w:t>
            </w:r>
          </w:p>
          <w:p w14:paraId="45D2C7D0">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10、可充电锂电池：支持 100 次以上 200J除颤。</w:t>
            </w:r>
          </w:p>
          <w:p w14:paraId="7AA54EF9">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11、具备生理报警和技术报警功能，通过声音、灯光等多种方式进行报警。</w:t>
            </w:r>
          </w:p>
          <w:p w14:paraId="603FEA9C">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12、成人、小儿一体化电极板。</w:t>
            </w:r>
          </w:p>
          <w:p w14:paraId="77B6FE4B">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13、支持中文操作界面、AED 中文语音提示。</w:t>
            </w:r>
          </w:p>
          <w:p w14:paraId="6148B417">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▲14、配备彩色电容式触摸显示屏≥ 7英寸,分辨率≥ 800x600，支持滑动手势操作，屏幕亮度自动调节，可显示≥ 3通道监护参数波形，有高对比度显示界面。</w:t>
            </w:r>
          </w:p>
          <w:p w14:paraId="2DE80C7F">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15、支持50mm 记录仪，可自动打印除颤记录。</w:t>
            </w:r>
          </w:p>
          <w:p w14:paraId="1E18EBC5">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16、可存储24 小时连续 ECG 波形，数据可导出至电脑查看。</w:t>
            </w:r>
          </w:p>
          <w:p w14:paraId="2013B2B0">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17、符合除颤国际专用安全标准。</w:t>
            </w:r>
          </w:p>
          <w:p w14:paraId="37C1946E">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18、符合欧盟救护车标准。</w:t>
            </w:r>
          </w:p>
          <w:p w14:paraId="3F6FB4E8">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19、具备良好的防水性能，防水级别 IPX4。</w:t>
            </w:r>
          </w:p>
          <w:p w14:paraId="264DBE7A">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20、具备优异的抗跌落性能:裸机可承受 0.75m 跌落冲击。</w:t>
            </w:r>
          </w:p>
          <w:p w14:paraId="6A0C71C7">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▲21、除颤仪的清洁消毒支持&gt; 39种消毒剂。</w:t>
            </w:r>
          </w:p>
          <w:p w14:paraId="0A060E88">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22、可支持急救培训模式，提供CPR 培训和急救流程培训。</w:t>
            </w:r>
          </w:p>
          <w:p w14:paraId="0250E6E4">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23、可向中心监护系统发送抢救报告、波形数据、参数测量值等数据。</w:t>
            </w:r>
          </w:p>
          <w:p w14:paraId="4881F35F">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24、质量保修期≥1年</w:t>
            </w:r>
          </w:p>
        </w:tc>
        <w:tc>
          <w:tcPr>
            <w:tcW w:w="712" w:type="dxa"/>
            <w:tcBorders>
              <w:top w:val="single" w:color="auto" w:sz="4" w:space="0"/>
              <w:left w:val="single" w:color="auto" w:sz="4" w:space="0"/>
              <w:bottom w:val="single" w:color="auto" w:sz="4" w:space="0"/>
              <w:right w:val="single" w:color="auto" w:sz="4" w:space="0"/>
            </w:tcBorders>
            <w:vAlign w:val="center"/>
          </w:tcPr>
          <w:p w14:paraId="0B6F18AD">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14:paraId="4CE434F9">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14:paraId="57AFA6BA">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5.00</w:t>
            </w:r>
          </w:p>
        </w:tc>
      </w:tr>
      <w:tr w14:paraId="67F7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07798F8C">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tcBorders>
              <w:top w:val="single" w:color="auto" w:sz="4" w:space="0"/>
              <w:left w:val="single" w:color="auto" w:sz="4" w:space="0"/>
              <w:bottom w:val="single" w:color="auto" w:sz="4" w:space="0"/>
              <w:right w:val="single" w:color="auto" w:sz="4" w:space="0"/>
            </w:tcBorders>
            <w:vAlign w:val="center"/>
          </w:tcPr>
          <w:p w14:paraId="03CE66A1">
            <w:pPr>
              <w:spacing w:line="460" w:lineRule="exact"/>
              <w:jc w:val="center"/>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双通道注射泵</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0897E1C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1、注射模式 流速模式，时间模式，体重模式，剂量模式，药物库，切换模式，编程模式，间断模式，微量模式，梯度模式。 </w:t>
            </w:r>
          </w:p>
          <w:p w14:paraId="0516D20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2、适用注射器 自动识别5, 10，20，30，50（60）ml注射器，预置多种常用注射器品牌，可根据需求自定义20种注射器品牌。</w:t>
            </w:r>
          </w:p>
          <w:p w14:paraId="6904EC5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3、注射精度 ±2%。</w:t>
            </w:r>
          </w:p>
          <w:p w14:paraId="119C28C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4、注射速度 5ml注射器：0.1-150ml/h，10ml注射器：0.1-300ml/h，20ml注射器：0.1-600ml/h，30ml注射器：0.1-900ml/h，50（60）ml 注射器：0.1-1800ml/h。最小步进0.01ml/h。</w:t>
            </w:r>
          </w:p>
          <w:p w14:paraId="34D01E6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5、预置量（0～9999.99）ml，最小步进为0.01ml。</w:t>
            </w:r>
          </w:p>
          <w:p w14:paraId="0557FFE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6、累积量 0～36000 ml。</w:t>
            </w:r>
          </w:p>
          <w:p w14:paraId="1AEC15D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7、KVO速度（0，0.1～10）ml/h,最小步进0.1ml/h。</w:t>
            </w:r>
          </w:p>
          <w:p w14:paraId="1709F15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8、BOLUS流速 </w:t>
            </w:r>
          </w:p>
          <w:p w14:paraId="2E8F240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5ml注射器：0.1-150ml/h，10ml注射器：0.1-300ml/h，20m注射器：0.1-600ml/h，30ml注射器：0.1-900ml/h， 50（60）ml 注射器：0.1-1800ml/h，最小步进最小步进0.01ml/h。</w:t>
            </w:r>
          </w:p>
          <w:p w14:paraId="58486D6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9、冲洗速度 5ml注射器：100ml/h，10ml注射器：200ml/h，20m注射器：400ml/h，30ml注射器：600ml/h， 50（60）ml注射器：1200ml/h。</w:t>
            </w:r>
          </w:p>
          <w:p w14:paraId="0EC8E58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10、阻塞压力：具有动态压力显示功能，实时显示压力，压力12档可调。</w:t>
            </w:r>
          </w:p>
          <w:p w14:paraId="05E437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11、日志：不少于49500条历史记录。</w:t>
            </w:r>
          </w:p>
          <w:p w14:paraId="4E62352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12、声光报警：阻塞、注射器脱落、开合异常、接近完成、注射完成、交流掉电、电池供电、电量低、电池耗尽、忘记操作、药物将近、推空、品牌错误、定时关机、待机结束、压力错误、电位器异常、电池故障、设备异常。</w:t>
            </w:r>
          </w:p>
          <w:p w14:paraId="1C2EF8A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13、具备KVO静脉畅通，快速注射，Anti-Bolus,防止误关机，药物库，防反转检测功能，双CPU监控，按键锁功能。</w:t>
            </w:r>
          </w:p>
          <w:p w14:paraId="0CB9071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14、选配功能：护士呼叫，WIFI。</w:t>
            </w:r>
          </w:p>
          <w:p w14:paraId="654D77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15、电气分类：I类CF型</w:t>
            </w:r>
          </w:p>
          <w:p w14:paraId="735F046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16、防水等级：IP23</w:t>
            </w:r>
          </w:p>
          <w:p w14:paraId="3C7B904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17、功率：70VA</w:t>
            </w:r>
          </w:p>
          <w:p w14:paraId="598898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18、尺寸：</w:t>
            </w:r>
            <w:r>
              <w:rPr>
                <w:rFonts w:hint="eastAsia" w:ascii="仿宋" w:hAnsi="仿宋" w:eastAsia="仿宋" w:cs="仿宋"/>
                <w:color w:val="auto"/>
                <w:sz w:val="24"/>
                <w:highlight w:val="none"/>
                <w:lang w:val="en-US" w:eastAsia="zh-CN"/>
              </w:rPr>
              <w:t>约</w:t>
            </w:r>
            <w:r>
              <w:rPr>
                <w:rFonts w:hint="eastAsia" w:ascii="仿宋" w:hAnsi="仿宋" w:eastAsia="仿宋" w:cs="仿宋"/>
                <w:color w:val="auto"/>
                <w:sz w:val="24"/>
                <w:highlight w:val="none"/>
                <w:lang w:eastAsia="zh-CN"/>
              </w:rPr>
              <w:t>300*262.5*169.5（L*W*H）mm（不含紧固夹）。</w:t>
            </w:r>
          </w:p>
          <w:p w14:paraId="0E8225F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19、净重：</w:t>
            </w:r>
            <w:r>
              <w:rPr>
                <w:rFonts w:hint="eastAsia" w:ascii="仿宋" w:hAnsi="仿宋" w:eastAsia="仿宋" w:cs="仿宋"/>
                <w:color w:val="auto"/>
                <w:sz w:val="24"/>
                <w:highlight w:val="none"/>
                <w:lang w:val="en-US" w:eastAsia="zh-CN"/>
              </w:rPr>
              <w:t>约</w:t>
            </w:r>
            <w:r>
              <w:rPr>
                <w:rFonts w:hint="eastAsia" w:ascii="仿宋" w:hAnsi="仿宋" w:eastAsia="仿宋" w:cs="仿宋"/>
                <w:color w:val="auto"/>
                <w:sz w:val="24"/>
                <w:highlight w:val="none"/>
                <w:lang w:eastAsia="zh-CN"/>
              </w:rPr>
              <w:t>3.7KG。</w:t>
            </w:r>
          </w:p>
          <w:p w14:paraId="05056A3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20、电源：交流电源：100-240V 50/60Hz；直流电源DC12V。</w:t>
            </w:r>
          </w:p>
          <w:p w14:paraId="60C7C7E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21、电 池：Li-Polymer 7.4V 1900mAh，5ml/h的速度连续工作时间大于4小时。</w:t>
            </w:r>
          </w:p>
          <w:p w14:paraId="66266B5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22、环境条件 环境温度：5℃～40℃，相对湿度：20%～95%。</w:t>
            </w:r>
          </w:p>
          <w:p w14:paraId="22535C2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23、大气压力 86.0～106.0 kPa。</w:t>
            </w:r>
          </w:p>
        </w:tc>
        <w:tc>
          <w:tcPr>
            <w:tcW w:w="712" w:type="dxa"/>
            <w:tcBorders>
              <w:top w:val="single" w:color="auto" w:sz="4" w:space="0"/>
              <w:left w:val="single" w:color="auto" w:sz="4" w:space="0"/>
              <w:bottom w:val="single" w:color="auto" w:sz="4" w:space="0"/>
              <w:right w:val="single" w:color="auto" w:sz="4" w:space="0"/>
            </w:tcBorders>
            <w:vAlign w:val="center"/>
          </w:tcPr>
          <w:p w14:paraId="2CEE5FB5">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14:paraId="2EA081BC">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14:paraId="4055DEC9">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0.50</w:t>
            </w:r>
          </w:p>
        </w:tc>
      </w:tr>
      <w:tr w14:paraId="2C48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2650D465">
            <w:pPr>
              <w:spacing w:line="4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992" w:type="dxa"/>
            <w:tcBorders>
              <w:top w:val="single" w:color="auto" w:sz="4" w:space="0"/>
              <w:left w:val="single" w:color="auto" w:sz="4" w:space="0"/>
              <w:bottom w:val="single" w:color="auto" w:sz="4" w:space="0"/>
              <w:right w:val="single" w:color="auto" w:sz="4" w:space="0"/>
            </w:tcBorders>
            <w:vAlign w:val="center"/>
          </w:tcPr>
          <w:p w14:paraId="1474D149">
            <w:pPr>
              <w:spacing w:line="460" w:lineRule="exact"/>
              <w:jc w:val="center"/>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便携式超声机</w:t>
            </w:r>
          </w:p>
        </w:tc>
        <w:tc>
          <w:tcPr>
            <w:tcW w:w="5750" w:type="dxa"/>
            <w:gridSpan w:val="2"/>
            <w:tcBorders>
              <w:top w:val="single" w:color="auto" w:sz="4" w:space="0"/>
              <w:left w:val="single" w:color="auto" w:sz="4" w:space="0"/>
              <w:bottom w:val="single" w:color="auto" w:sz="4" w:space="0"/>
              <w:right w:val="single" w:color="auto" w:sz="4" w:space="0"/>
            </w:tcBorders>
            <w:vAlign w:val="center"/>
          </w:tcPr>
          <w:p w14:paraId="4D7F3FF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一</w:t>
            </w:r>
            <w:r>
              <w:rPr>
                <w:rFonts w:hint="eastAsia" w:ascii="仿宋" w:hAnsi="仿宋" w:eastAsia="仿宋" w:cs="仿宋"/>
                <w:color w:val="auto"/>
                <w:sz w:val="24"/>
                <w:highlight w:val="none"/>
                <w:lang w:eastAsia="zh-CN"/>
              </w:rPr>
              <w:t>、为保证设备先进性，要求为2022年1月1日以后首次注册的产品。</w:t>
            </w:r>
          </w:p>
          <w:p w14:paraId="53C3862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p>
          <w:p w14:paraId="39A9147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lang w:eastAsia="zh-CN"/>
              </w:rPr>
              <w:t>、彩色多普勒超声波诊断系统</w:t>
            </w:r>
          </w:p>
          <w:p w14:paraId="10F0D5D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1、彩色多普勒超声波诊断系统包括</w:t>
            </w:r>
          </w:p>
          <w:p w14:paraId="2BE6823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★1.1、高分辨率医用LCD显示器≥15英寸，触摸屏≥10英寸（触摸屏亮度可调）</w:t>
            </w:r>
            <w:r>
              <w:rPr>
                <w:rFonts w:hint="eastAsia" w:ascii="仿宋" w:hAnsi="仿宋" w:eastAsia="仿宋" w:cs="仿宋"/>
                <w:color w:val="auto"/>
                <w:sz w:val="24"/>
                <w:highlight w:val="none"/>
                <w:lang w:val="en-US" w:eastAsia="zh-CN"/>
              </w:rPr>
              <w:t>；</w:t>
            </w:r>
          </w:p>
          <w:p w14:paraId="0566F4D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★1.2、主机具备内置探头接口（无针式，非扩展）≥2个，可扩展（无针式）至4个</w:t>
            </w:r>
            <w:r>
              <w:rPr>
                <w:rFonts w:hint="eastAsia" w:ascii="仿宋" w:hAnsi="仿宋" w:eastAsia="仿宋" w:cs="仿宋"/>
                <w:color w:val="auto"/>
                <w:sz w:val="24"/>
                <w:highlight w:val="none"/>
                <w:lang w:val="en-US" w:eastAsia="zh-CN"/>
              </w:rPr>
              <w:t>；</w:t>
            </w:r>
          </w:p>
          <w:p w14:paraId="4FAADEB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1.3、主机重量≤4.5Kg（不含电池）</w:t>
            </w:r>
            <w:r>
              <w:rPr>
                <w:rFonts w:hint="eastAsia" w:ascii="仿宋" w:hAnsi="仿宋" w:eastAsia="仿宋" w:cs="仿宋"/>
                <w:color w:val="auto"/>
                <w:sz w:val="24"/>
                <w:highlight w:val="none"/>
                <w:lang w:val="en-US" w:eastAsia="zh-CN"/>
              </w:rPr>
              <w:t>；</w:t>
            </w:r>
          </w:p>
          <w:p w14:paraId="110E400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1.4、显示器开合角度≥180°</w:t>
            </w:r>
            <w:r>
              <w:rPr>
                <w:rFonts w:hint="eastAsia" w:ascii="仿宋" w:hAnsi="仿宋" w:eastAsia="仿宋" w:cs="仿宋"/>
                <w:color w:val="auto"/>
                <w:sz w:val="24"/>
                <w:highlight w:val="none"/>
                <w:lang w:val="en-US" w:eastAsia="zh-CN"/>
              </w:rPr>
              <w:t>；</w:t>
            </w:r>
          </w:p>
          <w:p w14:paraId="310E62D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1.5、数字化高分辨率二维灰阶成像单元</w:t>
            </w:r>
            <w:r>
              <w:rPr>
                <w:rFonts w:hint="eastAsia" w:ascii="仿宋" w:hAnsi="仿宋" w:eastAsia="仿宋" w:cs="仿宋"/>
                <w:color w:val="auto"/>
                <w:sz w:val="24"/>
                <w:highlight w:val="none"/>
                <w:lang w:val="en-US" w:eastAsia="zh-CN"/>
              </w:rPr>
              <w:t>；</w:t>
            </w:r>
          </w:p>
          <w:p w14:paraId="21B6398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1.6、M型及彩色M型成像单元</w:t>
            </w:r>
            <w:r>
              <w:rPr>
                <w:rFonts w:hint="eastAsia" w:ascii="仿宋" w:hAnsi="仿宋" w:eastAsia="仿宋" w:cs="仿宋"/>
                <w:color w:val="auto"/>
                <w:sz w:val="24"/>
                <w:highlight w:val="none"/>
                <w:lang w:val="en-US" w:eastAsia="zh-CN"/>
              </w:rPr>
              <w:t>；</w:t>
            </w:r>
          </w:p>
          <w:p w14:paraId="21D07BE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1.7、彩色多普勒血流成像单元</w:t>
            </w:r>
            <w:r>
              <w:rPr>
                <w:rFonts w:hint="eastAsia" w:ascii="仿宋" w:hAnsi="仿宋" w:eastAsia="仿宋" w:cs="仿宋"/>
                <w:color w:val="auto"/>
                <w:sz w:val="24"/>
                <w:highlight w:val="none"/>
                <w:lang w:val="en-US" w:eastAsia="zh-CN"/>
              </w:rPr>
              <w:t>；</w:t>
            </w:r>
          </w:p>
          <w:p w14:paraId="7876762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1.8、彩色多普勒能量图及方向性能量图</w:t>
            </w:r>
            <w:r>
              <w:rPr>
                <w:rFonts w:hint="eastAsia" w:ascii="仿宋" w:hAnsi="仿宋" w:eastAsia="仿宋" w:cs="仿宋"/>
                <w:color w:val="auto"/>
                <w:sz w:val="24"/>
                <w:highlight w:val="none"/>
                <w:lang w:val="en-US" w:eastAsia="zh-CN"/>
              </w:rPr>
              <w:t>；</w:t>
            </w:r>
          </w:p>
          <w:p w14:paraId="2A62600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1.9、频谱多普勒成像单元（含脉冲多普勒模式和连续多普勒模式）</w:t>
            </w:r>
            <w:r>
              <w:rPr>
                <w:rFonts w:hint="eastAsia" w:ascii="仿宋" w:hAnsi="仿宋" w:eastAsia="仿宋" w:cs="仿宋"/>
                <w:color w:val="auto"/>
                <w:sz w:val="24"/>
                <w:highlight w:val="none"/>
                <w:lang w:val="en-US" w:eastAsia="zh-CN"/>
              </w:rPr>
              <w:t>；</w:t>
            </w:r>
          </w:p>
          <w:p w14:paraId="3CA30EA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1.10、空间复合成像技术</w:t>
            </w:r>
            <w:r>
              <w:rPr>
                <w:rFonts w:hint="eastAsia" w:ascii="仿宋" w:hAnsi="仿宋" w:eastAsia="仿宋" w:cs="仿宋"/>
                <w:color w:val="auto"/>
                <w:sz w:val="24"/>
                <w:highlight w:val="none"/>
                <w:lang w:val="en-US" w:eastAsia="zh-CN"/>
              </w:rPr>
              <w:t>；</w:t>
            </w:r>
          </w:p>
          <w:p w14:paraId="38B40E4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1.11、斑点噪声降低抑制技术，多级可调</w:t>
            </w:r>
            <w:r>
              <w:rPr>
                <w:rFonts w:hint="eastAsia" w:ascii="仿宋" w:hAnsi="仿宋" w:eastAsia="仿宋" w:cs="仿宋"/>
                <w:color w:val="auto"/>
                <w:sz w:val="24"/>
                <w:highlight w:val="none"/>
                <w:lang w:val="en-US" w:eastAsia="zh-CN"/>
              </w:rPr>
              <w:t>；</w:t>
            </w:r>
          </w:p>
          <w:p w14:paraId="0211039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1.12、一键图像优化技术</w:t>
            </w:r>
            <w:r>
              <w:rPr>
                <w:rFonts w:hint="eastAsia" w:ascii="仿宋" w:hAnsi="仿宋" w:eastAsia="仿宋" w:cs="仿宋"/>
                <w:color w:val="auto"/>
                <w:sz w:val="24"/>
                <w:highlight w:val="none"/>
                <w:lang w:val="en-US" w:eastAsia="zh-CN"/>
              </w:rPr>
              <w:t>；</w:t>
            </w:r>
          </w:p>
          <w:p w14:paraId="195765E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1.13、穿刺增强技术</w:t>
            </w:r>
            <w:r>
              <w:rPr>
                <w:rFonts w:hint="eastAsia" w:ascii="仿宋" w:hAnsi="仿宋" w:eastAsia="仿宋" w:cs="仿宋"/>
                <w:color w:val="auto"/>
                <w:sz w:val="24"/>
                <w:highlight w:val="none"/>
                <w:lang w:val="en-US" w:eastAsia="zh-CN"/>
              </w:rPr>
              <w:t>；</w:t>
            </w:r>
          </w:p>
          <w:p w14:paraId="5CA3B88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1.14、组织多普勒成像单元</w:t>
            </w:r>
            <w:r>
              <w:rPr>
                <w:rFonts w:hint="eastAsia" w:ascii="仿宋" w:hAnsi="仿宋" w:eastAsia="仿宋" w:cs="仿宋"/>
                <w:color w:val="auto"/>
                <w:sz w:val="24"/>
                <w:highlight w:val="none"/>
                <w:lang w:val="en-US" w:eastAsia="zh-CN"/>
              </w:rPr>
              <w:t>；</w:t>
            </w:r>
          </w:p>
          <w:p w14:paraId="7B5BE7F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1.15、具备血管内中膜前后壁自动测量功能</w:t>
            </w:r>
            <w:r>
              <w:rPr>
                <w:rFonts w:hint="eastAsia" w:ascii="仿宋" w:hAnsi="仿宋" w:eastAsia="仿宋" w:cs="仿宋"/>
                <w:color w:val="auto"/>
                <w:sz w:val="24"/>
                <w:highlight w:val="none"/>
                <w:lang w:val="en-US" w:eastAsia="zh-CN"/>
              </w:rPr>
              <w:t>；</w:t>
            </w:r>
          </w:p>
          <w:p w14:paraId="7F44F27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1.16、支持颈项透明层自动测量功能</w:t>
            </w:r>
            <w:r>
              <w:rPr>
                <w:rFonts w:hint="eastAsia" w:ascii="仿宋" w:hAnsi="仿宋" w:eastAsia="仿宋" w:cs="仿宋"/>
                <w:color w:val="auto"/>
                <w:sz w:val="24"/>
                <w:highlight w:val="none"/>
                <w:lang w:val="en-US" w:eastAsia="zh-CN"/>
              </w:rPr>
              <w:t>；</w:t>
            </w:r>
          </w:p>
          <w:p w14:paraId="75CA8C9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1.17、支持产科自动测量功能</w:t>
            </w:r>
            <w:r>
              <w:rPr>
                <w:rFonts w:hint="eastAsia" w:ascii="仿宋" w:hAnsi="仿宋" w:eastAsia="仿宋" w:cs="仿宋"/>
                <w:color w:val="auto"/>
                <w:sz w:val="24"/>
                <w:highlight w:val="none"/>
                <w:lang w:val="en-US" w:eastAsia="zh-CN"/>
              </w:rPr>
              <w:t>；</w:t>
            </w:r>
          </w:p>
          <w:p w14:paraId="267C706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1.18、具有一体化实时解剖M型技术，解剖线≥3条，且可独立调整角度</w:t>
            </w:r>
            <w:r>
              <w:rPr>
                <w:rFonts w:hint="eastAsia" w:ascii="仿宋" w:hAnsi="仿宋" w:eastAsia="仿宋" w:cs="仿宋"/>
                <w:color w:val="auto"/>
                <w:sz w:val="24"/>
                <w:highlight w:val="none"/>
                <w:lang w:val="en-US" w:eastAsia="zh-CN"/>
              </w:rPr>
              <w:t>；</w:t>
            </w:r>
          </w:p>
          <w:p w14:paraId="4AEF75B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1.19、具备梯形成像技术</w:t>
            </w:r>
            <w:r>
              <w:rPr>
                <w:rFonts w:hint="eastAsia" w:ascii="仿宋" w:hAnsi="仿宋" w:eastAsia="仿宋" w:cs="仿宋"/>
                <w:color w:val="auto"/>
                <w:sz w:val="24"/>
                <w:highlight w:val="none"/>
                <w:lang w:val="en-US" w:eastAsia="zh-CN"/>
              </w:rPr>
              <w:t>；</w:t>
            </w:r>
          </w:p>
          <w:p w14:paraId="624CAEF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1.20、组织特异性成像</w:t>
            </w:r>
            <w:r>
              <w:rPr>
                <w:rFonts w:hint="eastAsia" w:ascii="仿宋" w:hAnsi="仿宋" w:eastAsia="仿宋" w:cs="仿宋"/>
                <w:color w:val="auto"/>
                <w:sz w:val="24"/>
                <w:highlight w:val="none"/>
                <w:lang w:val="en-US" w:eastAsia="zh-CN"/>
              </w:rPr>
              <w:t>；</w:t>
            </w:r>
          </w:p>
          <w:p w14:paraId="0EDDC5A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1.21、支持图像放大，可放大至全屏（3档可调）</w:t>
            </w:r>
            <w:r>
              <w:rPr>
                <w:rFonts w:hint="eastAsia" w:ascii="仿宋" w:hAnsi="仿宋" w:eastAsia="仿宋" w:cs="仿宋"/>
                <w:color w:val="auto"/>
                <w:sz w:val="24"/>
                <w:highlight w:val="none"/>
                <w:lang w:val="en-US" w:eastAsia="zh-CN"/>
              </w:rPr>
              <w:t>；</w:t>
            </w:r>
          </w:p>
          <w:p w14:paraId="4489CF1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1.22、支持中文操作界面</w:t>
            </w:r>
            <w:r>
              <w:rPr>
                <w:rFonts w:hint="eastAsia" w:ascii="仿宋" w:hAnsi="仿宋" w:eastAsia="仿宋" w:cs="仿宋"/>
                <w:color w:val="auto"/>
                <w:sz w:val="24"/>
                <w:highlight w:val="none"/>
                <w:lang w:val="en-US" w:eastAsia="zh-CN"/>
              </w:rPr>
              <w:t>；</w:t>
            </w:r>
          </w:p>
          <w:p w14:paraId="657F1DA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1.23、支持弹性成像技术</w:t>
            </w:r>
            <w:r>
              <w:rPr>
                <w:rFonts w:hint="eastAsia" w:ascii="仿宋" w:hAnsi="仿宋" w:eastAsia="仿宋" w:cs="仿宋"/>
                <w:color w:val="auto"/>
                <w:sz w:val="24"/>
                <w:highlight w:val="none"/>
                <w:lang w:val="en-US" w:eastAsia="zh-CN"/>
              </w:rPr>
              <w:t>；</w:t>
            </w:r>
          </w:p>
          <w:p w14:paraId="3842FE9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1.24、具备教学助手功能，可提供扫查手法视图、扫查方法描述、标准超声示意图、解剖示意图、穿刺引导示意图、穿刺引导技巧、提示语。</w:t>
            </w:r>
          </w:p>
          <w:p w14:paraId="7086F68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p>
          <w:p w14:paraId="5B0FDEF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2、测量和分析：(B型、M型、频谱多普勒、彩色多普勒)</w:t>
            </w:r>
          </w:p>
          <w:p w14:paraId="6FABD35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2.1、基础测量软件包（具有深度，角度，周长，面积和体积测量）</w:t>
            </w:r>
            <w:r>
              <w:rPr>
                <w:rFonts w:hint="eastAsia" w:ascii="仿宋" w:hAnsi="仿宋" w:eastAsia="仿宋" w:cs="仿宋"/>
                <w:color w:val="auto"/>
                <w:sz w:val="24"/>
                <w:highlight w:val="none"/>
                <w:lang w:val="en-US" w:eastAsia="zh-CN"/>
              </w:rPr>
              <w:t>；</w:t>
            </w:r>
          </w:p>
          <w:p w14:paraId="77CE906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2.2、腹部测量软件包</w:t>
            </w:r>
            <w:r>
              <w:rPr>
                <w:rFonts w:hint="eastAsia" w:ascii="仿宋" w:hAnsi="仿宋" w:eastAsia="仿宋" w:cs="仿宋"/>
                <w:color w:val="auto"/>
                <w:sz w:val="24"/>
                <w:highlight w:val="none"/>
                <w:lang w:val="en-US" w:eastAsia="zh-CN"/>
              </w:rPr>
              <w:t>；</w:t>
            </w:r>
          </w:p>
          <w:p w14:paraId="489B82E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2.3、妇科测量软件包</w:t>
            </w:r>
            <w:r>
              <w:rPr>
                <w:rFonts w:hint="eastAsia" w:ascii="仿宋" w:hAnsi="仿宋" w:eastAsia="仿宋" w:cs="仿宋"/>
                <w:color w:val="auto"/>
                <w:sz w:val="24"/>
                <w:highlight w:val="none"/>
                <w:lang w:val="en-US" w:eastAsia="zh-CN"/>
              </w:rPr>
              <w:t>；</w:t>
            </w:r>
          </w:p>
          <w:p w14:paraId="7D3F087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2.4、产科测量软件包</w:t>
            </w:r>
            <w:r>
              <w:rPr>
                <w:rFonts w:hint="eastAsia" w:ascii="仿宋" w:hAnsi="仿宋" w:eastAsia="仿宋" w:cs="仿宋"/>
                <w:color w:val="auto"/>
                <w:sz w:val="24"/>
                <w:highlight w:val="none"/>
                <w:lang w:val="en-US" w:eastAsia="zh-CN"/>
              </w:rPr>
              <w:t>；</w:t>
            </w:r>
          </w:p>
          <w:p w14:paraId="4C04744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2.5、小器官测量软件包</w:t>
            </w:r>
            <w:r>
              <w:rPr>
                <w:rFonts w:hint="eastAsia" w:ascii="仿宋" w:hAnsi="仿宋" w:eastAsia="仿宋" w:cs="仿宋"/>
                <w:color w:val="auto"/>
                <w:sz w:val="24"/>
                <w:highlight w:val="none"/>
                <w:lang w:val="en-US" w:eastAsia="zh-CN"/>
              </w:rPr>
              <w:t>；</w:t>
            </w:r>
          </w:p>
          <w:p w14:paraId="3B79EA2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2.6、泌尿测量软件包</w:t>
            </w:r>
            <w:r>
              <w:rPr>
                <w:rFonts w:hint="eastAsia" w:ascii="仿宋" w:hAnsi="仿宋" w:eastAsia="仿宋" w:cs="仿宋"/>
                <w:color w:val="auto"/>
                <w:sz w:val="24"/>
                <w:highlight w:val="none"/>
                <w:lang w:val="en-US" w:eastAsia="zh-CN"/>
              </w:rPr>
              <w:t>；</w:t>
            </w:r>
          </w:p>
          <w:p w14:paraId="74E5210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2.7、血管测量软件包</w:t>
            </w:r>
            <w:r>
              <w:rPr>
                <w:rFonts w:hint="eastAsia" w:ascii="仿宋" w:hAnsi="仿宋" w:eastAsia="仿宋" w:cs="仿宋"/>
                <w:color w:val="auto"/>
                <w:sz w:val="24"/>
                <w:highlight w:val="none"/>
                <w:lang w:val="en-US" w:eastAsia="zh-CN"/>
              </w:rPr>
              <w:t>；</w:t>
            </w:r>
          </w:p>
          <w:p w14:paraId="69EC992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2.8、心脏测量软件包</w:t>
            </w:r>
            <w:r>
              <w:rPr>
                <w:rFonts w:hint="eastAsia" w:ascii="仿宋" w:hAnsi="仿宋" w:eastAsia="仿宋" w:cs="仿宋"/>
                <w:color w:val="auto"/>
                <w:sz w:val="24"/>
                <w:highlight w:val="none"/>
                <w:lang w:val="en-US" w:eastAsia="zh-CN"/>
              </w:rPr>
              <w:t>；</w:t>
            </w:r>
          </w:p>
          <w:p w14:paraId="2A2DCE0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2.9、儿科测量软件包。</w:t>
            </w:r>
          </w:p>
          <w:p w14:paraId="5D52EF3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p>
          <w:p w14:paraId="59DF74C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3、系统通用功能</w:t>
            </w:r>
          </w:p>
          <w:p w14:paraId="150E10E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3.1、固态硬盘512G</w:t>
            </w:r>
            <w:r>
              <w:rPr>
                <w:rFonts w:hint="eastAsia" w:ascii="仿宋" w:hAnsi="仿宋" w:eastAsia="仿宋" w:cs="仿宋"/>
                <w:color w:val="auto"/>
                <w:sz w:val="24"/>
                <w:highlight w:val="none"/>
                <w:lang w:val="en-US" w:eastAsia="zh-CN"/>
              </w:rPr>
              <w:t>；</w:t>
            </w:r>
          </w:p>
          <w:p w14:paraId="132FD0D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3.2、主机内置HDMI接口</w:t>
            </w:r>
            <w:r>
              <w:rPr>
                <w:rFonts w:hint="eastAsia" w:ascii="仿宋" w:hAnsi="仿宋" w:eastAsia="仿宋" w:cs="仿宋"/>
                <w:color w:val="auto"/>
                <w:sz w:val="24"/>
                <w:highlight w:val="none"/>
                <w:lang w:val="en-US" w:eastAsia="zh-CN"/>
              </w:rPr>
              <w:t>；</w:t>
            </w:r>
          </w:p>
          <w:p w14:paraId="52394DF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3.3、主机内置S-video接口</w:t>
            </w:r>
            <w:r>
              <w:rPr>
                <w:rFonts w:hint="eastAsia" w:ascii="仿宋" w:hAnsi="仿宋" w:eastAsia="仿宋" w:cs="仿宋"/>
                <w:color w:val="auto"/>
                <w:sz w:val="24"/>
                <w:highlight w:val="none"/>
                <w:lang w:val="en-US" w:eastAsia="zh-CN"/>
              </w:rPr>
              <w:t>；</w:t>
            </w:r>
          </w:p>
          <w:p w14:paraId="1A24448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3.4、主机内置USB3.0接口</w:t>
            </w:r>
            <w:r>
              <w:rPr>
                <w:rFonts w:hint="eastAsia" w:ascii="仿宋" w:hAnsi="仿宋" w:eastAsia="仿宋" w:cs="仿宋"/>
                <w:color w:val="auto"/>
                <w:sz w:val="24"/>
                <w:highlight w:val="none"/>
                <w:lang w:val="en-US" w:eastAsia="zh-CN"/>
              </w:rPr>
              <w:t>；</w:t>
            </w:r>
          </w:p>
          <w:p w14:paraId="032C0FF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3.5、可支持无线网络连接</w:t>
            </w:r>
            <w:r>
              <w:rPr>
                <w:rFonts w:hint="eastAsia" w:ascii="仿宋" w:hAnsi="仿宋" w:eastAsia="仿宋" w:cs="仿宋"/>
                <w:color w:val="auto"/>
                <w:sz w:val="24"/>
                <w:highlight w:val="none"/>
                <w:lang w:val="en-US" w:eastAsia="zh-CN"/>
              </w:rPr>
              <w:t>；</w:t>
            </w:r>
          </w:p>
          <w:p w14:paraId="7B11CDB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★3.6、主机内置双电池仓设计，可随时扩充电池容量。</w:t>
            </w:r>
          </w:p>
          <w:p w14:paraId="29F3D65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p>
          <w:p w14:paraId="37E6955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探头规格</w:t>
            </w:r>
          </w:p>
          <w:p w14:paraId="769135A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.1、性能：超宽频带变频探头，频率范围1-17MHz，3档基波，2档谐波</w:t>
            </w:r>
            <w:r>
              <w:rPr>
                <w:rFonts w:hint="eastAsia" w:ascii="仿宋" w:hAnsi="仿宋" w:eastAsia="仿宋" w:cs="仿宋"/>
                <w:color w:val="auto"/>
                <w:sz w:val="24"/>
                <w:highlight w:val="none"/>
                <w:lang w:val="en-US" w:eastAsia="zh-CN"/>
              </w:rPr>
              <w:t>；</w:t>
            </w:r>
          </w:p>
          <w:p w14:paraId="2ECD03C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.2、可支持单晶体探头，探头频率：1-6MHz</w:t>
            </w:r>
            <w:r>
              <w:rPr>
                <w:rFonts w:hint="eastAsia" w:ascii="仿宋" w:hAnsi="仿宋" w:eastAsia="仿宋" w:cs="仿宋"/>
                <w:color w:val="auto"/>
                <w:sz w:val="24"/>
                <w:highlight w:val="none"/>
                <w:lang w:val="en-US" w:eastAsia="zh-CN"/>
              </w:rPr>
              <w:t>；</w:t>
            </w:r>
          </w:p>
          <w:p w14:paraId="472A0D5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.3、可支持大角度腔内探头，探头频率：3-10MHz，扫查角度≥200度</w:t>
            </w:r>
            <w:r>
              <w:rPr>
                <w:rFonts w:hint="eastAsia" w:ascii="仿宋" w:hAnsi="仿宋" w:eastAsia="仿宋" w:cs="仿宋"/>
                <w:color w:val="auto"/>
                <w:sz w:val="24"/>
                <w:highlight w:val="none"/>
                <w:lang w:val="en-US" w:eastAsia="zh-CN"/>
              </w:rPr>
              <w:t>；</w:t>
            </w:r>
          </w:p>
          <w:p w14:paraId="0262B5F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.4、配腹部探头一把，浅表探头一把</w:t>
            </w:r>
            <w:r>
              <w:rPr>
                <w:rFonts w:hint="eastAsia" w:ascii="仿宋" w:hAnsi="仿宋" w:eastAsia="仿宋" w:cs="仿宋"/>
                <w:color w:val="auto"/>
                <w:sz w:val="24"/>
                <w:highlight w:val="none"/>
                <w:lang w:val="en-US" w:eastAsia="zh-CN"/>
              </w:rPr>
              <w:t>；</w:t>
            </w:r>
          </w:p>
          <w:p w14:paraId="677A33A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.5、可实时显示穿刺针进针深度。</w:t>
            </w:r>
          </w:p>
          <w:p w14:paraId="739615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p>
          <w:p w14:paraId="00D7BCB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、二维灰阶显像主要参数</w:t>
            </w:r>
          </w:p>
          <w:p w14:paraId="097401D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.1、数字化波束形成器：全程动态聚焦</w:t>
            </w:r>
            <w:r>
              <w:rPr>
                <w:rFonts w:hint="eastAsia" w:ascii="仿宋" w:hAnsi="仿宋" w:eastAsia="仿宋" w:cs="仿宋"/>
                <w:color w:val="auto"/>
                <w:sz w:val="24"/>
                <w:highlight w:val="none"/>
                <w:lang w:val="en-US" w:eastAsia="zh-CN"/>
              </w:rPr>
              <w:t>；</w:t>
            </w:r>
          </w:p>
          <w:p w14:paraId="66C147B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.2、预设条件：针对不同的检查脏器，具备最佳化图像的出场设置检查条件，减少操作时的调节，及常用所需的外部调节及组合调节</w:t>
            </w:r>
            <w:r>
              <w:rPr>
                <w:rFonts w:hint="eastAsia" w:ascii="仿宋" w:hAnsi="仿宋" w:eastAsia="仿宋" w:cs="仿宋"/>
                <w:color w:val="auto"/>
                <w:sz w:val="24"/>
                <w:highlight w:val="none"/>
                <w:lang w:val="en-US" w:eastAsia="zh-CN"/>
              </w:rPr>
              <w:t>；</w:t>
            </w:r>
          </w:p>
          <w:p w14:paraId="6CD5F51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.3、支持TGC调节，TGC≥8段，支持LGC调节，LGC≥8段</w:t>
            </w:r>
            <w:r>
              <w:rPr>
                <w:rFonts w:hint="eastAsia" w:ascii="仿宋" w:hAnsi="仿宋" w:eastAsia="仿宋" w:cs="仿宋"/>
                <w:color w:val="auto"/>
                <w:sz w:val="24"/>
                <w:highlight w:val="none"/>
                <w:lang w:val="en-US" w:eastAsia="zh-CN"/>
              </w:rPr>
              <w:t>；</w:t>
            </w:r>
          </w:p>
          <w:p w14:paraId="5698BC2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、显示深度≥45cm（</w:t>
            </w:r>
            <w:r>
              <w:rPr>
                <w:rFonts w:hint="eastAsia" w:ascii="仿宋" w:hAnsi="仿宋" w:eastAsia="仿宋" w:cs="仿宋"/>
                <w:b/>
                <w:bCs/>
                <w:color w:val="auto"/>
                <w:sz w:val="24"/>
                <w:highlight w:val="none"/>
                <w:lang w:val="en-US" w:eastAsia="zh-CN"/>
              </w:rPr>
              <w:t>投标文件中</w:t>
            </w:r>
            <w:r>
              <w:rPr>
                <w:rFonts w:hint="eastAsia" w:ascii="仿宋" w:hAnsi="仿宋" w:eastAsia="仿宋" w:cs="仿宋"/>
                <w:b/>
                <w:bCs/>
                <w:color w:val="auto"/>
                <w:sz w:val="24"/>
                <w:highlight w:val="none"/>
                <w:lang w:eastAsia="zh-CN"/>
              </w:rPr>
              <w:t>提供</w:t>
            </w:r>
            <w:r>
              <w:rPr>
                <w:rFonts w:hint="eastAsia" w:ascii="仿宋" w:hAnsi="仿宋" w:eastAsia="仿宋" w:cs="仿宋"/>
                <w:b/>
                <w:bCs/>
                <w:color w:val="auto"/>
                <w:sz w:val="24"/>
                <w:highlight w:val="none"/>
                <w:lang w:val="en-US" w:eastAsia="zh-CN"/>
              </w:rPr>
              <w:t>技术参数实物</w:t>
            </w:r>
            <w:r>
              <w:rPr>
                <w:rFonts w:hint="eastAsia" w:ascii="仿宋" w:hAnsi="仿宋" w:eastAsia="仿宋" w:cs="仿宋"/>
                <w:b/>
                <w:bCs/>
                <w:color w:val="auto"/>
                <w:sz w:val="24"/>
                <w:highlight w:val="none"/>
                <w:lang w:eastAsia="zh-CN"/>
              </w:rPr>
              <w:t>证明图片</w:t>
            </w:r>
            <w:r>
              <w:rPr>
                <w:rFonts w:hint="eastAsia" w:ascii="仿宋" w:hAnsi="仿宋" w:eastAsia="仿宋" w:cs="仿宋"/>
                <w:color w:val="auto"/>
                <w:sz w:val="24"/>
                <w:highlight w:val="none"/>
                <w:lang w:eastAsia="zh-CN"/>
              </w:rPr>
              <w:t>）。</w:t>
            </w:r>
          </w:p>
          <w:p w14:paraId="4057DFE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p>
          <w:p w14:paraId="0D50DDF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、频谱多普勒：</w:t>
            </w:r>
          </w:p>
          <w:p w14:paraId="5807831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.1、成像模式：脉冲多普勒PW、连续多普勒CW</w:t>
            </w:r>
            <w:r>
              <w:rPr>
                <w:rFonts w:hint="eastAsia" w:ascii="仿宋" w:hAnsi="仿宋" w:eastAsia="仿宋" w:cs="仿宋"/>
                <w:color w:val="auto"/>
                <w:sz w:val="24"/>
                <w:highlight w:val="none"/>
                <w:lang w:val="en-US" w:eastAsia="zh-CN"/>
              </w:rPr>
              <w:t>；</w:t>
            </w:r>
          </w:p>
          <w:p w14:paraId="28D2FFA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.2、实时动态频谱多普勒显示及多参数分析系统，实现频率自动描记</w:t>
            </w:r>
            <w:r>
              <w:rPr>
                <w:rFonts w:hint="eastAsia" w:ascii="仿宋" w:hAnsi="仿宋" w:eastAsia="仿宋" w:cs="仿宋"/>
                <w:color w:val="auto"/>
                <w:sz w:val="24"/>
                <w:highlight w:val="none"/>
                <w:lang w:val="en-US" w:eastAsia="zh-CN"/>
              </w:rPr>
              <w:t>；</w:t>
            </w:r>
          </w:p>
          <w:p w14:paraId="1998993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.3、★取样宽度及位置范围：宽度0.05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4.00 cm</w:t>
            </w:r>
            <w:r>
              <w:rPr>
                <w:rFonts w:hint="eastAsia" w:ascii="仿宋" w:hAnsi="仿宋" w:eastAsia="仿宋" w:cs="仿宋"/>
                <w:color w:val="auto"/>
                <w:sz w:val="24"/>
                <w:highlight w:val="none"/>
                <w:lang w:val="en-US" w:eastAsia="zh-CN"/>
              </w:rPr>
              <w:t>；</w:t>
            </w:r>
          </w:p>
          <w:p w14:paraId="537DA26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、最大测量速度：PW：≥20m/s；CW：≥72m/s；最小测量速度：≤2mm/s。</w:t>
            </w:r>
          </w:p>
          <w:p w14:paraId="26D10AF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p>
          <w:p w14:paraId="37EBF80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、彩色多普勒</w:t>
            </w:r>
          </w:p>
          <w:p w14:paraId="1CBB10C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.1、彩色增强功能：能量图PDI、方向性能量图 DPDI</w:t>
            </w:r>
            <w:r>
              <w:rPr>
                <w:rFonts w:hint="eastAsia" w:ascii="仿宋" w:hAnsi="仿宋" w:eastAsia="仿宋" w:cs="仿宋"/>
                <w:color w:val="auto"/>
                <w:sz w:val="24"/>
                <w:highlight w:val="none"/>
                <w:lang w:val="en-US" w:eastAsia="zh-CN"/>
              </w:rPr>
              <w:t>；</w:t>
            </w:r>
          </w:p>
          <w:p w14:paraId="71C30FB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.2、B/C双实时模式</w:t>
            </w:r>
            <w:r>
              <w:rPr>
                <w:rFonts w:hint="eastAsia" w:ascii="仿宋" w:hAnsi="仿宋" w:eastAsia="仿宋" w:cs="仿宋"/>
                <w:color w:val="auto"/>
                <w:sz w:val="24"/>
                <w:highlight w:val="none"/>
                <w:lang w:val="en-US" w:eastAsia="zh-CN"/>
              </w:rPr>
              <w:t>；</w:t>
            </w:r>
          </w:p>
          <w:p w14:paraId="01063D0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.3、支持三同步功能</w:t>
            </w:r>
            <w:r>
              <w:rPr>
                <w:rFonts w:hint="eastAsia" w:ascii="仿宋" w:hAnsi="仿宋" w:eastAsia="仿宋" w:cs="仿宋"/>
                <w:color w:val="auto"/>
                <w:sz w:val="24"/>
                <w:highlight w:val="none"/>
                <w:lang w:val="en-US" w:eastAsia="zh-CN"/>
              </w:rPr>
              <w:t>；</w:t>
            </w:r>
          </w:p>
          <w:p w14:paraId="5455167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.4、增益≥100dB，步进1dB</w:t>
            </w:r>
            <w:r>
              <w:rPr>
                <w:rFonts w:hint="eastAsia" w:ascii="仿宋" w:hAnsi="仿宋" w:eastAsia="仿宋" w:cs="仿宋"/>
                <w:color w:val="auto"/>
                <w:sz w:val="24"/>
                <w:highlight w:val="none"/>
                <w:lang w:val="en-US" w:eastAsia="zh-CN"/>
              </w:rPr>
              <w:t>；</w:t>
            </w:r>
          </w:p>
          <w:p w14:paraId="78A8895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.5、线阵探头彩色取样框偏转≥±20°</w:t>
            </w:r>
            <w:r>
              <w:rPr>
                <w:rFonts w:hint="eastAsia" w:ascii="仿宋" w:hAnsi="仿宋" w:eastAsia="仿宋" w:cs="仿宋"/>
                <w:color w:val="auto"/>
                <w:sz w:val="24"/>
                <w:highlight w:val="none"/>
                <w:lang w:val="en-US" w:eastAsia="zh-CN"/>
              </w:rPr>
              <w:t>；</w:t>
            </w:r>
          </w:p>
          <w:p w14:paraId="06AE67C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.6、平滑≥3档，可视可调</w:t>
            </w:r>
            <w:r>
              <w:rPr>
                <w:rFonts w:hint="eastAsia" w:ascii="仿宋" w:hAnsi="仿宋" w:eastAsia="仿宋" w:cs="仿宋"/>
                <w:color w:val="auto"/>
                <w:sz w:val="24"/>
                <w:highlight w:val="none"/>
                <w:lang w:val="en-US" w:eastAsia="zh-CN"/>
              </w:rPr>
              <w:t>。</w:t>
            </w:r>
          </w:p>
          <w:p w14:paraId="5DE36E1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p>
          <w:p w14:paraId="11D027D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、浏览和后处理功能</w:t>
            </w:r>
          </w:p>
          <w:p w14:paraId="77EC47F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.1、支持6档速度自动播放</w:t>
            </w:r>
            <w:r>
              <w:rPr>
                <w:rFonts w:hint="eastAsia" w:ascii="仿宋" w:hAnsi="仿宋" w:eastAsia="仿宋" w:cs="仿宋"/>
                <w:color w:val="auto"/>
                <w:sz w:val="24"/>
                <w:highlight w:val="none"/>
                <w:lang w:val="en-US" w:eastAsia="zh-CN"/>
              </w:rPr>
              <w:t>；</w:t>
            </w:r>
          </w:p>
          <w:p w14:paraId="284E3B7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.2、自定义回放范围（选择回放的起始帧和结束帧）</w:t>
            </w:r>
            <w:r>
              <w:rPr>
                <w:rFonts w:hint="eastAsia" w:ascii="仿宋" w:hAnsi="仿宋" w:eastAsia="仿宋" w:cs="仿宋"/>
                <w:color w:val="auto"/>
                <w:sz w:val="24"/>
                <w:highlight w:val="none"/>
                <w:lang w:val="en-US" w:eastAsia="zh-CN"/>
              </w:rPr>
              <w:t>；</w:t>
            </w:r>
          </w:p>
          <w:p w14:paraId="7C9DD37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.3、最大存储帧数：B模式10000帧，Color模式3000帧，M模式180秒，PW/CW模式240秒</w:t>
            </w:r>
            <w:r>
              <w:rPr>
                <w:rFonts w:hint="eastAsia" w:ascii="仿宋" w:hAnsi="仿宋" w:eastAsia="仿宋" w:cs="仿宋"/>
                <w:color w:val="auto"/>
                <w:sz w:val="24"/>
                <w:highlight w:val="none"/>
                <w:lang w:val="en-US" w:eastAsia="zh-CN"/>
              </w:rPr>
              <w:t>；</w:t>
            </w:r>
          </w:p>
          <w:p w14:paraId="2BE4C67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.4、所有图像和电影以原始数据格式存储在本地磁盘，浏览状态下，支持以下后处理功能：调节图像参数、测量、注释、体标、存储静态图片/电影片段</w:t>
            </w:r>
            <w:r>
              <w:rPr>
                <w:rFonts w:hint="eastAsia" w:ascii="仿宋" w:hAnsi="仿宋" w:eastAsia="仿宋" w:cs="仿宋"/>
                <w:color w:val="auto"/>
                <w:sz w:val="24"/>
                <w:highlight w:val="none"/>
                <w:lang w:val="en-US" w:eastAsia="zh-CN"/>
              </w:rPr>
              <w:t>；</w:t>
            </w:r>
          </w:p>
          <w:p w14:paraId="5F8132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.5、可选与彩超同一品牌医学影像存储传输与信息管理系统，即超声云PACS，可以编辑打印图文报告、院内会诊、远程会诊、云课堂、云端海量储存病例、云检索、云预约等功能。</w:t>
            </w:r>
          </w:p>
          <w:p w14:paraId="7BF1BF0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 xml:space="preserve">.6 </w:t>
            </w:r>
            <w:r>
              <w:rPr>
                <w:rFonts w:hint="eastAsia" w:ascii="仿宋" w:hAnsi="仿宋" w:eastAsia="仿宋" w:cs="仿宋"/>
                <w:b/>
                <w:bCs/>
                <w:color w:val="auto"/>
                <w:sz w:val="24"/>
                <w:highlight w:val="none"/>
                <w:lang w:val="en-US" w:eastAsia="zh-CN"/>
              </w:rPr>
              <w:t>投标文件中提供</w:t>
            </w:r>
            <w:r>
              <w:rPr>
                <w:rFonts w:hint="eastAsia" w:ascii="仿宋" w:hAnsi="仿宋" w:eastAsia="仿宋" w:cs="仿宋"/>
                <w:b/>
                <w:bCs/>
                <w:color w:val="auto"/>
                <w:sz w:val="24"/>
                <w:highlight w:val="none"/>
                <w:lang w:eastAsia="zh-CN"/>
              </w:rPr>
              <w:t>影像云产品著作权登记证书</w:t>
            </w:r>
            <w:r>
              <w:rPr>
                <w:rFonts w:hint="eastAsia" w:ascii="仿宋" w:hAnsi="仿宋" w:eastAsia="仿宋" w:cs="仿宋"/>
                <w:b/>
                <w:bCs/>
                <w:color w:val="auto"/>
                <w:sz w:val="24"/>
                <w:highlight w:val="none"/>
                <w:lang w:val="en-US" w:eastAsia="zh-CN"/>
              </w:rPr>
              <w:t>复印件及</w:t>
            </w:r>
            <w:r>
              <w:rPr>
                <w:rFonts w:hint="eastAsia" w:ascii="仿宋" w:hAnsi="仿宋" w:eastAsia="仿宋" w:cs="仿宋"/>
                <w:b/>
                <w:bCs/>
                <w:color w:val="auto"/>
                <w:sz w:val="24"/>
                <w:highlight w:val="none"/>
                <w:lang w:eastAsia="zh-CN"/>
              </w:rPr>
              <w:t>影像云产品国家级安全认证证书</w:t>
            </w:r>
            <w:r>
              <w:rPr>
                <w:rFonts w:hint="eastAsia" w:ascii="仿宋" w:hAnsi="仿宋" w:eastAsia="仿宋" w:cs="仿宋"/>
                <w:b/>
                <w:bCs/>
                <w:color w:val="auto"/>
                <w:sz w:val="24"/>
                <w:highlight w:val="none"/>
                <w:lang w:val="en-US" w:eastAsia="zh-CN"/>
              </w:rPr>
              <w:t>复印件。</w:t>
            </w:r>
          </w:p>
        </w:tc>
        <w:tc>
          <w:tcPr>
            <w:tcW w:w="712" w:type="dxa"/>
            <w:tcBorders>
              <w:top w:val="single" w:color="auto" w:sz="4" w:space="0"/>
              <w:left w:val="single" w:color="auto" w:sz="4" w:space="0"/>
              <w:bottom w:val="single" w:color="auto" w:sz="4" w:space="0"/>
              <w:right w:val="single" w:color="auto" w:sz="4" w:space="0"/>
            </w:tcBorders>
            <w:vAlign w:val="center"/>
          </w:tcPr>
          <w:p w14:paraId="6C9943BF">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14:paraId="255D1A1B">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14:paraId="72313908">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25.00</w:t>
            </w:r>
          </w:p>
        </w:tc>
      </w:tr>
      <w:tr w14:paraId="747E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14:paraId="2C1895DF">
            <w:pPr>
              <w:spacing w:line="460" w:lineRule="exact"/>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核心产品：本</w:t>
            </w:r>
            <w:r>
              <w:rPr>
                <w:rFonts w:hint="eastAsia" w:ascii="仿宋" w:hAnsi="仿宋" w:eastAsia="仿宋" w:cs="仿宋"/>
                <w:b/>
                <w:color w:val="auto"/>
                <w:sz w:val="24"/>
                <w:highlight w:val="none"/>
                <w:lang w:val="en-US" w:eastAsia="zh-CN"/>
              </w:rPr>
              <w:t>分标</w:t>
            </w:r>
            <w:r>
              <w:rPr>
                <w:rFonts w:hint="eastAsia" w:ascii="仿宋" w:hAnsi="仿宋" w:eastAsia="仿宋" w:cs="仿宋"/>
                <w:b/>
                <w:color w:val="auto"/>
                <w:sz w:val="24"/>
                <w:highlight w:val="none"/>
              </w:rPr>
              <w:t>核心产品为第</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u w:val="single"/>
                <w:lang w:val="en-US" w:eastAsia="zh-CN"/>
              </w:rPr>
              <w:t>2</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rPr>
              <w:t>项标的</w:t>
            </w:r>
            <w:r>
              <w:rPr>
                <w:rFonts w:hint="eastAsia" w:ascii="仿宋" w:hAnsi="仿宋" w:eastAsia="仿宋" w:cs="仿宋"/>
                <w:b/>
                <w:color w:val="auto"/>
                <w:sz w:val="24"/>
                <w:highlight w:val="none"/>
                <w:u w:val="single"/>
              </w:rPr>
              <w:t xml:space="preserve"> “便携式超声机” </w:t>
            </w:r>
            <w:r>
              <w:rPr>
                <w:rFonts w:hint="eastAsia" w:ascii="仿宋" w:hAnsi="仿宋" w:eastAsia="仿宋" w:cs="仿宋"/>
                <w:b/>
                <w:color w:val="auto"/>
                <w:sz w:val="24"/>
                <w:highlight w:val="none"/>
              </w:rPr>
              <w:t>。</w:t>
            </w:r>
          </w:p>
        </w:tc>
      </w:tr>
      <w:tr w14:paraId="0E8D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14:paraId="1C7EE3CF">
            <w:pPr>
              <w:spacing w:line="46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二、商务要求</w:t>
            </w:r>
          </w:p>
        </w:tc>
      </w:tr>
      <w:tr w14:paraId="7538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3"/>
            <w:vAlign w:val="center"/>
          </w:tcPr>
          <w:p w14:paraId="36DB8C2E">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免费</w:t>
            </w:r>
            <w:r>
              <w:rPr>
                <w:rFonts w:hint="eastAsia" w:ascii="仿宋" w:hAnsi="仿宋" w:eastAsia="仿宋" w:cs="仿宋"/>
                <w:b/>
                <w:color w:val="auto"/>
                <w:kern w:val="0"/>
                <w:sz w:val="24"/>
                <w:highlight w:val="none"/>
              </w:rPr>
              <w:t>保修期</w:t>
            </w:r>
          </w:p>
        </w:tc>
        <w:tc>
          <w:tcPr>
            <w:tcW w:w="8120" w:type="dxa"/>
            <w:gridSpan w:val="4"/>
            <w:vAlign w:val="center"/>
          </w:tcPr>
          <w:p w14:paraId="7FDCC32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1、本项目全部标的设备的免费保修期自交货验收合格之日起不少于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年，并按国家有关产品“三包”规定执行“三包”。产品在免费保修期内出现故障的，免费保修期时间相应顺延。</w:t>
            </w:r>
          </w:p>
        </w:tc>
      </w:tr>
      <w:tr w14:paraId="6A7F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3"/>
            <w:vAlign w:val="center"/>
          </w:tcPr>
          <w:p w14:paraId="1384C897">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售后服务要求</w:t>
            </w:r>
          </w:p>
        </w:tc>
        <w:tc>
          <w:tcPr>
            <w:tcW w:w="8120" w:type="dxa"/>
            <w:gridSpan w:val="4"/>
            <w:vAlign w:val="center"/>
          </w:tcPr>
          <w:p w14:paraId="4FD64B0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一、总体要求</w:t>
            </w:r>
          </w:p>
          <w:p w14:paraId="632B813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1、免费送货上门、免费安装调试合格，免费培训采购人相关工作人员能熟练使用，提供产品终身免费上门维修服务。</w:t>
            </w:r>
          </w:p>
          <w:p w14:paraId="26D46C0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2、在免费保修期内因产品本身的质量问题发生故障，中标供应商应负责免费修理和更换零部件。对达不到技术要求者，根据实际情况，经双方协商，可按以下办法处理：</w:t>
            </w:r>
          </w:p>
          <w:p w14:paraId="4683702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（1）更换：由中标供应商承担所有发生的全部费用。</w:t>
            </w:r>
          </w:p>
          <w:p w14:paraId="0879574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（2）贬值处理：由采购人、中标供应商双方合议定价。</w:t>
            </w:r>
          </w:p>
          <w:p w14:paraId="051C55B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（3）退货处理：中标供应商应退还采购人支付的合同款，同时应承担该货物的直接费用（运输、保险、检验、贷款利息及银行手续费等）。</w:t>
            </w:r>
          </w:p>
          <w:p w14:paraId="52A6359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3、免费保修期内定期上门保养、设备故障时提供上门维修。保修期内在使用过程中若产品发生质量问题或故障，在接到采购人通知后厂家工程师提供</w:t>
            </w:r>
            <w:r>
              <w:rPr>
                <w:rFonts w:hint="eastAsia" w:ascii="仿宋" w:hAnsi="仿宋" w:eastAsia="仿宋" w:cs="仿宋"/>
                <w:color w:val="auto"/>
                <w:kern w:val="0"/>
                <w:sz w:val="24"/>
                <w:highlight w:val="none"/>
                <w:u w:val="single"/>
              </w:rPr>
              <w:t xml:space="preserve">    24</w:t>
            </w:r>
            <w:r>
              <w:rPr>
                <w:rFonts w:hint="eastAsia" w:ascii="仿宋" w:hAnsi="仿宋" w:eastAsia="仿宋" w:cs="仿宋"/>
                <w:color w:val="auto"/>
                <w:kern w:val="0"/>
                <w:sz w:val="24"/>
                <w:highlight w:val="none"/>
              </w:rPr>
              <w:t>小时在线服务。如需更换配件，应当在</w:t>
            </w:r>
            <w:r>
              <w:rPr>
                <w:rFonts w:hint="eastAsia" w:ascii="仿宋" w:hAnsi="仿宋" w:eastAsia="仿宋" w:cs="仿宋"/>
                <w:color w:val="auto"/>
                <w:kern w:val="0"/>
                <w:sz w:val="24"/>
                <w:highlight w:val="none"/>
                <w:u w:val="single"/>
              </w:rPr>
              <w:t xml:space="preserve">  48  </w:t>
            </w:r>
            <w:r>
              <w:rPr>
                <w:rFonts w:hint="eastAsia" w:ascii="仿宋" w:hAnsi="仿宋" w:eastAsia="仿宋" w:cs="仿宋"/>
                <w:color w:val="auto"/>
                <w:kern w:val="0"/>
                <w:sz w:val="24"/>
                <w:highlight w:val="none"/>
              </w:rPr>
              <w:t>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14:paraId="2DC38D5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4、若产品自带软件的，则须提供免费保修期内提供软件升级服务。</w:t>
            </w:r>
          </w:p>
          <w:p w14:paraId="131A3BE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如将设备运离采购人处进行维修，须事先征得采购人同意，并办理书面移交手续。免费保修期内厂家应每年对设备进行不少于1次的巡回检修，并出具检修报告。由设备本身原因产生的事故、纠纷、安全事故等由中标供应商负责。</w:t>
            </w:r>
          </w:p>
          <w:p w14:paraId="76D2D1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6、在医疗设备使用年限之内，按要求需要对设备进行的检测项目，检测所产生的相关费用由成交供应商负责。</w:t>
            </w:r>
          </w:p>
          <w:p w14:paraId="1AB8CD9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7、设备进入医院后需与采购人信息系统连接的，开通端口及连接所需花费的费用由成交供应商承担。</w:t>
            </w:r>
          </w:p>
        </w:tc>
      </w:tr>
      <w:tr w14:paraId="4B94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6C145738">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★交付时间</w:t>
            </w:r>
          </w:p>
        </w:tc>
        <w:tc>
          <w:tcPr>
            <w:tcW w:w="8120" w:type="dxa"/>
            <w:gridSpan w:val="4"/>
          </w:tcPr>
          <w:p w14:paraId="72C8FFEA">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30</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个日历日内，安装调试完毕并交付使用。</w:t>
            </w:r>
          </w:p>
        </w:tc>
      </w:tr>
      <w:tr w14:paraId="0427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3"/>
            <w:vAlign w:val="center"/>
          </w:tcPr>
          <w:p w14:paraId="4FE8A6AD">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交付地点</w:t>
            </w:r>
          </w:p>
        </w:tc>
        <w:tc>
          <w:tcPr>
            <w:tcW w:w="8120" w:type="dxa"/>
            <w:gridSpan w:val="4"/>
          </w:tcPr>
          <w:p w14:paraId="62A3A633">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采购人指定地点。</w:t>
            </w:r>
          </w:p>
        </w:tc>
      </w:tr>
      <w:tr w14:paraId="7ED1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0F85409E">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★付款方式</w:t>
            </w:r>
          </w:p>
        </w:tc>
        <w:tc>
          <w:tcPr>
            <w:tcW w:w="8120" w:type="dxa"/>
            <w:gridSpan w:val="4"/>
            <w:vAlign w:val="center"/>
          </w:tcPr>
          <w:p w14:paraId="2E9BA4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设备安装调试并经采购人验收合格后，中标供应商开具足额发票给采购人，采购人收到发票后</w:t>
            </w:r>
            <w:r>
              <w:rPr>
                <w:rFonts w:hint="eastAsia" w:ascii="仿宋" w:hAnsi="仿宋" w:eastAsia="仿宋" w:cs="仿宋"/>
                <w:color w:val="auto"/>
                <w:kern w:val="0"/>
                <w:sz w:val="24"/>
                <w:highlight w:val="none"/>
                <w:lang w:val="en-US" w:eastAsia="zh-CN"/>
              </w:rPr>
              <w:t>15个工作日内支付</w:t>
            </w:r>
            <w:r>
              <w:rPr>
                <w:rFonts w:hint="eastAsia" w:ascii="仿宋" w:hAnsi="仿宋" w:eastAsia="仿宋" w:cs="仿宋"/>
                <w:bCs/>
                <w:color w:val="auto"/>
                <w:sz w:val="24"/>
                <w:szCs w:val="24"/>
                <w:highlight w:val="none"/>
              </w:rPr>
              <w:t>合同总金额的100%（无息）。</w:t>
            </w:r>
          </w:p>
        </w:tc>
      </w:tr>
      <w:tr w14:paraId="7510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56304D83">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包装和运输</w:t>
            </w:r>
          </w:p>
        </w:tc>
        <w:tc>
          <w:tcPr>
            <w:tcW w:w="8120" w:type="dxa"/>
            <w:gridSpan w:val="4"/>
            <w:vAlign w:val="center"/>
          </w:tcPr>
          <w:p w14:paraId="3E94DAB7">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1.原厂原包装，包装完好完整、无破损、未开封。</w:t>
            </w:r>
          </w:p>
          <w:p w14:paraId="4BFB08D5">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2.包装及运输方式应综合考虑运输距离、防潮、防震、防锈和防破损装卸等要求。</w:t>
            </w:r>
          </w:p>
          <w:p w14:paraId="3D911E3A">
            <w:pPr>
              <w:keepNext w:val="0"/>
              <w:keepLines w:val="0"/>
              <w:pageBreakBefore w:val="0"/>
              <w:widowControl w:val="0"/>
              <w:kinsoku/>
              <w:wordWrap/>
              <w:overflowPunct/>
              <w:topLinePunct w:val="0"/>
              <w:autoSpaceDE/>
              <w:autoSpaceDN/>
              <w:bidi w:val="0"/>
              <w:adjustRightInd w:val="0"/>
              <w:snapToGrid w:val="0"/>
              <w:spacing w:line="3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3.国家对包装及运输有相关强制性标准或要求的，中标供应商应当执行。</w:t>
            </w:r>
          </w:p>
          <w:p w14:paraId="306494FE">
            <w:pPr>
              <w:keepNext w:val="0"/>
              <w:keepLines w:val="0"/>
              <w:pageBreakBefore w:val="0"/>
              <w:widowControl w:val="0"/>
              <w:kinsoku/>
              <w:wordWrap/>
              <w:overflowPunct/>
              <w:topLinePunct w:val="0"/>
              <w:autoSpaceDE/>
              <w:autoSpaceDN/>
              <w:bidi w:val="0"/>
              <w:spacing w:line="3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4.产品（含包装）运抵采购人指定交付地点前发生损坏、丢失等全部风险和责任均由中标供应商自行承担。</w:t>
            </w:r>
          </w:p>
        </w:tc>
      </w:tr>
      <w:tr w14:paraId="4F03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3"/>
            <w:vAlign w:val="center"/>
          </w:tcPr>
          <w:p w14:paraId="1F191F43">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保险</w:t>
            </w:r>
          </w:p>
        </w:tc>
        <w:tc>
          <w:tcPr>
            <w:tcW w:w="8120" w:type="dxa"/>
            <w:gridSpan w:val="4"/>
            <w:vAlign w:val="center"/>
          </w:tcPr>
          <w:p w14:paraId="12342CBE">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本项目执行中相关的一切税费、保险均由供应商自行负担。</w:t>
            </w:r>
          </w:p>
        </w:tc>
      </w:tr>
      <w:tr w14:paraId="404F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3"/>
            <w:vAlign w:val="center"/>
          </w:tcPr>
          <w:p w14:paraId="21462DB4">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★验收标准</w:t>
            </w:r>
          </w:p>
        </w:tc>
        <w:tc>
          <w:tcPr>
            <w:tcW w:w="8120" w:type="dxa"/>
            <w:gridSpan w:val="4"/>
            <w:vAlign w:val="center"/>
          </w:tcPr>
          <w:p w14:paraId="4DCB8FE7">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1.投标人提供的产品必须符合国家强制执行的相关质量标准要求以及产品制造厂家合格产品的出厂质量标准。</w:t>
            </w:r>
          </w:p>
          <w:p w14:paraId="3EA22EB1">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2.设备需全新、完好、无破损，设备</w:t>
            </w:r>
            <w:r>
              <w:rPr>
                <w:rFonts w:hint="eastAsia" w:ascii="仿宋" w:hAnsi="仿宋" w:eastAsia="仿宋" w:cs="仿宋"/>
                <w:color w:val="auto"/>
                <w:kern w:val="0"/>
                <w:sz w:val="24"/>
                <w:highlight w:val="none"/>
                <w:lang w:val="en-US" w:eastAsia="zh-CN"/>
              </w:rPr>
              <w:t>生产日期不能超过到院时间6个月</w:t>
            </w:r>
            <w:r>
              <w:rPr>
                <w:rFonts w:hint="eastAsia" w:ascii="仿宋" w:hAnsi="仿宋" w:eastAsia="仿宋" w:cs="仿宋"/>
                <w:color w:val="auto"/>
                <w:kern w:val="0"/>
                <w:sz w:val="24"/>
                <w:highlight w:val="none"/>
              </w:rPr>
              <w:t>，产品到货后，采购人现场根据招标文件要求及投标文件承诺逐条对应进行核验，必要时，采购人有权邀请国家质量监督检验部门或国家认可的检测机构参与共同验收。如产品不满足招标文件要求、投标文件承诺或国家强制执行的相关质量标准要求以及产品制造厂家合格产品的出厂质量标准，采购人有权不予验收，由此造成采购人的经济损失由中标人承担全部赔偿责任。</w:t>
            </w:r>
          </w:p>
          <w:p w14:paraId="0CF70EB2">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3.验收其他要求按合同条款以及政府采购相关法律法规规定执行。</w:t>
            </w:r>
          </w:p>
        </w:tc>
      </w:tr>
      <w:tr w14:paraId="0D2F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3"/>
            <w:vAlign w:val="center"/>
          </w:tcPr>
          <w:p w14:paraId="2263EC60">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验收程序</w:t>
            </w:r>
          </w:p>
        </w:tc>
        <w:tc>
          <w:tcPr>
            <w:tcW w:w="8120" w:type="dxa"/>
            <w:gridSpan w:val="4"/>
            <w:shd w:val="clear" w:color="auto" w:fill="auto"/>
            <w:vAlign w:val="center"/>
          </w:tcPr>
          <w:p w14:paraId="19F98086">
            <w:pPr>
              <w:adjustRightInd w:val="0"/>
              <w:snapToGrid w:val="0"/>
              <w:spacing w:line="460" w:lineRule="exact"/>
              <w:textAlignment w:val="center"/>
              <w:rPr>
                <w:rFonts w:hint="eastAsia" w:ascii="仿宋" w:hAnsi="仿宋" w:eastAsia="仿宋" w:cs="仿宋"/>
                <w:color w:val="auto"/>
                <w:kern w:val="0"/>
                <w:sz w:val="24"/>
                <w:highlight w:val="none"/>
                <w:shd w:val="clear" w:color="auto" w:fill="C6D9F0"/>
              </w:rPr>
            </w:pPr>
            <w:r>
              <w:rPr>
                <w:rFonts w:hint="eastAsia" w:ascii="仿宋" w:hAnsi="仿宋" w:eastAsia="仿宋" w:cs="仿宋"/>
                <w:color w:val="auto"/>
                <w:kern w:val="0"/>
                <w:sz w:val="24"/>
                <w:highlight w:val="none"/>
              </w:rPr>
              <w:t>货物送至采购人指定地点后，供应商与采购人共同对货物数量、外观等进行初步验收；货物安装调试完毕后7个工作日内，供应商与采购人根据采购合同相关要求对全部硬件和软件进行试运行1个月，试运行期间硬件和软件能够正常运行的，并交付采购人使用，采购人给予验收合格；对不符合质量要求的硬件和软件，供应商应在采购人要求时间内免费更换或调试直至合格，验收结果应由双方盖章、签字。</w:t>
            </w:r>
          </w:p>
        </w:tc>
      </w:tr>
      <w:tr w14:paraId="5FB9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3"/>
            <w:vAlign w:val="center"/>
          </w:tcPr>
          <w:p w14:paraId="1ADC5308">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履约保证金</w:t>
            </w:r>
          </w:p>
        </w:tc>
        <w:tc>
          <w:tcPr>
            <w:tcW w:w="8120" w:type="dxa"/>
            <w:gridSpan w:val="4"/>
            <w:vAlign w:val="center"/>
          </w:tcPr>
          <w:p w14:paraId="65FC8F55">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14:paraId="280C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gridSpan w:val="3"/>
            <w:vAlign w:val="center"/>
          </w:tcPr>
          <w:p w14:paraId="3648CBE6">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进口产品说明</w:t>
            </w:r>
          </w:p>
        </w:tc>
        <w:tc>
          <w:tcPr>
            <w:tcW w:w="8120" w:type="dxa"/>
            <w:gridSpan w:val="4"/>
            <w:vAlign w:val="center"/>
          </w:tcPr>
          <w:p w14:paraId="13978D9A">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本分标所有产品均</w:t>
            </w:r>
            <w:r>
              <w:rPr>
                <w:rFonts w:hint="eastAsia" w:ascii="仿宋" w:hAnsi="仿宋" w:eastAsia="仿宋" w:cs="仿宋"/>
                <w:color w:val="auto"/>
                <w:kern w:val="0"/>
                <w:sz w:val="24"/>
                <w:highlight w:val="none"/>
              </w:rPr>
              <w:t>不接受进口产品（即通过中国海关报关验放进入中国境内且产自关境外的产品）投标，如投标产品为进口产品的，投标无效。</w:t>
            </w:r>
          </w:p>
        </w:tc>
      </w:tr>
      <w:tr w14:paraId="1D3F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3"/>
            <w:vAlign w:val="center"/>
          </w:tcPr>
          <w:p w14:paraId="3149BA55">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其他要求</w:t>
            </w:r>
          </w:p>
        </w:tc>
        <w:tc>
          <w:tcPr>
            <w:tcW w:w="8120" w:type="dxa"/>
            <w:gridSpan w:val="4"/>
            <w:vAlign w:val="center"/>
          </w:tcPr>
          <w:p w14:paraId="66027D5B">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1、本项目“采购需求”中标注</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号项的条款为实质性要求，投标文件相应内容如不满足，按投标无效处理。</w:t>
            </w:r>
          </w:p>
          <w:p w14:paraId="7613E090">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2、本项目采购需求中标注▲</w:t>
            </w:r>
            <w:r>
              <w:rPr>
                <w:rFonts w:hint="eastAsia" w:ascii="仿宋" w:hAnsi="仿宋" w:eastAsia="仿宋" w:cs="仿宋"/>
                <w:color w:val="auto"/>
                <w:sz w:val="24"/>
                <w:highlight w:val="none"/>
              </w:rPr>
              <w:t>号项为重要技术要求。</w:t>
            </w:r>
          </w:p>
          <w:p w14:paraId="3B013656">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3、本项目“技术要求”的技术条款负偏离≤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5</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项（经评标委员会认定的负偏离），投标人所投产品技术参数超过规定的负偏离数量的，投标文件按无效处理。</w:t>
            </w:r>
          </w:p>
        </w:tc>
      </w:tr>
    </w:tbl>
    <w:p w14:paraId="7DCE4359">
      <w:pPr>
        <w:spacing w:line="400" w:lineRule="exact"/>
        <w:jc w:val="left"/>
        <w:rPr>
          <w:rFonts w:hint="eastAsia" w:ascii="仿宋" w:hAnsi="仿宋" w:eastAsia="仿宋"/>
          <w:b/>
          <w:bCs/>
          <w:sz w:val="30"/>
          <w:szCs w:val="30"/>
          <w:highlight w:val="none"/>
        </w:rPr>
      </w:pPr>
    </w:p>
    <w:p w14:paraId="29D27EC6">
      <w:pPr>
        <w:spacing w:line="400" w:lineRule="exact"/>
        <w:jc w:val="left"/>
        <w:rPr>
          <w:rFonts w:hint="eastAsia" w:ascii="仿宋" w:hAnsi="仿宋" w:eastAsia="仿宋"/>
          <w:b/>
          <w:bCs/>
          <w:sz w:val="30"/>
          <w:szCs w:val="30"/>
          <w:highlight w:val="none"/>
        </w:rPr>
      </w:pPr>
    </w:p>
    <w:p w14:paraId="04412155">
      <w:pPr>
        <w:pageBreakBefore/>
        <w:spacing w:line="320" w:lineRule="exact"/>
        <w:rPr>
          <w:rFonts w:hint="eastAsia" w:ascii="仿宋" w:hAnsi="仿宋" w:eastAsia="仿宋" w:cs="宋体"/>
          <w:sz w:val="28"/>
          <w:szCs w:val="32"/>
          <w:highlight w:val="none"/>
        </w:rPr>
      </w:pPr>
      <w:r>
        <w:rPr>
          <w:rFonts w:hint="eastAsia" w:ascii="仿宋" w:hAnsi="仿宋" w:eastAsia="仿宋" w:cs="宋体"/>
          <w:sz w:val="28"/>
          <w:szCs w:val="32"/>
          <w:highlight w:val="none"/>
        </w:rPr>
        <w:t>附件1：</w:t>
      </w:r>
    </w:p>
    <w:p w14:paraId="250759F5">
      <w:pPr>
        <w:spacing w:line="528" w:lineRule="exact"/>
        <w:jc w:val="center"/>
        <w:rPr>
          <w:rFonts w:hint="eastAsia" w:ascii="仿宋" w:hAnsi="仿宋" w:eastAsia="仿宋" w:cs="宋体"/>
          <w:sz w:val="28"/>
          <w:szCs w:val="28"/>
          <w:highlight w:val="none"/>
        </w:rPr>
      </w:pPr>
      <w:r>
        <w:rPr>
          <w:rFonts w:hint="eastAsia" w:ascii="仿宋" w:hAnsi="仿宋" w:eastAsia="仿宋" w:cs="宋体"/>
          <w:sz w:val="28"/>
          <w:szCs w:val="28"/>
          <w:highlight w:val="none"/>
        </w:rPr>
        <w:t>节能产品政府采购品目清单</w:t>
      </w:r>
    </w:p>
    <w:tbl>
      <w:tblPr>
        <w:tblStyle w:val="49"/>
        <w:tblW w:w="10205" w:type="dxa"/>
        <w:jc w:val="center"/>
        <w:tblLayout w:type="fixed"/>
        <w:tblCellMar>
          <w:top w:w="0" w:type="dxa"/>
          <w:left w:w="0" w:type="dxa"/>
          <w:bottom w:w="0" w:type="dxa"/>
          <w:right w:w="0" w:type="dxa"/>
        </w:tblCellMar>
      </w:tblPr>
      <w:tblGrid>
        <w:gridCol w:w="715"/>
        <w:gridCol w:w="1589"/>
        <w:gridCol w:w="1986"/>
        <w:gridCol w:w="2007"/>
        <w:gridCol w:w="3908"/>
      </w:tblGrid>
      <w:tr w14:paraId="165984E4">
        <w:tblPrEx>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6953E256">
            <w:pPr>
              <w:pStyle w:val="109"/>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品目序号</w:t>
            </w:r>
          </w:p>
        </w:tc>
        <w:tc>
          <w:tcPr>
            <w:tcW w:w="55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2A3EE8">
            <w:pPr>
              <w:pStyle w:val="109"/>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名称</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1AE40075">
            <w:pPr>
              <w:pStyle w:val="109"/>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依据的标准</w:t>
            </w:r>
          </w:p>
        </w:tc>
      </w:tr>
      <w:tr w14:paraId="62E7BC6A">
        <w:tblPrEx>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595A69">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6D500D">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A020101计算机设备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2E22B6D4">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★A02010104台式计算机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5A20155E">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5304CBDF">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14:paraId="639BAA72">
        <w:tblPrEx>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77EFE5">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B63A95">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418AF7FE">
            <w:pPr>
              <w:pStyle w:val="109"/>
              <w:spacing w:before="44" w:line="283" w:lineRule="auto"/>
              <w:ind w:left="7"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★A02010105便携式计算机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70585EF1">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6DD9D80A">
            <w:pPr>
              <w:pStyle w:val="109"/>
              <w:spacing w:before="4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14:paraId="4E68DC1A">
        <w:tblPrEx>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A21B08">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16C138">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1C11FD65">
            <w:pPr>
              <w:pStyle w:val="109"/>
              <w:spacing w:before="64" w:line="283" w:lineRule="auto"/>
              <w:ind w:left="7" w:right="5"/>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★A02010107平板式微型计算机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2C08236A">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2082FC13">
            <w:pPr>
              <w:pStyle w:val="109"/>
              <w:spacing w:before="6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14:paraId="3494CF28">
        <w:tblPrEx>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376EBC">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2</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3CAB78">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A020106输入输出设备</w:t>
            </w: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E4EF15">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A02010601打印设备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24D0AC24">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A0201060101喷墨打</w:t>
            </w:r>
          </w:p>
          <w:p w14:paraId="5278B1C8">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05BC4F08">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14:paraId="171F0CAB">
        <w:tblPrEx>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8708BD">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925E1E">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47501F">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01875878">
            <w:pPr>
              <w:pStyle w:val="109"/>
              <w:spacing w:before="5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★A0201060102激光</w:t>
            </w:r>
          </w:p>
          <w:p w14:paraId="6050C6B4">
            <w:pPr>
              <w:pStyle w:val="109"/>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打印机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0CAC1DA1">
            <w:pPr>
              <w:pStyle w:val="109"/>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14:paraId="5CF83CF3">
        <w:tblPrEx>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648F68">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9F7816">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770F4A">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6EDCECE4">
            <w:pPr>
              <w:pStyle w:val="109"/>
              <w:spacing w:before="5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★A0201060104针式</w:t>
            </w:r>
          </w:p>
          <w:p w14:paraId="462EFBC3">
            <w:pPr>
              <w:pStyle w:val="109"/>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打印机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17E6C330">
            <w:pPr>
              <w:pStyle w:val="109"/>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14:paraId="2FDAFEB4">
        <w:tblPrEx>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4066D7">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FCF72F">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5FCA6B10">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A02010604显示设备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595BEAE9">
            <w:pPr>
              <w:pStyle w:val="109"/>
              <w:spacing w:before="68"/>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★A0201060401液晶</w:t>
            </w:r>
          </w:p>
          <w:p w14:paraId="5912C0DA">
            <w:pPr>
              <w:pStyle w:val="109"/>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显示器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22DBD5EA">
            <w:pPr>
              <w:pStyle w:val="109"/>
              <w:spacing w:before="68"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《计算机显示器能效限定值及能效等级》（GB21520）</w:t>
            </w:r>
          </w:p>
        </w:tc>
      </w:tr>
      <w:tr w14:paraId="1D15975C">
        <w:tblPrEx>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F66A0D">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44CF5E">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33E9D21E">
            <w:pPr>
              <w:pStyle w:val="109"/>
              <w:spacing w:line="283" w:lineRule="auto"/>
              <w:ind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A02010609图形图像输入设备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4A2E85DD">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A0201060901扫描仪</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67D4347D">
            <w:pPr>
              <w:pStyle w:val="109"/>
              <w:spacing w:before="49"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参照《复印机、打印机和传真机能效限定值及能效等级》（GB21521</w:t>
            </w:r>
          </w:p>
          <w:p w14:paraId="3F170248">
            <w:pPr>
              <w:pStyle w:val="109"/>
              <w:spacing w:before="12" w:line="283" w:lineRule="auto"/>
              <w:ind w:left="7" w:right="5"/>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中打印速度为15页/分的针式打印机相关要求</w:t>
            </w:r>
          </w:p>
        </w:tc>
      </w:tr>
      <w:tr w14:paraId="7E5D35DC">
        <w:tblPrEx>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45DD96A4">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3</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737D1A04">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A020202投影仪</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55A81621">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59531C49">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04DD1DB3">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《投影机能效限定值及能效等级</w:t>
            </w:r>
          </w:p>
          <w:p w14:paraId="4E1B65CD">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（GB32028）</w:t>
            </w:r>
          </w:p>
        </w:tc>
      </w:tr>
      <w:tr w14:paraId="7329DF32">
        <w:tblPrEx>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10484CA1">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4</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40489830">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A020204多功能一体机</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7EC399B3">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7FA4590E">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114877AB">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14:paraId="5BC7D75C">
        <w:tblPrEx>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2A8C4EDD">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5</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78008E08">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A020519泵</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69B73166">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A02051901离心泵</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5C09546C">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5B383CBD">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《清水离心泵能效限定值及节能评价值》（GB19762）</w:t>
            </w:r>
          </w:p>
        </w:tc>
      </w:tr>
      <w:tr w14:paraId="2B0FB96F">
        <w:tblPrEx>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18C130">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6</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F9136D">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A020523制冷空调设备</w:t>
            </w: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A044D9">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★A02052301制冷压缩机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7A0A25A8">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冷水机组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49E2E466">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《冷水机组能效限定值及能效等级》（GB19577），《低环境温度空气源热泵（冷水）机组能效限定值及能效等级》（GB37480）</w:t>
            </w:r>
          </w:p>
        </w:tc>
      </w:tr>
      <w:tr w14:paraId="5503E5D6">
        <w:tblPrEx>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E71FA4">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82C5EF">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CDCC18">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11E0F22B">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水源热泵机组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3DA4BA0A">
            <w:pPr>
              <w:pStyle w:val="109"/>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《水（地）源热泵机组能效限定值及能效等级》（GB30721）</w:t>
            </w:r>
          </w:p>
        </w:tc>
      </w:tr>
      <w:tr w14:paraId="4F2ADC6D">
        <w:tblPrEx>
          <w:tblCellMar>
            <w:top w:w="0" w:type="dxa"/>
            <w:left w:w="0" w:type="dxa"/>
            <w:bottom w:w="0" w:type="dxa"/>
            <w:right w:w="0" w:type="dxa"/>
          </w:tblCellMar>
        </w:tblPrEx>
        <w:trPr>
          <w:trHeight w:val="647" w:hRule="atLeast"/>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182F2B">
            <w:pPr>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ABA68B">
            <w:pPr>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0F84B1">
            <w:pPr>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06EA5FE8">
            <w:pPr>
              <w:pStyle w:val="109"/>
              <w:spacing w:before="9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溴化锂吸收式冷水机组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52FC200E">
            <w:pPr>
              <w:pStyle w:val="109"/>
              <w:spacing w:before="9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《溴化锂吸收式冷水机组能效限定值及能效等级》（GB29540）</w:t>
            </w:r>
          </w:p>
        </w:tc>
      </w:tr>
      <w:tr w14:paraId="418A7849">
        <w:tblPrEx>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D8BCD1">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D6580E">
            <w:pPr>
              <w:widowControl/>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1FB4D8">
            <w:pPr>
              <w:pStyle w:val="109"/>
              <w:spacing w:line="283" w:lineRule="auto"/>
              <w:ind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★A02052305空调机组</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4FE62344">
            <w:pPr>
              <w:pStyle w:val="109"/>
              <w:spacing w:before="4"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多联式空调（热泵）机组(制冷量&gt;14000W)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5678053B">
            <w:pPr>
              <w:pStyle w:val="109"/>
              <w:spacing w:before="160"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《多联式空调（热泵）机组能效限定值及能源效率等级》（GB21454</w:t>
            </w:r>
          </w:p>
        </w:tc>
      </w:tr>
      <w:tr w14:paraId="60F60912">
        <w:tblPrEx>
          <w:tblCellMar>
            <w:top w:w="0" w:type="dxa"/>
            <w:left w:w="0" w:type="dxa"/>
            <w:bottom w:w="0" w:type="dxa"/>
            <w:right w:w="0" w:type="dxa"/>
          </w:tblCellMar>
        </w:tblPrEx>
        <w:trPr>
          <w:trHeight w:val="241" w:hRule="atLeast"/>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397D00">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A871C1">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4001B9">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2CD74F70">
            <w:pPr>
              <w:pStyle w:val="109"/>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w:t>
            </w:r>
          </w:p>
          <w:p w14:paraId="091EFD52">
            <w:pPr>
              <w:pStyle w:val="109"/>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(制冷量&gt;14000W)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3B1649EF">
            <w:pPr>
              <w:pStyle w:val="109"/>
              <w:spacing w:before="9"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《单元式空气调节机能效限定值及能效等级》（GB19576）《风管送风式空调机组能效限定值及能效等级》（GB37479）</w:t>
            </w:r>
          </w:p>
        </w:tc>
      </w:tr>
      <w:tr w14:paraId="0C0F5401">
        <w:tblPrEx>
          <w:tblCellMar>
            <w:top w:w="0" w:type="dxa"/>
            <w:left w:w="0" w:type="dxa"/>
            <w:bottom w:w="0" w:type="dxa"/>
            <w:right w:w="0" w:type="dxa"/>
          </w:tblCellMar>
        </w:tblPrEx>
        <w:trPr>
          <w:trHeight w:val="637" w:hRule="atLeast"/>
          <w:jc w:val="center"/>
        </w:trPr>
        <w:tc>
          <w:tcPr>
            <w:tcW w:w="715" w:type="dxa"/>
            <w:vMerge w:val="continue"/>
            <w:tcBorders>
              <w:top w:val="single" w:color="auto" w:sz="4" w:space="0"/>
              <w:left w:val="single" w:color="auto" w:sz="4" w:space="0"/>
              <w:right w:val="single" w:color="auto" w:sz="4" w:space="0"/>
            </w:tcBorders>
            <w:shd w:val="clear" w:color="auto" w:fill="auto"/>
            <w:vAlign w:val="center"/>
          </w:tcPr>
          <w:p w14:paraId="78B86B5F">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right w:val="single" w:color="auto" w:sz="4" w:space="0"/>
            </w:tcBorders>
            <w:shd w:val="clear" w:color="auto" w:fill="auto"/>
            <w:vAlign w:val="center"/>
          </w:tcPr>
          <w:p w14:paraId="0F7DEEF8">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right w:val="single" w:color="auto" w:sz="4" w:space="0"/>
            </w:tcBorders>
            <w:shd w:val="clear" w:color="auto" w:fill="auto"/>
            <w:vAlign w:val="center"/>
          </w:tcPr>
          <w:p w14:paraId="0FE5108A">
            <w:pPr>
              <w:pStyle w:val="109"/>
              <w:spacing w:before="8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★A02052309专用制冷、空调设备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587B8898">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机房空调</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7DF58E9D">
            <w:pPr>
              <w:pStyle w:val="109"/>
              <w:spacing w:before="8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《单元式空气调节机能效限定值及能效等级》（GB19576）</w:t>
            </w:r>
          </w:p>
        </w:tc>
      </w:tr>
      <w:tr w14:paraId="174FFF6C">
        <w:tblPrEx>
          <w:tblCellMar>
            <w:top w:w="0" w:type="dxa"/>
            <w:left w:w="0" w:type="dxa"/>
            <w:bottom w:w="0" w:type="dxa"/>
            <w:right w:w="0" w:type="dxa"/>
          </w:tblCellMar>
        </w:tblPrEx>
        <w:trPr>
          <w:trHeight w:val="1070" w:hRule="atLeast"/>
          <w:jc w:val="center"/>
        </w:trPr>
        <w:tc>
          <w:tcPr>
            <w:tcW w:w="715" w:type="dxa"/>
            <w:vMerge w:val="continue"/>
            <w:tcBorders>
              <w:left w:val="single" w:color="auto" w:sz="4" w:space="0"/>
              <w:right w:val="single" w:color="auto" w:sz="4" w:space="0"/>
            </w:tcBorders>
            <w:shd w:val="clear" w:color="auto" w:fill="auto"/>
            <w:vAlign w:val="center"/>
          </w:tcPr>
          <w:p w14:paraId="0EF8A977">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14:paraId="604EE8DD">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right w:val="single" w:color="auto" w:sz="4" w:space="0"/>
            </w:tcBorders>
            <w:shd w:val="clear" w:color="auto" w:fill="auto"/>
            <w:vAlign w:val="center"/>
          </w:tcPr>
          <w:p w14:paraId="15CD9176">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A02052399其他制冷空调设备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38D121BF">
            <w:pPr>
              <w:pStyle w:val="109"/>
              <w:spacing w:before="16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冷却塔</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7C04E4F6">
            <w:pPr>
              <w:pStyle w:val="109"/>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《机械通风冷却塔第1部分：中小型开式冷却塔》（GB/T7190.1）</w:t>
            </w:r>
          </w:p>
          <w:p w14:paraId="23D394E1">
            <w:pPr>
              <w:pStyle w:val="109"/>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《机械通风冷却塔第2部分：大型开式冷却塔》（GB/T7190.2</w:t>
            </w:r>
          </w:p>
        </w:tc>
      </w:tr>
      <w:tr w14:paraId="6466AC84">
        <w:tblPrEx>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21A1D384">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7</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73FBF480">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A020601电机</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0900AE02">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2A30A306">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7DC52B65">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《中小型三相异步电动机能效限定值及能效等级》（GB18613）</w:t>
            </w:r>
          </w:p>
        </w:tc>
      </w:tr>
      <w:tr w14:paraId="626E1B56">
        <w:tblPrEx>
          <w:tblCellMar>
            <w:top w:w="0" w:type="dxa"/>
            <w:left w:w="0" w:type="dxa"/>
            <w:bottom w:w="0" w:type="dxa"/>
            <w:right w:w="0" w:type="dxa"/>
          </w:tblCellMar>
        </w:tblPrEx>
        <w:trPr>
          <w:trHeight w:val="558"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219CC246">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8</w:t>
            </w:r>
          </w:p>
        </w:tc>
        <w:tc>
          <w:tcPr>
            <w:tcW w:w="1589" w:type="dxa"/>
            <w:tcBorders>
              <w:top w:val="single" w:color="auto" w:sz="4" w:space="0"/>
              <w:left w:val="single" w:color="auto" w:sz="4" w:space="0"/>
              <w:right w:val="single" w:color="auto" w:sz="4" w:space="0"/>
            </w:tcBorders>
            <w:shd w:val="clear" w:color="auto" w:fill="auto"/>
            <w:vAlign w:val="center"/>
          </w:tcPr>
          <w:p w14:paraId="1007C176">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A020602变压器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110AC111">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配电变压器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74EDB8F9">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7FEB3073">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《三相配电变压器能效限定值及能效等级》（GB20052）</w:t>
            </w:r>
          </w:p>
        </w:tc>
      </w:tr>
      <w:tr w14:paraId="0AA11DDC">
        <w:tblPrEx>
          <w:tblCellMar>
            <w:top w:w="0" w:type="dxa"/>
            <w:left w:w="0" w:type="dxa"/>
            <w:bottom w:w="0" w:type="dxa"/>
            <w:right w:w="0" w:type="dxa"/>
          </w:tblCellMar>
        </w:tblPrEx>
        <w:trPr>
          <w:trHeight w:val="660"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071F752F">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9</w:t>
            </w:r>
          </w:p>
        </w:tc>
        <w:tc>
          <w:tcPr>
            <w:tcW w:w="1589" w:type="dxa"/>
            <w:tcBorders>
              <w:top w:val="single" w:color="auto" w:sz="4" w:space="0"/>
              <w:left w:val="single" w:color="auto" w:sz="4" w:space="0"/>
              <w:right w:val="single" w:color="auto" w:sz="4" w:space="0"/>
            </w:tcBorders>
            <w:shd w:val="clear" w:color="auto" w:fill="auto"/>
            <w:vAlign w:val="center"/>
          </w:tcPr>
          <w:p w14:paraId="212CE70A">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★A020609镇流器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6A49561F">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管型荧光灯镇流器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663F93E7">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5AD9C40D">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《管形荧光灯镇流器能效限定值及能效等级》（GB17896）</w:t>
            </w:r>
          </w:p>
        </w:tc>
      </w:tr>
      <w:tr w14:paraId="5B473137">
        <w:tblPrEx>
          <w:tblCellMar>
            <w:top w:w="0" w:type="dxa"/>
            <w:left w:w="0" w:type="dxa"/>
            <w:bottom w:w="0" w:type="dxa"/>
            <w:right w:w="0" w:type="dxa"/>
          </w:tblCellMar>
        </w:tblPrEx>
        <w:trPr>
          <w:trHeight w:val="562" w:hRule="atLeast"/>
          <w:jc w:val="center"/>
        </w:trPr>
        <w:tc>
          <w:tcPr>
            <w:tcW w:w="715" w:type="dxa"/>
            <w:vMerge w:val="restart"/>
            <w:tcBorders>
              <w:top w:val="single" w:color="auto" w:sz="4" w:space="0"/>
              <w:left w:val="single" w:color="auto" w:sz="4" w:space="0"/>
              <w:right w:val="single" w:color="auto" w:sz="4" w:space="0"/>
            </w:tcBorders>
            <w:shd w:val="clear" w:color="auto" w:fill="auto"/>
            <w:vAlign w:val="center"/>
          </w:tcPr>
          <w:p w14:paraId="6366B81C">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10</w:t>
            </w:r>
          </w:p>
        </w:tc>
        <w:tc>
          <w:tcPr>
            <w:tcW w:w="1589" w:type="dxa"/>
            <w:vMerge w:val="restart"/>
            <w:tcBorders>
              <w:top w:val="single" w:color="auto" w:sz="4" w:space="0"/>
              <w:left w:val="single" w:color="auto" w:sz="4" w:space="0"/>
              <w:right w:val="single" w:color="auto" w:sz="4" w:space="0"/>
            </w:tcBorders>
            <w:shd w:val="clear" w:color="auto" w:fill="auto"/>
            <w:vAlign w:val="center"/>
          </w:tcPr>
          <w:p w14:paraId="558E4262">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A020618生活用电器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07874454">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A0206180101电冰箱</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00C0FEFD">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0AEF3598">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《家用电冰箱耗电量限定值及能效等级》（GB12021.2）</w:t>
            </w:r>
          </w:p>
        </w:tc>
      </w:tr>
      <w:tr w14:paraId="53CD6BDA">
        <w:tblPrEx>
          <w:tblCellMar>
            <w:top w:w="0" w:type="dxa"/>
            <w:left w:w="0" w:type="dxa"/>
            <w:bottom w:w="0" w:type="dxa"/>
            <w:right w:w="0" w:type="dxa"/>
          </w:tblCellMar>
        </w:tblPrEx>
        <w:trPr>
          <w:trHeight w:val="1496" w:hRule="atLeast"/>
          <w:jc w:val="center"/>
        </w:trPr>
        <w:tc>
          <w:tcPr>
            <w:tcW w:w="715" w:type="dxa"/>
            <w:vMerge w:val="continue"/>
            <w:tcBorders>
              <w:left w:val="single" w:color="auto" w:sz="4" w:space="0"/>
              <w:right w:val="single" w:color="auto" w:sz="4" w:space="0"/>
            </w:tcBorders>
            <w:shd w:val="clear" w:color="auto" w:fill="auto"/>
            <w:vAlign w:val="center"/>
          </w:tcPr>
          <w:p w14:paraId="77670F8C">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14:paraId="720358C0">
            <w:pPr>
              <w:widowControl/>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499F4B">
            <w:pPr>
              <w:pStyle w:val="109"/>
              <w:spacing w:before="171"/>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★A0206180203空调</w:t>
            </w:r>
          </w:p>
          <w:p w14:paraId="0521651A">
            <w:pPr>
              <w:pStyle w:val="109"/>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5644DF82">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房间空气调节器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6932F67D">
            <w:pPr>
              <w:pStyle w:val="109"/>
              <w:spacing w:before="4"/>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《转速可控型房间空气调节器能效限定值及能效等级》（GB21455-2013），待2019年修订发布后，按《房间空气调节器能效限定值及能效等级》（GB21455-2019）实施。</w:t>
            </w:r>
          </w:p>
        </w:tc>
      </w:tr>
      <w:tr w14:paraId="7B74032C">
        <w:tblPrEx>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14:paraId="2ED21BCC">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14:paraId="314F7D31">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16A698">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08C99EAA">
            <w:pPr>
              <w:pStyle w:val="109"/>
              <w:spacing w:before="4"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多联式空调（热泵）机组（制冷量≤14000W）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16427318">
            <w:pPr>
              <w:pStyle w:val="109"/>
              <w:spacing w:before="160"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《多联式空调（热泵）机组能效限定值及能源效率等级》（GB21454</w:t>
            </w:r>
          </w:p>
        </w:tc>
      </w:tr>
      <w:tr w14:paraId="59C407C3">
        <w:tblPrEx>
          <w:tblCellMar>
            <w:top w:w="0" w:type="dxa"/>
            <w:left w:w="0" w:type="dxa"/>
            <w:bottom w:w="0" w:type="dxa"/>
            <w:right w:w="0" w:type="dxa"/>
          </w:tblCellMar>
        </w:tblPrEx>
        <w:trPr>
          <w:trHeight w:val="512" w:hRule="atLeast"/>
          <w:jc w:val="center"/>
        </w:trPr>
        <w:tc>
          <w:tcPr>
            <w:tcW w:w="715" w:type="dxa"/>
            <w:vMerge w:val="continue"/>
            <w:tcBorders>
              <w:left w:val="single" w:color="auto" w:sz="4" w:space="0"/>
              <w:right w:val="single" w:color="auto" w:sz="4" w:space="0"/>
            </w:tcBorders>
            <w:shd w:val="clear" w:color="auto" w:fill="auto"/>
            <w:vAlign w:val="center"/>
          </w:tcPr>
          <w:p w14:paraId="14C0D124">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14:paraId="718DCB60">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E5FA00">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0DD97826">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单元式空气调节机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2532DC1C">
            <w:pPr>
              <w:pStyle w:val="109"/>
              <w:spacing w:before="4"/>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《单元式空气调节机能效限定值及能源效率等级》（GB19576）《风</w:t>
            </w:r>
          </w:p>
        </w:tc>
      </w:tr>
      <w:tr w14:paraId="27F1BF6B">
        <w:tblPrEx>
          <w:tblCellMar>
            <w:top w:w="0" w:type="dxa"/>
            <w:left w:w="0" w:type="dxa"/>
            <w:bottom w:w="0" w:type="dxa"/>
            <w:right w:w="0" w:type="dxa"/>
          </w:tblCellMar>
        </w:tblPrEx>
        <w:trPr>
          <w:trHeight w:val="492" w:hRule="atLeast"/>
          <w:jc w:val="center"/>
        </w:trPr>
        <w:tc>
          <w:tcPr>
            <w:tcW w:w="715" w:type="dxa"/>
            <w:vMerge w:val="continue"/>
            <w:tcBorders>
              <w:left w:val="single" w:color="auto" w:sz="4" w:space="0"/>
              <w:right w:val="single" w:color="auto" w:sz="4" w:space="0"/>
            </w:tcBorders>
            <w:shd w:val="clear" w:color="auto" w:fill="auto"/>
            <w:vAlign w:val="center"/>
          </w:tcPr>
          <w:p w14:paraId="32BB281E">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14:paraId="1A2A2164">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FA1D51">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4B30FF7E">
            <w:pPr>
              <w:pStyle w:val="109"/>
              <w:spacing w:line="256" w:lineRule="exact"/>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(制冷量≤14000W)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612DC68E">
            <w:pPr>
              <w:pStyle w:val="109"/>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管送风式空调机组能效限定值及能效等级》（GB37479）</w:t>
            </w:r>
          </w:p>
        </w:tc>
      </w:tr>
      <w:tr w14:paraId="62AEBB60">
        <w:tblPrEx>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14:paraId="44B0D21A">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14:paraId="50645AF9">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4B4BDBE6">
            <w:pPr>
              <w:pStyle w:val="109"/>
              <w:spacing w:before="16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A0206180301洗衣机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1B8A3416">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1800A8A2">
            <w:pPr>
              <w:pStyle w:val="109"/>
              <w:spacing w:before="6"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《电动洗衣机能效水效限定值及等级》（GB12021.4）</w:t>
            </w:r>
          </w:p>
        </w:tc>
      </w:tr>
      <w:tr w14:paraId="5CA7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14:paraId="25095E71">
            <w:pPr>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14:paraId="71EA6F5D">
            <w:pPr>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30EB1E">
            <w:pPr>
              <w:pStyle w:val="109"/>
              <w:spacing w:before="161"/>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A02061808热水器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236C2D5A">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★电热水器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5CBAA69F">
            <w:pPr>
              <w:pStyle w:val="109"/>
              <w:tabs>
                <w:tab w:val="left" w:pos="1608"/>
              </w:tabs>
              <w:spacing w:before="52"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《储水式电热水器能效限定值及能效等级》（GB21519）</w:t>
            </w:r>
          </w:p>
        </w:tc>
      </w:tr>
      <w:tr w14:paraId="124C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14:paraId="698B1F75">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14:paraId="1121D7FD">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B7C38B">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527FAC39">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燃气热水器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77EC35DC">
            <w:pPr>
              <w:pStyle w:val="109"/>
              <w:spacing w:before="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《家用燃气快速热水器和燃气采暖热水炉能效限定值及能效等级》</w:t>
            </w:r>
          </w:p>
          <w:p w14:paraId="04C3632F">
            <w:pPr>
              <w:pStyle w:val="109"/>
              <w:spacing w:before="1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（GB20665）</w:t>
            </w:r>
          </w:p>
        </w:tc>
      </w:tr>
      <w:tr w14:paraId="74AA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14:paraId="73AA2D5B">
            <w:pPr>
              <w:widowControl/>
              <w:jc w:val="center"/>
              <w:rPr>
                <w:rFonts w:hint="eastAsia" w:ascii="仿宋" w:hAnsi="仿宋" w:eastAsia="仿宋" w:cs="宋体"/>
                <w:kern w:val="0"/>
                <w:szCs w:val="21"/>
                <w:highlight w:val="none"/>
                <w:lang w:eastAsia="en-US"/>
              </w:rPr>
            </w:pPr>
          </w:p>
        </w:tc>
        <w:tc>
          <w:tcPr>
            <w:tcW w:w="1589" w:type="dxa"/>
            <w:vMerge w:val="continue"/>
            <w:tcBorders>
              <w:left w:val="single" w:color="auto" w:sz="4" w:space="0"/>
              <w:right w:val="single" w:color="auto" w:sz="4" w:space="0"/>
            </w:tcBorders>
            <w:shd w:val="clear" w:color="auto" w:fill="auto"/>
            <w:vAlign w:val="center"/>
          </w:tcPr>
          <w:p w14:paraId="4DEA35C7">
            <w:pPr>
              <w:widowControl/>
              <w:jc w:val="center"/>
              <w:rPr>
                <w:rFonts w:hint="eastAsia" w:ascii="仿宋" w:hAnsi="仿宋" w:eastAsia="仿宋" w:cs="宋体"/>
                <w:kern w:val="0"/>
                <w:szCs w:val="21"/>
                <w:highlight w:val="none"/>
                <w:lang w:eastAsia="en-US"/>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2B3221">
            <w:pPr>
              <w:widowControl/>
              <w:jc w:val="center"/>
              <w:rPr>
                <w:rFonts w:hint="eastAsia" w:ascii="仿宋" w:hAnsi="仿宋" w:eastAsia="仿宋" w:cs="宋体"/>
                <w:kern w:val="0"/>
                <w:szCs w:val="21"/>
                <w:highlight w:val="none"/>
                <w:lang w:eastAsia="en-US"/>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48710933">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热泵热水器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3622A223">
            <w:pPr>
              <w:pStyle w:val="109"/>
              <w:spacing w:before="93"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《热泵热水机（器）能效限定值及能效等级》（GB29541）</w:t>
            </w:r>
          </w:p>
        </w:tc>
      </w:tr>
      <w:tr w14:paraId="7128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continue"/>
            <w:tcBorders>
              <w:left w:val="single" w:color="auto" w:sz="4" w:space="0"/>
              <w:bottom w:val="single" w:color="auto" w:sz="4" w:space="0"/>
              <w:right w:val="single" w:color="auto" w:sz="4" w:space="0"/>
            </w:tcBorders>
            <w:shd w:val="clear" w:color="auto" w:fill="auto"/>
            <w:vAlign w:val="center"/>
          </w:tcPr>
          <w:p w14:paraId="744693E0">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bottom w:val="single" w:color="auto" w:sz="4" w:space="0"/>
              <w:right w:val="single" w:color="auto" w:sz="4" w:space="0"/>
            </w:tcBorders>
            <w:shd w:val="clear" w:color="auto" w:fill="auto"/>
            <w:vAlign w:val="center"/>
          </w:tcPr>
          <w:p w14:paraId="2E0EF8E7">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37F289">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0951ADA5">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太阳能热水系统</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4ABA8B72">
            <w:pPr>
              <w:pStyle w:val="109"/>
              <w:spacing w:before="52"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《家用太阳能热水系统能效限定值及能效等级》（GB26969）</w:t>
            </w:r>
          </w:p>
        </w:tc>
      </w:tr>
      <w:tr w14:paraId="2881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5DC211">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11</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D782B8">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A020619照明设备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5341FB55">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★普通照明用双端荧光灯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50BA9C67">
            <w:pPr>
              <w:pStyle w:val="109"/>
              <w:spacing w:before="124" w:line="283" w:lineRule="auto"/>
              <w:ind w:left="7" w:right="4"/>
              <w:jc w:val="center"/>
              <w:rPr>
                <w:rFonts w:hint="eastAsia" w:ascii="仿宋" w:hAnsi="仿宋" w:eastAsia="仿宋" w:cs="宋体"/>
                <w:sz w:val="21"/>
                <w:szCs w:val="21"/>
                <w:highlight w:val="none"/>
                <w:lang w:eastAsia="zh-CN"/>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252073AC">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《普通照明用双端荧光灯能效限定值及能效等级》（GB19043）</w:t>
            </w:r>
          </w:p>
        </w:tc>
      </w:tr>
      <w:tr w14:paraId="27DC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5F599C">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1DF5BD">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1317C7C8">
            <w:pPr>
              <w:pStyle w:val="109"/>
              <w:spacing w:before="92" w:line="283" w:lineRule="auto"/>
              <w:ind w:left="7" w:right="2"/>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LED道路/隧道照明产品</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19715532">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5A77DAD2">
            <w:pPr>
              <w:pStyle w:val="109"/>
              <w:spacing w:before="9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《道路和隧道照明用LED灯具能效限定值及能效等级》（GB37478</w:t>
            </w:r>
          </w:p>
        </w:tc>
      </w:tr>
      <w:tr w14:paraId="0911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205411">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314A55">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1B338C32">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LED筒灯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52402A47">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1A5103CE">
            <w:pPr>
              <w:pStyle w:val="109"/>
              <w:spacing w:before="83"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《室内照明用LED产品能效限定值及能效等级》（GB30255）</w:t>
            </w:r>
          </w:p>
        </w:tc>
      </w:tr>
      <w:tr w14:paraId="0CD8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FA513A">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987AFC">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6C72FD2B">
            <w:pPr>
              <w:pStyle w:val="109"/>
              <w:spacing w:line="283" w:lineRule="auto"/>
              <w:ind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普通照明用非定向自镇流LED灯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08FF58EE">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38AB826E">
            <w:pPr>
              <w:pStyle w:val="109"/>
              <w:spacing w:line="283" w:lineRule="auto"/>
              <w:ind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《室内照明用LED产品能效限定值及能效等级》（GB30255）</w:t>
            </w:r>
          </w:p>
        </w:tc>
      </w:tr>
      <w:tr w14:paraId="2E35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03D352BB">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12</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28A5EA0B">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★A020910电视设备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5CE42FC1">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A02091001普通电视设备（电视机）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7EED425E">
            <w:pPr>
              <w:pStyle w:val="109"/>
              <w:spacing w:before="124" w:line="283" w:lineRule="auto"/>
              <w:ind w:left="7" w:right="4"/>
              <w:jc w:val="center"/>
              <w:rPr>
                <w:rFonts w:hint="eastAsia" w:ascii="仿宋" w:hAnsi="仿宋" w:eastAsia="仿宋" w:cs="宋体"/>
                <w:sz w:val="21"/>
                <w:szCs w:val="21"/>
                <w:highlight w:val="none"/>
                <w:lang w:eastAsia="zh-CN"/>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3E3DD17A">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《平板电视能效限定值及能效等级》（GB24850）</w:t>
            </w:r>
          </w:p>
        </w:tc>
      </w:tr>
      <w:tr w14:paraId="460F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787FFE81">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13</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4A2110E2">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★A020911视频设备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240B7F0A">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A02091107视频监控设备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13D8CBD3">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监视器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38CB1B9B">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0BA4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5525898C">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14</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0F77622D">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A031210饮食炊事机械</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5249048A">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商用燃气灶具</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79535C5F">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3A881DE2">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《商用燃气灶具能效限定值及能效等级》（GB30531）</w:t>
            </w:r>
          </w:p>
        </w:tc>
      </w:tr>
      <w:tr w14:paraId="752B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5561D4">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15</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AA8536">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★A060805便器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7E4628E5">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坐便器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1B2FABEB">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52F42798">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《坐便器水效限定值及水效等级》</w:t>
            </w:r>
          </w:p>
          <w:p w14:paraId="5C243795">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（GB25502）</w:t>
            </w:r>
          </w:p>
        </w:tc>
      </w:tr>
      <w:tr w14:paraId="6C43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35D718">
            <w:pPr>
              <w:widowControl/>
              <w:jc w:val="center"/>
              <w:rPr>
                <w:rFonts w:hint="eastAsia" w:ascii="仿宋" w:hAnsi="仿宋" w:eastAsia="仿宋" w:cs="宋体"/>
                <w:kern w:val="0"/>
                <w:szCs w:val="21"/>
                <w:highlight w:val="none"/>
                <w:lang w:eastAsia="en-US"/>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CFD70E">
            <w:pPr>
              <w:widowControl/>
              <w:jc w:val="center"/>
              <w:rPr>
                <w:rFonts w:hint="eastAsia" w:ascii="仿宋" w:hAnsi="仿宋" w:eastAsia="仿宋" w:cs="宋体"/>
                <w:kern w:val="0"/>
                <w:szCs w:val="21"/>
                <w:highlight w:val="none"/>
                <w:lang w:eastAsia="en-US"/>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083AAB69">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蹲便器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0D459007">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37307AC8">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《蹲便器用水效率限定值及用水效率等级》（GB30717）</w:t>
            </w:r>
          </w:p>
        </w:tc>
      </w:tr>
      <w:tr w14:paraId="6E65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8770F3">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B6C282">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744EA1AA">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小便器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78AA84C6">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5DC38FCF">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《小便器用水效率限定值及用水效率等级》（GB28377）</w:t>
            </w:r>
          </w:p>
        </w:tc>
      </w:tr>
      <w:tr w14:paraId="248EFE68">
        <w:tblPrEx>
          <w:tblCellMar>
            <w:top w:w="0" w:type="dxa"/>
            <w:left w:w="0" w:type="dxa"/>
            <w:bottom w:w="0" w:type="dxa"/>
            <w:right w:w="0" w:type="dxa"/>
          </w:tblCellMar>
        </w:tblPrEx>
        <w:trPr>
          <w:trHeight w:val="90"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29E55CB9">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16</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7C84A41E">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★A060806水嘴</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25A9D9C3">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00F9D4A7">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1BB446F8">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《水嘴用水效率限定值及用水效率等级》（GB 25501）</w:t>
            </w:r>
          </w:p>
        </w:tc>
      </w:tr>
      <w:tr w14:paraId="26011FF8">
        <w:tblPrEx>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36DFA9F9">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17</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0DE8E7A4">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A060807便器冲洗阀</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1B1D9CC9">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181B933E">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047F8422">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《便器冲洗阀用水效率限定值及用水效率等级》（GB28379）</w:t>
            </w:r>
          </w:p>
        </w:tc>
      </w:tr>
      <w:tr w14:paraId="0716A5A0">
        <w:tblPrEx>
          <w:tblCellMar>
            <w:top w:w="0" w:type="dxa"/>
            <w:left w:w="0" w:type="dxa"/>
            <w:bottom w:w="0" w:type="dxa"/>
            <w:right w:w="0" w:type="dxa"/>
          </w:tblCellMar>
        </w:tblPrEx>
        <w:trPr>
          <w:trHeight w:val="902" w:hRule="exac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74A1F2B8">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18</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14:paraId="6A35C9E5">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A060810淋浴器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14:paraId="4B474875">
            <w:pPr>
              <w:pStyle w:val="109"/>
              <w:spacing w:before="124" w:line="283" w:lineRule="auto"/>
              <w:ind w:left="7" w:right="4"/>
              <w:jc w:val="center"/>
              <w:rPr>
                <w:rFonts w:hint="eastAsia" w:ascii="仿宋" w:hAnsi="仿宋" w:eastAsia="仿宋" w:cs="宋体"/>
                <w:sz w:val="21"/>
                <w:szCs w:val="21"/>
                <w:highlight w:val="none"/>
                <w:lang w:eastAsia="zh-CN"/>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14:paraId="7B671F27">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14:paraId="6A780414">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《淋浴器用水效率限定值及用水效率等级》（GB28378）</w:t>
            </w:r>
          </w:p>
        </w:tc>
      </w:tr>
    </w:tbl>
    <w:p w14:paraId="2DA5E2ED">
      <w:pPr>
        <w:pStyle w:val="18"/>
        <w:rPr>
          <w:rFonts w:hint="eastAsia"/>
          <w:highlight w:val="none"/>
        </w:rPr>
      </w:pPr>
      <w:r>
        <w:rPr>
          <w:rFonts w:hint="eastAsia"/>
          <w:highlight w:val="none"/>
        </w:rPr>
        <w:t>注：1.节能产品认证应依据相关国家标准的最新版本，依据国家标准中二级能效（水效）指标。</w:t>
      </w:r>
    </w:p>
    <w:p w14:paraId="780A046A">
      <w:pPr>
        <w:pStyle w:val="18"/>
        <w:rPr>
          <w:rFonts w:hint="eastAsia"/>
          <w:highlight w:val="none"/>
        </w:rPr>
      </w:pPr>
      <w:r>
        <w:rPr>
          <w:rFonts w:hint="eastAsia"/>
          <w:highlight w:val="none"/>
        </w:rPr>
        <w:t xml:space="preserve">    2.本表</w:t>
      </w:r>
      <w:r>
        <w:rPr>
          <w:highlight w:val="none"/>
        </w:rPr>
        <w:t>中</w:t>
      </w:r>
      <w:r>
        <w:rPr>
          <w:rFonts w:hint="eastAsia"/>
          <w:highlight w:val="none"/>
        </w:rPr>
        <w:t>标注“</w:t>
      </w:r>
      <w:bookmarkStart w:id="50" w:name="OLE_LINK9"/>
      <w:r>
        <w:rPr>
          <w:rFonts w:hint="eastAsia"/>
          <w:highlight w:val="none"/>
        </w:rPr>
        <w:t>★</w:t>
      </w:r>
      <w:bookmarkEnd w:id="50"/>
      <w:r>
        <w:rPr>
          <w:rFonts w:hint="eastAsia"/>
          <w:highlight w:val="none"/>
        </w:rPr>
        <w:t>”号为政府强制采购的节能产品。</w:t>
      </w:r>
    </w:p>
    <w:p w14:paraId="10DF2DFF">
      <w:pPr>
        <w:spacing w:line="360" w:lineRule="auto"/>
        <w:jc w:val="left"/>
        <w:rPr>
          <w:rFonts w:hint="eastAsia" w:ascii="仿宋" w:hAnsi="仿宋" w:eastAsia="仿宋" w:cs="Arial"/>
          <w:b/>
          <w:bCs/>
          <w:sz w:val="24"/>
          <w:highlight w:val="none"/>
        </w:rPr>
      </w:pPr>
    </w:p>
    <w:p w14:paraId="3A7C1F81">
      <w:pPr>
        <w:spacing w:line="360" w:lineRule="auto"/>
        <w:jc w:val="left"/>
        <w:rPr>
          <w:rFonts w:hint="eastAsia" w:ascii="仿宋" w:hAnsi="仿宋" w:eastAsia="仿宋" w:cs="Arial"/>
          <w:b/>
          <w:bCs/>
          <w:sz w:val="24"/>
          <w:highlight w:val="none"/>
        </w:rPr>
      </w:pPr>
    </w:p>
    <w:p w14:paraId="6467EBAC">
      <w:pPr>
        <w:spacing w:line="360" w:lineRule="auto"/>
        <w:jc w:val="left"/>
        <w:rPr>
          <w:rFonts w:hint="eastAsia" w:ascii="仿宋" w:hAnsi="仿宋" w:eastAsia="仿宋" w:cs="Arial"/>
          <w:b/>
          <w:bCs/>
          <w:sz w:val="24"/>
          <w:highlight w:val="none"/>
        </w:rPr>
      </w:pPr>
    </w:p>
    <w:p w14:paraId="30141212">
      <w:pPr>
        <w:spacing w:line="360" w:lineRule="auto"/>
        <w:jc w:val="left"/>
        <w:rPr>
          <w:rFonts w:hint="eastAsia" w:ascii="仿宋" w:hAnsi="仿宋" w:eastAsia="仿宋" w:cs="Arial"/>
          <w:b/>
          <w:bCs/>
          <w:sz w:val="24"/>
          <w:highlight w:val="none"/>
        </w:rPr>
      </w:pPr>
    </w:p>
    <w:p w14:paraId="21FFDF62">
      <w:pPr>
        <w:spacing w:line="360" w:lineRule="auto"/>
        <w:jc w:val="left"/>
        <w:rPr>
          <w:rFonts w:hint="eastAsia" w:ascii="仿宋" w:hAnsi="仿宋" w:eastAsia="仿宋" w:cs="Arial"/>
          <w:b/>
          <w:bCs/>
          <w:sz w:val="24"/>
          <w:highlight w:val="none"/>
        </w:rPr>
      </w:pPr>
    </w:p>
    <w:p w14:paraId="78057583">
      <w:pPr>
        <w:spacing w:line="360" w:lineRule="auto"/>
        <w:jc w:val="left"/>
        <w:rPr>
          <w:rFonts w:hint="eastAsia" w:ascii="仿宋" w:hAnsi="仿宋" w:eastAsia="仿宋" w:cs="Arial"/>
          <w:b/>
          <w:bCs/>
          <w:sz w:val="24"/>
          <w:highlight w:val="none"/>
        </w:rPr>
      </w:pPr>
    </w:p>
    <w:p w14:paraId="5D7DB6CD">
      <w:pPr>
        <w:spacing w:line="360" w:lineRule="auto"/>
        <w:jc w:val="left"/>
        <w:rPr>
          <w:rFonts w:hint="eastAsia" w:ascii="仿宋" w:hAnsi="仿宋" w:eastAsia="仿宋" w:cs="Arial"/>
          <w:b/>
          <w:bCs/>
          <w:sz w:val="24"/>
          <w:highlight w:val="none"/>
        </w:rPr>
      </w:pPr>
    </w:p>
    <w:p w14:paraId="7F73A588">
      <w:pPr>
        <w:spacing w:line="360" w:lineRule="auto"/>
        <w:jc w:val="left"/>
        <w:rPr>
          <w:rFonts w:hint="eastAsia" w:ascii="仿宋" w:hAnsi="仿宋" w:eastAsia="仿宋" w:cs="Arial"/>
          <w:b/>
          <w:bCs/>
          <w:sz w:val="24"/>
          <w:highlight w:val="none"/>
        </w:rPr>
      </w:pPr>
    </w:p>
    <w:p w14:paraId="51F8E4A2">
      <w:pPr>
        <w:pStyle w:val="18"/>
        <w:rPr>
          <w:rFonts w:hint="eastAsia"/>
          <w:highlight w:val="none"/>
        </w:rPr>
      </w:pPr>
    </w:p>
    <w:p w14:paraId="2D336487">
      <w:pPr>
        <w:spacing w:line="360" w:lineRule="auto"/>
        <w:jc w:val="left"/>
        <w:rPr>
          <w:rFonts w:hint="eastAsia" w:ascii="仿宋" w:hAnsi="仿宋" w:eastAsia="仿宋" w:cs="Arial"/>
          <w:b/>
          <w:bCs/>
          <w:sz w:val="24"/>
          <w:highlight w:val="none"/>
        </w:rPr>
      </w:pPr>
    </w:p>
    <w:p w14:paraId="64B29178">
      <w:pPr>
        <w:spacing w:line="320" w:lineRule="exact"/>
        <w:rPr>
          <w:rFonts w:hint="eastAsia" w:ascii="仿宋" w:hAnsi="仿宋" w:eastAsia="仿宋" w:cs="Arial"/>
          <w:bCs/>
          <w:sz w:val="32"/>
          <w:szCs w:val="32"/>
          <w:highlight w:val="none"/>
        </w:rPr>
      </w:pPr>
    </w:p>
    <w:p w14:paraId="38CFFBAB">
      <w:pPr>
        <w:keepNext w:val="0"/>
        <w:keepLines w:val="0"/>
        <w:pageBreakBefore/>
        <w:widowControl w:val="0"/>
        <w:kinsoku/>
        <w:wordWrap/>
        <w:overflowPunct/>
        <w:topLinePunct w:val="0"/>
        <w:autoSpaceDE/>
        <w:autoSpaceDN/>
        <w:bidi w:val="0"/>
        <w:adjustRightInd/>
        <w:snapToGrid/>
        <w:spacing w:line="280" w:lineRule="exact"/>
        <w:textAlignment w:val="auto"/>
        <w:outlineLvl w:val="9"/>
        <w:rPr>
          <w:rFonts w:hint="eastAsia" w:ascii="仿宋" w:hAnsi="仿宋" w:eastAsia="仿宋" w:cs="Arial"/>
          <w:bCs/>
          <w:sz w:val="28"/>
          <w:szCs w:val="28"/>
          <w:highlight w:val="none"/>
        </w:rPr>
      </w:pPr>
      <w:r>
        <w:rPr>
          <w:rFonts w:hint="eastAsia" w:ascii="仿宋" w:hAnsi="仿宋" w:eastAsia="仿宋" w:cs="Arial"/>
          <w:bCs/>
          <w:sz w:val="28"/>
          <w:szCs w:val="28"/>
          <w:highlight w:val="none"/>
        </w:rPr>
        <w:t>附件2：</w:t>
      </w:r>
    </w:p>
    <w:bookmarkEnd w:id="46"/>
    <w:bookmarkEnd w:id="47"/>
    <w:p w14:paraId="2DD2D9EE">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Arial Unicode MS"/>
          <w:sz w:val="24"/>
          <w:highlight w:val="none"/>
        </w:rPr>
      </w:pPr>
      <w:r>
        <w:rPr>
          <w:rFonts w:hint="eastAsia" w:ascii="仿宋" w:hAnsi="仿宋" w:eastAsia="仿宋" w:cs="Arial Unicode MS"/>
          <w:sz w:val="24"/>
          <w:highlight w:val="none"/>
        </w:rPr>
        <w:t>中小微企业划型标准</w:t>
      </w:r>
    </w:p>
    <w:tbl>
      <w:tblPr>
        <w:tblStyle w:val="49"/>
        <w:tblW w:w="10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502"/>
        <w:gridCol w:w="778"/>
        <w:gridCol w:w="1234"/>
        <w:gridCol w:w="1867"/>
        <w:gridCol w:w="1686"/>
        <w:gridCol w:w="966"/>
      </w:tblGrid>
      <w:tr w14:paraId="25AC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tblHeader/>
          <w:jc w:val="center"/>
        </w:trPr>
        <w:tc>
          <w:tcPr>
            <w:tcW w:w="2320" w:type="dxa"/>
            <w:shd w:val="clear" w:color="auto" w:fill="FFFFFF"/>
            <w:vAlign w:val="center"/>
          </w:tcPr>
          <w:p w14:paraId="39B74747">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行业名称</w:t>
            </w:r>
          </w:p>
        </w:tc>
        <w:tc>
          <w:tcPr>
            <w:tcW w:w="1502" w:type="dxa"/>
            <w:shd w:val="clear" w:color="auto" w:fill="FFFFFF"/>
            <w:vAlign w:val="center"/>
          </w:tcPr>
          <w:p w14:paraId="23A4B429">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指标名称</w:t>
            </w:r>
          </w:p>
        </w:tc>
        <w:tc>
          <w:tcPr>
            <w:tcW w:w="778" w:type="dxa"/>
            <w:shd w:val="clear" w:color="auto" w:fill="FFFFFF"/>
            <w:vAlign w:val="center"/>
          </w:tcPr>
          <w:p w14:paraId="6F55C244">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计量</w:t>
            </w:r>
            <w:r>
              <w:rPr>
                <w:rFonts w:ascii="仿宋" w:hAnsi="仿宋" w:eastAsia="仿宋"/>
                <w:b/>
                <w:bCs/>
                <w:kern w:val="0"/>
                <w:sz w:val="18"/>
                <w:szCs w:val="18"/>
                <w:highlight w:val="none"/>
              </w:rPr>
              <w:br w:type="textWrapping"/>
            </w:r>
            <w:r>
              <w:rPr>
                <w:rFonts w:ascii="仿宋" w:hAnsi="仿宋" w:eastAsia="仿宋"/>
                <w:b/>
                <w:bCs/>
                <w:kern w:val="0"/>
                <w:sz w:val="18"/>
                <w:szCs w:val="18"/>
                <w:highlight w:val="none"/>
              </w:rPr>
              <w:t>单位</w:t>
            </w:r>
          </w:p>
        </w:tc>
        <w:tc>
          <w:tcPr>
            <w:tcW w:w="1234" w:type="dxa"/>
            <w:shd w:val="clear" w:color="auto" w:fill="FFFFFF"/>
            <w:vAlign w:val="center"/>
          </w:tcPr>
          <w:p w14:paraId="57CB41E1">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大型</w:t>
            </w:r>
          </w:p>
        </w:tc>
        <w:tc>
          <w:tcPr>
            <w:tcW w:w="1867" w:type="dxa"/>
            <w:shd w:val="clear" w:color="auto" w:fill="FFFFFF"/>
            <w:vAlign w:val="center"/>
          </w:tcPr>
          <w:p w14:paraId="396D5B19">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中型</w:t>
            </w:r>
          </w:p>
        </w:tc>
        <w:tc>
          <w:tcPr>
            <w:tcW w:w="1686" w:type="dxa"/>
            <w:shd w:val="clear" w:color="auto" w:fill="FFFFFF"/>
            <w:vAlign w:val="center"/>
          </w:tcPr>
          <w:p w14:paraId="44DE6EA9">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小型</w:t>
            </w:r>
          </w:p>
        </w:tc>
        <w:tc>
          <w:tcPr>
            <w:tcW w:w="966" w:type="dxa"/>
            <w:shd w:val="clear" w:color="auto" w:fill="FFFFFF"/>
            <w:vAlign w:val="center"/>
          </w:tcPr>
          <w:p w14:paraId="73EE3BD1">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微型</w:t>
            </w:r>
          </w:p>
        </w:tc>
      </w:tr>
      <w:tr w14:paraId="0055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Align w:val="center"/>
          </w:tcPr>
          <w:p w14:paraId="4EF5178B">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农、林、牧、渔业</w:t>
            </w:r>
          </w:p>
        </w:tc>
        <w:tc>
          <w:tcPr>
            <w:tcW w:w="1502" w:type="dxa"/>
            <w:vAlign w:val="center"/>
          </w:tcPr>
          <w:p w14:paraId="5370AF3E">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1A3A463B">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493B004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Y≥20000</w:t>
            </w:r>
          </w:p>
        </w:tc>
        <w:tc>
          <w:tcPr>
            <w:tcW w:w="1867" w:type="dxa"/>
            <w:vAlign w:val="center"/>
          </w:tcPr>
          <w:p w14:paraId="1E30792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500≤Y＜20000</w:t>
            </w:r>
          </w:p>
        </w:tc>
        <w:tc>
          <w:tcPr>
            <w:tcW w:w="1686" w:type="dxa"/>
            <w:vAlign w:val="center"/>
          </w:tcPr>
          <w:p w14:paraId="3039F6A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50≤Y＜500</w:t>
            </w:r>
          </w:p>
        </w:tc>
        <w:tc>
          <w:tcPr>
            <w:tcW w:w="966" w:type="dxa"/>
            <w:vAlign w:val="center"/>
          </w:tcPr>
          <w:p w14:paraId="1460459E">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Y＜50</w:t>
            </w:r>
          </w:p>
        </w:tc>
      </w:tr>
      <w:tr w14:paraId="6E9B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1DC5BA00">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工业 *</w:t>
            </w:r>
          </w:p>
        </w:tc>
        <w:tc>
          <w:tcPr>
            <w:tcW w:w="1502" w:type="dxa"/>
            <w:vAlign w:val="center"/>
          </w:tcPr>
          <w:p w14:paraId="66A07057">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06D2B69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2FEAE43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X≥1000</w:t>
            </w:r>
          </w:p>
        </w:tc>
        <w:tc>
          <w:tcPr>
            <w:tcW w:w="1867" w:type="dxa"/>
            <w:vAlign w:val="center"/>
          </w:tcPr>
          <w:p w14:paraId="026718D7">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300≤X＜1000</w:t>
            </w:r>
          </w:p>
        </w:tc>
        <w:tc>
          <w:tcPr>
            <w:tcW w:w="1686" w:type="dxa"/>
            <w:vAlign w:val="center"/>
          </w:tcPr>
          <w:p w14:paraId="41A068BA">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20≤X＜300</w:t>
            </w:r>
          </w:p>
        </w:tc>
        <w:tc>
          <w:tcPr>
            <w:tcW w:w="966" w:type="dxa"/>
            <w:vAlign w:val="center"/>
          </w:tcPr>
          <w:p w14:paraId="04B2B7A7">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w:t>
            </w:r>
          </w:p>
        </w:tc>
      </w:tr>
      <w:tr w14:paraId="48ED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72124CE2">
            <w:pPr>
              <w:widowControl/>
              <w:spacing w:line="240" w:lineRule="exact"/>
              <w:jc w:val="left"/>
              <w:rPr>
                <w:rFonts w:hint="eastAsia" w:ascii="仿宋" w:hAnsi="仿宋" w:eastAsia="仿宋"/>
                <w:kern w:val="0"/>
                <w:sz w:val="18"/>
                <w:szCs w:val="18"/>
                <w:highlight w:val="none"/>
              </w:rPr>
            </w:pPr>
          </w:p>
        </w:tc>
        <w:tc>
          <w:tcPr>
            <w:tcW w:w="1502" w:type="dxa"/>
            <w:vAlign w:val="center"/>
          </w:tcPr>
          <w:p w14:paraId="185CA3E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545B256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7523521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Y≥40000</w:t>
            </w:r>
          </w:p>
        </w:tc>
        <w:tc>
          <w:tcPr>
            <w:tcW w:w="1867" w:type="dxa"/>
            <w:vAlign w:val="center"/>
          </w:tcPr>
          <w:p w14:paraId="4BBC7B96">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2000≤Y＜40000</w:t>
            </w:r>
          </w:p>
        </w:tc>
        <w:tc>
          <w:tcPr>
            <w:tcW w:w="1686" w:type="dxa"/>
            <w:vAlign w:val="center"/>
          </w:tcPr>
          <w:p w14:paraId="2AABC1D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300≤Y＜2000</w:t>
            </w:r>
          </w:p>
        </w:tc>
        <w:tc>
          <w:tcPr>
            <w:tcW w:w="966" w:type="dxa"/>
            <w:vAlign w:val="center"/>
          </w:tcPr>
          <w:p w14:paraId="11DF616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w:t>
            </w:r>
          </w:p>
        </w:tc>
      </w:tr>
      <w:tr w14:paraId="224C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333CE64C">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建筑业</w:t>
            </w:r>
          </w:p>
        </w:tc>
        <w:tc>
          <w:tcPr>
            <w:tcW w:w="1502" w:type="dxa"/>
            <w:vAlign w:val="center"/>
          </w:tcPr>
          <w:p w14:paraId="6203F34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638C923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6BEA482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Y≥80000</w:t>
            </w:r>
          </w:p>
        </w:tc>
        <w:tc>
          <w:tcPr>
            <w:tcW w:w="1867" w:type="dxa"/>
            <w:vAlign w:val="center"/>
          </w:tcPr>
          <w:p w14:paraId="5C4150D6">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6000≤Y＜80000</w:t>
            </w:r>
          </w:p>
        </w:tc>
        <w:tc>
          <w:tcPr>
            <w:tcW w:w="1686" w:type="dxa"/>
            <w:vAlign w:val="center"/>
          </w:tcPr>
          <w:p w14:paraId="60ADF80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300≤Y＜6000</w:t>
            </w:r>
          </w:p>
        </w:tc>
        <w:tc>
          <w:tcPr>
            <w:tcW w:w="966" w:type="dxa"/>
            <w:vAlign w:val="center"/>
          </w:tcPr>
          <w:p w14:paraId="733B925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w:t>
            </w:r>
          </w:p>
        </w:tc>
      </w:tr>
      <w:tr w14:paraId="5A72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48F535DB">
            <w:pPr>
              <w:widowControl/>
              <w:spacing w:line="240" w:lineRule="exact"/>
              <w:jc w:val="left"/>
              <w:rPr>
                <w:rFonts w:hint="eastAsia" w:ascii="仿宋" w:hAnsi="仿宋" w:eastAsia="仿宋"/>
                <w:kern w:val="0"/>
                <w:sz w:val="18"/>
                <w:szCs w:val="18"/>
                <w:highlight w:val="none"/>
              </w:rPr>
            </w:pPr>
          </w:p>
        </w:tc>
        <w:tc>
          <w:tcPr>
            <w:tcW w:w="1502" w:type="dxa"/>
            <w:vAlign w:val="center"/>
          </w:tcPr>
          <w:p w14:paraId="1090779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资产总额(Z)</w:t>
            </w:r>
          </w:p>
        </w:tc>
        <w:tc>
          <w:tcPr>
            <w:tcW w:w="778" w:type="dxa"/>
            <w:vAlign w:val="center"/>
          </w:tcPr>
          <w:p w14:paraId="5A91A62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43A239BE">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Z≥80000</w:t>
            </w:r>
          </w:p>
        </w:tc>
        <w:tc>
          <w:tcPr>
            <w:tcW w:w="1867" w:type="dxa"/>
            <w:vAlign w:val="center"/>
          </w:tcPr>
          <w:p w14:paraId="4822D6A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5000≤Z＜80000</w:t>
            </w:r>
          </w:p>
        </w:tc>
        <w:tc>
          <w:tcPr>
            <w:tcW w:w="1686" w:type="dxa"/>
            <w:vAlign w:val="center"/>
          </w:tcPr>
          <w:p w14:paraId="3100F3A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300≤Z＜5000</w:t>
            </w:r>
          </w:p>
        </w:tc>
        <w:tc>
          <w:tcPr>
            <w:tcW w:w="966" w:type="dxa"/>
            <w:vAlign w:val="center"/>
          </w:tcPr>
          <w:p w14:paraId="034340A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Z＜300</w:t>
            </w:r>
          </w:p>
        </w:tc>
      </w:tr>
      <w:tr w14:paraId="748C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54DACDC3">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批发业</w:t>
            </w:r>
          </w:p>
        </w:tc>
        <w:tc>
          <w:tcPr>
            <w:tcW w:w="1502" w:type="dxa"/>
            <w:vAlign w:val="center"/>
          </w:tcPr>
          <w:p w14:paraId="34B6238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2EE1EE0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3675263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X≥200</w:t>
            </w:r>
          </w:p>
        </w:tc>
        <w:tc>
          <w:tcPr>
            <w:tcW w:w="1867" w:type="dxa"/>
            <w:vAlign w:val="center"/>
          </w:tcPr>
          <w:p w14:paraId="6791807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20≤X＜200</w:t>
            </w:r>
          </w:p>
        </w:tc>
        <w:tc>
          <w:tcPr>
            <w:tcW w:w="1686" w:type="dxa"/>
            <w:vAlign w:val="center"/>
          </w:tcPr>
          <w:p w14:paraId="5ABDCA2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5≤X＜20</w:t>
            </w:r>
          </w:p>
        </w:tc>
        <w:tc>
          <w:tcPr>
            <w:tcW w:w="966" w:type="dxa"/>
            <w:vAlign w:val="center"/>
          </w:tcPr>
          <w:p w14:paraId="5758B6E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X＜5</w:t>
            </w:r>
          </w:p>
        </w:tc>
      </w:tr>
      <w:tr w14:paraId="3A44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3538B34A">
            <w:pPr>
              <w:widowControl/>
              <w:spacing w:line="240" w:lineRule="exact"/>
              <w:jc w:val="left"/>
              <w:rPr>
                <w:rFonts w:hint="eastAsia" w:ascii="仿宋" w:hAnsi="仿宋" w:eastAsia="仿宋"/>
                <w:kern w:val="0"/>
                <w:sz w:val="18"/>
                <w:szCs w:val="18"/>
                <w:highlight w:val="none"/>
              </w:rPr>
            </w:pPr>
          </w:p>
        </w:tc>
        <w:tc>
          <w:tcPr>
            <w:tcW w:w="1502" w:type="dxa"/>
            <w:vAlign w:val="center"/>
          </w:tcPr>
          <w:p w14:paraId="2B8DD4D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0B4D771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129E774A">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Y≥40000</w:t>
            </w:r>
          </w:p>
        </w:tc>
        <w:tc>
          <w:tcPr>
            <w:tcW w:w="1867" w:type="dxa"/>
            <w:vAlign w:val="center"/>
          </w:tcPr>
          <w:p w14:paraId="0B11DC0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5000≤Y＜40000</w:t>
            </w:r>
          </w:p>
        </w:tc>
        <w:tc>
          <w:tcPr>
            <w:tcW w:w="1686" w:type="dxa"/>
            <w:vAlign w:val="center"/>
          </w:tcPr>
          <w:p w14:paraId="0B8D21D5">
            <w:pPr>
              <w:widowControl/>
              <w:spacing w:line="240" w:lineRule="exact"/>
              <w:ind w:left="-1" w:leftChars="-1" w:hanging="1"/>
              <w:jc w:val="center"/>
              <w:rPr>
                <w:rFonts w:hint="eastAsia" w:ascii="仿宋" w:hAnsi="仿宋" w:eastAsia="仿宋"/>
                <w:kern w:val="0"/>
                <w:sz w:val="18"/>
                <w:szCs w:val="18"/>
                <w:highlight w:val="none"/>
              </w:rPr>
            </w:pPr>
            <w:r>
              <w:rPr>
                <w:rFonts w:ascii="仿宋" w:hAnsi="仿宋" w:eastAsia="仿宋"/>
                <w:kern w:val="0"/>
                <w:sz w:val="18"/>
                <w:szCs w:val="18"/>
                <w:highlight w:val="none"/>
              </w:rPr>
              <w:t>1000≤Y＜5000</w:t>
            </w:r>
          </w:p>
        </w:tc>
        <w:tc>
          <w:tcPr>
            <w:tcW w:w="966" w:type="dxa"/>
            <w:vAlign w:val="center"/>
          </w:tcPr>
          <w:p w14:paraId="1B51400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w:t>
            </w:r>
          </w:p>
        </w:tc>
      </w:tr>
      <w:tr w14:paraId="047E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246DD619">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零售业</w:t>
            </w:r>
          </w:p>
        </w:tc>
        <w:tc>
          <w:tcPr>
            <w:tcW w:w="1502" w:type="dxa"/>
            <w:vAlign w:val="center"/>
          </w:tcPr>
          <w:p w14:paraId="7100C22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0BA0773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0D055ED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14:paraId="61C2176A">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50≤X＜300</w:t>
            </w:r>
          </w:p>
        </w:tc>
        <w:tc>
          <w:tcPr>
            <w:tcW w:w="1686" w:type="dxa"/>
            <w:vAlign w:val="center"/>
          </w:tcPr>
          <w:p w14:paraId="55B2E465">
            <w:pPr>
              <w:widowControl/>
              <w:spacing w:line="240" w:lineRule="exact"/>
              <w:ind w:left="-1" w:leftChars="-1" w:hanging="1"/>
              <w:jc w:val="center"/>
              <w:rPr>
                <w:rFonts w:hint="eastAsia" w:ascii="仿宋" w:hAnsi="仿宋" w:eastAsia="仿宋"/>
                <w:kern w:val="0"/>
                <w:sz w:val="18"/>
                <w:szCs w:val="18"/>
                <w:highlight w:val="none"/>
              </w:rPr>
            </w:pPr>
            <w:r>
              <w:rPr>
                <w:rFonts w:ascii="仿宋" w:hAnsi="仿宋" w:eastAsia="仿宋"/>
                <w:kern w:val="0"/>
                <w:sz w:val="18"/>
                <w:szCs w:val="18"/>
                <w:highlight w:val="none"/>
              </w:rPr>
              <w:t xml:space="preserve">10≤X＜50 </w:t>
            </w:r>
          </w:p>
        </w:tc>
        <w:tc>
          <w:tcPr>
            <w:tcW w:w="966" w:type="dxa"/>
            <w:vAlign w:val="center"/>
          </w:tcPr>
          <w:p w14:paraId="68CB028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14:paraId="060F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17A83467">
            <w:pPr>
              <w:widowControl/>
              <w:spacing w:line="240" w:lineRule="exact"/>
              <w:jc w:val="left"/>
              <w:rPr>
                <w:rFonts w:hint="eastAsia" w:ascii="仿宋" w:hAnsi="仿宋" w:eastAsia="仿宋"/>
                <w:kern w:val="0"/>
                <w:sz w:val="18"/>
                <w:szCs w:val="18"/>
                <w:highlight w:val="none"/>
              </w:rPr>
            </w:pPr>
          </w:p>
        </w:tc>
        <w:tc>
          <w:tcPr>
            <w:tcW w:w="1502" w:type="dxa"/>
            <w:vAlign w:val="center"/>
          </w:tcPr>
          <w:p w14:paraId="693E9AF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40B742C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06B6FAA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Y≥20000</w:t>
            </w:r>
          </w:p>
        </w:tc>
        <w:tc>
          <w:tcPr>
            <w:tcW w:w="1867" w:type="dxa"/>
            <w:vAlign w:val="center"/>
          </w:tcPr>
          <w:p w14:paraId="23DAFF9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500≤Y＜20000</w:t>
            </w:r>
          </w:p>
        </w:tc>
        <w:tc>
          <w:tcPr>
            <w:tcW w:w="1686" w:type="dxa"/>
            <w:vAlign w:val="center"/>
          </w:tcPr>
          <w:p w14:paraId="3672BB3E">
            <w:pPr>
              <w:widowControl/>
              <w:spacing w:line="240" w:lineRule="exact"/>
              <w:ind w:left="-1" w:leftChars="-1" w:hanging="1"/>
              <w:jc w:val="center"/>
              <w:rPr>
                <w:rFonts w:hint="eastAsia" w:ascii="仿宋" w:hAnsi="仿宋" w:eastAsia="仿宋"/>
                <w:kern w:val="0"/>
                <w:sz w:val="18"/>
                <w:szCs w:val="18"/>
                <w:highlight w:val="none"/>
              </w:rPr>
            </w:pPr>
            <w:r>
              <w:rPr>
                <w:rFonts w:ascii="仿宋" w:hAnsi="仿宋" w:eastAsia="仿宋"/>
                <w:kern w:val="0"/>
                <w:sz w:val="18"/>
                <w:szCs w:val="18"/>
                <w:highlight w:val="none"/>
              </w:rPr>
              <w:t>100≤Y＜500</w:t>
            </w:r>
          </w:p>
        </w:tc>
        <w:tc>
          <w:tcPr>
            <w:tcW w:w="966" w:type="dxa"/>
            <w:vAlign w:val="center"/>
          </w:tcPr>
          <w:p w14:paraId="61179F3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14:paraId="0060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4A90629E">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交通运输业 *</w:t>
            </w:r>
          </w:p>
        </w:tc>
        <w:tc>
          <w:tcPr>
            <w:tcW w:w="1502" w:type="dxa"/>
            <w:vAlign w:val="center"/>
          </w:tcPr>
          <w:p w14:paraId="4CA6D6CB">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6A0C2E9E">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749B588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X≥1000</w:t>
            </w:r>
          </w:p>
        </w:tc>
        <w:tc>
          <w:tcPr>
            <w:tcW w:w="1867" w:type="dxa"/>
            <w:vAlign w:val="center"/>
          </w:tcPr>
          <w:p w14:paraId="7D890FD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300≤X＜1000</w:t>
            </w:r>
          </w:p>
        </w:tc>
        <w:tc>
          <w:tcPr>
            <w:tcW w:w="1686" w:type="dxa"/>
            <w:vAlign w:val="center"/>
          </w:tcPr>
          <w:p w14:paraId="666BF0F7">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20≤X＜300</w:t>
            </w:r>
          </w:p>
        </w:tc>
        <w:tc>
          <w:tcPr>
            <w:tcW w:w="966" w:type="dxa"/>
            <w:vAlign w:val="center"/>
          </w:tcPr>
          <w:p w14:paraId="2536EFC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w:t>
            </w:r>
          </w:p>
        </w:tc>
      </w:tr>
      <w:tr w14:paraId="1DF8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5C1D1D12">
            <w:pPr>
              <w:widowControl/>
              <w:spacing w:line="240" w:lineRule="exact"/>
              <w:jc w:val="left"/>
              <w:rPr>
                <w:rFonts w:hint="eastAsia" w:ascii="仿宋" w:hAnsi="仿宋" w:eastAsia="仿宋"/>
                <w:kern w:val="0"/>
                <w:sz w:val="18"/>
                <w:szCs w:val="18"/>
                <w:highlight w:val="none"/>
              </w:rPr>
            </w:pPr>
          </w:p>
        </w:tc>
        <w:tc>
          <w:tcPr>
            <w:tcW w:w="1502" w:type="dxa"/>
            <w:vAlign w:val="center"/>
          </w:tcPr>
          <w:p w14:paraId="3D9A995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21A6298B">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2AD590E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Y≥30000</w:t>
            </w:r>
          </w:p>
        </w:tc>
        <w:tc>
          <w:tcPr>
            <w:tcW w:w="1867" w:type="dxa"/>
            <w:vAlign w:val="center"/>
          </w:tcPr>
          <w:p w14:paraId="0D12829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3000≤Y＜30000</w:t>
            </w:r>
          </w:p>
        </w:tc>
        <w:tc>
          <w:tcPr>
            <w:tcW w:w="1686" w:type="dxa"/>
            <w:vAlign w:val="center"/>
          </w:tcPr>
          <w:p w14:paraId="66F0B870">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200≤Y＜3000</w:t>
            </w:r>
          </w:p>
        </w:tc>
        <w:tc>
          <w:tcPr>
            <w:tcW w:w="966" w:type="dxa"/>
            <w:vAlign w:val="center"/>
          </w:tcPr>
          <w:p w14:paraId="1496D0F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Y＜200</w:t>
            </w:r>
          </w:p>
        </w:tc>
      </w:tr>
      <w:tr w14:paraId="3D1D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00396B8D">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仓储业*</w:t>
            </w:r>
          </w:p>
        </w:tc>
        <w:tc>
          <w:tcPr>
            <w:tcW w:w="1502" w:type="dxa"/>
            <w:vAlign w:val="center"/>
          </w:tcPr>
          <w:p w14:paraId="64645136">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0E62E45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2ECD766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X≥200</w:t>
            </w:r>
          </w:p>
        </w:tc>
        <w:tc>
          <w:tcPr>
            <w:tcW w:w="1867" w:type="dxa"/>
            <w:vAlign w:val="center"/>
          </w:tcPr>
          <w:p w14:paraId="633D1798">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100≤X＜200</w:t>
            </w:r>
          </w:p>
        </w:tc>
        <w:tc>
          <w:tcPr>
            <w:tcW w:w="1686" w:type="dxa"/>
            <w:vAlign w:val="center"/>
          </w:tcPr>
          <w:p w14:paraId="60727A9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20≤X＜100</w:t>
            </w:r>
          </w:p>
        </w:tc>
        <w:tc>
          <w:tcPr>
            <w:tcW w:w="966" w:type="dxa"/>
            <w:vAlign w:val="center"/>
          </w:tcPr>
          <w:p w14:paraId="5CAAC35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w:t>
            </w:r>
          </w:p>
        </w:tc>
      </w:tr>
      <w:tr w14:paraId="3E18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3F3B853C">
            <w:pPr>
              <w:widowControl/>
              <w:spacing w:line="240" w:lineRule="exact"/>
              <w:jc w:val="left"/>
              <w:rPr>
                <w:rFonts w:hint="eastAsia" w:ascii="仿宋" w:hAnsi="仿宋" w:eastAsia="仿宋"/>
                <w:kern w:val="0"/>
                <w:sz w:val="18"/>
                <w:szCs w:val="18"/>
                <w:highlight w:val="none"/>
              </w:rPr>
            </w:pPr>
          </w:p>
        </w:tc>
        <w:tc>
          <w:tcPr>
            <w:tcW w:w="1502" w:type="dxa"/>
            <w:vAlign w:val="center"/>
          </w:tcPr>
          <w:p w14:paraId="2420342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44D5CE3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622FEE40">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Y≥30000</w:t>
            </w:r>
          </w:p>
        </w:tc>
        <w:tc>
          <w:tcPr>
            <w:tcW w:w="1867" w:type="dxa"/>
            <w:vAlign w:val="center"/>
          </w:tcPr>
          <w:p w14:paraId="2C98DD1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1000≤Y＜30000</w:t>
            </w:r>
          </w:p>
        </w:tc>
        <w:tc>
          <w:tcPr>
            <w:tcW w:w="1686" w:type="dxa"/>
            <w:vAlign w:val="center"/>
          </w:tcPr>
          <w:p w14:paraId="5BA943C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100≤Y＜1000</w:t>
            </w:r>
          </w:p>
        </w:tc>
        <w:tc>
          <w:tcPr>
            <w:tcW w:w="966" w:type="dxa"/>
            <w:vAlign w:val="center"/>
          </w:tcPr>
          <w:p w14:paraId="37AE77A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14:paraId="40A3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2BC32FF0">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邮政业</w:t>
            </w:r>
          </w:p>
        </w:tc>
        <w:tc>
          <w:tcPr>
            <w:tcW w:w="1502" w:type="dxa"/>
            <w:vAlign w:val="center"/>
          </w:tcPr>
          <w:p w14:paraId="653CD15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6E9233D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09A7B70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X≥1000</w:t>
            </w:r>
          </w:p>
        </w:tc>
        <w:tc>
          <w:tcPr>
            <w:tcW w:w="1867" w:type="dxa"/>
            <w:vAlign w:val="center"/>
          </w:tcPr>
          <w:p w14:paraId="7D191A0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300≤X＜1000</w:t>
            </w:r>
          </w:p>
        </w:tc>
        <w:tc>
          <w:tcPr>
            <w:tcW w:w="1686" w:type="dxa"/>
            <w:vAlign w:val="center"/>
          </w:tcPr>
          <w:p w14:paraId="6433158B">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20≤X＜300</w:t>
            </w:r>
          </w:p>
        </w:tc>
        <w:tc>
          <w:tcPr>
            <w:tcW w:w="966" w:type="dxa"/>
            <w:vAlign w:val="center"/>
          </w:tcPr>
          <w:p w14:paraId="5C48D16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w:t>
            </w:r>
          </w:p>
        </w:tc>
      </w:tr>
      <w:tr w14:paraId="575B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5A9DE896">
            <w:pPr>
              <w:widowControl/>
              <w:spacing w:line="240" w:lineRule="exact"/>
              <w:jc w:val="left"/>
              <w:rPr>
                <w:rFonts w:hint="eastAsia" w:ascii="仿宋" w:hAnsi="仿宋" w:eastAsia="仿宋"/>
                <w:kern w:val="0"/>
                <w:sz w:val="18"/>
                <w:szCs w:val="18"/>
                <w:highlight w:val="none"/>
              </w:rPr>
            </w:pPr>
          </w:p>
        </w:tc>
        <w:tc>
          <w:tcPr>
            <w:tcW w:w="1502" w:type="dxa"/>
            <w:vAlign w:val="center"/>
          </w:tcPr>
          <w:p w14:paraId="2FA11B47">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2E385F2B">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567775A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Y≥30000</w:t>
            </w:r>
          </w:p>
        </w:tc>
        <w:tc>
          <w:tcPr>
            <w:tcW w:w="1867" w:type="dxa"/>
            <w:vAlign w:val="center"/>
          </w:tcPr>
          <w:p w14:paraId="00B982E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2000≤Y＜30000</w:t>
            </w:r>
          </w:p>
        </w:tc>
        <w:tc>
          <w:tcPr>
            <w:tcW w:w="1686" w:type="dxa"/>
            <w:vAlign w:val="center"/>
          </w:tcPr>
          <w:p w14:paraId="7AB1BAD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100≤Y＜2000</w:t>
            </w:r>
          </w:p>
        </w:tc>
        <w:tc>
          <w:tcPr>
            <w:tcW w:w="966" w:type="dxa"/>
            <w:vAlign w:val="center"/>
          </w:tcPr>
          <w:p w14:paraId="125A630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14:paraId="4F27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28D6C63F">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住宿业</w:t>
            </w:r>
          </w:p>
        </w:tc>
        <w:tc>
          <w:tcPr>
            <w:tcW w:w="1502" w:type="dxa"/>
            <w:vAlign w:val="center"/>
          </w:tcPr>
          <w:p w14:paraId="4A609A64">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4DA55D9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4C49F62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14:paraId="3093DE9A">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100≤X＜300</w:t>
            </w:r>
          </w:p>
        </w:tc>
        <w:tc>
          <w:tcPr>
            <w:tcW w:w="1686" w:type="dxa"/>
            <w:vAlign w:val="center"/>
          </w:tcPr>
          <w:p w14:paraId="1432615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14:paraId="46F7393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14:paraId="5C9C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63B2E81F">
            <w:pPr>
              <w:widowControl/>
              <w:spacing w:line="240" w:lineRule="exact"/>
              <w:jc w:val="left"/>
              <w:rPr>
                <w:rFonts w:hint="eastAsia" w:ascii="仿宋" w:hAnsi="仿宋" w:eastAsia="仿宋"/>
                <w:kern w:val="0"/>
                <w:sz w:val="18"/>
                <w:szCs w:val="18"/>
                <w:highlight w:val="none"/>
              </w:rPr>
            </w:pPr>
          </w:p>
        </w:tc>
        <w:tc>
          <w:tcPr>
            <w:tcW w:w="1502" w:type="dxa"/>
            <w:vAlign w:val="center"/>
          </w:tcPr>
          <w:p w14:paraId="640F8E6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52F1A8E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55108CE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Y≥10000</w:t>
            </w:r>
          </w:p>
        </w:tc>
        <w:tc>
          <w:tcPr>
            <w:tcW w:w="1867" w:type="dxa"/>
            <w:vAlign w:val="center"/>
          </w:tcPr>
          <w:p w14:paraId="0569429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2000≤Y＜10000</w:t>
            </w:r>
          </w:p>
        </w:tc>
        <w:tc>
          <w:tcPr>
            <w:tcW w:w="1686" w:type="dxa"/>
            <w:vAlign w:val="center"/>
          </w:tcPr>
          <w:p w14:paraId="0C1BD04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100≤Y＜2000</w:t>
            </w:r>
          </w:p>
        </w:tc>
        <w:tc>
          <w:tcPr>
            <w:tcW w:w="966" w:type="dxa"/>
            <w:vAlign w:val="center"/>
          </w:tcPr>
          <w:p w14:paraId="207F267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14:paraId="46E1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75724723">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餐饮业</w:t>
            </w:r>
          </w:p>
        </w:tc>
        <w:tc>
          <w:tcPr>
            <w:tcW w:w="1502" w:type="dxa"/>
            <w:vAlign w:val="center"/>
          </w:tcPr>
          <w:p w14:paraId="4319802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714AFA8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4FCBB3DA">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14:paraId="2861F66F">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 xml:space="preserve">100≤X＜300 </w:t>
            </w:r>
          </w:p>
        </w:tc>
        <w:tc>
          <w:tcPr>
            <w:tcW w:w="1686" w:type="dxa"/>
            <w:vAlign w:val="center"/>
          </w:tcPr>
          <w:p w14:paraId="4DE44FCE">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14:paraId="6AF407B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14:paraId="41F9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131CB334">
            <w:pPr>
              <w:widowControl/>
              <w:spacing w:line="240" w:lineRule="exact"/>
              <w:jc w:val="left"/>
              <w:rPr>
                <w:rFonts w:hint="eastAsia" w:ascii="仿宋" w:hAnsi="仿宋" w:eastAsia="仿宋"/>
                <w:kern w:val="0"/>
                <w:sz w:val="18"/>
                <w:szCs w:val="18"/>
                <w:highlight w:val="none"/>
              </w:rPr>
            </w:pPr>
          </w:p>
        </w:tc>
        <w:tc>
          <w:tcPr>
            <w:tcW w:w="1502" w:type="dxa"/>
            <w:vAlign w:val="center"/>
          </w:tcPr>
          <w:p w14:paraId="413D016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0130046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3DACEC5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Y≥10000</w:t>
            </w:r>
          </w:p>
        </w:tc>
        <w:tc>
          <w:tcPr>
            <w:tcW w:w="1867" w:type="dxa"/>
            <w:vAlign w:val="center"/>
          </w:tcPr>
          <w:p w14:paraId="3D3EF94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2000≤Y＜10000</w:t>
            </w:r>
          </w:p>
        </w:tc>
        <w:tc>
          <w:tcPr>
            <w:tcW w:w="1686" w:type="dxa"/>
            <w:vAlign w:val="center"/>
          </w:tcPr>
          <w:p w14:paraId="1313246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100≤Y＜2000</w:t>
            </w:r>
          </w:p>
        </w:tc>
        <w:tc>
          <w:tcPr>
            <w:tcW w:w="966" w:type="dxa"/>
            <w:vAlign w:val="center"/>
          </w:tcPr>
          <w:p w14:paraId="4335F26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14:paraId="2244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3CA57DFE">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信息传输业 *</w:t>
            </w:r>
          </w:p>
        </w:tc>
        <w:tc>
          <w:tcPr>
            <w:tcW w:w="1502" w:type="dxa"/>
            <w:vAlign w:val="center"/>
          </w:tcPr>
          <w:p w14:paraId="4BE833F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746178D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6AB12B6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X≥2000</w:t>
            </w:r>
          </w:p>
        </w:tc>
        <w:tc>
          <w:tcPr>
            <w:tcW w:w="1867" w:type="dxa"/>
            <w:vAlign w:val="center"/>
          </w:tcPr>
          <w:p w14:paraId="593975C0">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100≤X＜2000</w:t>
            </w:r>
          </w:p>
        </w:tc>
        <w:tc>
          <w:tcPr>
            <w:tcW w:w="1686" w:type="dxa"/>
            <w:vAlign w:val="center"/>
          </w:tcPr>
          <w:p w14:paraId="4D71E94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14:paraId="58B84E0E">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14:paraId="4766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2E29A789">
            <w:pPr>
              <w:widowControl/>
              <w:spacing w:line="240" w:lineRule="exact"/>
              <w:jc w:val="left"/>
              <w:rPr>
                <w:rFonts w:hint="eastAsia" w:ascii="仿宋" w:hAnsi="仿宋" w:eastAsia="仿宋"/>
                <w:kern w:val="0"/>
                <w:sz w:val="18"/>
                <w:szCs w:val="18"/>
                <w:highlight w:val="none"/>
              </w:rPr>
            </w:pPr>
          </w:p>
        </w:tc>
        <w:tc>
          <w:tcPr>
            <w:tcW w:w="1502" w:type="dxa"/>
            <w:vAlign w:val="center"/>
          </w:tcPr>
          <w:p w14:paraId="25E4352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60D0709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02E27B9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Y≥100000</w:t>
            </w:r>
          </w:p>
        </w:tc>
        <w:tc>
          <w:tcPr>
            <w:tcW w:w="1867" w:type="dxa"/>
            <w:vAlign w:val="center"/>
          </w:tcPr>
          <w:p w14:paraId="465C3E2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1000≤Y＜100000</w:t>
            </w:r>
          </w:p>
        </w:tc>
        <w:tc>
          <w:tcPr>
            <w:tcW w:w="1686" w:type="dxa"/>
            <w:vAlign w:val="center"/>
          </w:tcPr>
          <w:p w14:paraId="209DEC96">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100≤Y＜1000</w:t>
            </w:r>
          </w:p>
        </w:tc>
        <w:tc>
          <w:tcPr>
            <w:tcW w:w="966" w:type="dxa"/>
            <w:vAlign w:val="center"/>
          </w:tcPr>
          <w:p w14:paraId="2076928B">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14:paraId="3F64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22440979">
            <w:pPr>
              <w:widowControl/>
              <w:spacing w:line="240" w:lineRule="exact"/>
              <w:jc w:val="left"/>
              <w:rPr>
                <w:rFonts w:hint="eastAsia" w:ascii="仿宋" w:hAnsi="仿宋" w:eastAsia="仿宋"/>
                <w:spacing w:val="-12"/>
                <w:kern w:val="0"/>
                <w:sz w:val="18"/>
                <w:szCs w:val="18"/>
                <w:highlight w:val="none"/>
              </w:rPr>
            </w:pPr>
            <w:r>
              <w:rPr>
                <w:rFonts w:ascii="仿宋" w:hAnsi="仿宋" w:eastAsia="仿宋"/>
                <w:spacing w:val="-12"/>
                <w:kern w:val="0"/>
                <w:sz w:val="18"/>
                <w:szCs w:val="18"/>
                <w:highlight w:val="none"/>
              </w:rPr>
              <w:t>软件和信息技术服</w:t>
            </w:r>
            <w:r>
              <w:rPr>
                <w:rFonts w:ascii="仿宋" w:hAnsi="仿宋" w:eastAsia="仿宋"/>
                <w:kern w:val="0"/>
                <w:sz w:val="18"/>
                <w:szCs w:val="18"/>
                <w:highlight w:val="none"/>
              </w:rPr>
              <w:t>务业</w:t>
            </w:r>
          </w:p>
        </w:tc>
        <w:tc>
          <w:tcPr>
            <w:tcW w:w="1502" w:type="dxa"/>
            <w:vAlign w:val="center"/>
          </w:tcPr>
          <w:p w14:paraId="6E87E79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16405490">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2EE0DA7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14:paraId="6B3A76E3">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 xml:space="preserve">100≤X＜300 </w:t>
            </w:r>
          </w:p>
        </w:tc>
        <w:tc>
          <w:tcPr>
            <w:tcW w:w="1686" w:type="dxa"/>
            <w:vAlign w:val="center"/>
          </w:tcPr>
          <w:p w14:paraId="6D2ECF3B">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14:paraId="13221B16">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14:paraId="7C1A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2B5FCD6E">
            <w:pPr>
              <w:widowControl/>
              <w:spacing w:line="240" w:lineRule="exact"/>
              <w:jc w:val="left"/>
              <w:rPr>
                <w:rFonts w:hint="eastAsia" w:ascii="仿宋" w:hAnsi="仿宋" w:eastAsia="仿宋"/>
                <w:spacing w:val="-12"/>
                <w:kern w:val="0"/>
                <w:sz w:val="18"/>
                <w:szCs w:val="18"/>
                <w:highlight w:val="none"/>
              </w:rPr>
            </w:pPr>
          </w:p>
        </w:tc>
        <w:tc>
          <w:tcPr>
            <w:tcW w:w="1502" w:type="dxa"/>
            <w:vAlign w:val="center"/>
          </w:tcPr>
          <w:p w14:paraId="5F741C67">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3BCDBCBF">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7DD4E7E6">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Y≥10000</w:t>
            </w:r>
          </w:p>
        </w:tc>
        <w:tc>
          <w:tcPr>
            <w:tcW w:w="1867" w:type="dxa"/>
            <w:vAlign w:val="center"/>
          </w:tcPr>
          <w:p w14:paraId="64ACCD8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1000≤Y＜10000</w:t>
            </w:r>
          </w:p>
        </w:tc>
        <w:tc>
          <w:tcPr>
            <w:tcW w:w="1686" w:type="dxa"/>
            <w:vAlign w:val="center"/>
          </w:tcPr>
          <w:p w14:paraId="44ED47A6">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50≤Y＜1000</w:t>
            </w:r>
          </w:p>
        </w:tc>
        <w:tc>
          <w:tcPr>
            <w:tcW w:w="966" w:type="dxa"/>
            <w:vAlign w:val="center"/>
          </w:tcPr>
          <w:p w14:paraId="687C5E6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Y＜50</w:t>
            </w:r>
          </w:p>
        </w:tc>
      </w:tr>
      <w:tr w14:paraId="3367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1DDFD985">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房地产开发经营</w:t>
            </w:r>
          </w:p>
        </w:tc>
        <w:tc>
          <w:tcPr>
            <w:tcW w:w="1502" w:type="dxa"/>
            <w:vAlign w:val="center"/>
          </w:tcPr>
          <w:p w14:paraId="6A25BA37">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711C7B96">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0FFBDA9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Y≥200000</w:t>
            </w:r>
          </w:p>
        </w:tc>
        <w:tc>
          <w:tcPr>
            <w:tcW w:w="1867" w:type="dxa"/>
            <w:vAlign w:val="center"/>
          </w:tcPr>
          <w:p w14:paraId="2994662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1000≤Y＜200000</w:t>
            </w:r>
          </w:p>
        </w:tc>
        <w:tc>
          <w:tcPr>
            <w:tcW w:w="1686" w:type="dxa"/>
            <w:vAlign w:val="center"/>
          </w:tcPr>
          <w:p w14:paraId="0E68463B">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100≤Y＜1000</w:t>
            </w:r>
          </w:p>
        </w:tc>
        <w:tc>
          <w:tcPr>
            <w:tcW w:w="966" w:type="dxa"/>
            <w:vAlign w:val="center"/>
          </w:tcPr>
          <w:p w14:paraId="0204F4AE">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14:paraId="298F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2320" w:type="dxa"/>
            <w:vMerge w:val="continue"/>
            <w:vAlign w:val="center"/>
          </w:tcPr>
          <w:p w14:paraId="026B44FE">
            <w:pPr>
              <w:widowControl/>
              <w:spacing w:line="240" w:lineRule="exact"/>
              <w:jc w:val="left"/>
              <w:rPr>
                <w:rFonts w:hint="eastAsia" w:ascii="仿宋" w:hAnsi="仿宋" w:eastAsia="仿宋"/>
                <w:kern w:val="0"/>
                <w:sz w:val="18"/>
                <w:szCs w:val="18"/>
                <w:highlight w:val="none"/>
              </w:rPr>
            </w:pPr>
          </w:p>
        </w:tc>
        <w:tc>
          <w:tcPr>
            <w:tcW w:w="1502" w:type="dxa"/>
            <w:vAlign w:val="center"/>
          </w:tcPr>
          <w:p w14:paraId="19136AC3">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资产总额(Z)</w:t>
            </w:r>
          </w:p>
        </w:tc>
        <w:tc>
          <w:tcPr>
            <w:tcW w:w="778" w:type="dxa"/>
            <w:vAlign w:val="center"/>
          </w:tcPr>
          <w:p w14:paraId="70DE4DEA">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32B6C10E">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Z≥10000</w:t>
            </w:r>
          </w:p>
        </w:tc>
        <w:tc>
          <w:tcPr>
            <w:tcW w:w="1867" w:type="dxa"/>
            <w:vAlign w:val="center"/>
          </w:tcPr>
          <w:p w14:paraId="5B08A50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5000≤Z＜10000</w:t>
            </w:r>
          </w:p>
        </w:tc>
        <w:tc>
          <w:tcPr>
            <w:tcW w:w="1686" w:type="dxa"/>
            <w:vAlign w:val="center"/>
          </w:tcPr>
          <w:p w14:paraId="16FC16AA">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2000≤Z＜</w:t>
            </w:r>
            <w:r>
              <w:rPr>
                <w:rFonts w:hint="eastAsia" w:ascii="仿宋" w:hAnsi="仿宋" w:eastAsia="仿宋"/>
                <w:kern w:val="0"/>
                <w:sz w:val="18"/>
                <w:szCs w:val="18"/>
                <w:highlight w:val="none"/>
              </w:rPr>
              <w:t>5000</w:t>
            </w:r>
          </w:p>
        </w:tc>
        <w:tc>
          <w:tcPr>
            <w:tcW w:w="966" w:type="dxa"/>
            <w:vAlign w:val="center"/>
          </w:tcPr>
          <w:p w14:paraId="198A1F4A">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Z＜2000</w:t>
            </w:r>
          </w:p>
        </w:tc>
      </w:tr>
      <w:tr w14:paraId="5CD0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67FC161F">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物业管理</w:t>
            </w:r>
          </w:p>
        </w:tc>
        <w:tc>
          <w:tcPr>
            <w:tcW w:w="1502" w:type="dxa"/>
            <w:vAlign w:val="center"/>
          </w:tcPr>
          <w:p w14:paraId="78D821C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4543D05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49E46F3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X≥1000</w:t>
            </w:r>
          </w:p>
        </w:tc>
        <w:tc>
          <w:tcPr>
            <w:tcW w:w="1867" w:type="dxa"/>
            <w:vAlign w:val="center"/>
          </w:tcPr>
          <w:p w14:paraId="5CCBCDFE">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300≤X＜1000</w:t>
            </w:r>
          </w:p>
        </w:tc>
        <w:tc>
          <w:tcPr>
            <w:tcW w:w="1686" w:type="dxa"/>
            <w:vAlign w:val="center"/>
          </w:tcPr>
          <w:p w14:paraId="678CC79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100≤X＜300</w:t>
            </w:r>
          </w:p>
        </w:tc>
        <w:tc>
          <w:tcPr>
            <w:tcW w:w="966" w:type="dxa"/>
            <w:vAlign w:val="center"/>
          </w:tcPr>
          <w:p w14:paraId="436B2B0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w:t>
            </w:r>
          </w:p>
        </w:tc>
      </w:tr>
      <w:tr w14:paraId="0C77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61EC96C8">
            <w:pPr>
              <w:widowControl/>
              <w:spacing w:line="240" w:lineRule="exact"/>
              <w:jc w:val="left"/>
              <w:rPr>
                <w:rFonts w:hint="eastAsia" w:ascii="仿宋" w:hAnsi="仿宋" w:eastAsia="仿宋"/>
                <w:kern w:val="0"/>
                <w:sz w:val="18"/>
                <w:szCs w:val="18"/>
                <w:highlight w:val="none"/>
              </w:rPr>
            </w:pPr>
          </w:p>
        </w:tc>
        <w:tc>
          <w:tcPr>
            <w:tcW w:w="1502" w:type="dxa"/>
            <w:vAlign w:val="center"/>
          </w:tcPr>
          <w:p w14:paraId="0159DD34">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14:paraId="34D06CF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6A1087A0">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Y≥5000</w:t>
            </w:r>
          </w:p>
        </w:tc>
        <w:tc>
          <w:tcPr>
            <w:tcW w:w="1867" w:type="dxa"/>
            <w:vAlign w:val="center"/>
          </w:tcPr>
          <w:p w14:paraId="2C5CDF57">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1000≤Y＜5000</w:t>
            </w:r>
          </w:p>
        </w:tc>
        <w:tc>
          <w:tcPr>
            <w:tcW w:w="1686" w:type="dxa"/>
            <w:vAlign w:val="center"/>
          </w:tcPr>
          <w:p w14:paraId="551BA9FB">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500≤Y＜1000</w:t>
            </w:r>
          </w:p>
        </w:tc>
        <w:tc>
          <w:tcPr>
            <w:tcW w:w="966" w:type="dxa"/>
            <w:vAlign w:val="center"/>
          </w:tcPr>
          <w:p w14:paraId="3F6C9A46">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Y＜500</w:t>
            </w:r>
          </w:p>
        </w:tc>
      </w:tr>
      <w:tr w14:paraId="345C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082E8103">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租赁和商务服务业</w:t>
            </w:r>
          </w:p>
        </w:tc>
        <w:tc>
          <w:tcPr>
            <w:tcW w:w="1502" w:type="dxa"/>
            <w:vAlign w:val="center"/>
          </w:tcPr>
          <w:p w14:paraId="215CBEE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3447194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794431F7">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14:paraId="6B24EA8E">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100≤X＜300</w:t>
            </w:r>
          </w:p>
        </w:tc>
        <w:tc>
          <w:tcPr>
            <w:tcW w:w="1686" w:type="dxa"/>
            <w:vAlign w:val="center"/>
          </w:tcPr>
          <w:p w14:paraId="19DD641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14:paraId="4931C655">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14:paraId="5F12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44E604DF">
            <w:pPr>
              <w:widowControl/>
              <w:spacing w:line="240" w:lineRule="exact"/>
              <w:jc w:val="left"/>
              <w:rPr>
                <w:rFonts w:hint="eastAsia" w:ascii="仿宋" w:hAnsi="仿宋" w:eastAsia="仿宋"/>
                <w:kern w:val="0"/>
                <w:sz w:val="18"/>
                <w:szCs w:val="18"/>
                <w:highlight w:val="none"/>
              </w:rPr>
            </w:pPr>
          </w:p>
        </w:tc>
        <w:tc>
          <w:tcPr>
            <w:tcW w:w="1502" w:type="dxa"/>
            <w:vAlign w:val="center"/>
          </w:tcPr>
          <w:p w14:paraId="5A1908D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资产总额(Z)</w:t>
            </w:r>
          </w:p>
        </w:tc>
        <w:tc>
          <w:tcPr>
            <w:tcW w:w="778" w:type="dxa"/>
            <w:vAlign w:val="center"/>
          </w:tcPr>
          <w:p w14:paraId="7D36206D">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14:paraId="2FBC582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Z≥120000</w:t>
            </w:r>
          </w:p>
        </w:tc>
        <w:tc>
          <w:tcPr>
            <w:tcW w:w="1867" w:type="dxa"/>
            <w:vAlign w:val="center"/>
          </w:tcPr>
          <w:p w14:paraId="1BC899B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8000≤Z＜120000</w:t>
            </w:r>
          </w:p>
        </w:tc>
        <w:tc>
          <w:tcPr>
            <w:tcW w:w="1686" w:type="dxa"/>
            <w:vAlign w:val="center"/>
          </w:tcPr>
          <w:p w14:paraId="772EE088">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100≤Z＜8000</w:t>
            </w:r>
          </w:p>
        </w:tc>
        <w:tc>
          <w:tcPr>
            <w:tcW w:w="966" w:type="dxa"/>
            <w:vAlign w:val="center"/>
          </w:tcPr>
          <w:p w14:paraId="113B69DC">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Z＜100</w:t>
            </w:r>
          </w:p>
        </w:tc>
      </w:tr>
      <w:tr w14:paraId="5FDA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Align w:val="center"/>
          </w:tcPr>
          <w:p w14:paraId="12BB9CAE">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其他未列明行业*</w:t>
            </w:r>
          </w:p>
        </w:tc>
        <w:tc>
          <w:tcPr>
            <w:tcW w:w="1502" w:type="dxa"/>
            <w:vAlign w:val="center"/>
          </w:tcPr>
          <w:p w14:paraId="3A490781">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14:paraId="0BEEF4B9">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14:paraId="417779E2">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14:paraId="3432C089">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100≤X＜300</w:t>
            </w:r>
          </w:p>
        </w:tc>
        <w:tc>
          <w:tcPr>
            <w:tcW w:w="1686" w:type="dxa"/>
            <w:vAlign w:val="center"/>
          </w:tcPr>
          <w:p w14:paraId="7DB89D57">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14:paraId="6CD55C10">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bl>
    <w:p w14:paraId="1D3E2414">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仿宋" w:hAnsi="仿宋" w:eastAsia="仿宋"/>
          <w:highlight w:val="none"/>
        </w:rPr>
      </w:pPr>
      <w:r>
        <w:rPr>
          <w:rFonts w:hint="eastAsia" w:ascii="仿宋" w:hAnsi="仿宋" w:eastAsia="仿宋" w:cs="宋体"/>
          <w:spacing w:val="8"/>
          <w:kern w:val="0"/>
          <w:sz w:val="18"/>
          <w:szCs w:val="18"/>
          <w:highlight w:val="none"/>
        </w:rPr>
        <w:t>说明：</w:t>
      </w:r>
      <w:r>
        <w:rPr>
          <w:rFonts w:hint="eastAsia" w:ascii="仿宋" w:hAnsi="仿宋" w:eastAsia="仿宋" w:cs="宋体"/>
          <w:spacing w:val="8"/>
          <w:sz w:val="18"/>
          <w:szCs w:val="18"/>
          <w:highlight w:val="none"/>
        </w:rPr>
        <w:t>1.大型、中型和小型企业须同时满足所列指标的下限，否则下划一档；微型企业只须满足所列指标中的一项即可。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hint="eastAsia" w:ascii="仿宋" w:hAnsi="仿宋" w:eastAsia="仿宋"/>
          <w:spacing w:val="8"/>
          <w:sz w:val="18"/>
          <w:szCs w:val="18"/>
          <w:highlight w:val="none"/>
        </w:rPr>
        <w:t>3.</w:t>
      </w:r>
      <w:r>
        <w:rPr>
          <w:rFonts w:hint="eastAsia" w:ascii="仿宋" w:hAnsi="仿宋" w:eastAsia="仿宋" w:cs="宋体"/>
          <w:spacing w:val="8"/>
          <w:sz w:val="18"/>
          <w:szCs w:val="18"/>
          <w:highlight w:val="none"/>
        </w:rPr>
        <w:t>企业划分指标以现行统计制度为准。（</w:t>
      </w:r>
      <w:r>
        <w:rPr>
          <w:rFonts w:hint="eastAsia" w:ascii="仿宋" w:hAnsi="仿宋" w:eastAsia="仿宋"/>
          <w:spacing w:val="8"/>
          <w:sz w:val="18"/>
          <w:szCs w:val="18"/>
          <w:highlight w:val="none"/>
        </w:rPr>
        <w:t>1</w:t>
      </w:r>
      <w:r>
        <w:rPr>
          <w:rFonts w:hint="eastAsia" w:ascii="仿宋" w:hAnsi="仿宋" w:eastAsia="仿宋" w:cs="宋体"/>
          <w:spacing w:val="8"/>
          <w:sz w:val="18"/>
          <w:szCs w:val="18"/>
          <w:highlight w:val="none"/>
        </w:rPr>
        <w:t>）从业人员，是指期末从业人员数，没有期末从业人员数的，采用全年平均人员数代替。（</w:t>
      </w:r>
      <w:r>
        <w:rPr>
          <w:rFonts w:hint="eastAsia" w:ascii="仿宋" w:hAnsi="仿宋" w:eastAsia="仿宋"/>
          <w:spacing w:val="8"/>
          <w:sz w:val="18"/>
          <w:szCs w:val="18"/>
          <w:highlight w:val="none"/>
        </w:rPr>
        <w:t>2</w:t>
      </w:r>
      <w:r>
        <w:rPr>
          <w:rFonts w:hint="eastAsia" w:ascii="仿宋" w:hAnsi="仿宋" w:eastAsia="仿宋" w:cs="宋体"/>
          <w:spacing w:val="8"/>
          <w:sz w:val="18"/>
          <w:szCs w:val="18"/>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spacing w:val="8"/>
          <w:sz w:val="18"/>
          <w:szCs w:val="18"/>
          <w:highlight w:val="none"/>
        </w:rPr>
        <w:t>3</w:t>
      </w:r>
      <w:r>
        <w:rPr>
          <w:rFonts w:hint="eastAsia" w:ascii="仿宋" w:hAnsi="仿宋" w:eastAsia="仿宋" w:cs="宋体"/>
          <w:spacing w:val="8"/>
          <w:sz w:val="18"/>
          <w:szCs w:val="18"/>
          <w:highlight w:val="none"/>
        </w:rPr>
        <w:t>）资产总额，采用资产总计代替。</w:t>
      </w:r>
    </w:p>
    <w:p w14:paraId="27824CF4">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highlight w:val="none"/>
        </w:rPr>
      </w:pPr>
      <w:bookmarkStart w:id="51" w:name="_Toc21766"/>
      <w:r>
        <w:rPr>
          <w:rFonts w:hint="eastAsia" w:ascii="仿宋" w:hAnsi="仿宋" w:eastAsia="仿宋" w:cs="仿宋"/>
          <w:highlight w:val="none"/>
        </w:rPr>
        <w:t>第三章  投标人须知</w:t>
      </w:r>
      <w:bookmarkEnd w:id="51"/>
    </w:p>
    <w:p w14:paraId="0DDF1469">
      <w:pPr>
        <w:spacing w:before="120" w:beforeLines="50"/>
        <w:jc w:val="center"/>
        <w:rPr>
          <w:rFonts w:hint="eastAsia" w:ascii="仿宋" w:hAnsi="仿宋" w:eastAsia="仿宋"/>
          <w:b/>
          <w:sz w:val="28"/>
          <w:szCs w:val="28"/>
          <w:highlight w:val="none"/>
        </w:rPr>
      </w:pPr>
      <w:bookmarkStart w:id="52" w:name="_Toc254970526"/>
      <w:bookmarkStart w:id="53" w:name="_Toc254970667"/>
      <w:r>
        <w:rPr>
          <w:rFonts w:hint="eastAsia" w:ascii="仿宋" w:hAnsi="仿宋" w:eastAsia="仿宋"/>
          <w:b/>
          <w:sz w:val="28"/>
          <w:szCs w:val="28"/>
          <w:highlight w:val="none"/>
        </w:rPr>
        <w:t>投标人须知前附表</w:t>
      </w:r>
      <w:bookmarkEnd w:id="52"/>
      <w:bookmarkEnd w:id="53"/>
    </w:p>
    <w:tbl>
      <w:tblPr>
        <w:tblStyle w:val="49"/>
        <w:tblW w:w="103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14:paraId="74BB8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E9DBD48">
            <w:pPr>
              <w:snapToGrid w:val="0"/>
              <w:spacing w:line="390" w:lineRule="exact"/>
              <w:jc w:val="center"/>
              <w:rPr>
                <w:rFonts w:hint="eastAsia" w:ascii="仿宋" w:hAnsi="仿宋" w:eastAsia="仿宋"/>
                <w:sz w:val="24"/>
                <w:highlight w:val="none"/>
              </w:rPr>
            </w:pPr>
            <w:r>
              <w:rPr>
                <w:rFonts w:hint="eastAsia" w:ascii="仿宋" w:hAnsi="仿宋" w:eastAsia="仿宋"/>
                <w:sz w:val="24"/>
                <w:highlight w:val="none"/>
              </w:rPr>
              <w:t>条款号</w:t>
            </w:r>
          </w:p>
        </w:tc>
        <w:tc>
          <w:tcPr>
            <w:tcW w:w="9275" w:type="dxa"/>
            <w:tcBorders>
              <w:top w:val="single" w:color="auto" w:sz="4" w:space="0"/>
              <w:left w:val="single" w:color="auto" w:sz="4" w:space="0"/>
              <w:bottom w:val="single" w:color="auto" w:sz="4" w:space="0"/>
              <w:right w:val="single" w:color="auto" w:sz="4" w:space="0"/>
            </w:tcBorders>
            <w:vAlign w:val="center"/>
          </w:tcPr>
          <w:p w14:paraId="09F19C10">
            <w:pPr>
              <w:snapToGrid w:val="0"/>
              <w:spacing w:line="390" w:lineRule="exact"/>
              <w:jc w:val="center"/>
              <w:rPr>
                <w:rFonts w:hint="eastAsia" w:ascii="仿宋" w:hAnsi="仿宋" w:eastAsia="仿宋"/>
                <w:sz w:val="24"/>
                <w:highlight w:val="none"/>
              </w:rPr>
            </w:pPr>
            <w:r>
              <w:rPr>
                <w:rFonts w:hint="eastAsia" w:ascii="仿宋" w:hAnsi="仿宋" w:eastAsia="仿宋"/>
                <w:sz w:val="24"/>
                <w:highlight w:val="none"/>
              </w:rPr>
              <w:t>编列内容</w:t>
            </w:r>
          </w:p>
        </w:tc>
      </w:tr>
      <w:tr w14:paraId="769BC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1BC0835">
            <w:pPr>
              <w:spacing w:line="390" w:lineRule="exact"/>
              <w:jc w:val="center"/>
              <w:rPr>
                <w:rFonts w:hint="eastAsia" w:ascii="仿宋" w:hAnsi="仿宋" w:eastAsia="仿宋"/>
                <w:sz w:val="24"/>
                <w:highlight w:val="none"/>
              </w:rPr>
            </w:pPr>
            <w:r>
              <w:rPr>
                <w:rFonts w:hint="eastAsia" w:ascii="仿宋" w:hAnsi="仿宋" w:eastAsia="仿宋"/>
                <w:sz w:val="24"/>
                <w:highlight w:val="none"/>
              </w:rPr>
              <w:t>3</w:t>
            </w:r>
          </w:p>
        </w:tc>
        <w:tc>
          <w:tcPr>
            <w:tcW w:w="9275" w:type="dxa"/>
            <w:tcBorders>
              <w:top w:val="single" w:color="auto" w:sz="4" w:space="0"/>
              <w:left w:val="single" w:color="auto" w:sz="4" w:space="0"/>
              <w:bottom w:val="single" w:color="auto" w:sz="4" w:space="0"/>
              <w:right w:val="single" w:color="auto" w:sz="4" w:space="0"/>
            </w:tcBorders>
            <w:vAlign w:val="center"/>
          </w:tcPr>
          <w:p w14:paraId="7A3ED227">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投标人的资格要求：详见招标公告。</w:t>
            </w:r>
          </w:p>
        </w:tc>
      </w:tr>
      <w:tr w14:paraId="66AEB9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64578D9">
            <w:pPr>
              <w:spacing w:line="390" w:lineRule="exact"/>
              <w:jc w:val="center"/>
              <w:rPr>
                <w:rFonts w:hint="eastAsia" w:ascii="仿宋" w:hAnsi="仿宋" w:eastAsia="仿宋"/>
                <w:sz w:val="24"/>
                <w:highlight w:val="none"/>
              </w:rPr>
            </w:pPr>
            <w:bookmarkStart w:id="54" w:name="_9.2"/>
            <w:bookmarkEnd w:id="54"/>
            <w:bookmarkStart w:id="55" w:name="_5"/>
            <w:bookmarkEnd w:id="55"/>
            <w:bookmarkStart w:id="56" w:name="_8.1"/>
            <w:bookmarkEnd w:id="56"/>
            <w:r>
              <w:rPr>
                <w:rFonts w:hint="eastAsia" w:ascii="仿宋" w:hAnsi="仿宋" w:eastAsia="仿宋"/>
                <w:sz w:val="24"/>
                <w:highlight w:val="none"/>
              </w:rPr>
              <w:t>6.1</w:t>
            </w:r>
          </w:p>
        </w:tc>
        <w:tc>
          <w:tcPr>
            <w:tcW w:w="9275" w:type="dxa"/>
            <w:tcBorders>
              <w:top w:val="single" w:color="auto" w:sz="4" w:space="0"/>
              <w:left w:val="single" w:color="auto" w:sz="4" w:space="0"/>
              <w:bottom w:val="single" w:color="auto" w:sz="4" w:space="0"/>
              <w:right w:val="single" w:color="auto" w:sz="4" w:space="0"/>
            </w:tcBorders>
            <w:vAlign w:val="center"/>
          </w:tcPr>
          <w:p w14:paraId="58FAA953">
            <w:pPr>
              <w:pStyle w:val="16"/>
              <w:spacing w:line="390" w:lineRule="exact"/>
              <w:rPr>
                <w:rFonts w:hint="eastAsia" w:ascii="仿宋" w:hAnsi="仿宋" w:eastAsia="仿宋"/>
                <w:sz w:val="24"/>
                <w:highlight w:val="none"/>
              </w:rPr>
            </w:pPr>
            <w:r>
              <w:rPr>
                <w:rFonts w:hint="eastAsia" w:ascii="仿宋" w:hAnsi="仿宋" w:eastAsia="仿宋"/>
                <w:sz w:val="24"/>
                <w:highlight w:val="none"/>
              </w:rPr>
              <w:t>本项目是否接受联合体投标：详见招标公告。</w:t>
            </w:r>
          </w:p>
        </w:tc>
      </w:tr>
      <w:tr w14:paraId="36EBD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3F577926">
            <w:pPr>
              <w:spacing w:line="390" w:lineRule="exact"/>
              <w:jc w:val="center"/>
              <w:rPr>
                <w:rFonts w:hint="eastAsia" w:ascii="仿宋" w:hAnsi="仿宋" w:eastAsia="仿宋"/>
                <w:sz w:val="24"/>
                <w:highlight w:val="none"/>
              </w:rPr>
            </w:pPr>
            <w:r>
              <w:rPr>
                <w:rFonts w:hint="eastAsia" w:ascii="仿宋" w:hAnsi="仿宋" w:eastAsia="仿宋"/>
                <w:sz w:val="24"/>
                <w:highlight w:val="none"/>
              </w:rPr>
              <w:t>7.2</w:t>
            </w:r>
          </w:p>
        </w:tc>
        <w:tc>
          <w:tcPr>
            <w:tcW w:w="9275" w:type="dxa"/>
            <w:tcBorders>
              <w:top w:val="single" w:color="auto" w:sz="4" w:space="0"/>
              <w:left w:val="single" w:color="auto" w:sz="4" w:space="0"/>
              <w:bottom w:val="single" w:color="auto" w:sz="4" w:space="0"/>
              <w:right w:val="single" w:color="auto" w:sz="4" w:space="0"/>
            </w:tcBorders>
            <w:vAlign w:val="center"/>
          </w:tcPr>
          <w:p w14:paraId="7D03B8E0">
            <w:pPr>
              <w:pStyle w:val="16"/>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本项目不允许分包。</w:t>
            </w:r>
          </w:p>
          <w:p w14:paraId="56C60DAB">
            <w:pPr>
              <w:pStyle w:val="16"/>
              <w:spacing w:line="390" w:lineRule="exact"/>
              <w:rPr>
                <w:rFonts w:hint="eastAsia" w:ascii="仿宋" w:hAnsi="仿宋" w:eastAsia="仿宋"/>
                <w:sz w:val="24"/>
                <w:highlight w:val="none"/>
              </w:rPr>
            </w:pPr>
            <w:r>
              <w:rPr>
                <w:rFonts w:hint="eastAsia" w:ascii="仿宋" w:hAnsi="仿宋" w:eastAsia="仿宋"/>
                <w:sz w:val="24"/>
                <w:highlight w:val="none"/>
              </w:rPr>
              <w:t>□本项目允许分包：</w:t>
            </w:r>
          </w:p>
          <w:p w14:paraId="4FA0E743">
            <w:pPr>
              <w:pStyle w:val="16"/>
              <w:spacing w:line="390" w:lineRule="exact"/>
              <w:rPr>
                <w:rFonts w:hint="eastAsia" w:ascii="仿宋" w:hAnsi="仿宋" w:eastAsia="仿宋"/>
                <w:sz w:val="24"/>
                <w:highlight w:val="none"/>
                <w:u w:val="single"/>
              </w:rPr>
            </w:pPr>
            <w:r>
              <w:rPr>
                <w:rFonts w:hint="eastAsia" w:ascii="仿宋" w:hAnsi="仿宋" w:eastAsia="仿宋"/>
                <w:sz w:val="24"/>
                <w:highlight w:val="none"/>
              </w:rPr>
              <w:t>分包内容：</w:t>
            </w:r>
            <w:r>
              <w:rPr>
                <w:rFonts w:hint="eastAsia" w:ascii="仿宋" w:hAnsi="仿宋" w:eastAsia="仿宋"/>
                <w:sz w:val="24"/>
                <w:highlight w:val="none"/>
                <w:u w:val="single"/>
              </w:rPr>
              <w:t xml:space="preserve">     /     </w:t>
            </w:r>
            <w:r>
              <w:rPr>
                <w:rFonts w:hint="eastAsia" w:ascii="仿宋" w:hAnsi="仿宋" w:eastAsia="仿宋"/>
                <w:sz w:val="24"/>
                <w:highlight w:val="none"/>
              </w:rPr>
              <w:t>。</w:t>
            </w:r>
          </w:p>
          <w:p w14:paraId="217430EF">
            <w:pPr>
              <w:pStyle w:val="16"/>
              <w:spacing w:line="390" w:lineRule="exact"/>
              <w:jc w:val="both"/>
              <w:rPr>
                <w:rFonts w:hint="eastAsia" w:ascii="仿宋" w:hAnsi="仿宋" w:eastAsia="仿宋"/>
                <w:sz w:val="24"/>
                <w:highlight w:val="none"/>
                <w:u w:val="single"/>
              </w:rPr>
            </w:pPr>
            <w:r>
              <w:rPr>
                <w:rFonts w:hint="eastAsia" w:ascii="仿宋" w:hAnsi="仿宋" w:eastAsia="仿宋"/>
                <w:sz w:val="24"/>
                <w:highlight w:val="none"/>
              </w:rPr>
              <w:t>分包金额或者比例：</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w:t>
            </w:r>
          </w:p>
        </w:tc>
      </w:tr>
      <w:tr w14:paraId="1C2263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383BD8D0">
            <w:pPr>
              <w:spacing w:line="390" w:lineRule="exact"/>
              <w:jc w:val="center"/>
              <w:rPr>
                <w:rFonts w:hint="eastAsia" w:ascii="仿宋" w:hAnsi="仿宋" w:eastAsia="仿宋"/>
                <w:sz w:val="24"/>
                <w:highlight w:val="none"/>
              </w:rPr>
            </w:pPr>
            <w:r>
              <w:rPr>
                <w:rFonts w:hint="eastAsia" w:ascii="仿宋" w:hAnsi="仿宋" w:eastAsia="仿宋"/>
                <w:sz w:val="24"/>
                <w:highlight w:val="none"/>
              </w:rPr>
              <w:t>8.1</w:t>
            </w:r>
          </w:p>
        </w:tc>
        <w:tc>
          <w:tcPr>
            <w:tcW w:w="9275" w:type="dxa"/>
            <w:tcBorders>
              <w:top w:val="single" w:color="auto" w:sz="4" w:space="0"/>
              <w:left w:val="single" w:color="auto" w:sz="4" w:space="0"/>
              <w:bottom w:val="single" w:color="auto" w:sz="4" w:space="0"/>
              <w:right w:val="single" w:color="auto" w:sz="4" w:space="0"/>
            </w:tcBorders>
            <w:vAlign w:val="center"/>
          </w:tcPr>
          <w:p w14:paraId="154E5221">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□1、采用最低评标价法的采购项目，提供相同品牌产品（非单一产品采购项目的，指核心产品）的不同投标人评标价相同时，按照下列方式确定一个投标人获得中标人推荐资格：评标委员会随机抽取/按</w:t>
            </w:r>
            <w:r>
              <w:rPr>
                <w:rFonts w:ascii="仿宋" w:hAnsi="仿宋" w:eastAsia="仿宋"/>
                <w:sz w:val="24"/>
                <w:highlight w:val="none"/>
              </w:rPr>
              <w:t>投标报价低</w:t>
            </w:r>
            <w:r>
              <w:rPr>
                <w:rFonts w:hint="eastAsia" w:ascii="仿宋" w:hAnsi="仿宋" w:eastAsia="仿宋"/>
                <w:sz w:val="24"/>
                <w:highlight w:val="none"/>
              </w:rPr>
              <w:t>的原则确定，</w:t>
            </w:r>
            <w:r>
              <w:rPr>
                <w:rFonts w:ascii="仿宋" w:hAnsi="仿宋" w:eastAsia="仿宋"/>
                <w:sz w:val="24"/>
                <w:highlight w:val="none"/>
              </w:rPr>
              <w:t>投标报价相同的</w:t>
            </w:r>
            <w:r>
              <w:rPr>
                <w:rFonts w:hint="eastAsia" w:ascii="仿宋" w:hAnsi="仿宋" w:eastAsia="仿宋" w:cs="宋体"/>
                <w:sz w:val="24"/>
                <w:highlight w:val="none"/>
              </w:rPr>
              <w:t>按</w:t>
            </w:r>
            <w:r>
              <w:rPr>
                <w:rFonts w:ascii="仿宋" w:hAnsi="仿宋" w:eastAsia="仿宋"/>
                <w:sz w:val="24"/>
                <w:highlight w:val="none"/>
              </w:rPr>
              <w:t>节能环保优先、技术指标高优先、质保期长优先、交货期短优先、故障响应时间短优先的</w:t>
            </w:r>
            <w:r>
              <w:rPr>
                <w:rFonts w:hint="eastAsia" w:ascii="仿宋" w:hAnsi="仿宋" w:eastAsia="仿宋" w:cs="宋体"/>
                <w:sz w:val="24"/>
                <w:highlight w:val="none"/>
              </w:rPr>
              <w:t>顺序依次确定。</w:t>
            </w:r>
          </w:p>
          <w:p w14:paraId="2396CE58">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2、采用综合评分法的采购项目，提供相同品牌产品（非单一产品采购项目的，指核心产品）的不同投标人评审得分相同时，按照下列方式确定一个投标人获得中标人推荐资格：□评标委员会随机抽取/</w:t>
            </w: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按</w:t>
            </w:r>
            <w:r>
              <w:rPr>
                <w:rFonts w:ascii="仿宋" w:hAnsi="仿宋" w:eastAsia="仿宋"/>
                <w:sz w:val="24"/>
                <w:highlight w:val="none"/>
              </w:rPr>
              <w:t>投标报价低</w:t>
            </w:r>
            <w:r>
              <w:rPr>
                <w:rFonts w:hint="eastAsia" w:ascii="仿宋" w:hAnsi="仿宋" w:eastAsia="仿宋"/>
                <w:sz w:val="24"/>
                <w:highlight w:val="none"/>
              </w:rPr>
              <w:t>的原则确定，</w:t>
            </w:r>
            <w:r>
              <w:rPr>
                <w:rFonts w:ascii="仿宋" w:hAnsi="仿宋" w:eastAsia="仿宋"/>
                <w:sz w:val="24"/>
                <w:highlight w:val="none"/>
              </w:rPr>
              <w:t>投标报价相同的</w:t>
            </w:r>
            <w:r>
              <w:rPr>
                <w:rFonts w:hint="eastAsia" w:ascii="仿宋" w:hAnsi="仿宋" w:eastAsia="仿宋"/>
                <w:sz w:val="24"/>
                <w:highlight w:val="none"/>
              </w:rPr>
              <w:t>按技术、商务、政策功能得分高低依次确定。</w:t>
            </w:r>
          </w:p>
        </w:tc>
      </w:tr>
      <w:tr w14:paraId="17DAF8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1056" w:type="dxa"/>
            <w:vMerge w:val="restart"/>
            <w:tcBorders>
              <w:top w:val="single" w:color="auto" w:sz="4" w:space="0"/>
              <w:left w:val="single" w:color="auto" w:sz="4" w:space="0"/>
              <w:right w:val="single" w:color="auto" w:sz="4" w:space="0"/>
            </w:tcBorders>
            <w:vAlign w:val="center"/>
          </w:tcPr>
          <w:p w14:paraId="15F83B1A">
            <w:pPr>
              <w:spacing w:line="390" w:lineRule="exact"/>
              <w:jc w:val="center"/>
              <w:rPr>
                <w:rFonts w:hint="eastAsia"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1.</w:t>
            </w:r>
            <w:r>
              <w:rPr>
                <w:rFonts w:hint="eastAsia" w:ascii="仿宋" w:hAnsi="仿宋" w:eastAsia="仿宋"/>
                <w:sz w:val="24"/>
                <w:highlight w:val="none"/>
              </w:rPr>
              <w:t>5</w:t>
            </w:r>
          </w:p>
        </w:tc>
        <w:tc>
          <w:tcPr>
            <w:tcW w:w="9275" w:type="dxa"/>
            <w:tcBorders>
              <w:top w:val="single" w:color="auto" w:sz="4" w:space="0"/>
              <w:left w:val="single" w:color="auto" w:sz="4" w:space="0"/>
              <w:bottom w:val="single" w:color="auto" w:sz="4" w:space="0"/>
              <w:right w:val="single" w:color="auto" w:sz="4" w:space="0"/>
            </w:tcBorders>
            <w:vAlign w:val="center"/>
          </w:tcPr>
          <w:p w14:paraId="37A534B3">
            <w:pPr>
              <w:snapToGrid w:val="0"/>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本项目不组织现场考察。</w:t>
            </w:r>
          </w:p>
          <w:p w14:paraId="140C5536">
            <w:pPr>
              <w:snapToGrid w:val="0"/>
              <w:spacing w:line="390" w:lineRule="exact"/>
              <w:rPr>
                <w:rFonts w:hint="eastAsia" w:ascii="仿宋" w:hAnsi="仿宋" w:eastAsia="仿宋"/>
                <w:sz w:val="24"/>
                <w:highlight w:val="none"/>
              </w:rPr>
            </w:pPr>
            <w:r>
              <w:rPr>
                <w:rFonts w:hint="eastAsia" w:ascii="仿宋" w:hAnsi="仿宋" w:eastAsia="仿宋"/>
                <w:sz w:val="24"/>
                <w:highlight w:val="none"/>
              </w:rPr>
              <w:t>□本项目组织现场考察：</w:t>
            </w:r>
          </w:p>
          <w:p w14:paraId="2EE72A8E">
            <w:pPr>
              <w:snapToGrid w:val="0"/>
              <w:spacing w:line="390" w:lineRule="exact"/>
              <w:rPr>
                <w:rFonts w:hint="eastAsia" w:ascii="仿宋" w:hAnsi="仿宋" w:eastAsia="仿宋"/>
                <w:sz w:val="24"/>
                <w:highlight w:val="none"/>
              </w:rPr>
            </w:pPr>
            <w:r>
              <w:rPr>
                <w:rFonts w:hint="eastAsia" w:ascii="仿宋" w:hAnsi="仿宋" w:eastAsia="仿宋"/>
                <w:sz w:val="24"/>
                <w:highlight w:val="none"/>
              </w:rPr>
              <w:t>集中时间：</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p w14:paraId="3EAFC141">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集中地点：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tc>
      </w:tr>
      <w:tr w14:paraId="0DE164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14:paraId="1679535D">
            <w:pPr>
              <w:spacing w:line="390" w:lineRule="exact"/>
              <w:jc w:val="center"/>
              <w:rPr>
                <w:rFonts w:hint="eastAsia" w:ascii="仿宋" w:hAnsi="仿宋" w:eastAsia="仿宋"/>
                <w:sz w:val="24"/>
                <w:highlight w:val="none"/>
              </w:rPr>
            </w:pPr>
          </w:p>
        </w:tc>
        <w:tc>
          <w:tcPr>
            <w:tcW w:w="9275" w:type="dxa"/>
            <w:tcBorders>
              <w:top w:val="single" w:color="auto" w:sz="4" w:space="0"/>
              <w:left w:val="single" w:color="auto" w:sz="4" w:space="0"/>
              <w:bottom w:val="single" w:color="auto" w:sz="4" w:space="0"/>
              <w:right w:val="single" w:color="auto" w:sz="4" w:space="0"/>
            </w:tcBorders>
            <w:vAlign w:val="center"/>
          </w:tcPr>
          <w:p w14:paraId="418674C8">
            <w:pPr>
              <w:snapToGrid w:val="0"/>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不组织召开开标前答疑会</w:t>
            </w:r>
          </w:p>
          <w:p w14:paraId="33FD569C">
            <w:pPr>
              <w:snapToGrid w:val="0"/>
              <w:spacing w:line="390" w:lineRule="exact"/>
              <w:rPr>
                <w:rFonts w:hint="eastAsia" w:ascii="仿宋" w:hAnsi="仿宋" w:eastAsia="仿宋"/>
                <w:sz w:val="24"/>
                <w:highlight w:val="none"/>
              </w:rPr>
            </w:pPr>
            <w:r>
              <w:rPr>
                <w:rFonts w:hint="eastAsia" w:ascii="仿宋" w:hAnsi="仿宋" w:eastAsia="仿宋"/>
                <w:sz w:val="24"/>
                <w:highlight w:val="none"/>
              </w:rPr>
              <w:t>□组织召开开标前答疑会</w:t>
            </w:r>
          </w:p>
          <w:p w14:paraId="415E897F">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会议开始时间：</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年</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月</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日</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时</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分，逾期后果自负。会议地点：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         </w:t>
            </w:r>
          </w:p>
          <w:p w14:paraId="5DAD1385">
            <w:pPr>
              <w:snapToGrid w:val="0"/>
              <w:spacing w:line="390" w:lineRule="exact"/>
              <w:rPr>
                <w:rFonts w:hint="eastAsia" w:ascii="仿宋" w:hAnsi="仿宋" w:eastAsia="仿宋"/>
                <w:sz w:val="24"/>
                <w:highlight w:val="none"/>
              </w:rPr>
            </w:pPr>
            <w:r>
              <w:rPr>
                <w:rFonts w:hint="eastAsia" w:ascii="仿宋" w:hAnsi="仿宋" w:eastAsia="仿宋"/>
                <w:sz w:val="24"/>
                <w:highlight w:val="none"/>
              </w:rPr>
              <w:t>联系人：</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         </w:t>
            </w:r>
            <w:r>
              <w:rPr>
                <w:rFonts w:hint="eastAsia" w:ascii="仿宋" w:hAnsi="仿宋" w:eastAsia="仿宋"/>
                <w:sz w:val="24"/>
                <w:highlight w:val="none"/>
              </w:rPr>
              <w:t>；联系电话：</w:t>
            </w:r>
            <w:r>
              <w:rPr>
                <w:rFonts w:ascii="仿宋" w:hAnsi="仿宋" w:eastAsia="仿宋"/>
                <w:sz w:val="24"/>
                <w:highlight w:val="none"/>
                <w:u w:val="single"/>
              </w:rPr>
              <w:t xml:space="preserve">         /       </w:t>
            </w:r>
          </w:p>
        </w:tc>
      </w:tr>
      <w:tr w14:paraId="15A502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14:paraId="02F05F50">
            <w:pPr>
              <w:spacing w:line="390" w:lineRule="exact"/>
              <w:jc w:val="center"/>
              <w:rPr>
                <w:rFonts w:hint="eastAsia" w:ascii="仿宋" w:hAnsi="仿宋" w:eastAsia="仿宋"/>
                <w:sz w:val="24"/>
                <w:highlight w:val="none"/>
              </w:rPr>
            </w:pPr>
            <w:bookmarkStart w:id="57" w:name="_13.1"/>
            <w:bookmarkEnd w:id="57"/>
            <w:r>
              <w:rPr>
                <w:rFonts w:hint="eastAsia" w:ascii="仿宋" w:hAnsi="仿宋" w:eastAsia="仿宋"/>
                <w:sz w:val="24"/>
                <w:highlight w:val="none"/>
              </w:rPr>
              <w:t>13.</w:t>
            </w:r>
            <w:bookmarkStart w:id="58" w:name="_Hlt19632543"/>
            <w:r>
              <w:rPr>
                <w:rFonts w:hint="eastAsia" w:ascii="仿宋" w:hAnsi="仿宋" w:eastAsia="仿宋"/>
                <w:sz w:val="24"/>
                <w:highlight w:val="none"/>
              </w:rPr>
              <w:t>1</w:t>
            </w:r>
            <w:bookmarkEnd w:id="58"/>
          </w:p>
        </w:tc>
        <w:tc>
          <w:tcPr>
            <w:tcW w:w="9275" w:type="dxa"/>
            <w:tcBorders>
              <w:top w:val="single" w:color="auto" w:sz="4" w:space="0"/>
              <w:left w:val="single" w:color="auto" w:sz="4" w:space="0"/>
              <w:bottom w:val="single" w:color="auto" w:sz="4" w:space="0"/>
              <w:right w:val="single" w:color="auto" w:sz="4" w:space="0"/>
            </w:tcBorders>
            <w:vAlign w:val="center"/>
          </w:tcPr>
          <w:p w14:paraId="58055B6C">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报价文件: </w:t>
            </w:r>
          </w:p>
          <w:p w14:paraId="11CD8774">
            <w:pPr>
              <w:tabs>
                <w:tab w:val="left" w:pos="459"/>
              </w:tabs>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1、</w:t>
            </w:r>
            <w:bookmarkStart w:id="59" w:name="OLE_LINK23"/>
            <w:r>
              <w:rPr>
                <w:rFonts w:hint="eastAsia" w:ascii="仿宋" w:hAnsi="仿宋" w:eastAsia="仿宋"/>
                <w:sz w:val="24"/>
                <w:highlight w:val="none"/>
              </w:rPr>
              <w:t>投标函（格式后附）；</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bookmarkEnd w:id="59"/>
          <w:p w14:paraId="41BA6DD2">
            <w:pPr>
              <w:tabs>
                <w:tab w:val="left" w:pos="459"/>
              </w:tabs>
              <w:snapToGrid w:val="0"/>
              <w:spacing w:line="390" w:lineRule="exact"/>
              <w:jc w:val="left"/>
              <w:rPr>
                <w:rFonts w:hint="eastAsia" w:ascii="仿宋" w:hAnsi="仿宋" w:eastAsia="仿宋"/>
                <w:sz w:val="24"/>
                <w:highlight w:val="none"/>
              </w:rPr>
            </w:pPr>
            <w:bookmarkStart w:id="60" w:name="_Hlk71299233"/>
            <w:r>
              <w:rPr>
                <w:rFonts w:hint="eastAsia" w:ascii="仿宋" w:hAnsi="仿宋" w:eastAsia="仿宋"/>
                <w:sz w:val="24"/>
                <w:highlight w:val="none"/>
              </w:rPr>
              <w:t>2、开标一览表</w:t>
            </w:r>
            <w:bookmarkEnd w:id="60"/>
            <w:r>
              <w:rPr>
                <w:rFonts w:hint="eastAsia" w:ascii="仿宋" w:hAnsi="仿宋" w:eastAsia="仿宋"/>
                <w:sz w:val="24"/>
                <w:highlight w:val="none"/>
              </w:rPr>
              <w:t>（格式后附）；</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p w14:paraId="2CCCE5DA">
            <w:pPr>
              <w:tabs>
                <w:tab w:val="left" w:pos="459"/>
              </w:tabs>
              <w:snapToGrid w:val="0"/>
              <w:spacing w:line="390" w:lineRule="exact"/>
              <w:jc w:val="left"/>
              <w:rPr>
                <w:rFonts w:hint="eastAsia" w:ascii="仿宋" w:hAnsi="仿宋" w:eastAsia="仿宋"/>
                <w:sz w:val="24"/>
                <w:highlight w:val="none"/>
                <w:lang w:eastAsia="zh-CN"/>
              </w:rPr>
            </w:pPr>
            <w:r>
              <w:rPr>
                <w:rFonts w:hint="eastAsia" w:ascii="仿宋" w:hAnsi="仿宋" w:eastAsia="仿宋"/>
                <w:sz w:val="24"/>
                <w:highlight w:val="none"/>
              </w:rPr>
              <w:t>3、</w:t>
            </w:r>
            <w:bookmarkStart w:id="61" w:name="OLE_LINK24"/>
            <w:r>
              <w:rPr>
                <w:rFonts w:hint="eastAsia" w:ascii="仿宋" w:hAnsi="仿宋" w:eastAsia="仿宋"/>
                <w:sz w:val="24"/>
                <w:highlight w:val="none"/>
              </w:rPr>
              <w:t>投标人针对报价需要说明的其他文件和说明（格式自拟）。</w:t>
            </w:r>
            <w:bookmarkEnd w:id="61"/>
            <w:r>
              <w:rPr>
                <w:rFonts w:hint="eastAsia" w:ascii="仿宋" w:hAnsi="仿宋" w:eastAsia="仿宋"/>
                <w:b/>
                <w:bCs/>
                <w:sz w:val="24"/>
                <w:highlight w:val="none"/>
                <w:lang w:eastAsia="zh-CN"/>
              </w:rPr>
              <w:t>（</w:t>
            </w:r>
            <w:r>
              <w:rPr>
                <w:rFonts w:hint="eastAsia" w:ascii="仿宋" w:hAnsi="仿宋" w:eastAsia="仿宋"/>
                <w:b/>
                <w:bCs/>
                <w:sz w:val="24"/>
                <w:highlight w:val="none"/>
                <w:lang w:val="en-US" w:eastAsia="zh-CN"/>
              </w:rPr>
              <w:t>如有，请提供</w:t>
            </w:r>
            <w:r>
              <w:rPr>
                <w:rFonts w:hint="eastAsia" w:ascii="仿宋" w:hAnsi="仿宋" w:eastAsia="仿宋"/>
                <w:b/>
                <w:bCs/>
                <w:sz w:val="24"/>
                <w:highlight w:val="none"/>
                <w:lang w:eastAsia="zh-CN"/>
              </w:rPr>
              <w:t>）</w:t>
            </w:r>
          </w:p>
          <w:p w14:paraId="562B527D">
            <w:pPr>
              <w:snapToGrid w:val="0"/>
              <w:spacing w:line="390" w:lineRule="exact"/>
              <w:ind w:firstLine="482" w:firstLineChars="200"/>
              <w:jc w:val="left"/>
              <w:rPr>
                <w:rFonts w:hint="eastAsia" w:ascii="仿宋" w:hAnsi="仿宋" w:eastAsia="仿宋"/>
                <w:sz w:val="24"/>
                <w:highlight w:val="none"/>
              </w:rPr>
            </w:pPr>
            <w:r>
              <w:rPr>
                <w:rFonts w:hint="eastAsia" w:ascii="仿宋" w:hAnsi="仿宋" w:eastAsia="仿宋"/>
                <w:b/>
                <w:bCs/>
                <w:sz w:val="24"/>
                <w:highlight w:val="none"/>
              </w:rPr>
              <w:t>注：投标函、开标一览表必须由法定代表人或者委托代理人在规定签章处逐一签字并加盖投标人公章，否则按无效投标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14:paraId="1584C0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3EB7C610">
            <w:pPr>
              <w:spacing w:line="390" w:lineRule="exact"/>
              <w:rPr>
                <w:rFonts w:hint="eastAsia" w:ascii="仿宋" w:hAnsi="仿宋" w:eastAsia="仿宋"/>
                <w:sz w:val="24"/>
                <w:highlight w:val="none"/>
              </w:rPr>
            </w:pPr>
            <w:bookmarkStart w:id="62" w:name="_13.2"/>
            <w:bookmarkEnd w:id="62"/>
          </w:p>
        </w:tc>
        <w:tc>
          <w:tcPr>
            <w:tcW w:w="9275" w:type="dxa"/>
            <w:tcBorders>
              <w:top w:val="single" w:color="auto" w:sz="4" w:space="0"/>
              <w:left w:val="single" w:color="auto" w:sz="4" w:space="0"/>
              <w:bottom w:val="single" w:color="auto" w:sz="4" w:space="0"/>
              <w:right w:val="single" w:color="auto" w:sz="4" w:space="0"/>
            </w:tcBorders>
            <w:vAlign w:val="center"/>
          </w:tcPr>
          <w:p w14:paraId="187F8CDB">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资格证明文件：</w:t>
            </w:r>
          </w:p>
          <w:p w14:paraId="02506950">
            <w:pPr>
              <w:autoSpaceDE w:val="0"/>
              <w:autoSpaceDN w:val="0"/>
              <w:snapToGrid w:val="0"/>
              <w:spacing w:line="390" w:lineRule="exact"/>
              <w:textAlignment w:val="bottom"/>
              <w:rPr>
                <w:rFonts w:ascii="仿宋" w:hAnsi="仿宋" w:eastAsia="仿宋"/>
                <w:b/>
                <w:sz w:val="24"/>
                <w:highlight w:val="none"/>
              </w:rPr>
            </w:pPr>
            <w:bookmarkStart w:id="63" w:name="OLE_LINK22"/>
            <w:r>
              <w:rPr>
                <w:rFonts w:hint="eastAsia" w:ascii="仿宋" w:hAnsi="仿宋" w:eastAsia="仿宋" w:cs="宋体"/>
                <w:sz w:val="24"/>
                <w:highlight w:val="none"/>
                <w:lang w:val="en-US" w:eastAsia="zh-CN"/>
              </w:rPr>
              <w:t>1、</w:t>
            </w:r>
            <w:r>
              <w:rPr>
                <w:rFonts w:hint="eastAsia" w:ascii="仿宋" w:hAnsi="仿宋" w:eastAsia="仿宋" w:cs="宋体"/>
                <w:sz w:val="24"/>
                <w:highlight w:val="none"/>
              </w:rPr>
              <w:t>供应商为法人或者其他组织的，</w:t>
            </w:r>
            <w:r>
              <w:rPr>
                <w:rFonts w:hint="eastAsia" w:ascii="仿宋" w:hAnsi="仿宋" w:eastAsia="仿宋"/>
                <w:sz w:val="24"/>
                <w:highlight w:val="none"/>
              </w:rPr>
              <w:t>证明文件为其营业执照复印件（如营业执照或者事业单位法人证书或者执业许可证等）；供应商为自然人的，证明文件为其身份证复印件；</w:t>
            </w:r>
            <w:r>
              <w:rPr>
                <w:rFonts w:hint="eastAsia" w:ascii="仿宋" w:hAnsi="仿宋" w:eastAsia="仿宋"/>
                <w:b/>
                <w:sz w:val="24"/>
                <w:highlight w:val="none"/>
              </w:rPr>
              <w:t>（必须提供，否则投标文件按无效响应处理</w:t>
            </w:r>
            <w:r>
              <w:rPr>
                <w:rFonts w:ascii="仿宋" w:hAnsi="仿宋" w:eastAsia="仿宋"/>
                <w:b/>
                <w:sz w:val="24"/>
                <w:highlight w:val="none"/>
              </w:rPr>
              <w:t>）</w:t>
            </w:r>
          </w:p>
          <w:p w14:paraId="5C1339BC">
            <w:pPr>
              <w:autoSpaceDE w:val="0"/>
              <w:autoSpaceDN w:val="0"/>
              <w:snapToGrid w:val="0"/>
              <w:spacing w:line="390" w:lineRule="exact"/>
              <w:textAlignment w:val="bottom"/>
              <w:rPr>
                <w:rFonts w:hint="eastAsia" w:ascii="仿宋" w:hAnsi="仿宋" w:eastAsia="仿宋"/>
                <w:b/>
                <w:sz w:val="24"/>
                <w:highlight w:val="none"/>
              </w:rPr>
            </w:pPr>
            <w:r>
              <w:rPr>
                <w:rFonts w:hint="eastAsia" w:ascii="仿宋" w:hAnsi="仿宋" w:eastAsia="仿宋" w:cs="宋体"/>
                <w:sz w:val="24"/>
                <w:highlight w:val="none"/>
                <w:lang w:val="en-US" w:eastAsia="zh-CN"/>
              </w:rPr>
              <w:t>2、投标人关于医疗器械经营的有关证明材料复印件；</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p w14:paraId="09FD9BF3">
            <w:pPr>
              <w:autoSpaceDE w:val="0"/>
              <w:autoSpaceDN w:val="0"/>
              <w:snapToGrid w:val="0"/>
              <w:spacing w:line="390" w:lineRule="exact"/>
              <w:textAlignment w:val="bottom"/>
              <w:rPr>
                <w:rFonts w:hint="default" w:ascii="仿宋" w:hAnsi="仿宋" w:eastAsia="仿宋"/>
                <w:b/>
                <w:sz w:val="24"/>
                <w:highlight w:val="none"/>
                <w:lang w:val="en-US" w:eastAsia="zh-CN"/>
              </w:rPr>
            </w:pPr>
            <w:r>
              <w:rPr>
                <w:rFonts w:hint="default" w:ascii="仿宋" w:hAnsi="仿宋" w:eastAsia="仿宋"/>
                <w:b/>
                <w:sz w:val="24"/>
                <w:highlight w:val="none"/>
                <w:lang w:val="en-US" w:eastAsia="zh-CN"/>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bookmarkEnd w:id="63"/>
          <w:p w14:paraId="3C46862A">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lang w:val="en-US" w:eastAsia="zh-CN"/>
              </w:rPr>
              <w:t>3</w:t>
            </w:r>
            <w:r>
              <w:rPr>
                <w:rFonts w:hint="eastAsia" w:ascii="仿宋" w:hAnsi="仿宋" w:eastAsia="仿宋" w:cs="宋体"/>
                <w:sz w:val="24"/>
                <w:highlight w:val="none"/>
              </w:rPr>
              <w:t>、投标人依法缴纳税收的相关材料（</w:t>
            </w:r>
            <w:r>
              <w:rPr>
                <w:rFonts w:hint="eastAsia" w:ascii="仿宋" w:hAnsi="仿宋" w:eastAsia="仿宋" w:cs="宋体"/>
                <w:sz w:val="24"/>
                <w:highlight w:val="none"/>
                <w:lang w:eastAsia="zh-CN"/>
              </w:rPr>
              <w:t>投标截止时间前半年内任意连续三个月</w:t>
            </w:r>
            <w:r>
              <w:rPr>
                <w:rFonts w:hint="eastAsia" w:ascii="仿宋" w:hAnsi="仿宋" w:eastAsia="仿宋" w:cs="宋体"/>
                <w:sz w:val="24"/>
                <w:highlight w:val="none"/>
              </w:rPr>
              <w:t>的依法缴纳税收的完税凭证复印件；依法免税的供应商，必须提供相应文件证明其依法免税。从</w:t>
            </w:r>
            <w:r>
              <w:rPr>
                <w:rFonts w:ascii="仿宋" w:hAnsi="仿宋" w:eastAsia="仿宋" w:cs="宋体"/>
                <w:sz w:val="24"/>
                <w:highlight w:val="none"/>
              </w:rPr>
              <w:t>成立</w:t>
            </w:r>
            <w:r>
              <w:rPr>
                <w:rFonts w:hint="eastAsia" w:ascii="仿宋" w:hAnsi="仿宋" w:eastAsia="仿宋" w:cs="宋体"/>
                <w:sz w:val="24"/>
                <w:highlight w:val="none"/>
              </w:rPr>
              <w:t>之日起到投标文件提交截止时间止不足要求月数的，只需提供从</w:t>
            </w:r>
            <w:r>
              <w:rPr>
                <w:rFonts w:ascii="仿宋" w:hAnsi="仿宋" w:eastAsia="仿宋" w:cs="宋体"/>
                <w:sz w:val="24"/>
                <w:highlight w:val="none"/>
              </w:rPr>
              <w:t>成立</w:t>
            </w:r>
            <w:r>
              <w:rPr>
                <w:rFonts w:hint="eastAsia" w:ascii="仿宋" w:hAnsi="仿宋" w:eastAsia="仿宋" w:cs="宋体"/>
                <w:sz w:val="24"/>
                <w:highlight w:val="none"/>
              </w:rPr>
              <w:t>之日起的依法缴纳税收相应证明文件）；</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14:paraId="60636CFD">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lang w:val="en-US" w:eastAsia="zh-CN"/>
              </w:rPr>
              <w:t>4</w:t>
            </w:r>
            <w:r>
              <w:rPr>
                <w:rFonts w:hint="eastAsia" w:ascii="仿宋" w:hAnsi="仿宋" w:eastAsia="仿宋" w:cs="宋体"/>
                <w:sz w:val="24"/>
                <w:highlight w:val="none"/>
              </w:rPr>
              <w:t>、投标人财务状况报告【</w:t>
            </w:r>
            <w:r>
              <w:rPr>
                <w:rFonts w:hint="eastAsia" w:ascii="仿宋" w:hAnsi="仿宋" w:eastAsia="仿宋" w:cs="宋体"/>
                <w:sz w:val="24"/>
                <w:highlight w:val="none"/>
                <w:lang w:eastAsia="zh-CN"/>
              </w:rPr>
              <w:t>2024年度经审计的财务报告复印件</w:t>
            </w:r>
            <w:r>
              <w:rPr>
                <w:rFonts w:hint="eastAsia" w:ascii="仿宋" w:hAnsi="仿宋" w:eastAsia="仿宋" w:cs="宋体"/>
                <w:sz w:val="24"/>
                <w:highlight w:val="none"/>
              </w:rPr>
              <w:t>（包括“四表一注”或“三表一注”）或者投标人自行编制的现金流量表、资产负债表、利润表或者银行出具的资信证明；投标人属于成立</w:t>
            </w:r>
            <w:r>
              <w:rPr>
                <w:rFonts w:ascii="仿宋" w:hAnsi="仿宋" w:eastAsia="仿宋" w:cs="宋体"/>
                <w:sz w:val="24"/>
                <w:highlight w:val="none"/>
              </w:rPr>
              <w:t>时间</w:t>
            </w:r>
            <w:r>
              <w:rPr>
                <w:rFonts w:hint="eastAsia" w:ascii="仿宋" w:hAnsi="仿宋" w:eastAsia="仿宋" w:cs="宋体"/>
                <w:sz w:val="24"/>
                <w:highlight w:val="none"/>
              </w:rPr>
              <w:t>在规定年度之后</w:t>
            </w:r>
            <w:r>
              <w:rPr>
                <w:rFonts w:ascii="仿宋" w:hAnsi="仿宋" w:eastAsia="仿宋" w:cs="宋体"/>
                <w:sz w:val="24"/>
                <w:highlight w:val="none"/>
              </w:rPr>
              <w:t>的</w:t>
            </w:r>
            <w:r>
              <w:rPr>
                <w:rFonts w:hint="eastAsia" w:ascii="仿宋" w:hAnsi="仿宋" w:eastAsia="仿宋" w:cs="宋体"/>
                <w:sz w:val="24"/>
                <w:highlight w:val="none"/>
              </w:rPr>
              <w:t>法人或其他组织</w:t>
            </w:r>
            <w:r>
              <w:rPr>
                <w:rFonts w:ascii="仿宋" w:hAnsi="仿宋" w:eastAsia="仿宋" w:cs="宋体"/>
                <w:sz w:val="24"/>
                <w:highlight w:val="none"/>
              </w:rPr>
              <w:t>，需提供成立</w:t>
            </w:r>
            <w:r>
              <w:rPr>
                <w:rFonts w:hint="eastAsia" w:ascii="仿宋" w:hAnsi="仿宋" w:eastAsia="仿宋" w:cs="宋体"/>
                <w:sz w:val="24"/>
                <w:highlight w:val="none"/>
              </w:rPr>
              <w:t>之日起至投标截止时间前</w:t>
            </w:r>
            <w:r>
              <w:rPr>
                <w:rFonts w:ascii="仿宋" w:hAnsi="仿宋" w:eastAsia="仿宋" w:cs="宋体"/>
                <w:sz w:val="24"/>
                <w:highlight w:val="none"/>
              </w:rPr>
              <w:t>的月报表</w:t>
            </w:r>
            <w:r>
              <w:rPr>
                <w:rFonts w:hint="eastAsia" w:ascii="仿宋" w:hAnsi="仿宋" w:eastAsia="仿宋" w:cs="宋体"/>
                <w:sz w:val="24"/>
                <w:highlight w:val="none"/>
              </w:rPr>
              <w:t>或银行出具的资信证明；资信证明应在有效期内，未注明有效期的，银行出具时间至投标截止时间不超过一年】；</w:t>
            </w:r>
            <w:r>
              <w:rPr>
                <w:rFonts w:hint="eastAsia" w:ascii="仿宋" w:hAnsi="仿宋" w:eastAsia="仿宋" w:cs="宋体"/>
                <w:b/>
                <w:sz w:val="24"/>
                <w:highlight w:val="none"/>
              </w:rPr>
              <w:t>（除自然人外必须提供，否则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14:paraId="49CF228D">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lang w:val="en-US" w:eastAsia="zh-CN"/>
              </w:rPr>
              <w:t>5</w:t>
            </w:r>
            <w:r>
              <w:rPr>
                <w:rFonts w:hint="eastAsia" w:ascii="仿宋" w:hAnsi="仿宋" w:eastAsia="仿宋" w:cs="宋体"/>
                <w:sz w:val="24"/>
                <w:highlight w:val="none"/>
              </w:rPr>
              <w:t>、投标人直接控股、管理关系信息表（格式后附）；</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14:paraId="5A31D0A7">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lang w:val="en-US" w:eastAsia="zh-CN"/>
              </w:rPr>
              <w:t>6</w:t>
            </w:r>
            <w:r>
              <w:rPr>
                <w:rFonts w:hint="eastAsia" w:ascii="仿宋" w:hAnsi="仿宋" w:eastAsia="仿宋" w:cs="宋体"/>
                <w:sz w:val="24"/>
                <w:highlight w:val="none"/>
              </w:rPr>
              <w:t>、投标声明（格式后附）；</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14:paraId="161EB2FA">
            <w:pPr>
              <w:autoSpaceDE w:val="0"/>
              <w:autoSpaceDN w:val="0"/>
              <w:snapToGrid w:val="0"/>
              <w:spacing w:line="390" w:lineRule="exact"/>
              <w:textAlignment w:val="bottom"/>
              <w:rPr>
                <w:rFonts w:hint="eastAsia" w:ascii="仿宋" w:hAnsi="仿宋" w:eastAsia="仿宋" w:cs="宋体"/>
                <w:sz w:val="24"/>
                <w:highlight w:val="none"/>
              </w:rPr>
            </w:pPr>
            <w:bookmarkStart w:id="64" w:name="OLE_LINK7"/>
            <w:r>
              <w:rPr>
                <w:rFonts w:hint="eastAsia" w:ascii="仿宋" w:hAnsi="仿宋" w:eastAsia="仿宋" w:cs="宋体"/>
                <w:sz w:val="24"/>
                <w:highlight w:val="none"/>
                <w:lang w:val="en-US" w:eastAsia="zh-CN"/>
              </w:rPr>
              <w:t>7</w:t>
            </w:r>
            <w:r>
              <w:rPr>
                <w:rFonts w:hint="eastAsia" w:ascii="仿宋" w:hAnsi="仿宋" w:eastAsia="仿宋" w:cs="宋体"/>
                <w:sz w:val="24"/>
                <w:highlight w:val="none"/>
              </w:rPr>
              <w:t>、投标人提供的货物全部由符合政策要求中小企业制造，投标文件中提供《中小企业声明函》；属于监狱企业的，提供由省级以上监狱管理局、戒毒管理局(含新疆生产建设兵团)出具的属于监狱企业的证明文件</w:t>
            </w:r>
            <w:r>
              <w:rPr>
                <w:rFonts w:hint="eastAsia" w:ascii="仿宋" w:hAnsi="仿宋" w:eastAsia="仿宋" w:cs="宋体"/>
                <w:sz w:val="24"/>
                <w:highlight w:val="none"/>
                <w:lang w:eastAsia="zh-CN"/>
              </w:rPr>
              <w:t>；</w:t>
            </w:r>
            <w:r>
              <w:rPr>
                <w:rFonts w:hint="eastAsia" w:ascii="仿宋" w:hAnsi="仿宋" w:eastAsia="仿宋" w:cs="宋体"/>
                <w:b/>
                <w:sz w:val="24"/>
                <w:highlight w:val="none"/>
                <w:lang w:val="en-US" w:eastAsia="zh-CN"/>
              </w:rPr>
              <w:t>（如有，请提供）</w:t>
            </w:r>
          </w:p>
          <w:p w14:paraId="1FAC75D0">
            <w:pPr>
              <w:autoSpaceDE w:val="0"/>
              <w:autoSpaceDN w:val="0"/>
              <w:snapToGrid w:val="0"/>
              <w:spacing w:line="390" w:lineRule="exact"/>
              <w:textAlignment w:val="bottom"/>
              <w:rPr>
                <w:rFonts w:hint="eastAsia" w:ascii="仿宋" w:hAnsi="仿宋" w:eastAsia="仿宋" w:cs="宋体"/>
                <w:sz w:val="24"/>
                <w:highlight w:val="none"/>
              </w:rPr>
            </w:pPr>
            <w:r>
              <w:rPr>
                <w:rFonts w:hint="eastAsia" w:ascii="仿宋" w:hAnsi="仿宋" w:eastAsia="仿宋" w:cs="宋体"/>
                <w:sz w:val="24"/>
                <w:highlight w:val="none"/>
                <w:lang w:val="en-US" w:eastAsia="zh-CN"/>
              </w:rPr>
              <w:t>8、</w:t>
            </w:r>
            <w:r>
              <w:rPr>
                <w:rFonts w:hint="eastAsia" w:ascii="仿宋" w:hAnsi="仿宋" w:eastAsia="仿宋" w:cs="宋体"/>
                <w:sz w:val="24"/>
                <w:highlight w:val="none"/>
              </w:rPr>
              <w:t>符合条件的残疾人福利性单位在参加政府采购活动时，提供《残疾人福利性单位声明函》，并对声明的真实性负责；</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14:paraId="30D34FEA">
            <w:pPr>
              <w:autoSpaceDE w:val="0"/>
              <w:autoSpaceDN w:val="0"/>
              <w:snapToGrid w:val="0"/>
              <w:spacing w:line="390" w:lineRule="exact"/>
              <w:textAlignment w:val="bottom"/>
              <w:rPr>
                <w:rFonts w:hint="eastAsia" w:ascii="仿宋" w:hAnsi="仿宋" w:eastAsia="仿宋" w:cs="宋体"/>
                <w:sz w:val="24"/>
                <w:highlight w:val="none"/>
              </w:rPr>
            </w:pPr>
            <w:r>
              <w:rPr>
                <w:rFonts w:hint="eastAsia" w:ascii="仿宋" w:hAnsi="仿宋" w:eastAsia="仿宋" w:cs="宋体"/>
                <w:sz w:val="24"/>
                <w:highlight w:val="none"/>
                <w:lang w:val="en-US" w:eastAsia="zh-CN"/>
              </w:rPr>
              <w:t>9</w:t>
            </w:r>
            <w:r>
              <w:rPr>
                <w:rFonts w:hint="eastAsia" w:ascii="仿宋" w:hAnsi="仿宋" w:eastAsia="仿宋" w:cs="宋体"/>
                <w:sz w:val="24"/>
                <w:highlight w:val="none"/>
              </w:rPr>
              <w:t>、除招标文件规定必须提供以外，投标人认为需要提供的其他证明材料。</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bookmarkEnd w:id="64"/>
          <w:p w14:paraId="49F52500">
            <w:pPr>
              <w:snapToGrid w:val="0"/>
              <w:spacing w:line="390" w:lineRule="exact"/>
              <w:jc w:val="left"/>
              <w:rPr>
                <w:rFonts w:hint="eastAsia" w:ascii="仿宋" w:hAnsi="仿宋" w:eastAsia="仿宋"/>
                <w:b/>
                <w:bCs/>
                <w:sz w:val="24"/>
                <w:highlight w:val="none"/>
              </w:rPr>
            </w:pPr>
            <w:r>
              <w:rPr>
                <w:rFonts w:hint="eastAsia" w:ascii="仿宋" w:hAnsi="仿宋" w:eastAsia="仿宋"/>
                <w:b/>
                <w:bCs/>
                <w:sz w:val="24"/>
                <w:highlight w:val="none"/>
              </w:rPr>
              <w:t>注：</w:t>
            </w:r>
          </w:p>
          <w:p w14:paraId="64289816">
            <w:pPr>
              <w:snapToGrid w:val="0"/>
              <w:spacing w:line="390" w:lineRule="exact"/>
              <w:ind w:firstLine="482" w:firstLineChars="200"/>
              <w:jc w:val="left"/>
              <w:rPr>
                <w:rFonts w:hint="eastAsia" w:ascii="仿宋" w:hAnsi="仿宋" w:eastAsia="仿宋" w:cs="Courier New"/>
                <w:b/>
                <w:sz w:val="24"/>
                <w:highlight w:val="none"/>
              </w:rPr>
            </w:pPr>
            <w:r>
              <w:rPr>
                <w:rFonts w:hint="eastAsia" w:ascii="仿宋" w:hAnsi="仿宋" w:eastAsia="仿宋"/>
                <w:b/>
                <w:bCs/>
                <w:sz w:val="24"/>
                <w:highlight w:val="none"/>
              </w:rPr>
              <w:t>1、以上标明“必须提供”的材料属于复印件的，必须加盖投标人公章，否则按无效投标</w:t>
            </w:r>
            <w:r>
              <w:rPr>
                <w:rFonts w:hint="eastAsia" w:ascii="仿宋" w:hAnsi="仿宋" w:eastAsia="仿宋" w:cs="Courier New"/>
                <w:b/>
                <w:sz w:val="24"/>
                <w:highlight w:val="none"/>
              </w:rPr>
              <w:t>处理。</w:t>
            </w:r>
          </w:p>
          <w:p w14:paraId="27CBB362">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cs="Courier New"/>
                <w:b/>
                <w:sz w:val="24"/>
                <w:highlight w:val="none"/>
              </w:rPr>
              <w:t>2、</w:t>
            </w:r>
            <w:r>
              <w:rPr>
                <w:rFonts w:hint="eastAsia" w:ascii="仿宋" w:hAnsi="仿宋" w:eastAsia="仿宋"/>
                <w:b/>
                <w:bCs/>
                <w:sz w:val="24"/>
                <w:highlight w:val="none"/>
              </w:rPr>
              <w:t>投标声明必须由法定代表人在规定签章处签字并加盖投标人公章，否则按无效投标处理。</w:t>
            </w:r>
          </w:p>
          <w:p w14:paraId="45DB616C">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3、投标人直接控股、管理关系信息表必须由法定代表人或者委托代理人在规定签章处签字并加盖投标人公章，否则按无效投标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p w14:paraId="66CE3166">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lang w:val="en-US" w:eastAsia="zh-CN"/>
              </w:rPr>
              <w:t>4</w:t>
            </w:r>
            <w:r>
              <w:rPr>
                <w:rFonts w:hint="eastAsia" w:ascii="仿宋" w:hAnsi="仿宋" w:eastAsia="仿宋"/>
                <w:b/>
                <w:bCs/>
                <w:sz w:val="24"/>
                <w:highlight w:val="none"/>
              </w:rPr>
              <w:t>、分公司参加投标的，应当取得总公司授权，否则按无效投标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。（允许分公司参与的行业有银行、保险、石油石化、电力、电信等行业）。</w:t>
            </w:r>
          </w:p>
        </w:tc>
      </w:tr>
      <w:tr w14:paraId="14678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27E379E4">
            <w:pPr>
              <w:spacing w:line="390" w:lineRule="exact"/>
              <w:rPr>
                <w:rFonts w:hint="eastAsia" w:ascii="仿宋" w:hAnsi="仿宋" w:eastAsia="仿宋"/>
                <w:sz w:val="24"/>
                <w:highlight w:val="none"/>
              </w:rPr>
            </w:pPr>
            <w:bookmarkStart w:id="65" w:name="_13.3"/>
            <w:bookmarkEnd w:id="65"/>
          </w:p>
        </w:tc>
        <w:tc>
          <w:tcPr>
            <w:tcW w:w="9275" w:type="dxa"/>
            <w:tcBorders>
              <w:top w:val="single" w:color="auto" w:sz="4" w:space="0"/>
              <w:left w:val="single" w:color="auto" w:sz="4" w:space="0"/>
              <w:bottom w:val="single" w:color="auto" w:sz="4" w:space="0"/>
              <w:right w:val="single" w:color="auto" w:sz="4" w:space="0"/>
            </w:tcBorders>
            <w:vAlign w:val="center"/>
          </w:tcPr>
          <w:p w14:paraId="069128A3">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商务文件： </w:t>
            </w:r>
          </w:p>
          <w:p w14:paraId="0CA822DC">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1、无串通投标行为的承诺函（格式后附）；（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14:paraId="32677DD6">
            <w:pPr>
              <w:snapToGrid w:val="0"/>
              <w:spacing w:line="390" w:lineRule="exact"/>
              <w:jc w:val="left"/>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、法定代表人身份证明及法定代表人有效身份证正反面复印件（格式后附）；（</w:t>
            </w:r>
            <w:r>
              <w:rPr>
                <w:rFonts w:hint="eastAsia" w:ascii="仿宋" w:hAnsi="仿宋" w:eastAsia="仿宋" w:cs="宋体"/>
                <w:b/>
                <w:bCs/>
                <w:sz w:val="24"/>
                <w:highlight w:val="none"/>
              </w:rPr>
              <w:t>除自然人投标外</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14:paraId="19BD492E">
            <w:pPr>
              <w:snapToGrid w:val="0"/>
              <w:spacing w:line="390" w:lineRule="exact"/>
              <w:jc w:val="left"/>
              <w:rPr>
                <w:rFonts w:hint="eastAsia" w:ascii="仿宋" w:hAnsi="仿宋" w:eastAsia="仿宋"/>
                <w:sz w:val="24"/>
                <w:highlight w:val="none"/>
              </w:rPr>
            </w:pPr>
            <w:r>
              <w:rPr>
                <w:rFonts w:ascii="仿宋" w:hAnsi="仿宋" w:eastAsia="仿宋"/>
                <w:sz w:val="24"/>
                <w:highlight w:val="none"/>
              </w:rPr>
              <w:t>3</w:t>
            </w:r>
            <w:r>
              <w:rPr>
                <w:rFonts w:hint="eastAsia" w:ascii="仿宋" w:hAnsi="仿宋" w:eastAsia="仿宋"/>
                <w:sz w:val="24"/>
                <w:highlight w:val="none"/>
              </w:rPr>
              <w:t>、授权委托书及委托代理人有效身份证正反面复印件（格式后附）；（</w:t>
            </w:r>
            <w:r>
              <w:rPr>
                <w:rFonts w:hint="eastAsia" w:ascii="仿宋" w:hAnsi="仿宋" w:eastAsia="仿宋"/>
                <w:b/>
                <w:sz w:val="24"/>
                <w:highlight w:val="none"/>
              </w:rPr>
              <w:t>委托时必须提供，否则投标文件按无效投标处理</w:t>
            </w:r>
            <w:r>
              <w:rPr>
                <w:rFonts w:hint="eastAsia" w:ascii="仿宋" w:hAnsi="仿宋" w:eastAsia="仿宋"/>
                <w:sz w:val="24"/>
                <w:highlight w:val="none"/>
              </w:rPr>
              <w:t>）</w:t>
            </w:r>
          </w:p>
          <w:p w14:paraId="1F0437F4">
            <w:pPr>
              <w:snapToGrid w:val="0"/>
              <w:spacing w:line="390" w:lineRule="exact"/>
              <w:jc w:val="left"/>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、商务要求偏离表（格式后附）；（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14:paraId="3E0906DA">
            <w:pPr>
              <w:snapToGrid w:val="0"/>
              <w:spacing w:line="390" w:lineRule="exact"/>
              <w:jc w:val="left"/>
              <w:rPr>
                <w:rFonts w:hint="eastAsia" w:ascii="仿宋" w:hAnsi="仿宋" w:eastAsia="仿宋"/>
                <w:sz w:val="24"/>
                <w:highlight w:val="none"/>
              </w:rPr>
            </w:pPr>
            <w:r>
              <w:rPr>
                <w:rFonts w:ascii="仿宋" w:hAnsi="仿宋" w:eastAsia="仿宋"/>
                <w:sz w:val="24"/>
                <w:highlight w:val="none"/>
              </w:rPr>
              <w:t>5</w:t>
            </w:r>
            <w:r>
              <w:rPr>
                <w:rFonts w:hint="eastAsia" w:ascii="仿宋" w:hAnsi="仿宋" w:eastAsia="仿宋"/>
                <w:sz w:val="24"/>
                <w:highlight w:val="none"/>
              </w:rPr>
              <w:t>、售后服务承诺（格式自拟）；（</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14:paraId="4AC10056">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6、投标人业绩证明材料（格式后附）；</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14:paraId="71AEFB63">
            <w:pPr>
              <w:snapToGrid w:val="0"/>
              <w:spacing w:line="390" w:lineRule="exact"/>
              <w:jc w:val="left"/>
              <w:rPr>
                <w:rFonts w:hint="eastAsia" w:ascii="仿宋" w:hAnsi="仿宋" w:eastAsia="仿宋"/>
                <w:sz w:val="24"/>
                <w:highlight w:val="none"/>
              </w:rPr>
            </w:pPr>
            <w:r>
              <w:rPr>
                <w:rFonts w:ascii="仿宋" w:hAnsi="仿宋" w:eastAsia="仿宋"/>
                <w:sz w:val="24"/>
                <w:highlight w:val="none"/>
              </w:rPr>
              <w:t>7</w:t>
            </w:r>
            <w:r>
              <w:rPr>
                <w:rFonts w:hint="eastAsia" w:ascii="仿宋" w:hAnsi="仿宋" w:eastAsia="仿宋"/>
                <w:sz w:val="24"/>
                <w:highlight w:val="none"/>
              </w:rPr>
              <w:t>、除招标文件规定必须提供以外，投标人认为需要提供的其他证明材料（格式自拟）。（投标人根据“第二章 采购需求”及“第四章 评标方法及评标标准”提供有关证明材料）。</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14:paraId="119E1A65">
            <w:pPr>
              <w:snapToGrid w:val="0"/>
              <w:spacing w:line="390" w:lineRule="exact"/>
              <w:ind w:firstLine="482" w:firstLineChars="200"/>
              <w:jc w:val="left"/>
              <w:rPr>
                <w:rFonts w:hint="eastAsia" w:ascii="仿宋" w:hAnsi="仿宋" w:eastAsia="仿宋"/>
                <w:sz w:val="24"/>
                <w:highlight w:val="none"/>
              </w:rPr>
            </w:pPr>
            <w:r>
              <w:rPr>
                <w:rFonts w:hint="eastAsia" w:ascii="仿宋" w:hAnsi="仿宋" w:eastAsia="仿宋"/>
                <w:b/>
                <w:bCs/>
                <w:sz w:val="24"/>
                <w:highlight w:val="none"/>
              </w:rPr>
              <w:t>注：以上标明“必须提供”的材料属于复印件的，必须加盖投标人公章，否则按无效投标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14:paraId="5B5B4A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14:paraId="2E87FF5C">
            <w:pPr>
              <w:spacing w:line="390" w:lineRule="exact"/>
              <w:rPr>
                <w:rFonts w:hint="eastAsia" w:ascii="仿宋" w:hAnsi="仿宋" w:eastAsia="仿宋"/>
                <w:sz w:val="24"/>
                <w:highlight w:val="none"/>
              </w:rPr>
            </w:pPr>
            <w:bookmarkStart w:id="66" w:name="_13.4"/>
            <w:bookmarkEnd w:id="66"/>
          </w:p>
        </w:tc>
        <w:tc>
          <w:tcPr>
            <w:tcW w:w="9275" w:type="dxa"/>
            <w:tcBorders>
              <w:top w:val="single" w:color="auto" w:sz="4" w:space="0"/>
              <w:left w:val="single" w:color="auto" w:sz="4" w:space="0"/>
              <w:bottom w:val="single" w:color="auto" w:sz="4" w:space="0"/>
              <w:right w:val="single" w:color="auto" w:sz="4" w:space="0"/>
            </w:tcBorders>
            <w:vAlign w:val="center"/>
          </w:tcPr>
          <w:p w14:paraId="31151412">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技术文件： </w:t>
            </w:r>
          </w:p>
          <w:p w14:paraId="3E2B20B6">
            <w:pPr>
              <w:snapToGrid w:val="0"/>
              <w:spacing w:line="390" w:lineRule="exact"/>
              <w:jc w:val="left"/>
              <w:rPr>
                <w:rFonts w:hint="eastAsia"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、技术要求偏离表（格式后附）；（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14:paraId="71D39EBE">
            <w:pPr>
              <w:snapToGrid w:val="0"/>
              <w:spacing w:line="390" w:lineRule="exact"/>
              <w:jc w:val="left"/>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w:t>
            </w:r>
            <w:bookmarkStart w:id="67" w:name="OLE_LINK25"/>
            <w:r>
              <w:rPr>
                <w:rFonts w:hint="eastAsia" w:ascii="仿宋" w:hAnsi="仿宋" w:eastAsia="仿宋"/>
                <w:sz w:val="24"/>
                <w:highlight w:val="none"/>
              </w:rPr>
              <w:t>招标文件第二章“采购需求”要求提供的技术证明材料（格式自拟）；</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bookmarkEnd w:id="67"/>
          <w:p w14:paraId="6BE687FF">
            <w:pPr>
              <w:snapToGrid w:val="0"/>
              <w:spacing w:line="390" w:lineRule="exact"/>
              <w:jc w:val="left"/>
              <w:rPr>
                <w:rFonts w:hint="eastAsia" w:ascii="仿宋" w:hAnsi="仿宋" w:eastAsia="仿宋"/>
                <w:sz w:val="24"/>
                <w:highlight w:val="none"/>
              </w:rPr>
            </w:pPr>
            <w:r>
              <w:rPr>
                <w:rFonts w:ascii="仿宋" w:hAnsi="仿宋" w:eastAsia="仿宋"/>
                <w:sz w:val="24"/>
                <w:highlight w:val="none"/>
              </w:rPr>
              <w:t>3</w:t>
            </w:r>
            <w:r>
              <w:rPr>
                <w:rFonts w:hint="eastAsia" w:ascii="仿宋" w:hAnsi="仿宋" w:eastAsia="仿宋"/>
                <w:sz w:val="24"/>
                <w:highlight w:val="none"/>
              </w:rPr>
              <w:t>、</w:t>
            </w:r>
            <w:bookmarkStart w:id="68" w:name="OLE_LINK13"/>
            <w:bookmarkStart w:id="69" w:name="OLE_LINK26"/>
            <w:r>
              <w:rPr>
                <w:rFonts w:hint="eastAsia" w:ascii="仿宋" w:hAnsi="仿宋" w:eastAsia="仿宋"/>
                <w:sz w:val="24"/>
                <w:highlight w:val="none"/>
              </w:rPr>
              <w:t>项目实施方案（格式自拟）</w:t>
            </w:r>
            <w:bookmarkEnd w:id="68"/>
            <w:r>
              <w:rPr>
                <w:rFonts w:hint="eastAsia" w:ascii="仿宋" w:hAnsi="仿宋" w:eastAsia="仿宋"/>
                <w:sz w:val="24"/>
                <w:highlight w:val="none"/>
              </w:rPr>
              <w:t xml:space="preserve">； </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bookmarkEnd w:id="69"/>
          <w:p w14:paraId="0771E017">
            <w:pPr>
              <w:snapToGrid w:val="0"/>
              <w:spacing w:line="390" w:lineRule="exact"/>
              <w:jc w:val="left"/>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、项目</w:t>
            </w:r>
            <w:r>
              <w:rPr>
                <w:rFonts w:ascii="仿宋" w:hAnsi="仿宋" w:eastAsia="仿宋"/>
                <w:sz w:val="24"/>
                <w:highlight w:val="none"/>
              </w:rPr>
              <w:t>实施人员一览表（</w:t>
            </w:r>
            <w:r>
              <w:rPr>
                <w:rFonts w:hint="eastAsia" w:ascii="仿宋" w:hAnsi="仿宋" w:eastAsia="仿宋"/>
                <w:sz w:val="24"/>
                <w:highlight w:val="none"/>
              </w:rPr>
              <w:t>格式</w:t>
            </w:r>
            <w:r>
              <w:rPr>
                <w:rFonts w:ascii="仿宋" w:hAnsi="仿宋" w:eastAsia="仿宋"/>
                <w:sz w:val="24"/>
                <w:highlight w:val="none"/>
              </w:rPr>
              <w:t>后附）</w:t>
            </w:r>
            <w:r>
              <w:rPr>
                <w:rFonts w:hint="eastAsia" w:ascii="仿宋" w:hAnsi="仿宋" w:eastAsia="仿宋"/>
                <w:sz w:val="24"/>
                <w:highlight w:val="none"/>
              </w:rPr>
              <w:t>；</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14:paraId="7E4D7FD4">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5、</w:t>
            </w:r>
            <w:bookmarkStart w:id="70" w:name="OLE_LINK14"/>
            <w:bookmarkStart w:id="71" w:name="OLE_LINK27"/>
            <w:r>
              <w:rPr>
                <w:rFonts w:hint="eastAsia" w:ascii="仿宋" w:hAnsi="仿宋" w:eastAsia="仿宋"/>
                <w:sz w:val="24"/>
                <w:highlight w:val="none"/>
              </w:rPr>
              <w:t>配件、专用耗材价格表（格式</w:t>
            </w:r>
            <w:r>
              <w:rPr>
                <w:rFonts w:ascii="仿宋" w:hAnsi="仿宋" w:eastAsia="仿宋"/>
                <w:sz w:val="24"/>
                <w:highlight w:val="none"/>
              </w:rPr>
              <w:t>后附</w:t>
            </w:r>
            <w:r>
              <w:rPr>
                <w:rFonts w:hint="eastAsia" w:ascii="仿宋" w:hAnsi="仿宋" w:eastAsia="仿宋"/>
                <w:sz w:val="24"/>
                <w:highlight w:val="none"/>
              </w:rPr>
              <w:t>）</w:t>
            </w:r>
            <w:bookmarkEnd w:id="70"/>
            <w:r>
              <w:rPr>
                <w:rFonts w:hint="eastAsia" w:ascii="仿宋" w:hAnsi="仿宋" w:eastAsia="仿宋"/>
                <w:sz w:val="24"/>
                <w:highlight w:val="none"/>
              </w:rPr>
              <w:t>；</w:t>
            </w:r>
            <w:r>
              <w:rPr>
                <w:rFonts w:hint="eastAsia" w:ascii="仿宋" w:hAnsi="仿宋" w:eastAsia="仿宋"/>
                <w:b/>
                <w:bCs/>
                <w:sz w:val="24"/>
                <w:highlight w:val="none"/>
              </w:rPr>
              <w:t>（必须提供，否则投标文件按无效投标处理）</w:t>
            </w:r>
            <w:bookmarkEnd w:id="71"/>
          </w:p>
          <w:p w14:paraId="2FD7264A">
            <w:pPr>
              <w:snapToGrid w:val="0"/>
              <w:spacing w:line="390" w:lineRule="exact"/>
              <w:jc w:val="left"/>
              <w:rPr>
                <w:rFonts w:hint="eastAsia" w:ascii="仿宋" w:hAnsi="仿宋" w:eastAsia="仿宋"/>
                <w:bCs/>
                <w:sz w:val="24"/>
                <w:highlight w:val="none"/>
              </w:rPr>
            </w:pPr>
            <w:r>
              <w:rPr>
                <w:rFonts w:ascii="仿宋" w:hAnsi="仿宋" w:eastAsia="仿宋"/>
                <w:sz w:val="24"/>
                <w:highlight w:val="none"/>
              </w:rPr>
              <w:t>6</w:t>
            </w:r>
            <w:r>
              <w:rPr>
                <w:rFonts w:hint="eastAsia" w:ascii="仿宋" w:hAnsi="仿宋" w:eastAsia="仿宋"/>
                <w:sz w:val="24"/>
                <w:highlight w:val="none"/>
              </w:rPr>
              <w:t>、除招标文件规定必须提供以外，投标人需要说明的其他文件和说明（格式自拟）。</w:t>
            </w:r>
          </w:p>
          <w:p w14:paraId="7E9E15FB">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注：以上标明“必须提供”的材料属于复印件的，必须加盖投标人公章，否则按无效投标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14:paraId="4BAC88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110A88A">
            <w:pPr>
              <w:spacing w:line="390" w:lineRule="exact"/>
              <w:jc w:val="center"/>
              <w:rPr>
                <w:rFonts w:hint="eastAsia" w:ascii="仿宋" w:hAnsi="仿宋" w:eastAsia="仿宋"/>
                <w:sz w:val="24"/>
                <w:highlight w:val="none"/>
              </w:rPr>
            </w:pPr>
            <w:bookmarkStart w:id="72" w:name="_13.5"/>
            <w:bookmarkEnd w:id="72"/>
            <w:bookmarkStart w:id="73" w:name="_16.2"/>
            <w:bookmarkEnd w:id="73"/>
            <w:r>
              <w:rPr>
                <w:rFonts w:hint="eastAsia" w:ascii="仿宋" w:hAnsi="仿宋" w:eastAsia="仿宋"/>
                <w:sz w:val="24"/>
                <w:highlight w:val="none"/>
              </w:rPr>
              <w:t>16</w:t>
            </w:r>
            <w:bookmarkStart w:id="74" w:name="_Hlt19194067"/>
            <w:bookmarkStart w:id="75" w:name="_Hlt19693758"/>
            <w:bookmarkStart w:id="76" w:name="_Hlt19693759"/>
            <w:bookmarkStart w:id="77" w:name="_Hlt19194066"/>
            <w:r>
              <w:rPr>
                <w:rFonts w:hint="eastAsia" w:ascii="仿宋" w:hAnsi="仿宋" w:eastAsia="仿宋"/>
                <w:sz w:val="24"/>
                <w:highlight w:val="none"/>
              </w:rPr>
              <w:t>.</w:t>
            </w:r>
            <w:bookmarkEnd w:id="74"/>
            <w:bookmarkEnd w:id="75"/>
            <w:bookmarkEnd w:id="76"/>
            <w:bookmarkEnd w:id="77"/>
            <w:r>
              <w:rPr>
                <w:rFonts w:hint="eastAsia" w:ascii="仿宋" w:hAnsi="仿宋" w:eastAsia="仿宋"/>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14:paraId="1B227D2D">
            <w:pPr>
              <w:snapToGrid w:val="0"/>
              <w:spacing w:line="390" w:lineRule="exact"/>
              <w:rPr>
                <w:rFonts w:hint="eastAsia" w:ascii="仿宋" w:hAnsi="仿宋" w:eastAsia="仿宋"/>
                <w:b/>
                <w:sz w:val="24"/>
                <w:highlight w:val="none"/>
              </w:rPr>
            </w:pPr>
            <w:r>
              <w:rPr>
                <w:rFonts w:hint="eastAsia" w:ascii="仿宋" w:hAnsi="仿宋" w:eastAsia="仿宋"/>
                <w:sz w:val="24"/>
                <w:highlight w:val="none"/>
              </w:rPr>
              <w:t>投标报价是履行合同的含税价格，应包括货款、运至最终目的地运输、储存、搬运、保险以及伴随货物服务的有关一切费用（包括差旅、培训、其它相关服务等所有费用）。</w:t>
            </w:r>
          </w:p>
        </w:tc>
      </w:tr>
      <w:tr w14:paraId="539C7F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7F03851">
            <w:pPr>
              <w:spacing w:line="390" w:lineRule="exact"/>
              <w:jc w:val="center"/>
              <w:rPr>
                <w:rFonts w:hint="eastAsia" w:ascii="仿宋" w:hAnsi="仿宋" w:eastAsia="仿宋"/>
                <w:sz w:val="24"/>
                <w:highlight w:val="none"/>
              </w:rPr>
            </w:pPr>
            <w:bookmarkStart w:id="78" w:name="_17.1"/>
            <w:bookmarkEnd w:id="78"/>
            <w:r>
              <w:rPr>
                <w:rFonts w:hint="eastAsia" w:ascii="仿宋" w:hAnsi="仿宋" w:eastAsia="仿宋"/>
                <w:sz w:val="24"/>
                <w:highlight w:val="none"/>
              </w:rPr>
              <w:t>17.</w:t>
            </w:r>
            <w:r>
              <w:rPr>
                <w:rFonts w:ascii="仿宋" w:hAnsi="仿宋" w:eastAsia="仿宋"/>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14:paraId="5B4E3A00">
            <w:pPr>
              <w:snapToGrid w:val="0"/>
              <w:spacing w:line="390" w:lineRule="exact"/>
              <w:rPr>
                <w:rFonts w:hint="eastAsia" w:ascii="仿宋" w:hAnsi="仿宋" w:eastAsia="仿宋"/>
                <w:sz w:val="24"/>
                <w:highlight w:val="none"/>
              </w:rPr>
            </w:pPr>
            <w:r>
              <w:rPr>
                <w:rFonts w:hint="eastAsia" w:ascii="仿宋" w:hAnsi="仿宋" w:eastAsia="仿宋"/>
                <w:sz w:val="24"/>
                <w:highlight w:val="none"/>
              </w:rPr>
              <w:t>投标有效期：投标截止之日起</w:t>
            </w:r>
            <w:r>
              <w:rPr>
                <w:rFonts w:ascii="仿宋" w:hAnsi="仿宋" w:eastAsia="仿宋"/>
                <w:sz w:val="24"/>
                <w:highlight w:val="none"/>
              </w:rPr>
              <w:t>90</w:t>
            </w:r>
            <w:r>
              <w:rPr>
                <w:rFonts w:hint="eastAsia" w:ascii="仿宋" w:hAnsi="仿宋" w:eastAsia="仿宋"/>
                <w:sz w:val="24"/>
                <w:highlight w:val="none"/>
              </w:rPr>
              <w:t>天内。</w:t>
            </w:r>
          </w:p>
        </w:tc>
      </w:tr>
      <w:tr w14:paraId="3DE840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A2651EA">
            <w:pPr>
              <w:spacing w:line="390" w:lineRule="exact"/>
              <w:jc w:val="center"/>
              <w:rPr>
                <w:rFonts w:hint="eastAsia" w:ascii="仿宋" w:hAnsi="仿宋" w:eastAsia="仿宋"/>
                <w:sz w:val="24"/>
                <w:highlight w:val="none"/>
              </w:rPr>
            </w:pPr>
            <w:bookmarkStart w:id="79" w:name="_18"/>
            <w:bookmarkEnd w:id="79"/>
            <w:r>
              <w:rPr>
                <w:rFonts w:hint="eastAsia" w:ascii="仿宋" w:hAnsi="仿宋" w:eastAsia="仿宋"/>
                <w:sz w:val="24"/>
                <w:highlight w:val="none"/>
              </w:rPr>
              <w:t>18</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14:paraId="0D3CB00B">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本项目不收取投标保证金。</w:t>
            </w:r>
          </w:p>
          <w:p w14:paraId="03FAC918">
            <w:pPr>
              <w:snapToGrid w:val="0"/>
              <w:spacing w:line="390" w:lineRule="exact"/>
              <w:rPr>
                <w:rFonts w:hint="eastAsia" w:ascii="仿宋" w:hAnsi="仿宋" w:eastAsia="仿宋"/>
                <w:sz w:val="24"/>
                <w:highlight w:val="none"/>
              </w:rPr>
            </w:pPr>
            <w:r>
              <w:rPr>
                <w:rFonts w:hint="eastAsia" w:ascii="仿宋" w:hAnsi="仿宋" w:eastAsia="仿宋"/>
                <w:sz w:val="24"/>
                <w:highlight w:val="none"/>
              </w:rPr>
              <w:t>□本项目收取投标保证金，具体规定如下：</w:t>
            </w:r>
          </w:p>
          <w:p w14:paraId="4B0615F7">
            <w:pPr>
              <w:snapToGrid w:val="0"/>
              <w:spacing w:line="390" w:lineRule="exact"/>
              <w:rPr>
                <w:rFonts w:hint="eastAsia" w:ascii="仿宋" w:hAnsi="仿宋" w:eastAsia="仿宋"/>
                <w:sz w:val="24"/>
                <w:highlight w:val="none"/>
              </w:rPr>
            </w:pPr>
            <w:r>
              <w:rPr>
                <w:rFonts w:hint="eastAsia" w:ascii="仿宋" w:hAnsi="仿宋" w:eastAsia="仿宋" w:cs="宋体"/>
                <w:kern w:val="0"/>
                <w:sz w:val="24"/>
                <w:highlight w:val="none"/>
              </w:rPr>
              <w:t>投标保证金人民币</w:t>
            </w:r>
            <w:r>
              <w:rPr>
                <w:rFonts w:ascii="仿宋" w:hAnsi="仿宋" w:eastAsia="仿宋"/>
                <w:sz w:val="24"/>
                <w:highlight w:val="none"/>
                <w:u w:val="single"/>
              </w:rPr>
              <w:t xml:space="preserve"> / </w:t>
            </w:r>
            <w:r>
              <w:rPr>
                <w:rFonts w:hint="eastAsia" w:ascii="仿宋" w:hAnsi="仿宋" w:eastAsia="仿宋"/>
                <w:sz w:val="24"/>
                <w:highlight w:val="none"/>
              </w:rPr>
              <w:t>万元；</w:t>
            </w:r>
          </w:p>
          <w:p w14:paraId="27BAA405">
            <w:pPr>
              <w:snapToGrid w:val="0"/>
              <w:spacing w:line="390" w:lineRule="exact"/>
              <w:rPr>
                <w:rFonts w:hint="eastAsia" w:ascii="仿宋" w:hAnsi="仿宋" w:eastAsia="仿宋"/>
                <w:sz w:val="24"/>
                <w:highlight w:val="none"/>
              </w:rPr>
            </w:pPr>
            <w:r>
              <w:rPr>
                <w:rFonts w:hint="eastAsia" w:ascii="仿宋" w:hAnsi="仿宋" w:eastAsia="仿宋" w:cs="宋体"/>
                <w:kern w:val="0"/>
                <w:sz w:val="24"/>
                <w:highlight w:val="none"/>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宋体"/>
                <w:sz w:val="24"/>
                <w:highlight w:val="none"/>
              </w:rPr>
              <w:t>开户名称：</w:t>
            </w:r>
            <w:r>
              <w:rPr>
                <w:rFonts w:hint="eastAsia" w:ascii="仿宋" w:hAnsi="仿宋" w:eastAsia="仿宋" w:cs="宋体"/>
                <w:sz w:val="24"/>
                <w:highlight w:val="none"/>
                <w:u w:val="single"/>
              </w:rPr>
              <w:t xml:space="preserve"> </w:t>
            </w:r>
            <w:r>
              <w:rPr>
                <w:rFonts w:ascii="仿宋" w:hAnsi="仿宋" w:eastAsia="仿宋" w:cs="宋体"/>
                <w:sz w:val="24"/>
                <w:highlight w:val="none"/>
                <w:u w:val="single"/>
              </w:rPr>
              <w:t xml:space="preserve">  /   </w:t>
            </w:r>
            <w:r>
              <w:rPr>
                <w:rFonts w:hint="eastAsia" w:ascii="仿宋" w:hAnsi="仿宋" w:eastAsia="仿宋" w:cs="宋体"/>
                <w:sz w:val="24"/>
                <w:highlight w:val="none"/>
              </w:rPr>
              <w:t>，开户银行：</w:t>
            </w:r>
            <w:r>
              <w:rPr>
                <w:rFonts w:hint="eastAsia" w:ascii="仿宋" w:hAnsi="仿宋" w:eastAsia="仿宋" w:cs="宋体"/>
                <w:sz w:val="24"/>
                <w:highlight w:val="none"/>
                <w:u w:val="single"/>
              </w:rPr>
              <w:t xml:space="preserve"> </w:t>
            </w:r>
            <w:r>
              <w:rPr>
                <w:rFonts w:ascii="仿宋" w:hAnsi="仿宋" w:eastAsia="仿宋" w:cs="宋体"/>
                <w:sz w:val="24"/>
                <w:highlight w:val="none"/>
                <w:u w:val="single"/>
              </w:rPr>
              <w:t xml:space="preserve">  /   </w:t>
            </w:r>
            <w:r>
              <w:rPr>
                <w:rFonts w:hint="eastAsia" w:ascii="仿宋" w:hAnsi="仿宋" w:eastAsia="仿宋" w:cs="宋体"/>
                <w:sz w:val="24"/>
                <w:highlight w:val="none"/>
              </w:rPr>
              <w:t>，银行账号：</w:t>
            </w:r>
            <w:r>
              <w:rPr>
                <w:rFonts w:ascii="仿宋" w:hAnsi="仿宋" w:eastAsia="仿宋" w:cs="宋体"/>
                <w:sz w:val="24"/>
                <w:highlight w:val="none"/>
                <w:u w:val="single"/>
              </w:rPr>
              <w:t xml:space="preserve">    /   </w:t>
            </w:r>
            <w:r>
              <w:rPr>
                <w:rFonts w:hint="eastAsia" w:ascii="仿宋" w:hAnsi="仿宋" w:eastAsia="仿宋" w:cs="宋体"/>
                <w:kern w:val="0"/>
                <w:sz w:val="24"/>
                <w:highlight w:val="none"/>
              </w:rPr>
              <w:t>）；采用支票、汇票、本票或者保函等方式的，在投标截止时间前，投标人必须递交支票、汇票、本票或者保函原件。否则视为无效投标保证金。</w:t>
            </w:r>
          </w:p>
          <w:p w14:paraId="63B70579">
            <w:pPr>
              <w:snapToGrid w:val="0"/>
              <w:spacing w:line="390" w:lineRule="exact"/>
              <w:rPr>
                <w:rFonts w:hint="eastAsia" w:ascii="仿宋" w:hAnsi="仿宋" w:eastAsia="仿宋"/>
                <w:sz w:val="24"/>
                <w:highlight w:val="none"/>
              </w:rPr>
            </w:pPr>
            <w:r>
              <w:rPr>
                <w:rFonts w:hint="eastAsia" w:ascii="仿宋" w:hAnsi="仿宋" w:eastAsia="仿宋"/>
                <w:sz w:val="24"/>
                <w:highlight w:val="none"/>
              </w:rPr>
              <w:t>相关要求：</w:t>
            </w:r>
          </w:p>
          <w:p w14:paraId="23F06684">
            <w:pPr>
              <w:pStyle w:val="16"/>
              <w:spacing w:line="390" w:lineRule="exact"/>
              <w:rPr>
                <w:rFonts w:hint="eastAsia" w:ascii="仿宋" w:hAnsi="仿宋" w:eastAsia="仿宋"/>
                <w:sz w:val="24"/>
                <w:highlight w:val="none"/>
              </w:rPr>
            </w:pPr>
            <w:r>
              <w:rPr>
                <w:rFonts w:hint="eastAsia" w:ascii="仿宋" w:hAnsi="仿宋" w:eastAsia="仿宋"/>
                <w:sz w:val="24"/>
                <w:highlight w:val="none"/>
              </w:rPr>
              <w:t>1、投标保证金采用银行转账交纳方式的，在投标截止时间前交至指定账户并且到账，投标人应将银行转账底单的复印件作为投标保证金提交凭证，</w:t>
            </w:r>
            <w:r>
              <w:rPr>
                <w:rFonts w:ascii="仿宋" w:hAnsi="仿宋" w:eastAsia="仿宋"/>
                <w:sz w:val="24"/>
                <w:highlight w:val="none"/>
              </w:rPr>
              <w:t>放置于</w:t>
            </w:r>
            <w:r>
              <w:rPr>
                <w:rFonts w:hint="eastAsia" w:ascii="仿宋" w:hAnsi="仿宋" w:eastAsia="仿宋"/>
                <w:sz w:val="24"/>
                <w:highlight w:val="none"/>
              </w:rPr>
              <w:t>商务文件</w:t>
            </w:r>
            <w:r>
              <w:rPr>
                <w:rFonts w:ascii="仿宋" w:hAnsi="仿宋" w:eastAsia="仿宋"/>
                <w:sz w:val="24"/>
                <w:highlight w:val="none"/>
              </w:rPr>
              <w:t>中</w:t>
            </w:r>
            <w:r>
              <w:rPr>
                <w:rFonts w:hint="eastAsia" w:ascii="仿宋" w:hAnsi="仿宋" w:eastAsia="仿宋"/>
                <w:sz w:val="24"/>
                <w:highlight w:val="none"/>
              </w:rPr>
              <w:t>，</w:t>
            </w:r>
            <w:r>
              <w:rPr>
                <w:rFonts w:hint="eastAsia" w:ascii="仿宋" w:hAnsi="仿宋" w:eastAsia="仿宋"/>
                <w:b/>
                <w:sz w:val="24"/>
                <w:highlight w:val="none"/>
              </w:rPr>
              <w:t>否则投标无效</w:t>
            </w:r>
            <w:r>
              <w:rPr>
                <w:rFonts w:hint="eastAsia" w:ascii="仿宋" w:hAnsi="仿宋" w:eastAsia="仿宋"/>
                <w:sz w:val="24"/>
                <w:highlight w:val="none"/>
              </w:rPr>
              <w:t>。</w:t>
            </w:r>
          </w:p>
          <w:p w14:paraId="12CB994E">
            <w:pPr>
              <w:snapToGrid w:val="0"/>
              <w:spacing w:line="390" w:lineRule="exact"/>
              <w:rPr>
                <w:rFonts w:hint="eastAsia" w:ascii="仿宋" w:hAnsi="仿宋" w:eastAsia="仿宋"/>
                <w:sz w:val="24"/>
                <w:highlight w:val="none"/>
              </w:rPr>
            </w:pPr>
            <w:r>
              <w:rPr>
                <w:rFonts w:hint="eastAsia" w:ascii="仿宋" w:hAnsi="仿宋" w:eastAsia="仿宋"/>
                <w:sz w:val="24"/>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b/>
                <w:sz w:val="24"/>
                <w:highlight w:val="none"/>
              </w:rPr>
              <w:t>否则投标无效</w:t>
            </w:r>
            <w:r>
              <w:rPr>
                <w:rFonts w:hint="eastAsia" w:ascii="仿宋" w:hAnsi="仿宋" w:eastAsia="仿宋"/>
                <w:sz w:val="24"/>
                <w:highlight w:val="none"/>
              </w:rPr>
              <w:t>。</w:t>
            </w:r>
            <w:r>
              <w:rPr>
                <w:rFonts w:hint="eastAsia" w:ascii="仿宋" w:hAnsi="仿宋" w:eastAsia="仿宋"/>
                <w:b/>
                <w:sz w:val="24"/>
                <w:highlight w:val="none"/>
              </w:rPr>
              <w:t>投标人必须在投标截止时间前将支票、汇票、本票或者金融、担保机构出具的保函原件提交给采购代理机构，由采购代理机构向投标人出具回执，并妥善保管。</w:t>
            </w:r>
          </w:p>
          <w:p w14:paraId="19E6B680">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 xml:space="preserve">注： </w:t>
            </w:r>
          </w:p>
          <w:p w14:paraId="7C9C2382">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1、投标保证金在投标截止时间后提交的，或者不按规定交纳方式交纳的，或者未足额交纳的（包含保函额度不足的），视为无效投标保证金。</w:t>
            </w:r>
          </w:p>
          <w:p w14:paraId="3AE4783A">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2、投标人采用现钞方式或者从个人账户（自然人投标除外）转出的投标保证金，视为无效投标保证金。</w:t>
            </w:r>
          </w:p>
          <w:p w14:paraId="5B5B6803">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3、支票、汇票或者本票出现无效或者背书情形的，视为无效投标保证金。</w:t>
            </w:r>
          </w:p>
          <w:p w14:paraId="0D0E72CC">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4、保函有效期低于投标有效期的，视为无效投标保证金。</w:t>
            </w:r>
          </w:p>
          <w:p w14:paraId="4E4BC3FF">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5、采用金融、担保机构出具保函的，必须为无条件保函，否则视为无效投标保证金。</w:t>
            </w:r>
          </w:p>
        </w:tc>
      </w:tr>
      <w:tr w14:paraId="24865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CF2FD62">
            <w:pPr>
              <w:spacing w:line="390" w:lineRule="exact"/>
              <w:jc w:val="center"/>
              <w:rPr>
                <w:rFonts w:hint="eastAsia" w:ascii="仿宋" w:hAnsi="仿宋" w:eastAsia="仿宋"/>
                <w:sz w:val="24"/>
                <w:highlight w:val="none"/>
              </w:rPr>
            </w:pPr>
            <w:bookmarkStart w:id="80" w:name="_19.2"/>
            <w:bookmarkEnd w:id="80"/>
            <w:r>
              <w:rPr>
                <w:rFonts w:hint="eastAsia" w:ascii="仿宋" w:hAnsi="仿宋" w:eastAsia="仿宋"/>
                <w:sz w:val="24"/>
                <w:highlight w:val="none"/>
              </w:rPr>
              <w:t>19.2</w:t>
            </w:r>
          </w:p>
        </w:tc>
        <w:tc>
          <w:tcPr>
            <w:tcW w:w="9275" w:type="dxa"/>
            <w:tcBorders>
              <w:top w:val="single" w:color="auto" w:sz="4" w:space="0"/>
              <w:left w:val="single" w:color="auto" w:sz="4" w:space="0"/>
              <w:bottom w:val="single" w:color="auto" w:sz="4" w:space="0"/>
              <w:right w:val="single" w:color="auto" w:sz="4" w:space="0"/>
            </w:tcBorders>
            <w:vAlign w:val="center"/>
          </w:tcPr>
          <w:p w14:paraId="21619994">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投标文件应按报价文件、资格证明文件、商务文件、技术文件分别编制，</w:t>
            </w:r>
            <w:r>
              <w:rPr>
                <w:rFonts w:hint="eastAsia" w:ascii="仿宋" w:hAnsi="仿宋" w:eastAsia="仿宋" w:cs="宋体"/>
                <w:sz w:val="24"/>
                <w:highlight w:val="none"/>
                <w:lang w:bidi="ar"/>
              </w:rPr>
              <w:t>并按“广西政府采购云平台”的要求编制、加密、上传。</w:t>
            </w:r>
          </w:p>
        </w:tc>
      </w:tr>
      <w:tr w14:paraId="471B1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007A0C4">
            <w:pPr>
              <w:spacing w:line="390" w:lineRule="exact"/>
              <w:jc w:val="center"/>
              <w:rPr>
                <w:rFonts w:hint="eastAsia" w:ascii="仿宋" w:hAnsi="仿宋" w:eastAsia="仿宋"/>
                <w:sz w:val="24"/>
                <w:highlight w:val="none"/>
              </w:rPr>
            </w:pPr>
            <w:r>
              <w:rPr>
                <w:rFonts w:hint="eastAsia" w:ascii="仿宋" w:hAnsi="仿宋" w:eastAsia="仿宋"/>
                <w:sz w:val="24"/>
                <w:highlight w:val="none"/>
              </w:rPr>
              <w:t>20.1</w:t>
            </w:r>
          </w:p>
        </w:tc>
        <w:tc>
          <w:tcPr>
            <w:tcW w:w="9275" w:type="dxa"/>
            <w:tcBorders>
              <w:top w:val="single" w:color="auto" w:sz="4" w:space="0"/>
              <w:left w:val="single" w:color="auto" w:sz="4" w:space="0"/>
              <w:bottom w:val="single" w:color="auto" w:sz="4" w:space="0"/>
              <w:right w:val="single" w:color="auto" w:sz="4" w:space="0"/>
            </w:tcBorders>
            <w:vAlign w:val="center"/>
          </w:tcPr>
          <w:p w14:paraId="3442A74C">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电子投标文件应在制作完成后，投标人应按</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的要求进行加密，并在规定时间内解密，否则，由此产生的后果由投标人自行负责。</w:t>
            </w:r>
          </w:p>
        </w:tc>
      </w:tr>
      <w:tr w14:paraId="7FCAB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19DAB221">
            <w:pPr>
              <w:spacing w:line="390" w:lineRule="exact"/>
              <w:jc w:val="center"/>
              <w:rPr>
                <w:rFonts w:hint="eastAsia" w:ascii="仿宋" w:hAnsi="仿宋" w:eastAsia="仿宋"/>
                <w:sz w:val="24"/>
                <w:highlight w:val="none"/>
              </w:rPr>
            </w:pPr>
            <w:bookmarkStart w:id="81" w:name="_21.1"/>
            <w:bookmarkEnd w:id="81"/>
            <w:r>
              <w:rPr>
                <w:rFonts w:hint="eastAsia" w:ascii="仿宋" w:hAnsi="仿宋" w:eastAsia="仿宋"/>
                <w:sz w:val="24"/>
                <w:highlight w:val="none"/>
              </w:rPr>
              <w:t>21.1</w:t>
            </w:r>
          </w:p>
        </w:tc>
        <w:tc>
          <w:tcPr>
            <w:tcW w:w="9275" w:type="dxa"/>
            <w:tcBorders>
              <w:top w:val="single" w:color="auto" w:sz="4" w:space="0"/>
              <w:left w:val="single" w:color="auto" w:sz="4" w:space="0"/>
              <w:bottom w:val="single" w:color="auto" w:sz="4" w:space="0"/>
              <w:right w:val="single" w:color="auto" w:sz="4" w:space="0"/>
            </w:tcBorders>
            <w:vAlign w:val="center"/>
          </w:tcPr>
          <w:p w14:paraId="522E1404">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1、投标截止时间：详见招标公告</w:t>
            </w:r>
          </w:p>
          <w:p w14:paraId="29F2954B">
            <w:pPr>
              <w:snapToGrid w:val="0"/>
              <w:spacing w:line="390" w:lineRule="exact"/>
              <w:rPr>
                <w:rFonts w:hint="eastAsia" w:ascii="仿宋" w:hAnsi="仿宋" w:eastAsia="仿宋"/>
                <w:sz w:val="24"/>
                <w:highlight w:val="none"/>
              </w:rPr>
            </w:pPr>
            <w:r>
              <w:rPr>
                <w:rFonts w:hint="eastAsia" w:ascii="仿宋" w:hAnsi="仿宋" w:eastAsia="仿宋"/>
                <w:sz w:val="24"/>
                <w:highlight w:val="none"/>
              </w:rPr>
              <w:t>2、投标地点：详见招标公告</w:t>
            </w:r>
          </w:p>
        </w:tc>
      </w:tr>
      <w:tr w14:paraId="697B1B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3BFBC93A">
            <w:pPr>
              <w:spacing w:line="390" w:lineRule="exact"/>
              <w:jc w:val="center"/>
              <w:rPr>
                <w:rFonts w:hint="eastAsia" w:ascii="仿宋" w:hAnsi="仿宋" w:eastAsia="仿宋"/>
                <w:sz w:val="24"/>
                <w:highlight w:val="none"/>
              </w:rPr>
            </w:pPr>
            <w:bookmarkStart w:id="82" w:name="_23"/>
            <w:bookmarkEnd w:id="82"/>
            <w:r>
              <w:rPr>
                <w:rFonts w:hint="eastAsia" w:ascii="仿宋" w:hAnsi="仿宋" w:eastAsia="仿宋"/>
                <w:sz w:val="24"/>
                <w:highlight w:val="none"/>
              </w:rPr>
              <w:t>23</w:t>
            </w:r>
          </w:p>
        </w:tc>
        <w:tc>
          <w:tcPr>
            <w:tcW w:w="9275" w:type="dxa"/>
            <w:tcBorders>
              <w:top w:val="single" w:color="auto" w:sz="4" w:space="0"/>
              <w:left w:val="single" w:color="auto" w:sz="4" w:space="0"/>
              <w:bottom w:val="single" w:color="auto" w:sz="4" w:space="0"/>
              <w:right w:val="single" w:color="auto" w:sz="4" w:space="0"/>
            </w:tcBorders>
            <w:vAlign w:val="center"/>
          </w:tcPr>
          <w:p w14:paraId="385051B1">
            <w:pPr>
              <w:snapToGrid w:val="0"/>
              <w:spacing w:line="390" w:lineRule="exact"/>
              <w:rPr>
                <w:rFonts w:hint="eastAsia" w:ascii="仿宋" w:hAnsi="仿宋" w:eastAsia="仿宋"/>
                <w:sz w:val="24"/>
                <w:highlight w:val="none"/>
              </w:rPr>
            </w:pPr>
            <w:r>
              <w:rPr>
                <w:rFonts w:hint="eastAsia" w:ascii="仿宋" w:hAnsi="仿宋" w:eastAsia="仿宋"/>
                <w:sz w:val="24"/>
                <w:highlight w:val="none"/>
              </w:rPr>
              <w:t>1、开标时间：详见招标公告</w:t>
            </w:r>
          </w:p>
          <w:p w14:paraId="0B573D0A">
            <w:pPr>
              <w:snapToGrid w:val="0"/>
              <w:spacing w:line="390" w:lineRule="exact"/>
              <w:rPr>
                <w:rFonts w:hint="eastAsia" w:ascii="仿宋" w:hAnsi="仿宋" w:eastAsia="仿宋"/>
                <w:sz w:val="24"/>
                <w:highlight w:val="none"/>
              </w:rPr>
            </w:pPr>
            <w:r>
              <w:rPr>
                <w:rFonts w:hint="eastAsia" w:ascii="仿宋" w:hAnsi="仿宋" w:eastAsia="仿宋"/>
                <w:sz w:val="24"/>
                <w:highlight w:val="none"/>
              </w:rPr>
              <w:t>2、开标地点：详见招标公告</w:t>
            </w:r>
          </w:p>
        </w:tc>
      </w:tr>
      <w:tr w14:paraId="6A872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FA11FB3">
            <w:pPr>
              <w:spacing w:line="390" w:lineRule="exact"/>
              <w:jc w:val="center"/>
              <w:rPr>
                <w:rFonts w:hint="eastAsia" w:ascii="仿宋" w:hAnsi="仿宋" w:eastAsia="仿宋"/>
                <w:sz w:val="24"/>
                <w:highlight w:val="none"/>
              </w:rPr>
            </w:pPr>
            <w:r>
              <w:rPr>
                <w:rFonts w:hint="eastAsia" w:ascii="仿宋" w:hAnsi="仿宋" w:eastAsia="仿宋"/>
                <w:bCs/>
                <w:sz w:val="24"/>
                <w:highlight w:val="none"/>
              </w:rPr>
              <w:t>24.2</w:t>
            </w:r>
          </w:p>
        </w:tc>
        <w:tc>
          <w:tcPr>
            <w:tcW w:w="9275" w:type="dxa"/>
            <w:tcBorders>
              <w:top w:val="single" w:color="auto" w:sz="4" w:space="0"/>
              <w:left w:val="single" w:color="auto" w:sz="4" w:space="0"/>
              <w:bottom w:val="single" w:color="auto" w:sz="4" w:space="0"/>
              <w:right w:val="single" w:color="auto" w:sz="4" w:space="0"/>
            </w:tcBorders>
            <w:vAlign w:val="center"/>
          </w:tcPr>
          <w:p w14:paraId="75C2D6B9">
            <w:pPr>
              <w:autoSpaceDE w:val="0"/>
              <w:autoSpaceDN w:val="0"/>
              <w:adjustRightInd w:val="0"/>
              <w:spacing w:line="390" w:lineRule="exact"/>
              <w:rPr>
                <w:rFonts w:hint="eastAsia" w:ascii="仿宋" w:hAnsi="仿宋" w:eastAsia="仿宋"/>
                <w:sz w:val="24"/>
                <w:highlight w:val="none"/>
              </w:rPr>
            </w:pPr>
            <w:r>
              <w:rPr>
                <w:rFonts w:hint="eastAsia" w:ascii="仿宋" w:hAnsi="仿宋" w:eastAsia="仿宋"/>
                <w:bCs/>
                <w:sz w:val="24"/>
                <w:highlight w:val="none"/>
              </w:rPr>
              <w:t>“广西政府采购云平台”按开标时间自动提取所有投标文件。采购代理机构依托</w:t>
            </w:r>
            <w:r>
              <w:rPr>
                <w:rFonts w:hint="eastAsia" w:ascii="仿宋" w:hAnsi="仿宋" w:eastAsia="仿宋" w:cs="宋体"/>
                <w:sz w:val="24"/>
                <w:highlight w:val="none"/>
                <w:lang w:bidi="ar"/>
              </w:rPr>
              <w:t>“广西政府采购云平台”</w:t>
            </w:r>
            <w:r>
              <w:rPr>
                <w:rFonts w:hint="eastAsia" w:ascii="仿宋" w:hAnsi="仿宋" w:eastAsia="仿宋"/>
                <w:bCs/>
                <w:sz w:val="24"/>
                <w:highlight w:val="none"/>
              </w:rPr>
              <w:t>向各投标人发出电子加密投标文件【开始解密】通知，由投标人进行投标文件解密。</w:t>
            </w:r>
            <w:r>
              <w:rPr>
                <w:rFonts w:hint="eastAsia" w:ascii="仿宋" w:hAnsi="仿宋" w:eastAsia="仿宋"/>
                <w:b/>
                <w:bCs/>
                <w:sz w:val="24"/>
                <w:highlight w:val="none"/>
              </w:rPr>
              <w:t>投标人的法定代表人或其委托代理人须携带加密时所用的CA锁准时登录到“广西政府采购云平台”电子开标大厅签到</w:t>
            </w:r>
            <w:r>
              <w:rPr>
                <w:rFonts w:hint="eastAsia" w:ascii="仿宋" w:hAnsi="仿宋" w:eastAsia="仿宋" w:cs="宋体"/>
                <w:b/>
                <w:sz w:val="24"/>
                <w:highlight w:val="none"/>
              </w:rPr>
              <w:t>并在发起解密</w:t>
            </w:r>
            <w:r>
              <w:rPr>
                <w:rFonts w:hint="eastAsia" w:ascii="仿宋" w:hAnsi="仿宋" w:eastAsia="仿宋"/>
                <w:b/>
                <w:bCs/>
                <w:sz w:val="24"/>
                <w:highlight w:val="none"/>
              </w:rPr>
              <w:t>通知</w:t>
            </w:r>
            <w:r>
              <w:rPr>
                <w:rFonts w:hint="eastAsia" w:ascii="仿宋" w:hAnsi="仿宋" w:eastAsia="仿宋" w:cs="宋体"/>
                <w:b/>
                <w:sz w:val="24"/>
                <w:highlight w:val="none"/>
              </w:rPr>
              <w:t>之时起30分钟内完成</w:t>
            </w:r>
            <w:r>
              <w:rPr>
                <w:rFonts w:hint="eastAsia" w:ascii="仿宋" w:hAnsi="仿宋" w:eastAsia="仿宋"/>
                <w:b/>
                <w:bCs/>
                <w:sz w:val="24"/>
                <w:highlight w:val="none"/>
              </w:rPr>
              <w:t>对电子投标文件解密。投标文件未按时解密的，视为无效投标。</w:t>
            </w:r>
          </w:p>
        </w:tc>
      </w:tr>
      <w:tr w14:paraId="0FF1C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81E8F0F">
            <w:pPr>
              <w:spacing w:line="390" w:lineRule="exact"/>
              <w:jc w:val="center"/>
              <w:rPr>
                <w:rFonts w:hint="eastAsia" w:ascii="仿宋" w:hAnsi="仿宋" w:eastAsia="仿宋"/>
                <w:sz w:val="24"/>
                <w:highlight w:val="none"/>
              </w:rPr>
            </w:pPr>
            <w:bookmarkStart w:id="83" w:name="_25.3"/>
            <w:bookmarkEnd w:id="83"/>
            <w:r>
              <w:rPr>
                <w:rFonts w:hint="eastAsia" w:ascii="仿宋" w:hAnsi="仿宋" w:eastAsia="仿宋"/>
                <w:sz w:val="24"/>
                <w:highlight w:val="none"/>
              </w:rPr>
              <w:t>25.3（3）</w:t>
            </w:r>
          </w:p>
        </w:tc>
        <w:tc>
          <w:tcPr>
            <w:tcW w:w="9275" w:type="dxa"/>
            <w:tcBorders>
              <w:top w:val="single" w:color="auto" w:sz="4" w:space="0"/>
              <w:left w:val="single" w:color="auto" w:sz="4" w:space="0"/>
              <w:bottom w:val="single" w:color="auto" w:sz="4" w:space="0"/>
              <w:right w:val="single" w:color="auto" w:sz="4" w:space="0"/>
            </w:tcBorders>
            <w:vAlign w:val="center"/>
          </w:tcPr>
          <w:p w14:paraId="4059CEBF">
            <w:pPr>
              <w:snapToGrid w:val="0"/>
              <w:spacing w:line="390" w:lineRule="exact"/>
              <w:rPr>
                <w:rFonts w:hint="eastAsia" w:ascii="仿宋" w:hAnsi="仿宋" w:eastAsia="仿宋"/>
                <w:sz w:val="24"/>
                <w:highlight w:val="none"/>
              </w:rPr>
            </w:pPr>
            <w:r>
              <w:rPr>
                <w:rFonts w:hint="eastAsia" w:ascii="仿宋" w:hAnsi="仿宋" w:eastAsia="仿宋"/>
                <w:sz w:val="24"/>
                <w:highlight w:val="none"/>
              </w:rPr>
              <w:t>采购人或者采购代理机构在资格审查结束前，对投标人进行信用查询。</w:t>
            </w:r>
          </w:p>
          <w:p w14:paraId="1088C1E2">
            <w:pPr>
              <w:snapToGrid w:val="0"/>
              <w:spacing w:line="390" w:lineRule="exact"/>
              <w:rPr>
                <w:rFonts w:hint="eastAsia" w:ascii="仿宋" w:hAnsi="仿宋" w:eastAsia="仿宋"/>
                <w:sz w:val="24"/>
                <w:highlight w:val="none"/>
              </w:rPr>
            </w:pPr>
            <w:r>
              <w:rPr>
                <w:rFonts w:hint="eastAsia" w:ascii="仿宋" w:hAnsi="仿宋" w:eastAsia="仿宋"/>
                <w:sz w:val="24"/>
                <w:highlight w:val="none"/>
              </w:rPr>
              <w:t>查询渠道：</w:t>
            </w:r>
            <w:r>
              <w:rPr>
                <w:rFonts w:ascii="仿宋" w:hAnsi="仿宋" w:eastAsia="仿宋"/>
                <w:sz w:val="24"/>
                <w:highlight w:val="none"/>
              </w:rPr>
              <w:t>“信用中国”网站（www.creditchina.gov.cn）、中国政府采购网（</w:t>
            </w:r>
            <w:r>
              <w:rPr>
                <w:highlight w:val="none"/>
              </w:rPr>
              <w:fldChar w:fldCharType="begin"/>
            </w:r>
            <w:r>
              <w:rPr>
                <w:highlight w:val="none"/>
              </w:rPr>
              <w:instrText xml:space="preserve"> HYPERLINK "http://www.ccgp.gov.cn" </w:instrText>
            </w:r>
            <w:r>
              <w:rPr>
                <w:highlight w:val="none"/>
              </w:rPr>
              <w:fldChar w:fldCharType="separate"/>
            </w:r>
            <w:r>
              <w:rPr>
                <w:rStyle w:val="55"/>
                <w:rFonts w:ascii="仿宋" w:hAnsi="仿宋" w:eastAsia="仿宋"/>
                <w:color w:val="auto"/>
                <w:sz w:val="24"/>
                <w:highlight w:val="none"/>
              </w:rPr>
              <w:t>www.ccgp.gov.cn</w:t>
            </w:r>
            <w:r>
              <w:rPr>
                <w:rStyle w:val="55"/>
                <w:rFonts w:ascii="仿宋" w:hAnsi="仿宋" w:eastAsia="仿宋"/>
                <w:color w:val="auto"/>
                <w:sz w:val="24"/>
                <w:highlight w:val="none"/>
              </w:rPr>
              <w:fldChar w:fldCharType="end"/>
            </w:r>
            <w:r>
              <w:rPr>
                <w:rFonts w:ascii="仿宋" w:hAnsi="仿宋" w:eastAsia="仿宋"/>
                <w:sz w:val="24"/>
                <w:highlight w:val="none"/>
              </w:rPr>
              <w:t>）</w:t>
            </w:r>
            <w:r>
              <w:rPr>
                <w:rFonts w:hint="eastAsia" w:ascii="仿宋" w:hAnsi="仿宋" w:eastAsia="仿宋"/>
                <w:sz w:val="24"/>
                <w:highlight w:val="none"/>
              </w:rPr>
              <w:t>。</w:t>
            </w:r>
          </w:p>
          <w:p w14:paraId="7B3B510B">
            <w:pPr>
              <w:snapToGrid w:val="0"/>
              <w:spacing w:line="390" w:lineRule="exact"/>
              <w:rPr>
                <w:rFonts w:hint="eastAsia" w:ascii="仿宋" w:hAnsi="仿宋" w:eastAsia="仿宋"/>
                <w:sz w:val="24"/>
                <w:highlight w:val="none"/>
              </w:rPr>
            </w:pPr>
            <w:r>
              <w:rPr>
                <w:rFonts w:hint="eastAsia" w:ascii="仿宋" w:hAnsi="仿宋" w:eastAsia="仿宋"/>
                <w:sz w:val="24"/>
                <w:highlight w:val="none"/>
              </w:rPr>
              <w:t>信用查询截止时点：</w:t>
            </w:r>
            <w:r>
              <w:rPr>
                <w:rFonts w:ascii="仿宋" w:hAnsi="仿宋" w:eastAsia="仿宋" w:cs="宋体"/>
                <w:sz w:val="24"/>
                <w:highlight w:val="none"/>
              </w:rPr>
              <w:t>资格审查结束前</w:t>
            </w:r>
            <w:r>
              <w:rPr>
                <w:rFonts w:hint="eastAsia" w:ascii="仿宋" w:hAnsi="仿宋" w:eastAsia="仿宋" w:cs="宋体"/>
                <w:sz w:val="24"/>
                <w:highlight w:val="none"/>
              </w:rPr>
              <w:t>。</w:t>
            </w:r>
          </w:p>
          <w:p w14:paraId="0995AD09">
            <w:pPr>
              <w:snapToGrid w:val="0"/>
              <w:spacing w:line="390" w:lineRule="exact"/>
              <w:rPr>
                <w:rFonts w:hint="eastAsia" w:ascii="仿宋" w:hAnsi="仿宋" w:eastAsia="仿宋"/>
                <w:sz w:val="24"/>
                <w:highlight w:val="none"/>
              </w:rPr>
            </w:pPr>
            <w:r>
              <w:rPr>
                <w:rFonts w:hint="eastAsia" w:ascii="仿宋" w:hAnsi="仿宋" w:eastAsia="仿宋"/>
                <w:sz w:val="24"/>
                <w:highlight w:val="none"/>
              </w:rPr>
              <w:t>查询记录和证据留存方式：</w:t>
            </w:r>
            <w:r>
              <w:rPr>
                <w:rFonts w:hint="eastAsia" w:ascii="仿宋" w:hAnsi="仿宋" w:eastAsia="仿宋" w:cs="宋体"/>
                <w:sz w:val="24"/>
                <w:highlight w:val="none"/>
              </w:rPr>
              <w:t>将查询网站中的查询记录截图并作为评审资料保存。</w:t>
            </w:r>
          </w:p>
          <w:p w14:paraId="2989E826">
            <w:pPr>
              <w:snapToGrid w:val="0"/>
              <w:spacing w:line="390" w:lineRule="exact"/>
              <w:rPr>
                <w:rFonts w:hint="eastAsia" w:ascii="仿宋" w:hAnsi="仿宋" w:eastAsia="仿宋"/>
                <w:b/>
                <w:sz w:val="24"/>
                <w:highlight w:val="none"/>
              </w:rPr>
            </w:pPr>
            <w:r>
              <w:rPr>
                <w:rFonts w:hint="eastAsia" w:ascii="仿宋" w:hAnsi="仿宋" w:eastAsia="仿宋"/>
                <w:sz w:val="24"/>
                <w:highlight w:val="none"/>
              </w:rPr>
              <w:t>信用信息使用规则：根据财政部《关于在政府采购活动中查询及使用信用记录有关问题的通知》（财库〔2016〕125号）的规定，</w:t>
            </w:r>
            <w:r>
              <w:rPr>
                <w:rFonts w:hint="eastAsia" w:ascii="仿宋" w:hAnsi="仿宋" w:eastAsia="仿宋" w:cs="宋体"/>
                <w:sz w:val="24"/>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0D7F2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4245F2F">
            <w:pPr>
              <w:spacing w:line="390" w:lineRule="exact"/>
              <w:jc w:val="center"/>
              <w:rPr>
                <w:rFonts w:hint="eastAsia" w:ascii="仿宋" w:hAnsi="仿宋" w:eastAsia="仿宋"/>
                <w:sz w:val="24"/>
                <w:highlight w:val="none"/>
              </w:rPr>
            </w:pPr>
            <w:bookmarkStart w:id="84" w:name="_26"/>
            <w:bookmarkEnd w:id="84"/>
            <w:r>
              <w:rPr>
                <w:rFonts w:hint="eastAsia" w:ascii="仿宋" w:hAnsi="仿宋" w:eastAsia="仿宋"/>
                <w:sz w:val="24"/>
                <w:highlight w:val="none"/>
              </w:rPr>
              <w:t>26</w:t>
            </w:r>
          </w:p>
        </w:tc>
        <w:tc>
          <w:tcPr>
            <w:tcW w:w="9275" w:type="dxa"/>
            <w:tcBorders>
              <w:top w:val="single" w:color="auto" w:sz="4" w:space="0"/>
              <w:left w:val="single" w:color="auto" w:sz="4" w:space="0"/>
              <w:bottom w:val="single" w:color="auto" w:sz="4" w:space="0"/>
              <w:right w:val="single" w:color="auto" w:sz="4" w:space="0"/>
            </w:tcBorders>
            <w:vAlign w:val="center"/>
          </w:tcPr>
          <w:p w14:paraId="4E6E14A0">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评标委员会的人数：5人，采购人代表1人，专家4人。</w:t>
            </w:r>
          </w:p>
        </w:tc>
      </w:tr>
      <w:tr w14:paraId="74893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D844AE1">
            <w:pPr>
              <w:spacing w:line="390" w:lineRule="exact"/>
              <w:jc w:val="center"/>
              <w:rPr>
                <w:rFonts w:hint="eastAsia" w:ascii="仿宋" w:hAnsi="仿宋" w:eastAsia="仿宋"/>
                <w:sz w:val="24"/>
                <w:highlight w:val="none"/>
              </w:rPr>
            </w:pPr>
            <w:bookmarkStart w:id="85" w:name="_28.3"/>
            <w:bookmarkEnd w:id="85"/>
            <w:r>
              <w:rPr>
                <w:rFonts w:ascii="仿宋" w:hAnsi="仿宋" w:eastAsia="仿宋"/>
                <w:sz w:val="24"/>
                <w:highlight w:val="none"/>
              </w:rPr>
              <w:t>29.1</w:t>
            </w:r>
          </w:p>
        </w:tc>
        <w:tc>
          <w:tcPr>
            <w:tcW w:w="9275" w:type="dxa"/>
            <w:tcBorders>
              <w:top w:val="single" w:color="auto" w:sz="4" w:space="0"/>
              <w:left w:val="single" w:color="auto" w:sz="4" w:space="0"/>
              <w:bottom w:val="single" w:color="auto" w:sz="4" w:space="0"/>
              <w:right w:val="single" w:color="auto" w:sz="4" w:space="0"/>
            </w:tcBorders>
            <w:vAlign w:val="center"/>
          </w:tcPr>
          <w:p w14:paraId="2E6331EF">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评标方法：</w:t>
            </w: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综合评分法/□最低评标价法</w:t>
            </w:r>
          </w:p>
        </w:tc>
      </w:tr>
      <w:tr w14:paraId="7A341E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60DD365A">
            <w:pPr>
              <w:spacing w:line="390" w:lineRule="exact"/>
              <w:jc w:val="center"/>
              <w:rPr>
                <w:rFonts w:hint="eastAsia" w:ascii="仿宋" w:hAnsi="仿宋" w:eastAsia="仿宋"/>
                <w:sz w:val="24"/>
                <w:highlight w:val="none"/>
              </w:rPr>
            </w:pPr>
            <w:bookmarkStart w:id="86" w:name="_29.2.2（2）"/>
            <w:bookmarkEnd w:id="86"/>
            <w:r>
              <w:rPr>
                <w:rFonts w:hint="eastAsia" w:ascii="仿宋" w:hAnsi="仿宋" w:eastAsia="仿宋"/>
                <w:sz w:val="24"/>
                <w:highlight w:val="none"/>
              </w:rPr>
              <w:t>29.2</w:t>
            </w:r>
          </w:p>
        </w:tc>
        <w:tc>
          <w:tcPr>
            <w:tcW w:w="9275" w:type="dxa"/>
            <w:tcBorders>
              <w:top w:val="single" w:color="auto" w:sz="4" w:space="0"/>
              <w:left w:val="single" w:color="auto" w:sz="4" w:space="0"/>
              <w:right w:val="single" w:color="auto" w:sz="4" w:space="0"/>
            </w:tcBorders>
            <w:vAlign w:val="center"/>
          </w:tcPr>
          <w:p w14:paraId="7D52FFB0">
            <w:pPr>
              <w:snapToGrid w:val="0"/>
              <w:spacing w:line="390" w:lineRule="exact"/>
              <w:rPr>
                <w:rFonts w:hint="eastAsia" w:ascii="仿宋" w:hAnsi="仿宋" w:eastAsia="仿宋"/>
                <w:sz w:val="24"/>
                <w:highlight w:val="none"/>
              </w:rPr>
            </w:pPr>
            <w:r>
              <w:rPr>
                <w:rFonts w:ascii="仿宋" w:hAnsi="仿宋" w:eastAsia="仿宋"/>
                <w:sz w:val="24"/>
                <w:highlight w:val="none"/>
              </w:rPr>
              <w:t>中标候选人推荐数量</w:t>
            </w:r>
            <w:r>
              <w:rPr>
                <w:rFonts w:hint="eastAsia" w:ascii="仿宋" w:hAnsi="仿宋" w:eastAsia="仿宋"/>
                <w:sz w:val="24"/>
                <w:highlight w:val="none"/>
              </w:rPr>
              <w:t>：3家</w:t>
            </w:r>
          </w:p>
        </w:tc>
      </w:tr>
      <w:tr w14:paraId="39C00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3916523">
            <w:pPr>
              <w:spacing w:line="390" w:lineRule="exact"/>
              <w:jc w:val="center"/>
              <w:rPr>
                <w:rFonts w:hint="eastAsia" w:ascii="仿宋" w:hAnsi="仿宋" w:eastAsia="仿宋"/>
                <w:sz w:val="24"/>
                <w:highlight w:val="none"/>
              </w:rPr>
            </w:pPr>
            <w:r>
              <w:rPr>
                <w:rFonts w:hint="eastAsia" w:ascii="仿宋" w:hAnsi="仿宋" w:eastAsia="仿宋"/>
                <w:sz w:val="24"/>
                <w:highlight w:val="none"/>
              </w:rPr>
              <w:t>30</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14:paraId="738E25B8">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采用综合评分法的采购项目，采购人确定中标人时，出现中标候选人并列的情形，采购人按以下的方式确定中标人：按综合评分中技术、商务、政策功能得分高低依次确定。</w:t>
            </w:r>
          </w:p>
          <w:p w14:paraId="22339EF6">
            <w:pPr>
              <w:autoSpaceDE w:val="0"/>
              <w:autoSpaceDN w:val="0"/>
              <w:snapToGrid w:val="0"/>
              <w:spacing w:line="390" w:lineRule="exact"/>
              <w:textAlignment w:val="bottom"/>
              <w:rPr>
                <w:rFonts w:hint="eastAsia" w:ascii="仿宋" w:hAnsi="仿宋" w:eastAsia="仿宋"/>
                <w:sz w:val="24"/>
                <w:highlight w:val="none"/>
              </w:rPr>
            </w:pPr>
            <w:bookmarkStart w:id="87" w:name="OLE_LINK10"/>
            <w:r>
              <w:rPr>
                <w:rFonts w:hint="eastAsia" w:ascii="仿宋" w:hAnsi="仿宋" w:eastAsia="仿宋"/>
                <w:sz w:val="24"/>
                <w:highlight w:val="none"/>
              </w:rPr>
              <w:t>□</w:t>
            </w:r>
            <w:bookmarkEnd w:id="87"/>
            <w:r>
              <w:rPr>
                <w:rFonts w:hint="eastAsia" w:ascii="仿宋" w:hAnsi="仿宋" w:eastAsia="仿宋"/>
                <w:sz w:val="24"/>
                <w:highlight w:val="none"/>
              </w:rPr>
              <w:t>采用最低评标价法的采购项目，采购人确定中标人时，出现中标候选人并列的情形，采购人按以下的方式确定中标人：</w:t>
            </w:r>
            <w:r>
              <w:rPr>
                <w:rFonts w:hint="eastAsia" w:ascii="仿宋" w:hAnsi="仿宋" w:eastAsia="仿宋" w:cs="宋体"/>
                <w:sz w:val="24"/>
                <w:highlight w:val="none"/>
              </w:rPr>
              <w:t>按</w:t>
            </w:r>
            <w:r>
              <w:rPr>
                <w:rFonts w:ascii="仿宋" w:hAnsi="仿宋" w:eastAsia="仿宋"/>
                <w:sz w:val="24"/>
                <w:highlight w:val="none"/>
              </w:rPr>
              <w:t>节能环保优先、技术指标高优先、质保期长优先、交货期短优先、故障响应时间短优先的</w:t>
            </w:r>
            <w:r>
              <w:rPr>
                <w:rFonts w:hint="eastAsia" w:ascii="仿宋" w:hAnsi="仿宋" w:eastAsia="仿宋" w:cs="宋体"/>
                <w:sz w:val="24"/>
                <w:highlight w:val="none"/>
              </w:rPr>
              <w:t>顺序依次确定。</w:t>
            </w:r>
          </w:p>
        </w:tc>
      </w:tr>
      <w:tr w14:paraId="653F9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0E52C57E">
            <w:pPr>
              <w:spacing w:line="390" w:lineRule="exact"/>
              <w:jc w:val="center"/>
              <w:rPr>
                <w:rFonts w:hint="eastAsia" w:ascii="仿宋" w:hAnsi="仿宋" w:eastAsia="仿宋"/>
                <w:sz w:val="24"/>
                <w:highlight w:val="none"/>
              </w:rPr>
            </w:pPr>
            <w:bookmarkStart w:id="88" w:name="_39.1"/>
            <w:bookmarkEnd w:id="88"/>
            <w:r>
              <w:rPr>
                <w:rFonts w:hint="eastAsia" w:ascii="仿宋" w:hAnsi="仿宋" w:eastAsia="仿宋"/>
                <w:sz w:val="24"/>
                <w:highlight w:val="none"/>
              </w:rPr>
              <w:t>35</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14:paraId="613E30B0">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□本项目不收取履约保证金。</w:t>
            </w:r>
          </w:p>
          <w:p w14:paraId="0AC8FE6D">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本项目收取履约保证金，具体规定如下：</w:t>
            </w:r>
          </w:p>
          <w:p w14:paraId="1E477A7D">
            <w:pPr>
              <w:spacing w:line="390" w:lineRule="exact"/>
              <w:jc w:val="left"/>
              <w:rPr>
                <w:rFonts w:hint="eastAsia" w:ascii="仿宋" w:hAnsi="仿宋" w:eastAsia="仿宋" w:cs="宋体"/>
                <w:kern w:val="0"/>
                <w:sz w:val="24"/>
                <w:highlight w:val="none"/>
              </w:rPr>
            </w:pPr>
            <w:r>
              <w:rPr>
                <w:rFonts w:hint="eastAsia" w:ascii="仿宋" w:hAnsi="仿宋" w:eastAsia="仿宋"/>
                <w:sz w:val="24"/>
                <w:highlight w:val="none"/>
              </w:rPr>
              <w:t>履约保证金金额：</w:t>
            </w:r>
            <w:r>
              <w:rPr>
                <w:rFonts w:hint="eastAsia" w:ascii="仿宋" w:hAnsi="仿宋" w:eastAsia="仿宋" w:cs="仿宋"/>
                <w:kern w:val="0"/>
                <w:sz w:val="24"/>
                <w:highlight w:val="none"/>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14:paraId="52583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B1722C4">
            <w:pPr>
              <w:spacing w:line="390" w:lineRule="exact"/>
              <w:jc w:val="center"/>
              <w:rPr>
                <w:rFonts w:hint="eastAsia" w:ascii="仿宋" w:hAnsi="仿宋" w:eastAsia="仿宋"/>
                <w:sz w:val="24"/>
                <w:highlight w:val="none"/>
              </w:rPr>
            </w:pPr>
            <w:bookmarkStart w:id="89" w:name="_40.1"/>
            <w:bookmarkEnd w:id="89"/>
            <w:r>
              <w:rPr>
                <w:rFonts w:hint="eastAsia" w:ascii="仿宋" w:hAnsi="仿宋" w:eastAsia="仿宋"/>
                <w:sz w:val="24"/>
                <w:highlight w:val="none"/>
              </w:rPr>
              <w:t>36.1</w:t>
            </w:r>
          </w:p>
        </w:tc>
        <w:tc>
          <w:tcPr>
            <w:tcW w:w="9275" w:type="dxa"/>
            <w:tcBorders>
              <w:top w:val="single" w:color="auto" w:sz="4" w:space="0"/>
              <w:left w:val="single" w:color="auto" w:sz="4" w:space="0"/>
              <w:bottom w:val="single" w:color="auto" w:sz="4" w:space="0"/>
              <w:right w:val="single" w:color="auto" w:sz="4" w:space="0"/>
            </w:tcBorders>
            <w:vAlign w:val="center"/>
          </w:tcPr>
          <w:p w14:paraId="38C51B15">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 xml:space="preserve">签订合同携带的证明材料： </w:t>
            </w:r>
          </w:p>
          <w:p w14:paraId="50929812">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1、委托代理人负责签订合同的，须携带授权委托书及委托代理人身份证原件等其他资格证件。</w:t>
            </w:r>
          </w:p>
          <w:p w14:paraId="310950D5">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2、法定代表人负责签订合同的，须携带法定代表人</w:t>
            </w:r>
            <w:r>
              <w:rPr>
                <w:rFonts w:ascii="仿宋" w:hAnsi="仿宋" w:eastAsia="仿宋"/>
                <w:sz w:val="24"/>
                <w:highlight w:val="none"/>
              </w:rPr>
              <w:t>身份证明原件</w:t>
            </w:r>
            <w:r>
              <w:rPr>
                <w:rFonts w:hint="eastAsia" w:ascii="仿宋" w:hAnsi="仿宋" w:eastAsia="仿宋"/>
                <w:sz w:val="24"/>
                <w:highlight w:val="none"/>
              </w:rPr>
              <w:t>及</w:t>
            </w:r>
            <w:r>
              <w:rPr>
                <w:rFonts w:ascii="仿宋" w:hAnsi="仿宋" w:eastAsia="仿宋"/>
                <w:sz w:val="24"/>
                <w:highlight w:val="none"/>
              </w:rPr>
              <w:t>身份证原件</w:t>
            </w:r>
            <w:r>
              <w:rPr>
                <w:rFonts w:hint="eastAsia" w:ascii="仿宋" w:hAnsi="仿宋" w:eastAsia="仿宋"/>
                <w:sz w:val="24"/>
                <w:highlight w:val="none"/>
              </w:rPr>
              <w:t>等其他证明材料。</w:t>
            </w:r>
          </w:p>
        </w:tc>
      </w:tr>
      <w:tr w14:paraId="124C5E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5B50994">
            <w:pPr>
              <w:spacing w:line="390" w:lineRule="exact"/>
              <w:jc w:val="center"/>
              <w:rPr>
                <w:rFonts w:hint="eastAsia" w:ascii="仿宋" w:hAnsi="仿宋" w:eastAsia="仿宋"/>
                <w:sz w:val="24"/>
                <w:highlight w:val="none"/>
              </w:rPr>
            </w:pPr>
            <w:r>
              <w:rPr>
                <w:rFonts w:hint="eastAsia" w:ascii="仿宋" w:hAnsi="仿宋" w:eastAsia="仿宋"/>
                <w:sz w:val="24"/>
                <w:highlight w:val="none"/>
              </w:rPr>
              <w:t>36.2</w:t>
            </w:r>
          </w:p>
        </w:tc>
        <w:tc>
          <w:tcPr>
            <w:tcW w:w="9275" w:type="dxa"/>
            <w:tcBorders>
              <w:top w:val="single" w:color="auto" w:sz="4" w:space="0"/>
              <w:left w:val="single" w:color="auto" w:sz="4" w:space="0"/>
              <w:bottom w:val="single" w:color="auto" w:sz="4" w:space="0"/>
              <w:right w:val="single" w:color="auto" w:sz="4" w:space="0"/>
            </w:tcBorders>
            <w:vAlign w:val="center"/>
          </w:tcPr>
          <w:p w14:paraId="05C892EE">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签订</w:t>
            </w:r>
            <w:r>
              <w:rPr>
                <w:rFonts w:ascii="仿宋" w:hAnsi="仿宋" w:eastAsia="仿宋"/>
                <w:sz w:val="24"/>
                <w:highlight w:val="none"/>
              </w:rPr>
              <w:t>合同时间：</w:t>
            </w:r>
            <w:r>
              <w:rPr>
                <w:rFonts w:hint="eastAsia" w:ascii="仿宋" w:hAnsi="仿宋" w:eastAsia="仿宋"/>
                <w:sz w:val="24"/>
                <w:highlight w:val="none"/>
              </w:rPr>
              <w:t>中标通知书（中标</w:t>
            </w:r>
            <w:r>
              <w:rPr>
                <w:rFonts w:ascii="仿宋" w:hAnsi="仿宋" w:eastAsia="仿宋"/>
                <w:sz w:val="24"/>
                <w:highlight w:val="none"/>
              </w:rPr>
              <w:t>公告</w:t>
            </w:r>
            <w:r>
              <w:rPr>
                <w:rFonts w:hint="eastAsia" w:ascii="仿宋" w:hAnsi="仿宋" w:eastAsia="仿宋"/>
                <w:sz w:val="24"/>
                <w:highlight w:val="none"/>
              </w:rPr>
              <w:t>）发出之日起</w:t>
            </w:r>
            <w:r>
              <w:rPr>
                <w:rFonts w:ascii="仿宋" w:hAnsi="仿宋" w:eastAsia="仿宋"/>
                <w:sz w:val="24"/>
                <w:highlight w:val="none"/>
              </w:rPr>
              <w:t>8</w:t>
            </w:r>
            <w:r>
              <w:rPr>
                <w:rFonts w:hint="eastAsia" w:ascii="仿宋" w:hAnsi="仿宋" w:eastAsia="仿宋"/>
                <w:sz w:val="24"/>
                <w:highlight w:val="none"/>
              </w:rPr>
              <w:t>个工作日内。</w:t>
            </w:r>
          </w:p>
        </w:tc>
      </w:tr>
      <w:tr w14:paraId="2A18DF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B7701A0">
            <w:pPr>
              <w:spacing w:line="390" w:lineRule="exact"/>
              <w:jc w:val="center"/>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8.2</w:t>
            </w:r>
          </w:p>
        </w:tc>
        <w:tc>
          <w:tcPr>
            <w:tcW w:w="9275" w:type="dxa"/>
            <w:tcBorders>
              <w:top w:val="single" w:color="auto" w:sz="4" w:space="0"/>
              <w:left w:val="single" w:color="auto" w:sz="4" w:space="0"/>
              <w:bottom w:val="single" w:color="auto" w:sz="4" w:space="0"/>
              <w:right w:val="single" w:color="auto" w:sz="4" w:space="0"/>
            </w:tcBorders>
            <w:vAlign w:val="center"/>
          </w:tcPr>
          <w:p w14:paraId="1D3072FC">
            <w:pPr>
              <w:snapToGrid w:val="0"/>
              <w:spacing w:line="390" w:lineRule="exact"/>
              <w:rPr>
                <w:rFonts w:hint="eastAsia" w:ascii="仿宋" w:hAnsi="仿宋" w:eastAsia="仿宋"/>
                <w:sz w:val="24"/>
                <w:highlight w:val="none"/>
              </w:rPr>
            </w:pPr>
            <w:r>
              <w:rPr>
                <w:rFonts w:hint="eastAsia" w:ascii="仿宋" w:hAnsi="仿宋" w:eastAsia="仿宋"/>
                <w:sz w:val="24"/>
                <w:highlight w:val="none"/>
              </w:rPr>
              <w:t>接收质疑函方式：以纸质书面形式。</w:t>
            </w:r>
          </w:p>
          <w:p w14:paraId="553F9B2F">
            <w:pPr>
              <w:snapToGrid w:val="0"/>
              <w:spacing w:line="390" w:lineRule="exact"/>
              <w:rPr>
                <w:rFonts w:hint="eastAsia" w:ascii="仿宋" w:hAnsi="仿宋" w:eastAsia="仿宋"/>
                <w:sz w:val="24"/>
                <w:highlight w:val="none"/>
              </w:rPr>
            </w:pPr>
            <w:r>
              <w:rPr>
                <w:rFonts w:hint="eastAsia" w:ascii="仿宋" w:hAnsi="仿宋" w:eastAsia="仿宋"/>
                <w:sz w:val="24"/>
                <w:highlight w:val="none"/>
              </w:rPr>
              <w:t>质疑联系部门及联系方式： 广西科文招标有限公司桂林</w:t>
            </w:r>
            <w:r>
              <w:rPr>
                <w:rFonts w:ascii="仿宋" w:hAnsi="仿宋" w:eastAsia="仿宋"/>
                <w:sz w:val="24"/>
                <w:highlight w:val="none"/>
              </w:rPr>
              <w:t>分公司</w:t>
            </w:r>
            <w:r>
              <w:rPr>
                <w:rFonts w:hint="eastAsia" w:ascii="仿宋" w:hAnsi="仿宋" w:eastAsia="仿宋"/>
                <w:sz w:val="24"/>
                <w:highlight w:val="none"/>
              </w:rPr>
              <w:t>，质疑联系人：</w:t>
            </w:r>
            <w:r>
              <w:rPr>
                <w:rFonts w:hint="eastAsia" w:ascii="仿宋" w:hAnsi="仿宋" w:eastAsia="仿宋"/>
                <w:sz w:val="24"/>
                <w:highlight w:val="none"/>
                <w:lang w:val="en-US" w:eastAsia="zh-CN"/>
              </w:rPr>
              <w:t>潘工</w:t>
            </w:r>
            <w:r>
              <w:rPr>
                <w:rFonts w:hint="eastAsia" w:ascii="仿宋" w:hAnsi="仿宋" w:eastAsia="仿宋"/>
                <w:sz w:val="24"/>
                <w:highlight w:val="none"/>
              </w:rPr>
              <w:t>，联系电话：0773-</w:t>
            </w:r>
            <w:r>
              <w:rPr>
                <w:rFonts w:hint="eastAsia" w:ascii="仿宋" w:hAnsi="仿宋" w:eastAsia="仿宋"/>
                <w:sz w:val="24"/>
                <w:highlight w:val="none"/>
                <w:lang w:val="en-US" w:eastAsia="zh-CN"/>
              </w:rPr>
              <w:t>8998063</w:t>
            </w:r>
            <w:r>
              <w:rPr>
                <w:rFonts w:hint="eastAsia" w:ascii="仿宋" w:hAnsi="仿宋" w:eastAsia="仿宋"/>
                <w:sz w:val="24"/>
                <w:highlight w:val="none"/>
              </w:rPr>
              <w:t>，</w:t>
            </w:r>
            <w:r>
              <w:rPr>
                <w:rFonts w:ascii="仿宋" w:hAnsi="仿宋" w:eastAsia="仿宋"/>
                <w:sz w:val="24"/>
                <w:highlight w:val="none"/>
              </w:rPr>
              <w:t>通讯地址</w:t>
            </w:r>
            <w:r>
              <w:rPr>
                <w:rFonts w:hint="eastAsia" w:ascii="仿宋" w:hAnsi="仿宋" w:eastAsia="仿宋" w:cs="Helvetica"/>
                <w:sz w:val="24"/>
                <w:highlight w:val="none"/>
              </w:rPr>
              <w:t>：</w:t>
            </w:r>
            <w:r>
              <w:rPr>
                <w:rFonts w:hint="eastAsia" w:ascii="仿宋" w:hAnsi="仿宋" w:eastAsia="仿宋"/>
                <w:sz w:val="24"/>
                <w:highlight w:val="none"/>
              </w:rPr>
              <w:t>桂林市七星区穿山东路41号彰泰</w:t>
            </w:r>
            <w:r>
              <w:rPr>
                <w:rFonts w:hint="eastAsia" w:ascii="微软雅黑" w:hAnsi="微软雅黑" w:eastAsia="微软雅黑" w:cs="微软雅黑"/>
                <w:sz w:val="24"/>
                <w:highlight w:val="none"/>
              </w:rPr>
              <w:t>•</w:t>
            </w:r>
            <w:r>
              <w:rPr>
                <w:rFonts w:hint="eastAsia" w:ascii="仿宋" w:hAnsi="仿宋" w:eastAsia="仿宋" w:cs="仿宋"/>
                <w:sz w:val="24"/>
                <w:highlight w:val="none"/>
              </w:rPr>
              <w:t>天街</w:t>
            </w:r>
            <w:r>
              <w:rPr>
                <w:rFonts w:hint="eastAsia" w:ascii="仿宋" w:hAnsi="仿宋" w:eastAsia="仿宋"/>
                <w:sz w:val="24"/>
                <w:highlight w:val="none"/>
              </w:rPr>
              <w:t>V+国际中心1#楼八层802号。</w:t>
            </w:r>
          </w:p>
          <w:p w14:paraId="0925E7F0">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现场提交质疑办理业务时间：工作日，</w:t>
            </w:r>
            <w:r>
              <w:rPr>
                <w:rFonts w:hint="eastAsia" w:ascii="仿宋" w:hAnsi="仿宋" w:eastAsia="仿宋" w:cs="Arial"/>
                <w:sz w:val="24"/>
                <w:highlight w:val="none"/>
              </w:rPr>
              <w:t>上午8:00-12:00；下午15:00-18:00（北京时间）。</w:t>
            </w:r>
          </w:p>
        </w:tc>
      </w:tr>
      <w:tr w14:paraId="00721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2"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26D79194">
            <w:pPr>
              <w:spacing w:line="390" w:lineRule="exact"/>
              <w:jc w:val="center"/>
              <w:rPr>
                <w:rFonts w:hint="eastAsia" w:ascii="仿宋" w:hAnsi="仿宋" w:eastAsia="仿宋"/>
                <w:sz w:val="24"/>
                <w:highlight w:val="none"/>
              </w:rPr>
            </w:pPr>
            <w:bookmarkStart w:id="90" w:name="_41"/>
            <w:bookmarkEnd w:id="90"/>
            <w:bookmarkStart w:id="91" w:name="_42"/>
            <w:bookmarkEnd w:id="91"/>
            <w:bookmarkStart w:id="92" w:name="_Hlt17709148"/>
            <w:r>
              <w:rPr>
                <w:rFonts w:hint="eastAsia" w:ascii="仿宋" w:hAnsi="仿宋" w:eastAsia="仿宋"/>
                <w:sz w:val="24"/>
                <w:highlight w:val="none"/>
              </w:rPr>
              <w:t>3</w:t>
            </w:r>
            <w:bookmarkEnd w:id="92"/>
            <w:r>
              <w:rPr>
                <w:rFonts w:ascii="仿宋" w:hAnsi="仿宋" w:eastAsia="仿宋"/>
                <w:sz w:val="24"/>
                <w:highlight w:val="none"/>
              </w:rPr>
              <w:t>9</w:t>
            </w:r>
          </w:p>
        </w:tc>
        <w:tc>
          <w:tcPr>
            <w:tcW w:w="9275" w:type="dxa"/>
            <w:tcBorders>
              <w:top w:val="single" w:color="auto" w:sz="4" w:space="0"/>
              <w:left w:val="single" w:color="auto" w:sz="4" w:space="0"/>
              <w:bottom w:val="single" w:color="auto" w:sz="4" w:space="0"/>
              <w:right w:val="single" w:color="auto" w:sz="4" w:space="0"/>
            </w:tcBorders>
            <w:vAlign w:val="center"/>
          </w:tcPr>
          <w:p w14:paraId="1D35FC21">
            <w:pPr>
              <w:pStyle w:val="25"/>
              <w:spacing w:before="0" w:after="0" w:line="400" w:lineRule="exact"/>
              <w:rPr>
                <w:rFonts w:hint="eastAsia"/>
                <w:highlight w:val="none"/>
              </w:rPr>
            </w:pPr>
            <w:r>
              <w:rPr>
                <w:rFonts w:hint="eastAsia"/>
                <w:highlight w:val="none"/>
              </w:rPr>
              <w:t>1、代理服务费支付方式：本项目的招标代理服务费按以下收费标准向中标人收取，领取中标通知书时，中标人应向采购代理机构一次付清招标代理服务费，否则采购代理机构有权不予以办理。</w:t>
            </w:r>
          </w:p>
          <w:p w14:paraId="7C27D8CE">
            <w:pPr>
              <w:pStyle w:val="25"/>
              <w:spacing w:before="0" w:after="0" w:line="400" w:lineRule="exact"/>
              <w:rPr>
                <w:rFonts w:hint="eastAsia"/>
                <w:highlight w:val="none"/>
              </w:rPr>
            </w:pPr>
            <w:r>
              <w:rPr>
                <w:rFonts w:hint="eastAsia"/>
                <w:highlight w:val="none"/>
              </w:rPr>
              <w:t>2、代理服务费收取标准：</w:t>
            </w:r>
          </w:p>
          <w:p w14:paraId="32FAC44A">
            <w:pPr>
              <w:pStyle w:val="25"/>
              <w:spacing w:before="0" w:after="0" w:line="400" w:lineRule="exact"/>
              <w:rPr>
                <w:rFonts w:hint="eastAsia"/>
                <w:highlight w:val="none"/>
              </w:rPr>
            </w:pPr>
            <w:r>
              <w:rPr>
                <w:highlight w:val="none"/>
              </w:rPr>
              <w:fldChar w:fldCharType="begin"/>
            </w:r>
            <w:r>
              <w:rPr>
                <w:highlight w:val="none"/>
              </w:rPr>
              <w:instrText xml:space="preserve"> </w:instrText>
            </w:r>
            <w:r>
              <w:rPr>
                <w:rFonts w:hint="eastAsia"/>
                <w:highlight w:val="none"/>
              </w:rPr>
              <w:instrText xml:space="preserve">eq \o\ac(□,</w:instrText>
            </w:r>
            <w:r>
              <w:rPr>
                <w:rFonts w:hint="eastAsia"/>
                <w:position w:val="2"/>
                <w:highlight w:val="none"/>
              </w:rPr>
              <w:instrText xml:space="preserve">√</w:instrText>
            </w:r>
            <w:r>
              <w:rPr>
                <w:rFonts w:hint="eastAsia"/>
                <w:highlight w:val="none"/>
              </w:rPr>
              <w:instrText xml:space="preserve">)</w:instrText>
            </w:r>
            <w:r>
              <w:rPr>
                <w:highlight w:val="none"/>
              </w:rPr>
              <w:fldChar w:fldCharType="end"/>
            </w:r>
            <w:bookmarkStart w:id="93" w:name="OLE_LINK20"/>
            <w:r>
              <w:rPr>
                <w:rFonts w:hint="eastAsia"/>
                <w:highlight w:val="none"/>
              </w:rPr>
              <w:t>以标项（</w:t>
            </w:r>
            <w:r>
              <w:rPr>
                <w:rFonts w:ascii="Segoe UI Symbol" w:hAnsi="Segoe UI Symbol" w:cs="Segoe UI Symbol"/>
                <w:highlight w:val="none"/>
              </w:rPr>
              <w:t>☑</w:t>
            </w:r>
            <w:r>
              <w:rPr>
                <w:rFonts w:hint="eastAsia"/>
                <w:highlight w:val="none"/>
              </w:rPr>
              <w:t>中标金额/□采购预算/）为计费额，按本须知正文第</w:t>
            </w:r>
            <w:r>
              <w:rPr>
                <w:highlight w:val="none"/>
              </w:rPr>
              <w:t>39</w:t>
            </w:r>
            <w:r>
              <w:rPr>
                <w:rFonts w:hint="eastAsia"/>
                <w:highlight w:val="none"/>
              </w:rPr>
              <w:t>.</w:t>
            </w:r>
            <w:r>
              <w:rPr>
                <w:highlight w:val="none"/>
              </w:rPr>
              <w:t>2</w:t>
            </w:r>
            <w:r>
              <w:rPr>
                <w:rFonts w:hint="eastAsia"/>
                <w:highlight w:val="none"/>
              </w:rPr>
              <w:t>条规定的收费计算标准（</w:t>
            </w:r>
            <w:r>
              <w:rPr>
                <w:rFonts w:ascii="Segoe UI Symbol" w:hAnsi="Segoe UI Symbol" w:cs="Segoe UI Symbol"/>
                <w:highlight w:val="none"/>
              </w:rPr>
              <w:t>☑</w:t>
            </w:r>
            <w:r>
              <w:rPr>
                <w:rFonts w:hint="eastAsia"/>
                <w:highlight w:val="none"/>
              </w:rPr>
              <w:t>货物招标/□服务招标/□工程招标）采用差额定率累进法计算出收费基准价格，采购代理服务费收费以（□收费基准价格/</w:t>
            </w:r>
            <w:r>
              <w:rPr>
                <w:rFonts w:ascii="Segoe UI Symbol" w:hAnsi="Segoe UI Symbol" w:cs="Segoe UI Symbol"/>
                <w:highlight w:val="none"/>
              </w:rPr>
              <w:t>☑</w:t>
            </w:r>
            <w:r>
              <w:rPr>
                <w:rFonts w:hint="eastAsia"/>
                <w:highlight w:val="none"/>
              </w:rPr>
              <w:t>收费基准价格下浮</w:t>
            </w:r>
            <w:r>
              <w:rPr>
                <w:rFonts w:hint="eastAsia"/>
                <w:highlight w:val="none"/>
                <w:u w:val="single"/>
              </w:rPr>
              <w:t xml:space="preserve"> </w:t>
            </w:r>
            <w:r>
              <w:rPr>
                <w:highlight w:val="none"/>
                <w:u w:val="single"/>
              </w:rPr>
              <w:t>20</w:t>
            </w:r>
            <w:r>
              <w:rPr>
                <w:rFonts w:hint="eastAsia"/>
                <w:highlight w:val="none"/>
                <w:u w:val="single"/>
              </w:rPr>
              <w:t>%</w:t>
            </w:r>
            <w:r>
              <w:rPr>
                <w:highlight w:val="none"/>
                <w:u w:val="single"/>
              </w:rPr>
              <w:t xml:space="preserve"> </w:t>
            </w:r>
            <w:r>
              <w:rPr>
                <w:highlight w:val="none"/>
              </w:rPr>
              <w:t>/</w:t>
            </w:r>
            <w:r>
              <w:rPr>
                <w:rFonts w:hint="eastAsia"/>
                <w:highlight w:val="none"/>
              </w:rPr>
              <w:t>□收费基准价格上浮</w:t>
            </w:r>
            <w:r>
              <w:rPr>
                <w:rFonts w:hint="eastAsia"/>
                <w:highlight w:val="none"/>
                <w:u w:val="single"/>
              </w:rPr>
              <w:t xml:space="preserve"> </w:t>
            </w:r>
            <w:r>
              <w:rPr>
                <w:highlight w:val="none"/>
                <w:u w:val="single"/>
              </w:rPr>
              <w:t xml:space="preserve"> / </w:t>
            </w:r>
            <w:r>
              <w:rPr>
                <w:rFonts w:hint="eastAsia"/>
                <w:highlight w:val="none"/>
              </w:rPr>
              <w:t>%）收取。</w:t>
            </w:r>
            <w:bookmarkEnd w:id="93"/>
          </w:p>
          <w:p w14:paraId="19411353">
            <w:pPr>
              <w:pStyle w:val="25"/>
              <w:spacing w:before="0" w:after="0" w:line="400" w:lineRule="exact"/>
              <w:rPr>
                <w:rFonts w:hint="eastAsia"/>
                <w:highlight w:val="none"/>
              </w:rPr>
            </w:pPr>
            <w:r>
              <w:rPr>
                <w:rFonts w:hint="eastAsia"/>
                <w:highlight w:val="none"/>
              </w:rPr>
              <w:t>□固定采购代理收费：</w:t>
            </w:r>
            <w:r>
              <w:rPr>
                <w:rFonts w:hint="eastAsia"/>
                <w:highlight w:val="none"/>
                <w:u w:val="single"/>
              </w:rPr>
              <w:t xml:space="preserve"> </w:t>
            </w:r>
            <w:r>
              <w:rPr>
                <w:highlight w:val="none"/>
                <w:u w:val="single"/>
              </w:rPr>
              <w:t xml:space="preserve">   </w:t>
            </w:r>
            <w:r>
              <w:rPr>
                <w:rFonts w:hint="eastAsia"/>
                <w:highlight w:val="none"/>
                <w:u w:val="single"/>
              </w:rPr>
              <w:t>无</w:t>
            </w:r>
            <w:r>
              <w:rPr>
                <w:highlight w:val="none"/>
                <w:u w:val="single"/>
              </w:rPr>
              <w:t xml:space="preserve">     </w:t>
            </w:r>
          </w:p>
          <w:p w14:paraId="07FBBF00">
            <w:pPr>
              <w:pStyle w:val="25"/>
              <w:spacing w:before="0" w:after="0" w:line="400" w:lineRule="exact"/>
              <w:rPr>
                <w:rFonts w:hint="eastAsia"/>
                <w:highlight w:val="none"/>
              </w:rPr>
            </w:pPr>
            <w:r>
              <w:rPr>
                <w:rFonts w:hint="eastAsia"/>
                <w:highlight w:val="none"/>
              </w:rPr>
              <w:t>3、代理服务费交纳账户信息</w:t>
            </w:r>
          </w:p>
          <w:p w14:paraId="15F3CD3F">
            <w:pPr>
              <w:pStyle w:val="25"/>
              <w:spacing w:before="0" w:after="0" w:line="400" w:lineRule="exact"/>
              <w:rPr>
                <w:rFonts w:hint="eastAsia"/>
                <w:highlight w:val="none"/>
              </w:rPr>
            </w:pPr>
            <w:r>
              <w:rPr>
                <w:rFonts w:hint="eastAsia"/>
                <w:highlight w:val="none"/>
              </w:rPr>
              <w:t>开户名称：广西科文招标有限公司桂林分公司</w:t>
            </w:r>
          </w:p>
          <w:p w14:paraId="0E4734FB">
            <w:pPr>
              <w:pStyle w:val="25"/>
              <w:spacing w:before="0" w:after="0" w:line="400" w:lineRule="exact"/>
              <w:rPr>
                <w:rFonts w:hint="eastAsia"/>
                <w:highlight w:val="none"/>
              </w:rPr>
            </w:pPr>
            <w:r>
              <w:rPr>
                <w:rFonts w:hint="eastAsia"/>
                <w:highlight w:val="none"/>
              </w:rPr>
              <w:t>开户银行：中国工商银行桂林市桂湖支行</w:t>
            </w:r>
          </w:p>
          <w:p w14:paraId="2709E7A4">
            <w:pPr>
              <w:pStyle w:val="25"/>
              <w:spacing w:before="0" w:after="0" w:line="400" w:lineRule="exact"/>
              <w:rPr>
                <w:rFonts w:hint="eastAsia"/>
                <w:highlight w:val="none"/>
              </w:rPr>
            </w:pPr>
            <w:r>
              <w:rPr>
                <w:rFonts w:hint="eastAsia"/>
                <w:highlight w:val="none"/>
              </w:rPr>
              <w:t>银行账号：210 3200 2093 0000 2088</w:t>
            </w:r>
          </w:p>
        </w:tc>
      </w:tr>
      <w:tr w14:paraId="7519EC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E6637C1">
            <w:pPr>
              <w:snapToGrid w:val="0"/>
              <w:spacing w:line="390" w:lineRule="exact"/>
              <w:jc w:val="center"/>
              <w:rPr>
                <w:rFonts w:hint="eastAsia" w:ascii="仿宋" w:hAnsi="仿宋" w:eastAsia="仿宋"/>
                <w:sz w:val="24"/>
                <w:highlight w:val="none"/>
              </w:rPr>
            </w:pPr>
            <w:r>
              <w:rPr>
                <w:rFonts w:ascii="仿宋" w:hAnsi="仿宋" w:eastAsia="仿宋"/>
                <w:sz w:val="24"/>
                <w:highlight w:val="none"/>
              </w:rPr>
              <w:t>40.1</w:t>
            </w:r>
          </w:p>
        </w:tc>
        <w:tc>
          <w:tcPr>
            <w:tcW w:w="9275" w:type="dxa"/>
            <w:tcBorders>
              <w:top w:val="single" w:color="auto" w:sz="4" w:space="0"/>
              <w:left w:val="single" w:color="auto" w:sz="4" w:space="0"/>
              <w:bottom w:val="single" w:color="auto" w:sz="4" w:space="0"/>
              <w:right w:val="single" w:color="auto" w:sz="4" w:space="0"/>
            </w:tcBorders>
            <w:vAlign w:val="center"/>
          </w:tcPr>
          <w:p w14:paraId="4D660A3C">
            <w:pPr>
              <w:snapToGrid w:val="0"/>
              <w:spacing w:line="390" w:lineRule="exact"/>
              <w:rPr>
                <w:rFonts w:hint="eastAsia" w:ascii="仿宋" w:hAnsi="仿宋" w:eastAsia="仿宋"/>
                <w:sz w:val="24"/>
                <w:highlight w:val="none"/>
              </w:rPr>
            </w:pPr>
            <w:r>
              <w:rPr>
                <w:rFonts w:hint="eastAsia" w:ascii="仿宋" w:hAnsi="仿宋" w:eastAsia="仿宋"/>
                <w:sz w:val="24"/>
                <w:highlight w:val="none"/>
              </w:rPr>
              <w:t>解释：</w:t>
            </w:r>
            <w:r>
              <w:rPr>
                <w:rFonts w:ascii="仿宋" w:hAnsi="仿宋" w:eastAsia="仿宋"/>
                <w:sz w:val="24"/>
                <w:highlight w:val="none"/>
              </w:rPr>
              <w:t>构成本招标文件的各个组成文件应互为解释，互为说明；除招标文件中有特别规定外，仅适用于招标投标阶段的规定，按</w:t>
            </w:r>
            <w:r>
              <w:rPr>
                <w:rFonts w:hint="eastAsia" w:ascii="仿宋" w:hAnsi="仿宋" w:eastAsia="仿宋"/>
                <w:sz w:val="24"/>
                <w:highlight w:val="none"/>
              </w:rPr>
              <w:t>更正公告（澄清公告）</w:t>
            </w:r>
            <w:r>
              <w:rPr>
                <w:rFonts w:ascii="仿宋" w:hAnsi="仿宋" w:eastAsia="仿宋"/>
                <w:sz w:val="24"/>
                <w:highlight w:val="none"/>
              </w:rPr>
              <w:t>、招标公告、</w:t>
            </w:r>
            <w:r>
              <w:rPr>
                <w:rFonts w:hint="eastAsia" w:ascii="仿宋" w:hAnsi="仿宋" w:eastAsia="仿宋"/>
                <w:sz w:val="24"/>
                <w:highlight w:val="none"/>
              </w:rPr>
              <w:t>采购需求、</w:t>
            </w:r>
            <w:r>
              <w:rPr>
                <w:rFonts w:ascii="仿宋" w:hAnsi="仿宋" w:eastAsia="仿宋"/>
                <w:sz w:val="24"/>
                <w:highlight w:val="none"/>
              </w:rPr>
              <w:t>投标人须知、</w:t>
            </w:r>
            <w:r>
              <w:rPr>
                <w:rFonts w:hint="eastAsia" w:ascii="仿宋" w:hAnsi="仿宋" w:eastAsia="仿宋"/>
                <w:sz w:val="24"/>
                <w:highlight w:val="none"/>
              </w:rPr>
              <w:t>评标方法及评标标准</w:t>
            </w:r>
            <w:r>
              <w:rPr>
                <w:rFonts w:ascii="仿宋" w:hAnsi="仿宋" w:eastAsia="仿宋"/>
                <w:sz w:val="24"/>
                <w:highlight w:val="none"/>
              </w:rPr>
              <w:t>、</w:t>
            </w:r>
            <w:r>
              <w:rPr>
                <w:rFonts w:hint="eastAsia" w:ascii="仿宋" w:hAnsi="仿宋" w:eastAsia="仿宋"/>
                <w:sz w:val="24"/>
                <w:highlight w:val="none"/>
              </w:rPr>
              <w:t>拟签订的合同文本、</w:t>
            </w:r>
            <w:r>
              <w:rPr>
                <w:rFonts w:ascii="仿宋" w:hAnsi="仿宋" w:eastAsia="仿宋"/>
                <w:sz w:val="24"/>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sz w:val="24"/>
                <w:highlight w:val="none"/>
              </w:rPr>
              <w:t>更正公告（澄清公告）</w:t>
            </w:r>
            <w:r>
              <w:rPr>
                <w:rFonts w:ascii="仿宋" w:hAnsi="仿宋" w:eastAsia="仿宋"/>
                <w:sz w:val="24"/>
                <w:highlight w:val="none"/>
              </w:rPr>
              <w:t>与同步更新的招标文件不一致时以</w:t>
            </w:r>
            <w:r>
              <w:rPr>
                <w:rFonts w:hint="eastAsia" w:ascii="仿宋" w:hAnsi="仿宋" w:eastAsia="仿宋"/>
                <w:sz w:val="24"/>
                <w:highlight w:val="none"/>
              </w:rPr>
              <w:t>更正公告（澄清公告）</w:t>
            </w:r>
            <w:r>
              <w:rPr>
                <w:rFonts w:ascii="仿宋" w:hAnsi="仿宋" w:eastAsia="仿宋"/>
                <w:sz w:val="24"/>
                <w:highlight w:val="none"/>
              </w:rPr>
              <w:t>为准。按本款前述规定仍不能形成结论的，由</w:t>
            </w:r>
            <w:r>
              <w:rPr>
                <w:rFonts w:hint="eastAsia" w:ascii="仿宋" w:hAnsi="仿宋" w:eastAsia="仿宋"/>
                <w:sz w:val="24"/>
                <w:highlight w:val="none"/>
              </w:rPr>
              <w:t>采购</w:t>
            </w:r>
            <w:r>
              <w:rPr>
                <w:rFonts w:ascii="仿宋" w:hAnsi="仿宋" w:eastAsia="仿宋"/>
                <w:sz w:val="24"/>
                <w:highlight w:val="none"/>
              </w:rPr>
              <w:t>人</w:t>
            </w:r>
            <w:r>
              <w:rPr>
                <w:rFonts w:hint="eastAsia" w:ascii="仿宋" w:hAnsi="仿宋" w:eastAsia="仿宋"/>
                <w:sz w:val="24"/>
                <w:highlight w:val="none"/>
              </w:rPr>
              <w:t>或者采购代理机构</w:t>
            </w:r>
            <w:r>
              <w:rPr>
                <w:rFonts w:ascii="仿宋" w:hAnsi="仿宋" w:eastAsia="仿宋"/>
                <w:sz w:val="24"/>
                <w:highlight w:val="none"/>
              </w:rPr>
              <w:t>负责解释。</w:t>
            </w:r>
          </w:p>
        </w:tc>
      </w:tr>
      <w:tr w14:paraId="040E2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530EE815">
            <w:pPr>
              <w:snapToGrid w:val="0"/>
              <w:spacing w:line="390" w:lineRule="exact"/>
              <w:jc w:val="center"/>
              <w:rPr>
                <w:rFonts w:hint="eastAsia" w:ascii="仿宋" w:hAnsi="仿宋" w:eastAsia="仿宋"/>
                <w:sz w:val="24"/>
                <w:highlight w:val="none"/>
              </w:rPr>
            </w:pPr>
            <w:r>
              <w:rPr>
                <w:rFonts w:ascii="仿宋" w:hAnsi="仿宋" w:eastAsia="仿宋"/>
                <w:sz w:val="24"/>
                <w:highlight w:val="none"/>
              </w:rPr>
              <w:t>40.2</w:t>
            </w:r>
          </w:p>
        </w:tc>
        <w:tc>
          <w:tcPr>
            <w:tcW w:w="9275" w:type="dxa"/>
            <w:tcBorders>
              <w:top w:val="single" w:color="auto" w:sz="4" w:space="0"/>
              <w:left w:val="single" w:color="auto" w:sz="4" w:space="0"/>
              <w:bottom w:val="single" w:color="auto" w:sz="4" w:space="0"/>
              <w:right w:val="single" w:color="auto" w:sz="4" w:space="0"/>
            </w:tcBorders>
            <w:vAlign w:val="center"/>
          </w:tcPr>
          <w:p w14:paraId="66186485">
            <w:pPr>
              <w:pStyle w:val="25"/>
              <w:spacing w:before="0" w:after="0" w:line="380" w:lineRule="exact"/>
              <w:rPr>
                <w:rFonts w:hint="eastAsia"/>
                <w:highlight w:val="none"/>
              </w:rPr>
            </w:pPr>
            <w:r>
              <w:rPr>
                <w:rFonts w:hint="eastAsia"/>
                <w:highlight w:val="none"/>
              </w:rPr>
              <w:t>1、本招标文件中描述投标人的“公章”是指根据我国对公章的管理规定，用投标人法定主体行为名称制作的印章（含电子印章），除本招标文件有特殊规定外，投标人的财务章、部门章、分公司章、工会章、合同章、投标专用章、业务专用章及银行的转账章、现金收讫章、现金付讫章等其他形式印章均不能代替公章。</w:t>
            </w:r>
          </w:p>
          <w:p w14:paraId="00F0AF2C">
            <w:pPr>
              <w:pStyle w:val="25"/>
              <w:spacing w:before="0" w:after="0" w:line="380" w:lineRule="exact"/>
              <w:rPr>
                <w:rFonts w:hint="eastAsia"/>
                <w:highlight w:val="none"/>
              </w:rPr>
            </w:pPr>
            <w:r>
              <w:rPr>
                <w:rFonts w:hint="eastAsia"/>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7FC3C33A">
            <w:pPr>
              <w:pStyle w:val="25"/>
              <w:spacing w:before="0" w:after="0" w:line="380" w:lineRule="exact"/>
              <w:rPr>
                <w:rFonts w:hint="eastAsia"/>
                <w:highlight w:val="none"/>
              </w:rPr>
            </w:pPr>
            <w:r>
              <w:rPr>
                <w:rFonts w:hint="eastAsia"/>
                <w:highlight w:val="none"/>
              </w:rPr>
              <w:t>3、本招标文件中描述投标人的“签字”是指投标人的法定代表人或者委托代理人在文件规定签署处签名（含电子签名）的行为，私章、印鉴等其他形式均不能代替签字。</w:t>
            </w:r>
          </w:p>
          <w:p w14:paraId="4E779778">
            <w:pPr>
              <w:pStyle w:val="25"/>
              <w:spacing w:before="0" w:after="0" w:line="380" w:lineRule="exact"/>
              <w:rPr>
                <w:rFonts w:hint="eastAsia"/>
                <w:highlight w:val="none"/>
              </w:rPr>
            </w:pPr>
            <w:r>
              <w:rPr>
                <w:rFonts w:hint="eastAsia"/>
                <w:highlight w:val="none"/>
              </w:rPr>
              <w:t>4、自然人投标的，招标文件规定</w:t>
            </w:r>
            <w:r>
              <w:rPr>
                <w:rFonts w:hint="eastAsia"/>
                <w:highlight w:val="none"/>
                <w:lang w:eastAsia="zh-CN"/>
              </w:rPr>
              <w:t>盖CA公章</w:t>
            </w:r>
            <w:r>
              <w:rPr>
                <w:rFonts w:hint="eastAsia"/>
                <w:highlight w:val="none"/>
              </w:rPr>
              <w:t>处由自然人摁手指指印。</w:t>
            </w:r>
          </w:p>
          <w:p w14:paraId="005C47DF">
            <w:pPr>
              <w:pStyle w:val="25"/>
              <w:spacing w:before="0" w:after="0" w:line="380" w:lineRule="exact"/>
              <w:rPr>
                <w:rFonts w:hint="eastAsia"/>
                <w:highlight w:val="none"/>
              </w:rPr>
            </w:pPr>
            <w:r>
              <w:rPr>
                <w:rFonts w:hint="eastAsia"/>
                <w:highlight w:val="none"/>
              </w:rPr>
              <w:t>5、本招标文件所称的“以上”“以下”“以内”“届满”，包括本数；所称的“不满”“超过”“以外”，不包括本数。</w:t>
            </w:r>
          </w:p>
        </w:tc>
      </w:tr>
    </w:tbl>
    <w:p w14:paraId="1618056C">
      <w:pPr>
        <w:pStyle w:val="4"/>
        <w:keepNext w:val="0"/>
        <w:keepLines w:val="0"/>
        <w:pageBreakBefore/>
        <w:spacing w:before="0" w:after="0" w:line="415" w:lineRule="auto"/>
        <w:jc w:val="center"/>
        <w:rPr>
          <w:rFonts w:hint="eastAsia" w:ascii="仿宋" w:hAnsi="仿宋" w:eastAsia="仿宋"/>
          <w:highlight w:val="none"/>
        </w:rPr>
      </w:pPr>
      <w:r>
        <w:rPr>
          <w:rFonts w:hint="eastAsia" w:ascii="仿宋" w:hAnsi="仿宋" w:eastAsia="仿宋"/>
          <w:highlight w:val="none"/>
        </w:rPr>
        <w:t>投标人须知正文</w:t>
      </w:r>
    </w:p>
    <w:p w14:paraId="5BB82BAE">
      <w:pPr>
        <w:pStyle w:val="4"/>
        <w:keepNext w:val="0"/>
        <w:keepLines w:val="0"/>
        <w:spacing w:before="0" w:after="0" w:line="415" w:lineRule="auto"/>
        <w:jc w:val="center"/>
        <w:rPr>
          <w:rFonts w:hint="eastAsia" w:ascii="仿宋" w:hAnsi="仿宋" w:eastAsia="仿宋"/>
          <w:highlight w:val="none"/>
        </w:rPr>
      </w:pPr>
      <w:r>
        <w:rPr>
          <w:rFonts w:hint="eastAsia" w:ascii="仿宋" w:hAnsi="仿宋" w:eastAsia="仿宋"/>
          <w:highlight w:val="none"/>
        </w:rPr>
        <w:t>一、总  则</w:t>
      </w:r>
    </w:p>
    <w:p w14:paraId="7E549945">
      <w:pPr>
        <w:pStyle w:val="6"/>
        <w:keepNext w:val="0"/>
        <w:keepLines w:val="0"/>
        <w:spacing w:before="0" w:after="0" w:line="360" w:lineRule="auto"/>
        <w:ind w:left="420" w:leftChars="200" w:firstLine="480"/>
        <w:rPr>
          <w:rFonts w:hint="eastAsia" w:ascii="仿宋" w:hAnsi="仿宋" w:eastAsia="仿宋"/>
          <w:sz w:val="24"/>
          <w:highlight w:val="none"/>
        </w:rPr>
      </w:pPr>
      <w:bookmarkStart w:id="94" w:name="_Toc254970668"/>
      <w:bookmarkStart w:id="95" w:name="_Toc254970527"/>
      <w:r>
        <w:rPr>
          <w:rFonts w:hint="eastAsia" w:ascii="仿宋" w:hAnsi="仿宋" w:eastAsia="仿宋"/>
          <w:sz w:val="24"/>
          <w:highlight w:val="none"/>
        </w:rPr>
        <w:t>1.适用范围</w:t>
      </w:r>
      <w:bookmarkEnd w:id="94"/>
      <w:bookmarkEnd w:id="95"/>
    </w:p>
    <w:p w14:paraId="3F8D48EB">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1854111">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1.2本招标文件</w:t>
      </w:r>
      <w:r>
        <w:rPr>
          <w:rFonts w:hint="eastAsia" w:ascii="仿宋" w:hAnsi="仿宋" w:eastAsia="仿宋" w:cs="宋体"/>
          <w:spacing w:val="-6"/>
          <w:sz w:val="24"/>
          <w:highlight w:val="none"/>
        </w:rPr>
        <w:t>适用于本项目的所有采购程序和环节（法律、法规另有规定的，从其规定）。</w:t>
      </w:r>
    </w:p>
    <w:p w14:paraId="2B01E50A">
      <w:pPr>
        <w:pStyle w:val="6"/>
        <w:keepNext w:val="0"/>
        <w:keepLines w:val="0"/>
        <w:spacing w:before="0" w:after="0" w:line="360" w:lineRule="auto"/>
        <w:ind w:left="420" w:leftChars="200" w:firstLine="480"/>
        <w:rPr>
          <w:rFonts w:hint="eastAsia" w:ascii="仿宋" w:hAnsi="仿宋" w:eastAsia="仿宋"/>
          <w:sz w:val="24"/>
          <w:highlight w:val="none"/>
        </w:rPr>
      </w:pPr>
      <w:bookmarkStart w:id="96" w:name="_Toc254970669"/>
      <w:bookmarkStart w:id="97" w:name="_Toc254970528"/>
      <w:r>
        <w:rPr>
          <w:rFonts w:hint="eastAsia" w:ascii="仿宋" w:hAnsi="仿宋" w:eastAsia="仿宋"/>
          <w:sz w:val="24"/>
          <w:highlight w:val="none"/>
        </w:rPr>
        <w:t>2.定义</w:t>
      </w:r>
      <w:bookmarkEnd w:id="96"/>
      <w:bookmarkEnd w:id="97"/>
    </w:p>
    <w:p w14:paraId="0D0F474F">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2.1“采购人”是指依法进行政府采购的国家机关、事业单位、团体组织。</w:t>
      </w:r>
    </w:p>
    <w:p w14:paraId="261EE4E2">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2.2“采购代理机构”是指政府采购集中采购机构和集中采购机构以外的采购代理机构。</w:t>
      </w:r>
    </w:p>
    <w:p w14:paraId="5F86D48C">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2.3“供应商”是指向采购人提供货物、工程或者服务的法人、其他组织或者自然人。</w:t>
      </w:r>
    </w:p>
    <w:p w14:paraId="6191CDF2">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2.4“投标人”是指响应招标、参加投标竞争的法人、其他组织或者自然人。</w:t>
      </w:r>
    </w:p>
    <w:p w14:paraId="0536F8D2">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2.5“货物”是指各种形态和种类的物品，包括原材料、燃料、设备、产品等。</w:t>
      </w:r>
    </w:p>
    <w:p w14:paraId="2CCBE658">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2.6“售后服务” 是指商品出售以后所提供的各种服务，包含但不限于投标人须承担的备品备件、包装、运输、装卸、保险、货到就位以及安装、调试、培训、保修以及其他各种服务.</w:t>
      </w:r>
    </w:p>
    <w:p w14:paraId="4B76C876">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2.7“书面形式”是指合同书、信件和数据电文（包括电报、电传、传真、电子数据交换和电子邮件）等可以有形地表现所载内容的形式。</w:t>
      </w:r>
    </w:p>
    <w:p w14:paraId="797D66A3">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2.8“实质性要求”是指招标文件中已经指明不满足则投标无效的条款，或者不能负偏离的条款，或者采购需求中带“</w:t>
      </w:r>
      <w:r>
        <w:rPr>
          <w:rFonts w:hint="eastAsia"/>
          <w:highlight w:val="none"/>
        </w:rPr>
        <w:t>★</w:t>
      </w:r>
      <w:r>
        <w:rPr>
          <w:rFonts w:hint="eastAsia" w:ascii="仿宋" w:hAnsi="仿宋" w:eastAsia="仿宋"/>
          <w:b w:val="0"/>
          <w:sz w:val="24"/>
          <w:highlight w:val="none"/>
        </w:rPr>
        <w:t>”的条款。</w:t>
      </w:r>
    </w:p>
    <w:p w14:paraId="250AFE81">
      <w:pPr>
        <w:snapToGrid w:val="0"/>
        <w:spacing w:line="360" w:lineRule="auto"/>
        <w:ind w:firstLine="480" w:firstLineChars="200"/>
        <w:jc w:val="left"/>
        <w:rPr>
          <w:rFonts w:hint="eastAsia" w:ascii="仿宋" w:hAnsi="仿宋" w:eastAsia="仿宋" w:cs="宋体"/>
          <w:sz w:val="24"/>
          <w:highlight w:val="none"/>
        </w:rPr>
      </w:pPr>
      <w:r>
        <w:rPr>
          <w:rFonts w:hint="eastAsia" w:ascii="仿宋" w:hAnsi="仿宋" w:eastAsia="仿宋"/>
          <w:sz w:val="24"/>
          <w:highlight w:val="none"/>
        </w:rPr>
        <w:t xml:space="preserve">2.9 </w:t>
      </w:r>
      <w:r>
        <w:rPr>
          <w:rFonts w:hint="eastAsia" w:ascii="仿宋" w:hAnsi="仿宋" w:eastAsia="仿宋" w:cs="宋体"/>
          <w:sz w:val="24"/>
          <w:highlight w:val="none"/>
        </w:rPr>
        <w:t>“正偏离”，是指投标文件对招标文件“采购需求”中有关条款作出的响应优于条款要求并有利于采购人的情形。</w:t>
      </w:r>
    </w:p>
    <w:p w14:paraId="3EC0FEBC">
      <w:pPr>
        <w:snapToGrid w:val="0"/>
        <w:spacing w:line="360" w:lineRule="auto"/>
        <w:ind w:firstLine="480" w:firstLineChars="200"/>
        <w:jc w:val="left"/>
        <w:rPr>
          <w:rFonts w:hint="eastAsia" w:ascii="仿宋" w:hAnsi="仿宋" w:eastAsia="仿宋" w:cs="宋体"/>
          <w:sz w:val="24"/>
          <w:highlight w:val="none"/>
        </w:rPr>
      </w:pPr>
      <w:r>
        <w:rPr>
          <w:rFonts w:ascii="仿宋" w:hAnsi="仿宋" w:eastAsia="仿宋" w:cs="宋体"/>
          <w:sz w:val="24"/>
          <w:highlight w:val="none"/>
        </w:rPr>
        <w:t>2.10</w:t>
      </w:r>
      <w:r>
        <w:rPr>
          <w:rFonts w:hint="eastAsia" w:ascii="仿宋" w:hAnsi="仿宋" w:eastAsia="仿宋" w:cs="宋体"/>
          <w:sz w:val="24"/>
          <w:highlight w:val="none"/>
        </w:rPr>
        <w:t>“负偏离”，是指投标文件对招标文件“采购需求”中有关条款作出的响应不满足条款要求，导致采购人要求不能得到满足的情形。</w:t>
      </w:r>
    </w:p>
    <w:p w14:paraId="6CECDFBA">
      <w:pPr>
        <w:snapToGrid w:val="0"/>
        <w:spacing w:line="360" w:lineRule="auto"/>
        <w:ind w:firstLine="480" w:firstLineChars="200"/>
        <w:jc w:val="left"/>
        <w:rPr>
          <w:rFonts w:hint="eastAsia" w:ascii="仿宋" w:hAnsi="仿宋" w:eastAsia="仿宋" w:cs="宋体"/>
          <w:sz w:val="24"/>
          <w:highlight w:val="none"/>
        </w:rPr>
      </w:pPr>
      <w:r>
        <w:rPr>
          <w:rFonts w:hint="eastAsia" w:ascii="仿宋" w:hAnsi="仿宋" w:eastAsia="仿宋"/>
          <w:sz w:val="24"/>
          <w:highlight w:val="none"/>
        </w:rPr>
        <w:t>2.1</w:t>
      </w:r>
      <w:r>
        <w:rPr>
          <w:rFonts w:ascii="仿宋" w:hAnsi="仿宋" w:eastAsia="仿宋"/>
          <w:sz w:val="24"/>
          <w:highlight w:val="none"/>
        </w:rPr>
        <w:t>1</w:t>
      </w:r>
      <w:r>
        <w:rPr>
          <w:rFonts w:hint="eastAsia" w:ascii="仿宋" w:hAnsi="仿宋" w:eastAsia="仿宋" w:cs="宋体"/>
          <w:sz w:val="24"/>
          <w:highlight w:val="none"/>
        </w:rPr>
        <w:t>“允许负偏离的条款”是指采购需求中的不属于“实质性要求”的条款。</w:t>
      </w:r>
      <w:bookmarkStart w:id="98" w:name="_Toc254970670"/>
      <w:bookmarkStart w:id="99" w:name="_Toc254970529"/>
    </w:p>
    <w:p w14:paraId="0121A90F">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bookmarkEnd w:id="98"/>
      <w:bookmarkEnd w:id="99"/>
      <w:r>
        <w:rPr>
          <w:rFonts w:hint="eastAsia" w:ascii="仿宋" w:hAnsi="仿宋" w:eastAsia="仿宋"/>
          <w:sz w:val="24"/>
          <w:highlight w:val="none"/>
        </w:rPr>
        <w:t>投标人的资格要求</w:t>
      </w:r>
    </w:p>
    <w:p w14:paraId="3B269CFD">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投标人的资格要求详见“投标人须知前附表”。</w:t>
      </w:r>
    </w:p>
    <w:p w14:paraId="4F51A70D">
      <w:pPr>
        <w:pStyle w:val="6"/>
        <w:keepNext w:val="0"/>
        <w:keepLines w:val="0"/>
        <w:spacing w:before="0" w:after="0" w:line="360" w:lineRule="auto"/>
        <w:ind w:left="420" w:leftChars="200" w:firstLine="480"/>
        <w:rPr>
          <w:rFonts w:hint="eastAsia" w:ascii="仿宋" w:hAnsi="仿宋" w:eastAsia="仿宋"/>
          <w:sz w:val="24"/>
          <w:highlight w:val="none"/>
        </w:rPr>
      </w:pPr>
      <w:bookmarkStart w:id="100" w:name="_Toc254970530"/>
      <w:bookmarkStart w:id="101" w:name="_Toc254970671"/>
      <w:r>
        <w:rPr>
          <w:rFonts w:hint="eastAsia" w:ascii="仿宋" w:hAnsi="仿宋" w:eastAsia="仿宋"/>
          <w:sz w:val="24"/>
          <w:highlight w:val="none"/>
        </w:rPr>
        <w:t>4.投标委托</w:t>
      </w:r>
      <w:bookmarkEnd w:id="100"/>
      <w:bookmarkEnd w:id="101"/>
    </w:p>
    <w:p w14:paraId="32FADB83">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投标人代表参加投标活动过程中必须携带个人有效身份证件。如投标人代表不是法定代表人，须持有授权委托书（按第六章要求格式填写）。</w:t>
      </w:r>
    </w:p>
    <w:p w14:paraId="01573537">
      <w:pPr>
        <w:pStyle w:val="6"/>
        <w:keepNext w:val="0"/>
        <w:keepLines w:val="0"/>
        <w:spacing w:before="0" w:after="0" w:line="360" w:lineRule="auto"/>
        <w:ind w:left="420" w:leftChars="200" w:firstLine="480"/>
        <w:rPr>
          <w:rFonts w:hint="eastAsia" w:ascii="仿宋" w:hAnsi="仿宋" w:eastAsia="仿宋"/>
          <w:sz w:val="24"/>
          <w:highlight w:val="none"/>
        </w:rPr>
      </w:pPr>
      <w:bookmarkStart w:id="102" w:name="_5.投标费用"/>
      <w:bookmarkEnd w:id="102"/>
      <w:bookmarkStart w:id="103" w:name="_Toc254970672"/>
      <w:bookmarkStart w:id="104" w:name="_Toc254970531"/>
      <w:r>
        <w:rPr>
          <w:rFonts w:hint="eastAsia" w:ascii="仿宋" w:hAnsi="仿宋" w:eastAsia="仿宋"/>
          <w:sz w:val="24"/>
          <w:highlight w:val="none"/>
        </w:rPr>
        <w:t>5.投标费用</w:t>
      </w:r>
      <w:bookmarkEnd w:id="103"/>
      <w:bookmarkEnd w:id="104"/>
    </w:p>
    <w:p w14:paraId="1EE64752">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投标费用：投标人应承担参与本次采购活动有关的所有费用，包括但不限于获取招标文件、勘查现场、编制和提交投标文件、参加澄清说明、签订合同等，不论投标结果如何，均应自行承担。</w:t>
      </w:r>
    </w:p>
    <w:p w14:paraId="3A9350CD">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6.联合体投标</w:t>
      </w:r>
    </w:p>
    <w:p w14:paraId="6B448A31">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6.1本项目是否接受联合体投标，详见“投标人须知前附表”。</w:t>
      </w:r>
    </w:p>
    <w:p w14:paraId="39ADE1D6">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 xml:space="preserve">7.转包与分包             </w:t>
      </w:r>
    </w:p>
    <w:p w14:paraId="1A0B00A0">
      <w:pPr>
        <w:snapToGrid w:val="0"/>
        <w:spacing w:line="360" w:lineRule="auto"/>
        <w:ind w:firstLine="480" w:firstLineChars="200"/>
        <w:jc w:val="left"/>
        <w:rPr>
          <w:rFonts w:hint="eastAsia" w:ascii="仿宋" w:hAnsi="仿宋" w:eastAsia="仿宋"/>
          <w:b w:val="0"/>
          <w:sz w:val="24"/>
          <w:highlight w:val="none"/>
        </w:rPr>
      </w:pPr>
      <w:r>
        <w:rPr>
          <w:rFonts w:hint="eastAsia" w:ascii="仿宋" w:hAnsi="仿宋" w:eastAsia="仿宋"/>
          <w:b w:val="0"/>
          <w:sz w:val="24"/>
          <w:highlight w:val="none"/>
        </w:rPr>
        <w:t>7.1本项目不允许转包。</w:t>
      </w:r>
    </w:p>
    <w:p w14:paraId="39AE10A5">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7E0CA444">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3E2923C6">
      <w:pPr>
        <w:pStyle w:val="6"/>
        <w:keepNext w:val="0"/>
        <w:keepLines w:val="0"/>
        <w:spacing w:before="0" w:after="0" w:line="360" w:lineRule="auto"/>
        <w:ind w:left="420" w:leftChars="200" w:firstLine="480"/>
        <w:rPr>
          <w:rFonts w:hint="eastAsia" w:ascii="仿宋" w:hAnsi="仿宋" w:eastAsia="仿宋"/>
          <w:sz w:val="24"/>
          <w:highlight w:val="none"/>
        </w:rPr>
      </w:pPr>
      <w:bookmarkStart w:id="105" w:name="_Toc254970673"/>
      <w:bookmarkStart w:id="106" w:name="_Toc254970532"/>
      <w:r>
        <w:rPr>
          <w:rFonts w:hint="eastAsia" w:ascii="仿宋" w:hAnsi="仿宋" w:eastAsia="仿宋"/>
          <w:sz w:val="24"/>
          <w:highlight w:val="none"/>
        </w:rPr>
        <w:t>8.特别说明</w:t>
      </w:r>
      <w:bookmarkEnd w:id="105"/>
      <w:bookmarkEnd w:id="106"/>
    </w:p>
    <w:p w14:paraId="44E98F18">
      <w:pPr>
        <w:pStyle w:val="6"/>
        <w:keepNext w:val="0"/>
        <w:keepLines w:val="0"/>
        <w:spacing w:before="0" w:after="0" w:line="360" w:lineRule="auto"/>
        <w:ind w:firstLine="480" w:firstLineChars="200"/>
        <w:rPr>
          <w:rFonts w:hint="eastAsia" w:ascii="仿宋" w:hAnsi="仿宋" w:eastAsia="仿宋"/>
          <w:b w:val="0"/>
          <w:sz w:val="24"/>
          <w:highlight w:val="none"/>
        </w:rPr>
      </w:pPr>
      <w:bookmarkStart w:id="107" w:name="_8.1提供相同品牌产品且通过资格审查、符合性审查的不同投标人参加同一合"/>
      <w:bookmarkEnd w:id="107"/>
      <w:r>
        <w:rPr>
          <w:rFonts w:ascii="仿宋" w:hAnsi="仿宋" w:eastAsia="仿宋"/>
          <w:b w:val="0"/>
          <w:sz w:val="24"/>
          <w:highlight w:val="none"/>
        </w:rPr>
        <w:fldChar w:fldCharType="begin"/>
      </w:r>
      <w:r>
        <w:rPr>
          <w:rFonts w:ascii="仿宋" w:hAnsi="仿宋" w:eastAsia="仿宋"/>
          <w:b w:val="0"/>
          <w:sz w:val="24"/>
          <w:highlight w:val="none"/>
        </w:rPr>
        <w:instrText xml:space="preserve"> HYPERLINK  \l "_8.1" </w:instrText>
      </w:r>
      <w:r>
        <w:rPr>
          <w:rFonts w:ascii="仿宋" w:hAnsi="仿宋" w:eastAsia="仿宋"/>
          <w:b w:val="0"/>
          <w:sz w:val="24"/>
          <w:highlight w:val="none"/>
        </w:rPr>
        <w:fldChar w:fldCharType="separate"/>
      </w:r>
      <w:r>
        <w:rPr>
          <w:rFonts w:hint="eastAsia" w:ascii="仿宋" w:hAnsi="仿宋" w:eastAsia="仿宋"/>
          <w:b w:val="0"/>
          <w:sz w:val="24"/>
          <w:highlight w:val="none"/>
        </w:rPr>
        <w:t>8.1</w:t>
      </w:r>
      <w:r>
        <w:rPr>
          <w:rFonts w:ascii="仿宋" w:hAnsi="仿宋" w:eastAsia="仿宋"/>
          <w:b w:val="0"/>
          <w:sz w:val="24"/>
          <w:highlight w:val="none"/>
        </w:rPr>
        <w:fldChar w:fldCharType="end"/>
      </w:r>
      <w:r>
        <w:rPr>
          <w:rFonts w:hint="eastAsia" w:ascii="仿宋" w:hAnsi="仿宋" w:eastAsia="仿宋"/>
          <w:b w:val="0"/>
          <w:sz w:val="24"/>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其他投标无效。</w:t>
      </w:r>
    </w:p>
    <w:p w14:paraId="59CCEFA8">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2507BDF">
      <w:pPr>
        <w:pStyle w:val="25"/>
        <w:rPr>
          <w:rFonts w:hint="eastAsia"/>
          <w:highlight w:val="none"/>
        </w:rPr>
      </w:pPr>
      <w:r>
        <w:rPr>
          <w:rFonts w:hint="eastAsia"/>
          <w:highlight w:val="none"/>
        </w:rPr>
        <w:t>非单一产品采购项目，多家投标人提供的核心产品品牌相同的，按前两款规定处理。</w:t>
      </w:r>
    </w:p>
    <w:p w14:paraId="164BA085">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8.2如果本招标文件要求提供投标人或制造商的资格、信誉、荣誉、业绩与企业认证等材料的，资格、信誉、荣誉、业绩与企业认证等必须为投标人或者制造商所拥有或自身获得 。</w:t>
      </w:r>
    </w:p>
    <w:p w14:paraId="2487768D">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8.3投标人应仔细阅读招标文件的所有内容，按照招标文件的要求提交投标文件，并对所提供的全部资料的真实性承担法律责任。</w:t>
      </w:r>
    </w:p>
    <w:p w14:paraId="37B0BBA2">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8.4投标人在投标活动中提供任何虚假材料，将报监管部门查处；中标后发现的，中标人须依法赔偿采购人，且民事赔偿并不免除违法投标人的行政与刑事责任。</w:t>
      </w:r>
    </w:p>
    <w:p w14:paraId="06D56341">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9.</w:t>
      </w:r>
      <w:r>
        <w:rPr>
          <w:rFonts w:hint="eastAsia" w:ascii="仿宋" w:hAnsi="仿宋" w:eastAsia="仿宋"/>
          <w:sz w:val="24"/>
          <w:highlight w:val="none"/>
        </w:rPr>
        <w:t>回避与串通投标</w:t>
      </w:r>
    </w:p>
    <w:p w14:paraId="3AD0CDD6">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9</w:t>
      </w:r>
      <w:r>
        <w:rPr>
          <w:rFonts w:ascii="仿宋" w:hAnsi="仿宋" w:eastAsia="仿宋"/>
          <w:b w:val="0"/>
          <w:sz w:val="24"/>
          <w:highlight w:val="none"/>
        </w:rPr>
        <w:t>.1在政府采购活动中，采购人员及相关人员与</w:t>
      </w:r>
      <w:r>
        <w:rPr>
          <w:rFonts w:hint="eastAsia" w:ascii="仿宋" w:hAnsi="仿宋" w:eastAsia="仿宋"/>
          <w:b w:val="0"/>
          <w:sz w:val="24"/>
          <w:highlight w:val="none"/>
        </w:rPr>
        <w:t>供应商</w:t>
      </w:r>
      <w:r>
        <w:rPr>
          <w:rFonts w:ascii="仿宋" w:hAnsi="仿宋" w:eastAsia="仿宋"/>
          <w:b w:val="0"/>
          <w:sz w:val="24"/>
          <w:highlight w:val="none"/>
        </w:rPr>
        <w:t>有下列利害关系之一的，应当回避：</w:t>
      </w:r>
    </w:p>
    <w:p w14:paraId="6999C641">
      <w:pPr>
        <w:pStyle w:val="25"/>
        <w:rPr>
          <w:rFonts w:hint="eastAsia"/>
          <w:highlight w:val="none"/>
        </w:rPr>
      </w:pPr>
      <w:r>
        <w:rPr>
          <w:highlight w:val="none"/>
        </w:rPr>
        <w:t>（</w:t>
      </w:r>
      <w:r>
        <w:rPr>
          <w:rFonts w:hint="eastAsia"/>
          <w:highlight w:val="none"/>
        </w:rPr>
        <w:t>1</w:t>
      </w:r>
      <w:r>
        <w:rPr>
          <w:highlight w:val="none"/>
        </w:rPr>
        <w:t>）参加采购活动前3年内与</w:t>
      </w:r>
      <w:r>
        <w:rPr>
          <w:rFonts w:hint="eastAsia"/>
          <w:highlight w:val="none"/>
        </w:rPr>
        <w:t>供应商</w:t>
      </w:r>
      <w:r>
        <w:rPr>
          <w:highlight w:val="none"/>
        </w:rPr>
        <w:t>存在劳动关系；</w:t>
      </w:r>
    </w:p>
    <w:p w14:paraId="15E1049E">
      <w:pPr>
        <w:pStyle w:val="25"/>
        <w:rPr>
          <w:rFonts w:hint="eastAsia"/>
          <w:highlight w:val="none"/>
        </w:rPr>
      </w:pPr>
      <w:r>
        <w:rPr>
          <w:highlight w:val="none"/>
        </w:rPr>
        <w:t>（</w:t>
      </w:r>
      <w:r>
        <w:rPr>
          <w:rFonts w:hint="eastAsia"/>
          <w:highlight w:val="none"/>
        </w:rPr>
        <w:t>2</w:t>
      </w:r>
      <w:r>
        <w:rPr>
          <w:highlight w:val="none"/>
        </w:rPr>
        <w:t>）参加采购活动前3年内担任</w:t>
      </w:r>
      <w:r>
        <w:rPr>
          <w:rFonts w:hint="eastAsia"/>
          <w:highlight w:val="none"/>
        </w:rPr>
        <w:t>供应商</w:t>
      </w:r>
      <w:r>
        <w:rPr>
          <w:highlight w:val="none"/>
        </w:rPr>
        <w:t>的董事、监事；</w:t>
      </w:r>
    </w:p>
    <w:p w14:paraId="3E37344B">
      <w:pPr>
        <w:pStyle w:val="25"/>
        <w:rPr>
          <w:rFonts w:hint="eastAsia"/>
          <w:highlight w:val="none"/>
        </w:rPr>
      </w:pPr>
      <w:r>
        <w:rPr>
          <w:highlight w:val="none"/>
        </w:rPr>
        <w:t>（</w:t>
      </w:r>
      <w:r>
        <w:rPr>
          <w:rFonts w:hint="eastAsia"/>
          <w:highlight w:val="none"/>
        </w:rPr>
        <w:t>3</w:t>
      </w:r>
      <w:r>
        <w:rPr>
          <w:highlight w:val="none"/>
        </w:rPr>
        <w:t>）参加采购活动前3年内是</w:t>
      </w:r>
      <w:r>
        <w:rPr>
          <w:rFonts w:hint="eastAsia"/>
          <w:highlight w:val="none"/>
        </w:rPr>
        <w:t>供应商</w:t>
      </w:r>
      <w:r>
        <w:rPr>
          <w:highlight w:val="none"/>
        </w:rPr>
        <w:t>的控股股东或者实际控制人；</w:t>
      </w:r>
    </w:p>
    <w:p w14:paraId="04E51255">
      <w:pPr>
        <w:pStyle w:val="25"/>
        <w:rPr>
          <w:rFonts w:hint="eastAsia"/>
          <w:highlight w:val="none"/>
        </w:rPr>
      </w:pPr>
      <w:r>
        <w:rPr>
          <w:highlight w:val="none"/>
        </w:rPr>
        <w:t>（</w:t>
      </w:r>
      <w:r>
        <w:rPr>
          <w:rFonts w:hint="eastAsia"/>
          <w:highlight w:val="none"/>
        </w:rPr>
        <w:t>4</w:t>
      </w:r>
      <w:r>
        <w:rPr>
          <w:highlight w:val="none"/>
        </w:rPr>
        <w:t>）与</w:t>
      </w:r>
      <w:r>
        <w:rPr>
          <w:rFonts w:hint="eastAsia"/>
          <w:highlight w:val="none"/>
        </w:rPr>
        <w:t>供应商</w:t>
      </w:r>
      <w:r>
        <w:rPr>
          <w:highlight w:val="none"/>
        </w:rPr>
        <w:t>的法定代表人或者负责人有夫妻、直系血亲、三代以内旁系血亲或者近姻亲关系；</w:t>
      </w:r>
    </w:p>
    <w:p w14:paraId="5FD8DADB">
      <w:pPr>
        <w:pStyle w:val="25"/>
        <w:rPr>
          <w:rFonts w:hint="eastAsia"/>
          <w:highlight w:val="none"/>
        </w:rPr>
      </w:pPr>
      <w:r>
        <w:rPr>
          <w:highlight w:val="none"/>
        </w:rPr>
        <w:t>（</w:t>
      </w:r>
      <w:r>
        <w:rPr>
          <w:rFonts w:hint="eastAsia"/>
          <w:highlight w:val="none"/>
        </w:rPr>
        <w:t>5</w:t>
      </w:r>
      <w:r>
        <w:rPr>
          <w:highlight w:val="none"/>
        </w:rPr>
        <w:t>）与</w:t>
      </w:r>
      <w:r>
        <w:rPr>
          <w:rFonts w:hint="eastAsia"/>
          <w:highlight w:val="none"/>
        </w:rPr>
        <w:t>供应商</w:t>
      </w:r>
      <w:r>
        <w:rPr>
          <w:highlight w:val="none"/>
        </w:rPr>
        <w:t>有其他可能影响政府采购活动公平、公正进行的关系。</w:t>
      </w:r>
    </w:p>
    <w:p w14:paraId="35C703DA">
      <w:pPr>
        <w:pStyle w:val="25"/>
        <w:rPr>
          <w:rFonts w:hint="eastAsia"/>
          <w:highlight w:val="none"/>
        </w:rPr>
      </w:pPr>
      <w:r>
        <w:rPr>
          <w:rFonts w:hint="eastAsia"/>
          <w:highlight w:val="none"/>
        </w:rPr>
        <w:t>供应商</w:t>
      </w:r>
      <w:r>
        <w:rPr>
          <w:highlight w:val="none"/>
        </w:rPr>
        <w:t>认为采购人员及相关人员与其他</w:t>
      </w:r>
      <w:r>
        <w:rPr>
          <w:rFonts w:hint="eastAsia"/>
          <w:highlight w:val="none"/>
        </w:rPr>
        <w:t>供应商</w:t>
      </w:r>
      <w:r>
        <w:rPr>
          <w:highlight w:val="none"/>
        </w:rPr>
        <w:t>有利害关系的，可以向采购人或者采购代理机构书面提出回避申请，并说明理由。采购人或者采购代理机构应当及时询问被申请回避人员，有利害关系的被申请回避人员应当回避。</w:t>
      </w:r>
    </w:p>
    <w:p w14:paraId="47775D61">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9.2</w:t>
      </w:r>
      <w:r>
        <w:rPr>
          <w:rFonts w:hint="eastAsia" w:ascii="仿宋" w:hAnsi="仿宋" w:eastAsia="仿宋"/>
          <w:sz w:val="24"/>
          <w:highlight w:val="none"/>
        </w:rPr>
        <w:t>有下列情形之一的视为投标人相互串通投标，投标文件将被视为无效：</w:t>
      </w:r>
    </w:p>
    <w:p w14:paraId="3DD32CA0">
      <w:pPr>
        <w:pStyle w:val="25"/>
        <w:rPr>
          <w:rFonts w:hint="eastAsia"/>
          <w:highlight w:val="none"/>
        </w:rPr>
      </w:pPr>
      <w:r>
        <w:rPr>
          <w:rFonts w:hint="eastAsia"/>
          <w:highlight w:val="none"/>
        </w:rPr>
        <w:t xml:space="preserve">（1）不同投标人的投标文件由同一单位或者个人编制； </w:t>
      </w:r>
    </w:p>
    <w:p w14:paraId="0C5B1A07">
      <w:pPr>
        <w:pStyle w:val="25"/>
        <w:rPr>
          <w:rFonts w:hint="eastAsia"/>
          <w:highlight w:val="none"/>
        </w:rPr>
      </w:pPr>
      <w:r>
        <w:rPr>
          <w:rFonts w:hint="eastAsia"/>
          <w:highlight w:val="none"/>
        </w:rPr>
        <w:t>（2）不同投标人委托同一单位或者个人办理投标事宜；</w:t>
      </w:r>
    </w:p>
    <w:p w14:paraId="691516E1">
      <w:pPr>
        <w:pStyle w:val="25"/>
        <w:rPr>
          <w:rFonts w:hint="eastAsia"/>
          <w:highlight w:val="none"/>
        </w:rPr>
      </w:pPr>
      <w:r>
        <w:rPr>
          <w:rFonts w:hint="eastAsia"/>
          <w:highlight w:val="none"/>
        </w:rPr>
        <w:t>（3）不同的投标人的投标文件载明的项目管理员为同一个人；</w:t>
      </w:r>
    </w:p>
    <w:p w14:paraId="731AAF5F">
      <w:pPr>
        <w:pStyle w:val="25"/>
        <w:rPr>
          <w:rFonts w:hint="eastAsia"/>
          <w:highlight w:val="none"/>
        </w:rPr>
      </w:pPr>
      <w:r>
        <w:rPr>
          <w:rFonts w:hint="eastAsia"/>
          <w:highlight w:val="none"/>
        </w:rPr>
        <w:t>（4）不同投标人的投标文件异常一致或者投标报价呈规律性差异；</w:t>
      </w:r>
    </w:p>
    <w:p w14:paraId="579F7EA6">
      <w:pPr>
        <w:pStyle w:val="25"/>
        <w:rPr>
          <w:rFonts w:hint="eastAsia"/>
          <w:highlight w:val="none"/>
        </w:rPr>
      </w:pPr>
      <w:r>
        <w:rPr>
          <w:rFonts w:hint="eastAsia"/>
          <w:highlight w:val="none"/>
        </w:rPr>
        <w:t>（5）不同投标人的投标文件相互混装；</w:t>
      </w:r>
    </w:p>
    <w:p w14:paraId="2D117BB6">
      <w:pPr>
        <w:pStyle w:val="25"/>
        <w:rPr>
          <w:rFonts w:hint="eastAsia"/>
          <w:highlight w:val="none"/>
        </w:rPr>
      </w:pPr>
      <w:r>
        <w:rPr>
          <w:rFonts w:hint="eastAsia"/>
          <w:highlight w:val="none"/>
        </w:rPr>
        <w:t>（6）不同投标人的投标保证金从同一单位或者个人账户转出。</w:t>
      </w:r>
    </w:p>
    <w:p w14:paraId="64BB8C26">
      <w:pPr>
        <w:pStyle w:val="6"/>
        <w:keepNext w:val="0"/>
        <w:keepLines w:val="0"/>
        <w:spacing w:before="0" w:after="0" w:line="360" w:lineRule="auto"/>
        <w:ind w:left="420" w:leftChars="200"/>
        <w:rPr>
          <w:rFonts w:hint="eastAsia" w:ascii="仿宋" w:hAnsi="仿宋" w:eastAsia="仿宋"/>
          <w:b w:val="0"/>
          <w:sz w:val="24"/>
          <w:highlight w:val="none"/>
        </w:rPr>
      </w:pPr>
      <w:r>
        <w:rPr>
          <w:rFonts w:ascii="仿宋" w:hAnsi="仿宋" w:eastAsia="仿宋"/>
          <w:b w:val="0"/>
          <w:sz w:val="24"/>
          <w:highlight w:val="none"/>
        </w:rPr>
        <w:t>9.3</w:t>
      </w:r>
      <w:r>
        <w:rPr>
          <w:rFonts w:hint="eastAsia" w:ascii="仿宋" w:hAnsi="仿宋" w:eastAsia="仿宋"/>
          <w:b w:val="0"/>
          <w:sz w:val="24"/>
          <w:highlight w:val="none"/>
        </w:rPr>
        <w:t>供应商有下列情形之一的，属于恶意串通行为，将报同级监督管理部门：</w:t>
      </w:r>
    </w:p>
    <w:p w14:paraId="60838856">
      <w:pPr>
        <w:pStyle w:val="25"/>
        <w:rPr>
          <w:rFonts w:hint="eastAsia"/>
          <w:highlight w:val="none"/>
        </w:rPr>
      </w:pPr>
      <w:r>
        <w:rPr>
          <w:rFonts w:hint="eastAsia"/>
          <w:highlight w:val="none"/>
        </w:rPr>
        <w:t>（1）供应商直接或者间接从采购人或者采购代理机构处获得其他供应商的相关信息并修改其投标文件或者响应文件；</w:t>
      </w:r>
    </w:p>
    <w:p w14:paraId="0052E518">
      <w:pPr>
        <w:pStyle w:val="25"/>
        <w:rPr>
          <w:rFonts w:hint="eastAsia"/>
          <w:highlight w:val="none"/>
        </w:rPr>
      </w:pPr>
      <w:r>
        <w:rPr>
          <w:rFonts w:hint="eastAsia"/>
          <w:highlight w:val="none"/>
        </w:rPr>
        <w:t>（2）供应商按照采购人或者采购代理机构的授意撤换、修改投标文件或者响应文件；</w:t>
      </w:r>
    </w:p>
    <w:p w14:paraId="7B7C6291">
      <w:pPr>
        <w:pStyle w:val="25"/>
        <w:rPr>
          <w:rFonts w:hint="eastAsia"/>
          <w:highlight w:val="none"/>
        </w:rPr>
      </w:pPr>
      <w:r>
        <w:rPr>
          <w:rFonts w:hint="eastAsia"/>
          <w:highlight w:val="none"/>
        </w:rPr>
        <w:t>（3）供应商之间协商报价、技术方案等投标文件或者响应文件的实质性内容；</w:t>
      </w:r>
    </w:p>
    <w:p w14:paraId="7A24C9E9">
      <w:pPr>
        <w:pStyle w:val="25"/>
        <w:rPr>
          <w:rFonts w:hint="eastAsia"/>
          <w:highlight w:val="none"/>
        </w:rPr>
      </w:pPr>
      <w:r>
        <w:rPr>
          <w:rFonts w:hint="eastAsia"/>
          <w:highlight w:val="none"/>
        </w:rPr>
        <w:t>（4）属于同一集团、协会、商会等组织成员的供应商按照该组织要求协同参加政府采购活动；</w:t>
      </w:r>
    </w:p>
    <w:p w14:paraId="28F09D46">
      <w:pPr>
        <w:pStyle w:val="25"/>
        <w:rPr>
          <w:rFonts w:hint="eastAsia"/>
          <w:highlight w:val="none"/>
        </w:rPr>
      </w:pPr>
      <w:r>
        <w:rPr>
          <w:rFonts w:hint="eastAsia"/>
          <w:highlight w:val="none"/>
        </w:rPr>
        <w:t>（5）供应商之间事先约定一致抬高或者压低投标报价，或者在招标项目中事先约定轮流以高价位或者低价位中标，或者事先约定由某一特定供应商中标，然后再参加投标；</w:t>
      </w:r>
    </w:p>
    <w:p w14:paraId="5D5D9629">
      <w:pPr>
        <w:pStyle w:val="25"/>
        <w:rPr>
          <w:rFonts w:hint="eastAsia"/>
          <w:highlight w:val="none"/>
        </w:rPr>
      </w:pPr>
      <w:r>
        <w:rPr>
          <w:rFonts w:hint="eastAsia"/>
          <w:highlight w:val="none"/>
        </w:rPr>
        <w:t>（6）供应商之间商定部分供应商放弃参加政府采购活动或者放弃中标；</w:t>
      </w:r>
    </w:p>
    <w:p w14:paraId="14F172FB">
      <w:pPr>
        <w:pStyle w:val="25"/>
        <w:rPr>
          <w:rFonts w:hint="eastAsia"/>
          <w:highlight w:val="none"/>
        </w:rPr>
      </w:pPr>
      <w:r>
        <w:rPr>
          <w:rFonts w:hint="eastAsia"/>
          <w:highlight w:val="none"/>
        </w:rPr>
        <w:t>（7）供应商与采购人或者采购代理机构之间、供应商相互之间，为谋求特定供应商中标或者排斥其他供应商的其他串通行为。</w:t>
      </w:r>
    </w:p>
    <w:p w14:paraId="4058E5F5">
      <w:pPr>
        <w:pStyle w:val="4"/>
        <w:keepNext w:val="0"/>
        <w:keepLines w:val="0"/>
        <w:jc w:val="center"/>
        <w:rPr>
          <w:rFonts w:hint="eastAsia" w:ascii="仿宋" w:hAnsi="仿宋" w:eastAsia="仿宋"/>
          <w:highlight w:val="none"/>
        </w:rPr>
      </w:pPr>
      <w:bookmarkStart w:id="108" w:name="_Toc254970675"/>
      <w:bookmarkStart w:id="109" w:name="_Toc254970534"/>
      <w:r>
        <w:rPr>
          <w:rFonts w:hint="eastAsia" w:ascii="仿宋" w:hAnsi="仿宋" w:eastAsia="仿宋"/>
          <w:highlight w:val="none"/>
        </w:rPr>
        <w:t>二、招标文件</w:t>
      </w:r>
      <w:bookmarkEnd w:id="108"/>
      <w:bookmarkEnd w:id="109"/>
    </w:p>
    <w:p w14:paraId="195413B0">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10.招标文件的组成</w:t>
      </w:r>
    </w:p>
    <w:p w14:paraId="53E884F1">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（1）招标公告；</w:t>
      </w:r>
    </w:p>
    <w:p w14:paraId="5A82A667">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 xml:space="preserve">（2）采购需求； </w:t>
      </w:r>
    </w:p>
    <w:p w14:paraId="1F0A7286">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（3）投标人须知；</w:t>
      </w:r>
    </w:p>
    <w:p w14:paraId="5E803147">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（4）评标方法及评标标准；</w:t>
      </w:r>
    </w:p>
    <w:p w14:paraId="16BE6B92">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（5）拟签订的合同文本；</w:t>
      </w:r>
    </w:p>
    <w:p w14:paraId="3BA7CAB9">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（6）投标文件格式。</w:t>
      </w:r>
    </w:p>
    <w:p w14:paraId="2DAE823B">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11.招标文件的澄清、修改 、现场考察和答疑会</w:t>
      </w:r>
    </w:p>
    <w:p w14:paraId="2D7C19BA">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3648E3DE">
      <w:pPr>
        <w:pStyle w:val="6"/>
        <w:keepNext w:val="0"/>
        <w:keepLines w:val="0"/>
        <w:numPr>
          <w:ilvl w:val="0"/>
          <w:numId w:val="0"/>
        </w:numPr>
        <w:spacing w:before="0" w:after="0" w:line="360" w:lineRule="auto"/>
        <w:ind w:firstLine="480" w:firstLineChars="200"/>
        <w:rPr>
          <w:rFonts w:hint="eastAsia" w:ascii="仿宋" w:hAnsi="仿宋" w:eastAsia="仿宋"/>
          <w:sz w:val="24"/>
          <w:highlight w:val="none"/>
        </w:rPr>
      </w:pPr>
      <w:r>
        <w:rPr>
          <w:rFonts w:hint="eastAsia" w:ascii="仿宋" w:hAnsi="仿宋" w:eastAsia="仿宋"/>
          <w:b w:val="0"/>
          <w:sz w:val="24"/>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63953AE8">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11.3采购人和采购代理机构可以视采购具体情况，变更投标截止时间和开标时间，并在原公告发布媒体上发布更正公告。</w:t>
      </w:r>
    </w:p>
    <w:p w14:paraId="18AC8774">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11.4招标文件澄清、答复、修改、补充的内容为招标文件的组成部分。</w:t>
      </w:r>
      <w:r>
        <w:rPr>
          <w:rFonts w:hint="eastAsia" w:ascii="仿宋" w:hAnsi="仿宋" w:eastAsia="仿宋"/>
          <w:b/>
          <w:sz w:val="24"/>
          <w:highlight w:val="none"/>
        </w:rPr>
        <w:t>当招标文件与招标文件的澄清、答复、修改、补充通知就同一内容的表述不一致时，以最后发出的文件为准。</w:t>
      </w:r>
    </w:p>
    <w:p w14:paraId="32020A6B">
      <w:pPr>
        <w:pStyle w:val="25"/>
        <w:rPr>
          <w:rFonts w:hint="eastAsia"/>
          <w:highlight w:val="none"/>
        </w:rPr>
      </w:pPr>
      <w:r>
        <w:rPr>
          <w:rFonts w:hint="eastAsia"/>
          <w:highlight w:val="none"/>
        </w:rPr>
        <w:t>1</w:t>
      </w:r>
      <w:r>
        <w:rPr>
          <w:highlight w:val="none"/>
        </w:rPr>
        <w:t>1.</w:t>
      </w:r>
      <w:bookmarkStart w:id="110" w:name="_Hlk53134511"/>
      <w:r>
        <w:rPr>
          <w:rFonts w:hint="eastAsia"/>
          <w:highlight w:val="none"/>
        </w:rPr>
        <w:t>5采购人或者采购代理机构可以在招标文件提供期限截止后，组织已获取招标文件的潜在投标人现场考察或者召开开标前答疑会，具体详见“投标人须知前附表”。</w:t>
      </w:r>
    </w:p>
    <w:bookmarkEnd w:id="110"/>
    <w:p w14:paraId="151C4104">
      <w:pPr>
        <w:pStyle w:val="4"/>
        <w:keepNext w:val="0"/>
        <w:keepLines w:val="0"/>
        <w:jc w:val="center"/>
        <w:rPr>
          <w:rFonts w:hint="eastAsia" w:ascii="仿宋" w:hAnsi="仿宋" w:eastAsia="仿宋"/>
          <w:highlight w:val="none"/>
        </w:rPr>
      </w:pPr>
      <w:bookmarkStart w:id="111" w:name="_Toc254970676"/>
      <w:bookmarkStart w:id="112" w:name="_Toc254970535"/>
      <w:r>
        <w:rPr>
          <w:rFonts w:hint="eastAsia" w:ascii="仿宋" w:hAnsi="仿宋" w:eastAsia="仿宋"/>
          <w:highlight w:val="none"/>
        </w:rPr>
        <w:t>三、投标文件的编制</w:t>
      </w:r>
      <w:bookmarkEnd w:id="111"/>
      <w:bookmarkEnd w:id="112"/>
    </w:p>
    <w:p w14:paraId="7FEF0D13">
      <w:pPr>
        <w:pStyle w:val="6"/>
        <w:keepNext w:val="0"/>
        <w:keepLines w:val="0"/>
        <w:spacing w:before="0" w:after="0" w:line="360" w:lineRule="auto"/>
        <w:ind w:left="420" w:leftChars="200" w:firstLine="480"/>
        <w:rPr>
          <w:rFonts w:hint="eastAsia" w:ascii="仿宋" w:hAnsi="仿宋" w:eastAsia="仿宋"/>
          <w:sz w:val="24"/>
          <w:highlight w:val="none"/>
        </w:rPr>
      </w:pPr>
      <w:bookmarkStart w:id="113" w:name="_Toc254970536"/>
      <w:bookmarkStart w:id="114" w:name="_Toc254970677"/>
      <w:r>
        <w:rPr>
          <w:rFonts w:hint="eastAsia" w:ascii="仿宋" w:hAnsi="仿宋" w:eastAsia="仿宋"/>
          <w:sz w:val="24"/>
          <w:highlight w:val="none"/>
        </w:rPr>
        <w:t>12.投标文件的编制原则</w:t>
      </w:r>
    </w:p>
    <w:p w14:paraId="6177DA78">
      <w:pPr>
        <w:snapToGrid w:val="0"/>
        <w:spacing w:line="360" w:lineRule="auto"/>
        <w:ind w:firstLine="420"/>
        <w:jc w:val="left"/>
        <w:rPr>
          <w:rFonts w:hint="eastAsia" w:ascii="仿宋" w:hAnsi="仿宋" w:eastAsia="仿宋" w:cs="Courier New"/>
          <w:sz w:val="24"/>
          <w:highlight w:val="none"/>
        </w:rPr>
      </w:pPr>
      <w:r>
        <w:rPr>
          <w:rFonts w:ascii="仿宋" w:hAnsi="仿宋" w:eastAsia="仿宋"/>
          <w:sz w:val="24"/>
          <w:highlight w:val="none"/>
        </w:rPr>
        <w:t>投标人必须按照招标文件的要求编制投标文件。投标文件必须对招标文件提出的要求和条件作出明确响应。</w:t>
      </w:r>
    </w:p>
    <w:p w14:paraId="7470D136">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13.投标文件的组成</w:t>
      </w:r>
      <w:bookmarkEnd w:id="113"/>
      <w:bookmarkEnd w:id="114"/>
    </w:p>
    <w:p w14:paraId="1C10E2E7">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3.1</w:t>
      </w:r>
      <w:r>
        <w:rPr>
          <w:rFonts w:hint="eastAsia" w:ascii="仿宋" w:hAnsi="仿宋" w:eastAsia="仿宋"/>
          <w:sz w:val="24"/>
          <w:highlight w:val="none"/>
        </w:rPr>
        <w:t>投标文件由报价文件、资格证明文件、商务文件、技术文件四部分组成。</w:t>
      </w:r>
    </w:p>
    <w:p w14:paraId="1EA92165">
      <w:pPr>
        <w:pStyle w:val="6"/>
        <w:keepNext w:val="0"/>
        <w:keepLines w:val="0"/>
        <w:spacing w:before="0" w:after="0" w:line="360" w:lineRule="auto"/>
        <w:ind w:left="420" w:leftChars="200"/>
        <w:rPr>
          <w:rFonts w:hint="eastAsia" w:ascii="仿宋" w:hAnsi="仿宋" w:eastAsia="仿宋"/>
          <w:b w:val="0"/>
          <w:sz w:val="24"/>
          <w:highlight w:val="none"/>
        </w:rPr>
      </w:pPr>
      <w:bookmarkStart w:id="115" w:name="_13.1报价文件:_具体材料见“投标人须知前附表”。"/>
      <w:bookmarkEnd w:id="115"/>
      <w:r>
        <w:rPr>
          <w:rFonts w:hint="eastAsia" w:ascii="仿宋" w:hAnsi="仿宋" w:eastAsia="仿宋"/>
          <w:b w:val="0"/>
          <w:sz w:val="24"/>
          <w:highlight w:val="none"/>
        </w:rPr>
        <w:t>（1）报价文件：</w:t>
      </w:r>
      <w:r>
        <w:rPr>
          <w:rFonts w:ascii="仿宋" w:hAnsi="仿宋" w:eastAsia="仿宋"/>
          <w:b w:val="0"/>
          <w:sz w:val="24"/>
          <w:highlight w:val="none"/>
        </w:rPr>
        <w:t xml:space="preserve"> 具体材料见“投标人须知前附表”</w:t>
      </w:r>
      <w:r>
        <w:rPr>
          <w:rFonts w:hint="eastAsia" w:ascii="仿宋" w:hAnsi="仿宋" w:eastAsia="仿宋"/>
          <w:b w:val="0"/>
          <w:sz w:val="24"/>
          <w:highlight w:val="none"/>
        </w:rPr>
        <w:t>。</w:t>
      </w:r>
    </w:p>
    <w:p w14:paraId="3B7260D3">
      <w:pPr>
        <w:pStyle w:val="6"/>
        <w:keepNext w:val="0"/>
        <w:keepLines w:val="0"/>
        <w:spacing w:before="0" w:after="0" w:line="360" w:lineRule="auto"/>
        <w:ind w:left="420" w:leftChars="200"/>
        <w:rPr>
          <w:rFonts w:hint="eastAsia" w:ascii="仿宋" w:hAnsi="仿宋" w:eastAsia="仿宋"/>
          <w:b w:val="0"/>
          <w:sz w:val="24"/>
          <w:highlight w:val="none"/>
        </w:rPr>
      </w:pPr>
      <w:bookmarkStart w:id="116" w:name="_13.2资格证明文件：具体材料见“投标人须知前附表”。"/>
      <w:bookmarkEnd w:id="116"/>
      <w:r>
        <w:rPr>
          <w:rFonts w:hint="eastAsia" w:ascii="仿宋" w:hAnsi="仿宋" w:eastAsia="仿宋"/>
          <w:b w:val="0"/>
          <w:sz w:val="24"/>
          <w:highlight w:val="none"/>
        </w:rPr>
        <w:t>（</w:t>
      </w:r>
      <w:r>
        <w:rPr>
          <w:rFonts w:ascii="仿宋" w:hAnsi="仿宋" w:eastAsia="仿宋"/>
          <w:b w:val="0"/>
          <w:sz w:val="24"/>
          <w:highlight w:val="none"/>
        </w:rPr>
        <w:t>2</w:t>
      </w:r>
      <w:r>
        <w:rPr>
          <w:rFonts w:hint="eastAsia" w:ascii="仿宋" w:hAnsi="仿宋" w:eastAsia="仿宋"/>
          <w:b w:val="0"/>
          <w:sz w:val="24"/>
          <w:highlight w:val="none"/>
        </w:rPr>
        <w:t>）资格证明文件：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p>
    <w:p w14:paraId="66E393CE">
      <w:pPr>
        <w:pStyle w:val="6"/>
        <w:keepNext w:val="0"/>
        <w:keepLines w:val="0"/>
        <w:spacing w:before="0" w:after="0" w:line="360" w:lineRule="auto"/>
        <w:ind w:left="420" w:leftChars="200"/>
        <w:rPr>
          <w:rFonts w:hint="eastAsia" w:ascii="仿宋" w:hAnsi="仿宋" w:eastAsia="仿宋"/>
          <w:b w:val="0"/>
          <w:sz w:val="24"/>
          <w:highlight w:val="none"/>
        </w:rPr>
      </w:pPr>
      <w:bookmarkStart w:id="117" w:name="_13.3商务文件:_具体材料见“投标人须知前附表”。"/>
      <w:bookmarkEnd w:id="117"/>
      <w:r>
        <w:rPr>
          <w:rFonts w:hint="eastAsia" w:ascii="仿宋" w:hAnsi="仿宋" w:eastAsia="仿宋"/>
          <w:b w:val="0"/>
          <w:sz w:val="24"/>
          <w:highlight w:val="none"/>
        </w:rPr>
        <w:t>（</w:t>
      </w:r>
      <w:r>
        <w:rPr>
          <w:rFonts w:ascii="仿宋" w:hAnsi="仿宋" w:eastAsia="仿宋"/>
          <w:b w:val="0"/>
          <w:sz w:val="24"/>
          <w:highlight w:val="none"/>
        </w:rPr>
        <w:t>3</w:t>
      </w:r>
      <w:r>
        <w:rPr>
          <w:rFonts w:hint="eastAsia" w:ascii="仿宋" w:hAnsi="仿宋" w:eastAsia="仿宋"/>
          <w:b w:val="0"/>
          <w:sz w:val="24"/>
          <w:highlight w:val="none"/>
        </w:rPr>
        <w:t>）商务文件：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p>
    <w:p w14:paraId="63B851E2">
      <w:pPr>
        <w:pStyle w:val="6"/>
        <w:keepNext w:val="0"/>
        <w:keepLines w:val="0"/>
        <w:spacing w:before="0" w:after="0" w:line="360" w:lineRule="auto"/>
        <w:ind w:left="420" w:leftChars="200"/>
        <w:rPr>
          <w:rFonts w:hint="eastAsia" w:ascii="仿宋" w:hAnsi="仿宋" w:eastAsia="仿宋"/>
          <w:b w:val="0"/>
          <w:sz w:val="24"/>
          <w:highlight w:val="none"/>
        </w:rPr>
      </w:pPr>
      <w:bookmarkStart w:id="118" w:name="_13.4技术文件：具体材料见“投标人须知前附表”。"/>
      <w:bookmarkEnd w:id="118"/>
      <w:r>
        <w:rPr>
          <w:rFonts w:hint="eastAsia" w:ascii="仿宋" w:hAnsi="仿宋" w:eastAsia="仿宋"/>
          <w:b w:val="0"/>
          <w:sz w:val="24"/>
          <w:highlight w:val="none"/>
        </w:rPr>
        <w:t>（</w:t>
      </w:r>
      <w:r>
        <w:rPr>
          <w:rFonts w:ascii="仿宋" w:hAnsi="仿宋" w:eastAsia="仿宋"/>
          <w:b w:val="0"/>
          <w:sz w:val="24"/>
          <w:highlight w:val="none"/>
        </w:rPr>
        <w:t>4</w:t>
      </w:r>
      <w:r>
        <w:rPr>
          <w:rFonts w:hint="eastAsia" w:ascii="仿宋" w:hAnsi="仿宋" w:eastAsia="仿宋"/>
          <w:b w:val="0"/>
          <w:sz w:val="24"/>
          <w:highlight w:val="none"/>
        </w:rPr>
        <w:t>）技术文件：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bookmarkStart w:id="119" w:name="_13.5投标文件电子版：具体材料见“投标人须知前附表”。"/>
      <w:bookmarkEnd w:id="119"/>
    </w:p>
    <w:p w14:paraId="24B132B3">
      <w:pPr>
        <w:pStyle w:val="6"/>
        <w:keepNext w:val="0"/>
        <w:keepLines w:val="0"/>
        <w:spacing w:before="0" w:after="0" w:line="360" w:lineRule="auto"/>
        <w:ind w:left="420" w:leftChars="200" w:firstLine="480"/>
        <w:rPr>
          <w:rFonts w:hint="eastAsia" w:ascii="仿宋" w:hAnsi="仿宋" w:eastAsia="仿宋"/>
          <w:sz w:val="24"/>
          <w:highlight w:val="none"/>
        </w:rPr>
      </w:pPr>
      <w:bookmarkStart w:id="120" w:name="_Toc254970678"/>
      <w:bookmarkStart w:id="121" w:name="_Toc254970537"/>
      <w:r>
        <w:rPr>
          <w:rFonts w:hint="eastAsia" w:ascii="仿宋" w:hAnsi="仿宋" w:eastAsia="仿宋"/>
          <w:sz w:val="24"/>
          <w:highlight w:val="none"/>
        </w:rPr>
        <w:t>14.投标文件的语言及计量</w:t>
      </w:r>
      <w:bookmarkEnd w:id="120"/>
      <w:bookmarkEnd w:id="121"/>
    </w:p>
    <w:p w14:paraId="3291559D">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14.1语言文字</w:t>
      </w:r>
    </w:p>
    <w:p w14:paraId="5F3F3A7C">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CA4E229">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14.2投标计量单位</w:t>
      </w:r>
    </w:p>
    <w:p w14:paraId="4DB79AF1">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招标文件已有明确规定的，使用招标文件规定的计量单位；招标文件没有规定的，应采用中华人民共和国法定计量单位，货币种类为人民币，否则视同未响应。</w:t>
      </w:r>
    </w:p>
    <w:p w14:paraId="1605848E">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15.投标的风险</w:t>
      </w:r>
    </w:p>
    <w:p w14:paraId="424D28DF">
      <w:pPr>
        <w:pStyle w:val="25"/>
        <w:rPr>
          <w:rFonts w:hint="eastAsia"/>
          <w:highlight w:val="none"/>
        </w:rPr>
      </w:pPr>
      <w:r>
        <w:rPr>
          <w:rFonts w:hint="eastAsia"/>
          <w:highlight w:val="none"/>
        </w:rPr>
        <w:t>投标人没有按照招标文件要求提供全部资料，或者投标人没有对招标文件作出实质性响应是投标人的风险，并可能导致其投标被拒绝。</w:t>
      </w:r>
    </w:p>
    <w:p w14:paraId="250AD0C8">
      <w:pPr>
        <w:pStyle w:val="6"/>
        <w:keepNext w:val="0"/>
        <w:keepLines w:val="0"/>
        <w:spacing w:before="0" w:after="0" w:line="360" w:lineRule="auto"/>
        <w:ind w:left="420" w:leftChars="200" w:firstLine="480"/>
        <w:rPr>
          <w:rFonts w:hint="eastAsia" w:ascii="仿宋" w:hAnsi="仿宋" w:eastAsia="仿宋"/>
          <w:sz w:val="24"/>
          <w:highlight w:val="none"/>
        </w:rPr>
      </w:pPr>
      <w:bookmarkStart w:id="122" w:name="_Toc254970679"/>
      <w:bookmarkStart w:id="123" w:name="_Toc254970538"/>
      <w:r>
        <w:rPr>
          <w:rFonts w:hint="eastAsia" w:ascii="仿宋" w:hAnsi="仿宋" w:eastAsia="仿宋"/>
          <w:sz w:val="24"/>
          <w:highlight w:val="none"/>
        </w:rPr>
        <w:t>16.投标报价</w:t>
      </w:r>
      <w:bookmarkEnd w:id="122"/>
      <w:bookmarkEnd w:id="123"/>
    </w:p>
    <w:p w14:paraId="37DF5F8E">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16.1投标报价应按“第六章　投标文件格式”中“开标一览表”格式填写。</w:t>
      </w:r>
    </w:p>
    <w:p w14:paraId="1D28352E">
      <w:pPr>
        <w:pStyle w:val="6"/>
        <w:keepNext w:val="0"/>
        <w:keepLines w:val="0"/>
        <w:spacing w:before="0" w:after="0" w:line="360" w:lineRule="auto"/>
        <w:ind w:left="420" w:leftChars="200"/>
        <w:rPr>
          <w:rFonts w:hint="eastAsia" w:ascii="仿宋" w:hAnsi="仿宋" w:eastAsia="仿宋"/>
          <w:b w:val="0"/>
          <w:sz w:val="24"/>
          <w:highlight w:val="none"/>
        </w:rPr>
      </w:pPr>
      <w:bookmarkStart w:id="124" w:name="_16.2投标报价具体定义见投标人须知前附表。"/>
      <w:bookmarkEnd w:id="124"/>
      <w:r>
        <w:rPr>
          <w:rFonts w:hint="eastAsia" w:ascii="仿宋" w:hAnsi="仿宋" w:eastAsia="仿宋"/>
          <w:b w:val="0"/>
          <w:sz w:val="24"/>
          <w:highlight w:val="none"/>
        </w:rPr>
        <w:t>16.2投标报价具体包括内容详见“投标人须知前附表”。</w:t>
      </w:r>
    </w:p>
    <w:p w14:paraId="47816830">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16.3投标人必须就所投每个标项的全部内容分别作完整唯一总价报价，不得存在漏项报价；投标人必须就所投标项的单项内容作唯一报价。</w:t>
      </w:r>
    </w:p>
    <w:p w14:paraId="3F1702E6">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17.投标有效期</w:t>
      </w:r>
      <w:bookmarkStart w:id="125" w:name="_17.1投标有效期应按“投标人须知中的前附表”规定的期限。"/>
      <w:bookmarkEnd w:id="125"/>
    </w:p>
    <w:p w14:paraId="4A62083D">
      <w:pPr>
        <w:pStyle w:val="6"/>
        <w:keepNext w:val="0"/>
        <w:keepLines w:val="0"/>
        <w:spacing w:before="0" w:after="0" w:line="360" w:lineRule="auto"/>
        <w:ind w:left="420" w:leftChars="200"/>
        <w:rPr>
          <w:rFonts w:hint="eastAsia" w:ascii="仿宋" w:hAnsi="仿宋" w:eastAsia="仿宋"/>
          <w:sz w:val="24"/>
          <w:highlight w:val="none"/>
        </w:rPr>
      </w:pPr>
      <w:r>
        <w:rPr>
          <w:rFonts w:hint="eastAsia" w:ascii="仿宋" w:hAnsi="仿宋" w:eastAsia="仿宋"/>
          <w:b w:val="0"/>
          <w:sz w:val="24"/>
          <w:highlight w:val="none"/>
        </w:rPr>
        <w:t>17.1投标有效期是指为保证采购人有足够的时间在开标后完成评标、定标、合同签订等工作而要求投标人提交的投标文件在一定时间内保持有效的期限。</w:t>
      </w:r>
    </w:p>
    <w:p w14:paraId="406B0826">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17.2</w:t>
      </w:r>
      <w:bookmarkStart w:id="126" w:name="_Toc254970540"/>
      <w:bookmarkStart w:id="127" w:name="_Toc254970681"/>
      <w:r>
        <w:rPr>
          <w:rFonts w:hint="eastAsia" w:ascii="仿宋" w:hAnsi="仿宋" w:eastAsia="仿宋"/>
          <w:b w:val="0"/>
          <w:sz w:val="24"/>
          <w:highlight w:val="none"/>
        </w:rPr>
        <w:t xml:space="preserve"> 投标有效期应按规定的期限作出承诺，具体详见“投标人须知前附表”。</w:t>
      </w:r>
    </w:p>
    <w:p w14:paraId="14CA0EB3">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17.3投标人的投标文件在投标有效期内均保持有效。</w:t>
      </w:r>
      <w:bookmarkEnd w:id="126"/>
      <w:bookmarkEnd w:id="127"/>
    </w:p>
    <w:p w14:paraId="4C4B7FAE">
      <w:pPr>
        <w:pStyle w:val="6"/>
        <w:keepNext w:val="0"/>
        <w:keepLines w:val="0"/>
        <w:spacing w:before="0" w:after="0" w:line="360" w:lineRule="auto"/>
        <w:ind w:left="420" w:leftChars="200" w:firstLine="480"/>
        <w:rPr>
          <w:rFonts w:hint="eastAsia" w:ascii="仿宋" w:hAnsi="仿宋" w:eastAsia="仿宋"/>
          <w:sz w:val="24"/>
          <w:highlight w:val="none"/>
        </w:rPr>
      </w:pPr>
      <w:bookmarkStart w:id="128" w:name="_18.投标保证金"/>
      <w:bookmarkEnd w:id="128"/>
      <w:bookmarkStart w:id="129" w:name="_Toc254970541"/>
      <w:bookmarkStart w:id="130" w:name="_Toc254970682"/>
      <w:r>
        <w:rPr>
          <w:rFonts w:hint="eastAsia" w:ascii="仿宋" w:hAnsi="仿宋" w:eastAsia="仿宋"/>
          <w:sz w:val="24"/>
          <w:highlight w:val="none"/>
        </w:rPr>
        <w:t>18.投标保证金</w:t>
      </w:r>
      <w:bookmarkEnd w:id="129"/>
      <w:bookmarkEnd w:id="130"/>
    </w:p>
    <w:p w14:paraId="0EB34E41">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18.1投标人须按“投标人须知前附表” 的规定提交投标保证金。</w:t>
      </w:r>
    </w:p>
    <w:p w14:paraId="58BDF85E">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18.2投标保证金的退还</w:t>
      </w:r>
    </w:p>
    <w:p w14:paraId="0D386C3D">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 xml:space="preserve">未中标人的投标保证金自中标通知书发出之日起4个工作日内退还；中标人的投标保证金自政府采购合同签订之日起4个工作日内退还。 </w:t>
      </w:r>
    </w:p>
    <w:p w14:paraId="1FD4E833">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18.3除逾期退还投标保证金和终止招标的情形以外，投标保证金不计息。</w:t>
      </w:r>
    </w:p>
    <w:p w14:paraId="7C6493F3">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 xml:space="preserve">18.4投标人有下列情形之一的，投标保证金将不予退还： </w:t>
      </w:r>
    </w:p>
    <w:p w14:paraId="21F0DE62">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（1）投标人在投标有效期内撤销投标文件的；</w:t>
      </w:r>
    </w:p>
    <w:p w14:paraId="59E76A0C">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（2）未按规定提交履约保证金的；</w:t>
      </w:r>
    </w:p>
    <w:p w14:paraId="1BA99017">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（3）投标人在投标过程中弄虚作假，提供虚假材料的；</w:t>
      </w:r>
    </w:p>
    <w:p w14:paraId="4D9C22B3">
      <w:pPr>
        <w:snapToGrid w:val="0"/>
        <w:spacing w:line="360" w:lineRule="auto"/>
        <w:ind w:firstLine="470" w:firstLineChars="196"/>
        <w:rPr>
          <w:rFonts w:hint="eastAsia" w:ascii="仿宋" w:hAnsi="仿宋" w:eastAsia="仿宋"/>
          <w:sz w:val="24"/>
          <w:highlight w:val="none"/>
        </w:rPr>
      </w:pPr>
      <w:r>
        <w:rPr>
          <w:rFonts w:hint="eastAsia" w:ascii="仿宋" w:hAnsi="仿宋" w:eastAsia="仿宋"/>
          <w:sz w:val="24"/>
          <w:highlight w:val="none"/>
        </w:rPr>
        <w:t>（4）中标人无正当理由不与采购人签订合同的；</w:t>
      </w:r>
    </w:p>
    <w:p w14:paraId="2F528D30">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（5）投标人出现本章第9.2、9.3情形的；</w:t>
      </w:r>
    </w:p>
    <w:p w14:paraId="0223D6C7">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w:t>
      </w:r>
      <w:r>
        <w:rPr>
          <w:rFonts w:hint="eastAsia" w:ascii="仿宋" w:hAnsi="仿宋" w:eastAsia="仿宋" w:cs="宋体"/>
          <w:sz w:val="24"/>
          <w:highlight w:val="none"/>
        </w:rPr>
        <w:t>法律法规规定的其他情形</w:t>
      </w:r>
      <w:r>
        <w:rPr>
          <w:rFonts w:hint="eastAsia" w:ascii="仿宋" w:hAnsi="仿宋" w:eastAsia="仿宋"/>
          <w:sz w:val="24"/>
          <w:highlight w:val="none"/>
        </w:rPr>
        <w:t>。</w:t>
      </w:r>
    </w:p>
    <w:p w14:paraId="488AF953">
      <w:pPr>
        <w:pStyle w:val="6"/>
        <w:keepNext w:val="0"/>
        <w:keepLines w:val="0"/>
        <w:spacing w:before="0" w:after="0" w:line="360" w:lineRule="auto"/>
        <w:ind w:left="420" w:leftChars="200" w:firstLine="480"/>
        <w:rPr>
          <w:rFonts w:hint="eastAsia" w:ascii="仿宋" w:hAnsi="仿宋" w:eastAsia="仿宋"/>
          <w:sz w:val="24"/>
          <w:highlight w:val="none"/>
        </w:rPr>
      </w:pPr>
      <w:bookmarkStart w:id="131" w:name="_Toc254970683"/>
      <w:bookmarkStart w:id="132" w:name="_Toc254970542"/>
      <w:r>
        <w:rPr>
          <w:rFonts w:hint="eastAsia" w:ascii="仿宋" w:hAnsi="仿宋" w:eastAsia="仿宋"/>
          <w:sz w:val="24"/>
          <w:highlight w:val="none"/>
        </w:rPr>
        <w:t>19.投标文件的</w:t>
      </w:r>
      <w:bookmarkEnd w:id="131"/>
      <w:bookmarkEnd w:id="132"/>
      <w:r>
        <w:rPr>
          <w:rFonts w:hint="eastAsia" w:ascii="仿宋" w:hAnsi="仿宋" w:eastAsia="仿宋"/>
          <w:sz w:val="24"/>
          <w:highlight w:val="none"/>
        </w:rPr>
        <w:t>编制</w:t>
      </w:r>
    </w:p>
    <w:p w14:paraId="7297ECF3">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20EA158C">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bookmarkStart w:id="133" w:name="_19.2投标文件应按报价文件、资格证明文件、商务文件、技术文件分别编制"/>
      <w:bookmarkEnd w:id="133"/>
      <w:r>
        <w:rPr>
          <w:rFonts w:hint="eastAsia" w:ascii="仿宋" w:hAnsi="仿宋" w:eastAsia="仿宋"/>
          <w:b w:val="0"/>
          <w:sz w:val="24"/>
          <w:highlight w:val="none"/>
        </w:rPr>
        <w:t>19.2投标文件应按报价文件、资格证明文件、商务文件、技术文件分别编制电子文件，并按“广西政府采购云平台”的要求编制、加密、上传。</w:t>
      </w:r>
    </w:p>
    <w:p w14:paraId="0AB909C4">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19.</w:t>
      </w:r>
      <w:bookmarkStart w:id="134" w:name="_Hlk65832616"/>
      <w:r>
        <w:rPr>
          <w:rFonts w:hint="eastAsia" w:ascii="仿宋" w:hAnsi="仿宋" w:eastAsia="仿宋"/>
          <w:b w:val="0"/>
          <w:sz w:val="24"/>
          <w:highlight w:val="none"/>
        </w:rPr>
        <w:t>3投标文件须由投标人在规定位置</w:t>
      </w:r>
      <w:r>
        <w:rPr>
          <w:rFonts w:hint="eastAsia" w:ascii="仿宋" w:hAnsi="仿宋" w:eastAsia="仿宋"/>
          <w:b w:val="0"/>
          <w:sz w:val="24"/>
          <w:highlight w:val="none"/>
          <w:lang w:eastAsia="zh-CN"/>
        </w:rPr>
        <w:t>盖CA公章</w:t>
      </w:r>
      <w:r>
        <w:rPr>
          <w:rFonts w:hint="eastAsia" w:ascii="仿宋" w:hAnsi="仿宋" w:eastAsia="仿宋"/>
          <w:b w:val="0"/>
          <w:sz w:val="24"/>
          <w:highlight w:val="none"/>
        </w:rPr>
        <w:t>并签字</w:t>
      </w:r>
      <w:bookmarkStart w:id="135" w:name="_Hlk65832569"/>
      <w:r>
        <w:rPr>
          <w:rFonts w:hint="eastAsia" w:ascii="仿宋" w:hAnsi="仿宋" w:eastAsia="仿宋"/>
          <w:b w:val="0"/>
          <w:sz w:val="24"/>
          <w:highlight w:val="none"/>
        </w:rPr>
        <w:t>（具体以投标人须知前附表或投标文件格式规定为准）</w:t>
      </w:r>
      <w:bookmarkEnd w:id="134"/>
      <w:bookmarkEnd w:id="135"/>
      <w:r>
        <w:rPr>
          <w:rFonts w:hint="eastAsia" w:ascii="仿宋" w:hAnsi="仿宋" w:eastAsia="仿宋"/>
          <w:b w:val="0"/>
          <w:sz w:val="24"/>
          <w:highlight w:val="none"/>
        </w:rPr>
        <w:t>，</w:t>
      </w:r>
      <w:r>
        <w:rPr>
          <w:rFonts w:hint="eastAsia" w:ascii="仿宋" w:hAnsi="仿宋" w:eastAsia="仿宋"/>
          <w:bCs/>
          <w:sz w:val="24"/>
          <w:highlight w:val="none"/>
        </w:rPr>
        <w:t>否则按无效投标处理</w:t>
      </w:r>
      <w:r>
        <w:rPr>
          <w:rFonts w:hint="eastAsia" w:ascii="仿宋" w:hAnsi="仿宋" w:eastAsia="仿宋"/>
          <w:b w:val="0"/>
          <w:sz w:val="24"/>
          <w:highlight w:val="none"/>
        </w:rPr>
        <w:t>。</w:t>
      </w:r>
    </w:p>
    <w:p w14:paraId="4C521FDB">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19.4投标文件中标注的投标人名称应与主体资格证明（如营业执照、事业单位法人证书、执业许可证、自然人身份证等）及公章一致，</w:t>
      </w:r>
      <w:r>
        <w:rPr>
          <w:rFonts w:hint="eastAsia" w:ascii="仿宋" w:hAnsi="仿宋" w:eastAsia="仿宋"/>
          <w:sz w:val="24"/>
          <w:highlight w:val="none"/>
        </w:rPr>
        <w:t>否则按无效投标处理</w:t>
      </w:r>
      <w:r>
        <w:rPr>
          <w:rFonts w:hint="eastAsia" w:ascii="仿宋" w:hAnsi="仿宋" w:eastAsia="仿宋"/>
          <w:b w:val="0"/>
          <w:sz w:val="24"/>
          <w:highlight w:val="none"/>
        </w:rPr>
        <w:t>。</w:t>
      </w:r>
    </w:p>
    <w:p w14:paraId="35ABF8F1">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19.5投标文件应尽量避免涂改、行间插字或者删除。如果出现上述情况，改动之处应由投标人的法定代表人或者其委托代理人签字或者加</w:t>
      </w:r>
      <w:r>
        <w:rPr>
          <w:rFonts w:hint="eastAsia" w:ascii="仿宋" w:hAnsi="仿宋" w:eastAsia="仿宋"/>
          <w:b w:val="0"/>
          <w:sz w:val="24"/>
          <w:highlight w:val="none"/>
          <w:lang w:eastAsia="zh-CN"/>
        </w:rPr>
        <w:t>盖CA公章</w:t>
      </w:r>
      <w:r>
        <w:rPr>
          <w:rFonts w:hint="eastAsia" w:ascii="仿宋" w:hAnsi="仿宋" w:eastAsia="仿宋"/>
          <w:b w:val="0"/>
          <w:sz w:val="24"/>
          <w:highlight w:val="none"/>
        </w:rPr>
        <w:t>。投标文件因字迹潦草或者表达不清所引起的后果由投标人承担。</w:t>
      </w:r>
    </w:p>
    <w:p w14:paraId="31772B40">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20.投标文件的加密、解密</w:t>
      </w:r>
    </w:p>
    <w:p w14:paraId="23083C9A">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20.1电子投标文件编制完成后，投标人应按“广西政府采购云平台”的要求进行加密，并在规定时间内解密，否则，由此产生的后果由投标人自行负责。</w:t>
      </w:r>
    </w:p>
    <w:p w14:paraId="4A8E2E0A">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21.投标文件的提交</w:t>
      </w:r>
    </w:p>
    <w:p w14:paraId="552015AD">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bookmarkStart w:id="136" w:name="_21.1投标人必须在“投标人须知中的前附表”规定的投标文件接收时间和投"/>
      <w:bookmarkEnd w:id="136"/>
      <w:r>
        <w:rPr>
          <w:rFonts w:hint="eastAsia" w:ascii="仿宋" w:hAnsi="仿宋" w:eastAsia="仿宋"/>
          <w:b w:val="0"/>
          <w:sz w:val="24"/>
          <w:highlight w:val="none"/>
        </w:rPr>
        <w:t>21.1投标人必须在“投标人须知前附表”规定的投标文件接收时间和投标地点提交投标文件。</w:t>
      </w:r>
    </w:p>
    <w:p w14:paraId="4BD11C65">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21.2本项目为全流程电子化政府采购项目，通过“广西政府采购云平台”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45F81AD2">
      <w:pPr>
        <w:pStyle w:val="6"/>
        <w:keepNext w:val="0"/>
        <w:keepLines w:val="0"/>
        <w:numPr>
          <w:ilvl w:val="0"/>
          <w:numId w:val="0"/>
        </w:numPr>
        <w:spacing w:before="0" w:after="0" w:line="360" w:lineRule="auto"/>
        <w:ind w:firstLine="480" w:firstLineChars="200"/>
        <w:jc w:val="left"/>
        <w:rPr>
          <w:rFonts w:hint="eastAsia" w:ascii="仿宋" w:hAnsi="仿宋" w:eastAsia="仿宋"/>
          <w:b w:val="0"/>
          <w:sz w:val="24"/>
          <w:highlight w:val="none"/>
        </w:rPr>
      </w:pPr>
      <w:r>
        <w:rPr>
          <w:rFonts w:hint="eastAsia" w:ascii="仿宋" w:hAnsi="仿宋" w:eastAsia="仿宋"/>
          <w:b w:val="0"/>
          <w:sz w:val="24"/>
          <w:highlight w:val="none"/>
        </w:rPr>
        <w:t>21.3未在规定时间内上传或者未按“广西政府采购云平台”的要求编制、加密的电子投标文件，“广西政府采购云平台”将拒收。</w:t>
      </w:r>
    </w:p>
    <w:p w14:paraId="7A6194BA">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21.4电子投标文件提交方式见“招标公告”中“四、提交投标文件截止时间、开标时间和地点”。</w:t>
      </w:r>
    </w:p>
    <w:p w14:paraId="35B18C1D">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22. 投标文件的补充、修改、撤回与退回</w:t>
      </w:r>
    </w:p>
    <w:p w14:paraId="37DAA799">
      <w:pPr>
        <w:snapToGrid w:val="0"/>
        <w:spacing w:line="360" w:lineRule="auto"/>
        <w:ind w:firstLine="420"/>
        <w:jc w:val="left"/>
        <w:rPr>
          <w:rFonts w:hint="eastAsia" w:ascii="仿宋" w:hAnsi="仿宋" w:eastAsia="仿宋"/>
          <w:sz w:val="24"/>
          <w:highlight w:val="none"/>
        </w:rPr>
      </w:pPr>
      <w:bookmarkStart w:id="137" w:name="_Toc254970684"/>
      <w:bookmarkStart w:id="138" w:name="_Toc254970543"/>
      <w:r>
        <w:rPr>
          <w:rFonts w:hint="eastAsia" w:ascii="仿宋" w:hAnsi="仿宋" w:eastAsia="仿宋"/>
          <w:sz w:val="24"/>
          <w:highlight w:val="none"/>
        </w:rPr>
        <w:t>2</w:t>
      </w:r>
      <w:r>
        <w:rPr>
          <w:rFonts w:ascii="仿宋" w:hAnsi="仿宋" w:eastAsia="仿宋"/>
          <w:sz w:val="24"/>
          <w:highlight w:val="none"/>
        </w:rPr>
        <w:t>2.1</w:t>
      </w:r>
      <w:r>
        <w:rPr>
          <w:rFonts w:hint="eastAsia" w:ascii="仿宋" w:hAnsi="仿宋" w:eastAsia="仿宋"/>
          <w:sz w:val="24"/>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将予以拒收。</w:t>
      </w:r>
    </w:p>
    <w:bookmarkEnd w:id="137"/>
    <w:bookmarkEnd w:id="138"/>
    <w:p w14:paraId="3191A78D">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22.</w:t>
      </w:r>
      <w:r>
        <w:rPr>
          <w:rFonts w:ascii="仿宋" w:hAnsi="仿宋" w:eastAsia="仿宋"/>
          <w:sz w:val="24"/>
          <w:highlight w:val="none"/>
        </w:rPr>
        <w:t>2</w:t>
      </w:r>
      <w:r>
        <w:rPr>
          <w:rFonts w:hint="eastAsia" w:ascii="仿宋" w:hAnsi="仿宋" w:eastAsia="仿宋"/>
          <w:sz w:val="24"/>
          <w:highlight w:val="none"/>
        </w:rPr>
        <w:t>在投标截止时间止提交投标文件的投标人不足3家时，不得开标，采购代理机构将根据</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的操作将电子版投标文件退回，除此之外采购人和采购代理机构对已提交的投标文件概不退回。</w:t>
      </w:r>
    </w:p>
    <w:p w14:paraId="18A560CA">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w:t>
      </w:r>
      <w:r>
        <w:rPr>
          <w:rFonts w:ascii="仿宋" w:hAnsi="仿宋" w:eastAsia="仿宋" w:cs="宋体"/>
          <w:sz w:val="24"/>
          <w:highlight w:val="none"/>
        </w:rPr>
        <w:t>2.3</w:t>
      </w:r>
      <w:r>
        <w:rPr>
          <w:rFonts w:hint="eastAsia" w:ascii="仿宋" w:hAnsi="仿宋" w:eastAsia="仿宋" w:cs="宋体"/>
          <w:sz w:val="24"/>
          <w:highlight w:val="none"/>
        </w:rPr>
        <w:t xml:space="preserve"> 投标人在投标截止时间后书面通知采购人、采购代理机构撤销投标文件的，将根据本须知正文1</w:t>
      </w:r>
      <w:r>
        <w:rPr>
          <w:rFonts w:ascii="仿宋" w:hAnsi="仿宋" w:eastAsia="仿宋" w:cs="宋体"/>
          <w:sz w:val="24"/>
          <w:highlight w:val="none"/>
        </w:rPr>
        <w:t>8</w:t>
      </w:r>
      <w:r>
        <w:rPr>
          <w:rFonts w:hint="eastAsia" w:ascii="仿宋" w:hAnsi="仿宋" w:eastAsia="仿宋" w:cs="宋体"/>
          <w:sz w:val="24"/>
          <w:highlight w:val="none"/>
        </w:rPr>
        <w:t>.4的规定不予退还其投标保证金。</w:t>
      </w:r>
    </w:p>
    <w:p w14:paraId="50157BD8">
      <w:pPr>
        <w:pStyle w:val="4"/>
        <w:keepNext w:val="0"/>
        <w:keepLines w:val="0"/>
        <w:jc w:val="center"/>
        <w:rPr>
          <w:rFonts w:hint="eastAsia" w:ascii="仿宋" w:hAnsi="仿宋" w:eastAsia="仿宋"/>
          <w:highlight w:val="none"/>
        </w:rPr>
      </w:pPr>
      <w:bookmarkStart w:id="139" w:name="_Toc254970544"/>
      <w:bookmarkStart w:id="140" w:name="_Toc254970685"/>
      <w:r>
        <w:rPr>
          <w:rFonts w:hint="eastAsia" w:ascii="仿宋" w:hAnsi="仿宋" w:eastAsia="仿宋"/>
          <w:highlight w:val="none"/>
        </w:rPr>
        <w:t>四、开    标</w:t>
      </w:r>
      <w:bookmarkEnd w:id="139"/>
      <w:bookmarkEnd w:id="140"/>
    </w:p>
    <w:p w14:paraId="4201DC2C">
      <w:pPr>
        <w:pStyle w:val="6"/>
        <w:keepNext w:val="0"/>
        <w:keepLines w:val="0"/>
        <w:spacing w:before="0" w:after="0" w:line="360" w:lineRule="auto"/>
        <w:ind w:left="420" w:leftChars="200" w:firstLine="480"/>
        <w:rPr>
          <w:rFonts w:hint="eastAsia" w:ascii="仿宋" w:hAnsi="仿宋" w:eastAsia="仿宋"/>
          <w:sz w:val="24"/>
          <w:highlight w:val="none"/>
        </w:rPr>
      </w:pPr>
      <w:bookmarkStart w:id="141" w:name="_23.开标时间和地点"/>
      <w:bookmarkEnd w:id="141"/>
      <w:r>
        <w:rPr>
          <w:rFonts w:hint="eastAsia" w:ascii="仿宋" w:hAnsi="仿宋" w:eastAsia="仿宋"/>
          <w:sz w:val="24"/>
          <w:highlight w:val="none"/>
        </w:rPr>
        <w:t>23.开标时间和地点</w:t>
      </w:r>
    </w:p>
    <w:p w14:paraId="75F059DD">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23.1开标时间及地点详见“投标人须知前附表”</w:t>
      </w:r>
    </w:p>
    <w:p w14:paraId="29DA72A3">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23.2如投标人成功解密投标文件，但未在</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电子开标大厅参加开标的，视同认可开标过程和结果，由此产生的后果由投标人自行负责。成功解密投标文件的投标人不足3家的，不得开标。</w:t>
      </w:r>
    </w:p>
    <w:p w14:paraId="4F1FF6E2">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24.开标程序</w:t>
      </w:r>
    </w:p>
    <w:p w14:paraId="5B65D73E">
      <w:pPr>
        <w:pStyle w:val="6"/>
        <w:keepNext w:val="0"/>
        <w:keepLines w:val="0"/>
        <w:spacing w:before="0" w:after="0" w:line="360" w:lineRule="auto"/>
        <w:ind w:left="420" w:leftChars="200" w:firstLine="480"/>
        <w:rPr>
          <w:rFonts w:hint="eastAsia" w:ascii="仿宋" w:hAnsi="仿宋" w:eastAsia="仿宋"/>
          <w:kern w:val="0"/>
          <w:sz w:val="24"/>
          <w:highlight w:val="none"/>
        </w:rPr>
      </w:pPr>
      <w:r>
        <w:rPr>
          <w:rFonts w:hint="eastAsia" w:ascii="仿宋" w:hAnsi="仿宋" w:eastAsia="仿宋"/>
          <w:bCs/>
          <w:sz w:val="24"/>
          <w:highlight w:val="none"/>
        </w:rPr>
        <w:t>24.1</w:t>
      </w:r>
      <w:r>
        <w:rPr>
          <w:rFonts w:hint="eastAsia" w:ascii="仿宋" w:hAnsi="仿宋" w:eastAsia="仿宋"/>
          <w:kern w:val="0"/>
          <w:sz w:val="24"/>
          <w:highlight w:val="none"/>
        </w:rPr>
        <w:t>开标形式：</w:t>
      </w:r>
    </w:p>
    <w:p w14:paraId="360255E1">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采购代理机构将按照招标文件规定的时间通过</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组织线上开标活动、开启投标文件，所有供应商均应当准时在线参加。投标人</w:t>
      </w:r>
      <w:r>
        <w:rPr>
          <w:rFonts w:ascii="仿宋" w:hAnsi="仿宋" w:eastAsia="仿宋"/>
          <w:sz w:val="24"/>
          <w:highlight w:val="none"/>
        </w:rPr>
        <w:t>如不</w:t>
      </w:r>
      <w:r>
        <w:rPr>
          <w:rFonts w:hint="eastAsia" w:ascii="仿宋" w:hAnsi="仿宋" w:eastAsia="仿宋"/>
          <w:sz w:val="24"/>
          <w:highlight w:val="none"/>
        </w:rPr>
        <w:t>参加</w:t>
      </w:r>
      <w:r>
        <w:rPr>
          <w:rFonts w:ascii="仿宋" w:hAnsi="仿宋" w:eastAsia="仿宋"/>
          <w:sz w:val="24"/>
          <w:highlight w:val="none"/>
        </w:rPr>
        <w:t>开标大会的，</w:t>
      </w:r>
      <w:r>
        <w:rPr>
          <w:rFonts w:hint="eastAsia" w:ascii="仿宋" w:hAnsi="仿宋" w:eastAsia="仿宋"/>
          <w:sz w:val="24"/>
          <w:highlight w:val="none"/>
        </w:rPr>
        <w:t>视同认可开标结果，</w:t>
      </w:r>
      <w:r>
        <w:rPr>
          <w:rFonts w:ascii="仿宋" w:hAnsi="仿宋" w:eastAsia="仿宋"/>
          <w:sz w:val="24"/>
          <w:highlight w:val="none"/>
        </w:rPr>
        <w:t>事后不得对采购相关人员、开标过程和开标结果提出异议</w:t>
      </w:r>
      <w:r>
        <w:rPr>
          <w:rFonts w:hint="eastAsia" w:ascii="仿宋" w:hAnsi="仿宋" w:eastAsia="仿宋"/>
          <w:sz w:val="24"/>
          <w:highlight w:val="none"/>
        </w:rPr>
        <w:t>，同时投标人因未在线参加开标而导致投标文件无法按时解密等一切后果由投标人自己承担。</w:t>
      </w:r>
    </w:p>
    <w:p w14:paraId="64B0DA3C">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24.2</w:t>
      </w:r>
      <w:r>
        <w:rPr>
          <w:rFonts w:ascii="仿宋" w:hAnsi="仿宋" w:eastAsia="仿宋"/>
          <w:sz w:val="24"/>
          <w:highlight w:val="none"/>
        </w:rPr>
        <w:t>开</w:t>
      </w:r>
      <w:r>
        <w:rPr>
          <w:rFonts w:hint="eastAsia" w:ascii="仿宋" w:hAnsi="仿宋" w:eastAsia="仿宋"/>
          <w:sz w:val="24"/>
          <w:highlight w:val="none"/>
        </w:rPr>
        <w:t>标</w:t>
      </w:r>
      <w:r>
        <w:rPr>
          <w:rFonts w:ascii="仿宋" w:hAnsi="仿宋" w:eastAsia="仿宋"/>
          <w:sz w:val="24"/>
          <w:highlight w:val="none"/>
        </w:rPr>
        <w:t>程序：</w:t>
      </w:r>
    </w:p>
    <w:p w14:paraId="54389DA3">
      <w:pPr>
        <w:snapToGrid w:val="0"/>
        <w:spacing w:line="360" w:lineRule="auto"/>
        <w:ind w:firstLine="420"/>
        <w:jc w:val="left"/>
        <w:rPr>
          <w:rFonts w:hint="eastAsia" w:ascii="仿宋" w:hAnsi="仿宋" w:eastAsia="仿宋"/>
          <w:bCs/>
          <w:sz w:val="24"/>
          <w:highlight w:val="none"/>
        </w:rPr>
      </w:pPr>
      <w:r>
        <w:rPr>
          <w:rFonts w:hint="eastAsia" w:ascii="仿宋" w:hAnsi="仿宋" w:eastAsia="仿宋"/>
          <w:sz w:val="24"/>
          <w:highlight w:val="none"/>
        </w:rPr>
        <w:t>（1）解密电子投标文件。</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按开标时间自动提取所有投标文件。采购代理机构依托</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向各投标人发出电子加密投标文件【开始解密】通知，由投标人进</w:t>
      </w:r>
      <w:r>
        <w:rPr>
          <w:rFonts w:hint="eastAsia" w:ascii="仿宋" w:hAnsi="仿宋" w:eastAsia="仿宋"/>
          <w:bCs/>
          <w:sz w:val="24"/>
          <w:highlight w:val="none"/>
        </w:rPr>
        <w:t>行投标文件解密。</w:t>
      </w:r>
      <w:r>
        <w:rPr>
          <w:rFonts w:hint="eastAsia" w:ascii="仿宋" w:hAnsi="仿宋" w:eastAsia="仿宋"/>
          <w:b/>
          <w:bCs/>
          <w:sz w:val="24"/>
          <w:highlight w:val="none"/>
        </w:rPr>
        <w:t>投标人的法定代表人或其委托代理人须携带加密时所用的CA锁准时登录到“广西政府采购云平台”电子开标大厅签到</w:t>
      </w:r>
      <w:r>
        <w:rPr>
          <w:rFonts w:hint="eastAsia" w:ascii="仿宋" w:hAnsi="仿宋" w:eastAsia="仿宋" w:cs="宋体"/>
          <w:b/>
          <w:sz w:val="24"/>
          <w:highlight w:val="none"/>
        </w:rPr>
        <w:t>并在发起解密</w:t>
      </w:r>
      <w:r>
        <w:rPr>
          <w:rFonts w:hint="eastAsia" w:ascii="仿宋" w:hAnsi="仿宋" w:eastAsia="仿宋"/>
          <w:b/>
          <w:bCs/>
          <w:sz w:val="24"/>
          <w:highlight w:val="none"/>
        </w:rPr>
        <w:t>通知</w:t>
      </w:r>
      <w:r>
        <w:rPr>
          <w:rFonts w:hint="eastAsia" w:ascii="仿宋" w:hAnsi="仿宋" w:eastAsia="仿宋" w:cs="宋体"/>
          <w:b/>
          <w:sz w:val="24"/>
          <w:highlight w:val="none"/>
        </w:rPr>
        <w:t>之时起30分钟内完成</w:t>
      </w:r>
      <w:r>
        <w:rPr>
          <w:rFonts w:hint="eastAsia" w:ascii="仿宋" w:hAnsi="仿宋" w:eastAsia="仿宋"/>
          <w:b/>
          <w:bCs/>
          <w:sz w:val="24"/>
          <w:highlight w:val="none"/>
        </w:rPr>
        <w:t>对电子投标文件解密。投标文件未按时解密的，视为无效投标。</w:t>
      </w:r>
      <w:r>
        <w:rPr>
          <w:rFonts w:hint="eastAsia" w:ascii="仿宋" w:hAnsi="仿宋" w:eastAsia="仿宋"/>
          <w:bCs/>
          <w:sz w:val="24"/>
          <w:highlight w:val="none"/>
        </w:rPr>
        <w:t>（解密异常情况处理：详见本章29.4 电子交易活动的中止。</w:t>
      </w:r>
    </w:p>
    <w:p w14:paraId="609A2834">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（2）电子唱标。投标文件解密结束，各投标供应商报价均在</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远程不见面开标大厅展示；</w:t>
      </w:r>
    </w:p>
    <w:p w14:paraId="79FDE159">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（3）开标过程由采购代理机构如实记录，并电子留痕，由参加电子开标的各投标人代表对电子开标记录在开标记录公布后15分钟内进行当场校核及勘误，并线上确认，未确认的视同认可开标结果。</w:t>
      </w:r>
    </w:p>
    <w:p w14:paraId="01463C23">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520141A">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（5）开标结束。</w:t>
      </w:r>
    </w:p>
    <w:p w14:paraId="5EBDA33B">
      <w:pPr>
        <w:autoSpaceDE w:val="0"/>
        <w:autoSpaceDN w:val="0"/>
        <w:adjustRightInd w:val="0"/>
        <w:spacing w:line="440" w:lineRule="exact"/>
        <w:ind w:firstLine="482" w:firstLineChars="200"/>
        <w:rPr>
          <w:rFonts w:hint="eastAsia" w:ascii="仿宋" w:hAnsi="仿宋" w:eastAsia="仿宋"/>
          <w:b/>
          <w:bCs/>
          <w:sz w:val="24"/>
          <w:highlight w:val="none"/>
        </w:rPr>
      </w:pPr>
      <w:r>
        <w:rPr>
          <w:rFonts w:hint="eastAsia" w:ascii="仿宋" w:hAnsi="仿宋" w:eastAsia="仿宋"/>
          <w:b/>
          <w:bCs/>
          <w:sz w:val="24"/>
          <w:highlight w:val="none"/>
        </w:rPr>
        <w:t>特别说明：如遇“广西政府采购云平台”电子化开标或评审程序调整的，按调整后执行。</w:t>
      </w:r>
    </w:p>
    <w:p w14:paraId="208AF789">
      <w:pPr>
        <w:pStyle w:val="4"/>
        <w:keepNext w:val="0"/>
        <w:keepLines w:val="0"/>
        <w:jc w:val="center"/>
        <w:rPr>
          <w:rFonts w:hint="eastAsia" w:ascii="仿宋" w:hAnsi="仿宋" w:eastAsia="仿宋"/>
          <w:highlight w:val="none"/>
        </w:rPr>
      </w:pPr>
      <w:r>
        <w:rPr>
          <w:rFonts w:hint="eastAsia" w:ascii="仿宋" w:hAnsi="仿宋" w:eastAsia="仿宋"/>
          <w:highlight w:val="none"/>
        </w:rPr>
        <w:t>五、资格审查</w:t>
      </w:r>
    </w:p>
    <w:p w14:paraId="7CC96D55">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25.资格审查</w:t>
      </w:r>
    </w:p>
    <w:p w14:paraId="08F5BAFA">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25.1</w:t>
      </w:r>
      <w:r>
        <w:rPr>
          <w:rFonts w:ascii="仿宋" w:hAnsi="仿宋" w:eastAsia="仿宋"/>
          <w:b w:val="0"/>
          <w:sz w:val="24"/>
          <w:highlight w:val="none"/>
        </w:rPr>
        <w:t>开标结束后，</w:t>
      </w:r>
      <w:r>
        <w:rPr>
          <w:rFonts w:hint="eastAsia" w:ascii="仿宋" w:hAnsi="仿宋" w:eastAsia="仿宋"/>
          <w:b w:val="0"/>
          <w:sz w:val="24"/>
          <w:highlight w:val="none"/>
        </w:rPr>
        <w:t>采购人或者采购代理机构</w:t>
      </w:r>
      <w:r>
        <w:rPr>
          <w:rFonts w:ascii="仿宋" w:hAnsi="仿宋" w:eastAsia="仿宋"/>
          <w:b w:val="0"/>
          <w:sz w:val="24"/>
          <w:highlight w:val="none"/>
        </w:rPr>
        <w:t>依法对投标人的资格进行审查。</w:t>
      </w:r>
    </w:p>
    <w:p w14:paraId="44D04A01">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25.2资格审查标准为本招标文件中载明对投标人资格要求的条件。本项目资格审查采用合格制，凡符合招标文件规定的投标人资格要求的投标人均通过资格审查。</w:t>
      </w:r>
    </w:p>
    <w:p w14:paraId="066E771E">
      <w:pPr>
        <w:pStyle w:val="25"/>
        <w:spacing w:before="0" w:after="0"/>
        <w:rPr>
          <w:rFonts w:hint="eastAsia"/>
          <w:highlight w:val="none"/>
        </w:rPr>
      </w:pPr>
      <w:bookmarkStart w:id="142" w:name="_25.3_投标人有下列情形之一的，资格审查不通过而导致其投标无效："/>
      <w:bookmarkEnd w:id="142"/>
      <w:r>
        <w:rPr>
          <w:rFonts w:hint="eastAsia"/>
          <w:highlight w:val="none"/>
        </w:rPr>
        <w:t>25.3 投标人有下列情形之一的，资格审查不通过，作无效投标处理：</w:t>
      </w:r>
    </w:p>
    <w:p w14:paraId="138CEEE6">
      <w:pPr>
        <w:pStyle w:val="25"/>
        <w:spacing w:before="0" w:after="0"/>
        <w:rPr>
          <w:rFonts w:hint="eastAsia"/>
          <w:highlight w:val="none"/>
        </w:rPr>
      </w:pPr>
      <w:r>
        <w:rPr>
          <w:rFonts w:hint="eastAsia"/>
          <w:highlight w:val="none"/>
        </w:rPr>
        <w:t>（1）未按招标文件规定的方式获取本招标文件的投标人；</w:t>
      </w:r>
    </w:p>
    <w:p w14:paraId="71223D1D">
      <w:pPr>
        <w:pStyle w:val="25"/>
        <w:spacing w:before="0" w:after="0"/>
        <w:rPr>
          <w:rFonts w:hint="eastAsia"/>
          <w:highlight w:val="none"/>
        </w:rPr>
      </w:pPr>
      <w:r>
        <w:rPr>
          <w:rFonts w:hint="eastAsia"/>
          <w:highlight w:val="none"/>
        </w:rPr>
        <w:t>（2）不具备招标文件中规定的资格要求的；</w:t>
      </w:r>
    </w:p>
    <w:p w14:paraId="7A09D4E6">
      <w:pPr>
        <w:pStyle w:val="25"/>
        <w:spacing w:before="0" w:after="0"/>
        <w:rPr>
          <w:rFonts w:hint="eastAsia"/>
          <w:highlight w:val="none"/>
        </w:rPr>
      </w:pPr>
      <w:r>
        <w:rPr>
          <w:rFonts w:hint="eastAsia"/>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7F2CE99D">
      <w:pPr>
        <w:pStyle w:val="25"/>
        <w:rPr>
          <w:rFonts w:hint="eastAsia"/>
          <w:highlight w:val="none"/>
        </w:rPr>
      </w:pPr>
      <w:r>
        <w:rPr>
          <w:rFonts w:hint="eastAsia"/>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2C3E64C8">
      <w:pPr>
        <w:pStyle w:val="25"/>
        <w:rPr>
          <w:rFonts w:hint="eastAsia"/>
          <w:highlight w:val="none"/>
        </w:rPr>
      </w:pPr>
      <w:r>
        <w:rPr>
          <w:rFonts w:hint="eastAsia"/>
          <w:highlight w:val="none"/>
        </w:rPr>
        <w:t>（</w:t>
      </w:r>
      <w:r>
        <w:rPr>
          <w:highlight w:val="none"/>
        </w:rPr>
        <w:t>5</w:t>
      </w:r>
      <w:r>
        <w:rPr>
          <w:rFonts w:hint="eastAsia"/>
          <w:highlight w:val="none"/>
        </w:rPr>
        <w:t>）投标文件中的资格证明文件缺少任一项“投标人须知前附表”资格证明文件规定“必须提供”的文件资料的；</w:t>
      </w:r>
    </w:p>
    <w:p w14:paraId="68CD3B2E">
      <w:pPr>
        <w:pStyle w:val="25"/>
        <w:rPr>
          <w:rFonts w:hint="eastAsia"/>
          <w:highlight w:val="none"/>
        </w:rPr>
      </w:pPr>
      <w:r>
        <w:rPr>
          <w:rFonts w:hint="eastAsia"/>
          <w:highlight w:val="none"/>
        </w:rPr>
        <w:t>（</w:t>
      </w:r>
      <w:r>
        <w:rPr>
          <w:highlight w:val="none"/>
        </w:rPr>
        <w:t>6</w:t>
      </w:r>
      <w:r>
        <w:rPr>
          <w:rFonts w:hint="eastAsia"/>
          <w:highlight w:val="none"/>
        </w:rPr>
        <w:t>）投标文件中的资格证明文件出现任一项不符合“投标人须知前附表”资格证明文件规定“必须提供”的文件资料要求或者无效的。</w:t>
      </w:r>
    </w:p>
    <w:p w14:paraId="1AE669F2">
      <w:pPr>
        <w:pStyle w:val="6"/>
        <w:keepNext w:val="0"/>
        <w:keepLines w:val="0"/>
        <w:spacing w:before="0" w:after="0" w:line="360" w:lineRule="auto"/>
        <w:ind w:left="420" w:leftChars="200" w:firstLine="480"/>
        <w:rPr>
          <w:rFonts w:hint="eastAsia" w:ascii="仿宋" w:hAnsi="仿宋" w:eastAsia="仿宋"/>
          <w:b w:val="0"/>
          <w:sz w:val="24"/>
          <w:highlight w:val="none"/>
        </w:rPr>
      </w:pPr>
      <w:r>
        <w:rPr>
          <w:rFonts w:hint="eastAsia" w:ascii="仿宋" w:hAnsi="仿宋" w:eastAsia="仿宋"/>
          <w:sz w:val="24"/>
          <w:highlight w:val="none"/>
        </w:rPr>
        <w:t>25.4</w:t>
      </w:r>
      <w:r>
        <w:rPr>
          <w:rFonts w:ascii="仿宋" w:hAnsi="仿宋" w:eastAsia="仿宋"/>
          <w:sz w:val="24"/>
          <w:highlight w:val="none"/>
        </w:rPr>
        <w:t>合格投标人不足3家的，不得评标。</w:t>
      </w:r>
    </w:p>
    <w:p w14:paraId="64434E41">
      <w:pPr>
        <w:pStyle w:val="4"/>
        <w:keepNext w:val="0"/>
        <w:keepLines w:val="0"/>
        <w:jc w:val="center"/>
        <w:rPr>
          <w:rFonts w:hint="eastAsia" w:ascii="仿宋" w:hAnsi="仿宋" w:eastAsia="仿宋"/>
          <w:highlight w:val="none"/>
        </w:rPr>
      </w:pPr>
      <w:r>
        <w:rPr>
          <w:rFonts w:hint="eastAsia" w:ascii="仿宋" w:hAnsi="仿宋" w:eastAsia="仿宋"/>
          <w:highlight w:val="none"/>
        </w:rPr>
        <w:t>六、评   标</w:t>
      </w:r>
    </w:p>
    <w:p w14:paraId="65373E28">
      <w:pPr>
        <w:pStyle w:val="6"/>
        <w:keepNext w:val="0"/>
        <w:keepLines w:val="0"/>
        <w:spacing w:before="0" w:after="0" w:line="360" w:lineRule="auto"/>
        <w:ind w:left="420" w:leftChars="200" w:firstLine="480"/>
        <w:rPr>
          <w:rFonts w:hint="eastAsia" w:ascii="仿宋" w:hAnsi="仿宋" w:eastAsia="仿宋"/>
          <w:sz w:val="24"/>
          <w:highlight w:val="none"/>
        </w:rPr>
      </w:pPr>
      <w:bookmarkStart w:id="143" w:name="_26.组建评标委员会"/>
      <w:bookmarkEnd w:id="143"/>
      <w:r>
        <w:rPr>
          <w:rFonts w:hint="eastAsia" w:ascii="仿宋" w:hAnsi="仿宋" w:eastAsia="仿宋"/>
          <w:sz w:val="24"/>
          <w:highlight w:val="none"/>
        </w:rPr>
        <w:t>26.组建评标委员会</w:t>
      </w:r>
    </w:p>
    <w:p w14:paraId="73734D11">
      <w:pPr>
        <w:pStyle w:val="25"/>
        <w:rPr>
          <w:rFonts w:hint="eastAsia"/>
          <w:highlight w:val="none"/>
        </w:rPr>
      </w:pPr>
      <w:r>
        <w:rPr>
          <w:rFonts w:hint="eastAsia"/>
          <w:highlight w:val="none"/>
        </w:rPr>
        <w:t>评标委员会由采购人代表和评审专家组成，具体人数详见“投标人须知前附表”，其中评审专家不得少于成员总数的三分之二。</w:t>
      </w:r>
    </w:p>
    <w:p w14:paraId="18E132AA">
      <w:pPr>
        <w:pStyle w:val="25"/>
        <w:rPr>
          <w:rFonts w:hint="eastAsia"/>
          <w:highlight w:val="none"/>
        </w:rPr>
      </w:pPr>
      <w:r>
        <w:rPr>
          <w:rFonts w:hint="eastAsia"/>
          <w:highlight w:val="none"/>
        </w:rPr>
        <w:t>参加过采购项目前期咨询论证的专家，不得参加该采购项目的评审活动。</w:t>
      </w:r>
    </w:p>
    <w:p w14:paraId="4444876C">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27.评标的依据</w:t>
      </w:r>
    </w:p>
    <w:p w14:paraId="572B2118">
      <w:pPr>
        <w:pStyle w:val="25"/>
        <w:rPr>
          <w:rFonts w:hint="eastAsia"/>
          <w:highlight w:val="none"/>
        </w:rPr>
      </w:pPr>
      <w:r>
        <w:rPr>
          <w:rFonts w:hint="eastAsia"/>
          <w:highlight w:val="none"/>
        </w:rPr>
        <w:t>评标委员会以“第四章 评标方法和评标标准”为依据对投标文件进行评审，</w:t>
      </w:r>
      <w:r>
        <w:rPr>
          <w:highlight w:val="none"/>
        </w:rPr>
        <w:t>没有规定的方法、评审因素和标准，不作为评标依据。</w:t>
      </w:r>
    </w:p>
    <w:p w14:paraId="716EA028">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28.评标原则</w:t>
      </w:r>
    </w:p>
    <w:p w14:paraId="4C2A6024">
      <w:pPr>
        <w:pStyle w:val="25"/>
        <w:rPr>
          <w:rFonts w:hint="eastAsia"/>
          <w:highlight w:val="none"/>
        </w:rPr>
      </w:pPr>
      <w:r>
        <w:rPr>
          <w:rFonts w:hint="eastAsia"/>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0398B8B4">
      <w:pPr>
        <w:pStyle w:val="25"/>
        <w:rPr>
          <w:rFonts w:hint="eastAsia"/>
          <w:highlight w:val="none"/>
        </w:rPr>
      </w:pPr>
      <w:r>
        <w:rPr>
          <w:rFonts w:hint="eastAsia"/>
          <w:highlight w:val="none"/>
        </w:rPr>
        <w:t>28.2</w:t>
      </w:r>
      <w:bookmarkStart w:id="144" w:name="_28.3评标方法。本项目将按须知前附表规定的评标办法进行评标，具体评标"/>
      <w:bookmarkEnd w:id="144"/>
      <w:r>
        <w:rPr>
          <w:rFonts w:hint="eastAsia"/>
          <w:highlight w:val="none"/>
        </w:rPr>
        <w:t>评委表决。评标委员会成员对需要共同认定的事项存在争议的，应当按照少数服从多数的原则作出结论。</w:t>
      </w:r>
    </w:p>
    <w:p w14:paraId="6373DA3F">
      <w:pPr>
        <w:pStyle w:val="25"/>
        <w:rPr>
          <w:rFonts w:hint="eastAsia"/>
          <w:highlight w:val="none"/>
        </w:rPr>
      </w:pPr>
      <w:r>
        <w:rPr>
          <w:rFonts w:hint="eastAsia"/>
          <w:highlight w:val="none"/>
        </w:rPr>
        <w:t>28.</w:t>
      </w:r>
      <w:r>
        <w:rPr>
          <w:highlight w:val="none"/>
        </w:rPr>
        <w:t>3</w:t>
      </w:r>
      <w:r>
        <w:rPr>
          <w:rFonts w:hint="eastAsia"/>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0A8D8635">
      <w:pPr>
        <w:pStyle w:val="25"/>
        <w:rPr>
          <w:rFonts w:hint="eastAsia"/>
          <w:highlight w:val="none"/>
        </w:rPr>
      </w:pPr>
      <w:r>
        <w:rPr>
          <w:rFonts w:hint="eastAsia"/>
          <w:highlight w:val="none"/>
        </w:rPr>
        <w:t>2</w:t>
      </w:r>
      <w:r>
        <w:rPr>
          <w:highlight w:val="none"/>
        </w:rPr>
        <w:t>8.4</w:t>
      </w:r>
      <w:r>
        <w:rPr>
          <w:rFonts w:hint="eastAsia"/>
          <w:highlight w:val="none"/>
        </w:rPr>
        <w:t>评标过程的监控。本项目评标过程实行全程录音、录像监控，投标人在评标过程中所进行的试图影响评标结果的不公正活动，可能导致其投标无效。</w:t>
      </w:r>
    </w:p>
    <w:p w14:paraId="1387243A">
      <w:pPr>
        <w:pStyle w:val="6"/>
        <w:keepNext w:val="0"/>
        <w:keepLines w:val="0"/>
        <w:numPr>
          <w:ilvl w:val="4"/>
          <w:numId w:val="0"/>
        </w:numPr>
        <w:spacing w:before="0" w:after="0" w:line="360" w:lineRule="auto"/>
        <w:ind w:left="420" w:leftChars="200"/>
        <w:rPr>
          <w:rFonts w:hint="eastAsia" w:ascii="仿宋" w:hAnsi="仿宋" w:eastAsia="仿宋"/>
          <w:sz w:val="24"/>
          <w:highlight w:val="none"/>
        </w:rPr>
      </w:pPr>
      <w:r>
        <w:rPr>
          <w:rFonts w:hint="eastAsia" w:ascii="仿宋" w:hAnsi="仿宋" w:eastAsia="仿宋"/>
          <w:sz w:val="24"/>
          <w:highlight w:val="none"/>
        </w:rPr>
        <w:t>29.评标方法及中标候选人推荐</w:t>
      </w:r>
    </w:p>
    <w:p w14:paraId="73DC8D88">
      <w:pPr>
        <w:pStyle w:val="25"/>
        <w:rPr>
          <w:rFonts w:hint="eastAsia"/>
          <w:highlight w:val="none"/>
        </w:rPr>
      </w:pPr>
      <w:r>
        <w:rPr>
          <w:rFonts w:hint="eastAsia"/>
          <w:highlight w:val="none"/>
        </w:rPr>
        <w:t>2</w:t>
      </w:r>
      <w:r>
        <w:rPr>
          <w:highlight w:val="none"/>
        </w:rPr>
        <w:t>9.1</w:t>
      </w:r>
      <w:r>
        <w:rPr>
          <w:rFonts w:hint="eastAsia"/>
          <w:highlight w:val="none"/>
        </w:rPr>
        <w:t>本项目的评标方法详见“投标人须知前附表”。</w:t>
      </w:r>
    </w:p>
    <w:p w14:paraId="1B6EA2A8">
      <w:pPr>
        <w:pStyle w:val="25"/>
        <w:rPr>
          <w:rFonts w:hint="eastAsia"/>
          <w:highlight w:val="none"/>
        </w:rPr>
      </w:pPr>
      <w:r>
        <w:rPr>
          <w:rFonts w:hint="eastAsia"/>
          <w:highlight w:val="none"/>
        </w:rPr>
        <w:t>2</w:t>
      </w:r>
      <w:r>
        <w:rPr>
          <w:highlight w:val="none"/>
        </w:rPr>
        <w:t>9.</w:t>
      </w:r>
      <w:r>
        <w:rPr>
          <w:rFonts w:hint="eastAsia"/>
          <w:highlight w:val="none"/>
        </w:rPr>
        <w:t>2</w:t>
      </w:r>
      <w:r>
        <w:rPr>
          <w:highlight w:val="none"/>
        </w:rPr>
        <w:t>中标候选人推荐数量详见</w:t>
      </w:r>
      <w:r>
        <w:rPr>
          <w:rFonts w:hint="eastAsia"/>
          <w:highlight w:val="none"/>
        </w:rPr>
        <w:t>“投标人须知前附表”。</w:t>
      </w:r>
    </w:p>
    <w:p w14:paraId="0A8D043A">
      <w:pPr>
        <w:pStyle w:val="25"/>
        <w:rPr>
          <w:rFonts w:hint="eastAsia"/>
          <w:highlight w:val="none"/>
        </w:rPr>
      </w:pPr>
      <w:r>
        <w:rPr>
          <w:rFonts w:hint="eastAsia"/>
          <w:highlight w:val="none"/>
        </w:rPr>
        <w:t>2</w:t>
      </w:r>
      <w:r>
        <w:rPr>
          <w:highlight w:val="none"/>
        </w:rPr>
        <w:t>9.</w:t>
      </w:r>
      <w:r>
        <w:rPr>
          <w:rFonts w:hint="eastAsia"/>
          <w:highlight w:val="none"/>
        </w:rPr>
        <w:t>3</w:t>
      </w:r>
      <w:r>
        <w:rPr>
          <w:highlight w:val="none"/>
        </w:rPr>
        <w:t>评标委员会</w:t>
      </w:r>
      <w:r>
        <w:rPr>
          <w:rFonts w:hint="eastAsia"/>
          <w:highlight w:val="none"/>
        </w:rPr>
        <w:t>将</w:t>
      </w:r>
      <w:r>
        <w:rPr>
          <w:highlight w:val="none"/>
        </w:rPr>
        <w:t>按照</w:t>
      </w:r>
      <w:r>
        <w:rPr>
          <w:rFonts w:hint="eastAsia"/>
          <w:highlight w:val="none"/>
        </w:rPr>
        <w:t>“第四章 评标方法和评标标准”</w:t>
      </w:r>
      <w:r>
        <w:rPr>
          <w:highlight w:val="none"/>
        </w:rPr>
        <w:t>规定的方法、评审因素、标准和程序对投标文件进行评审。</w:t>
      </w:r>
    </w:p>
    <w:p w14:paraId="71C9DF23">
      <w:pPr>
        <w:pStyle w:val="25"/>
        <w:rPr>
          <w:rFonts w:hint="eastAsia"/>
          <w:highlight w:val="none"/>
        </w:rPr>
      </w:pPr>
      <w:r>
        <w:rPr>
          <w:rFonts w:hint="eastAsia"/>
          <w:highlight w:val="none"/>
        </w:rPr>
        <w:t>29.4电子交易活动的中止。采购过程中出现以下情形，导致电子交易平台无法正常运行，或者无法保证电子交易的公平、公正和安全时，采购代理机构可中止电子交易活动：</w:t>
      </w:r>
    </w:p>
    <w:p w14:paraId="5DB61E96">
      <w:pPr>
        <w:pStyle w:val="25"/>
        <w:rPr>
          <w:rFonts w:hint="eastAsia"/>
          <w:highlight w:val="none"/>
        </w:rPr>
      </w:pPr>
      <w:r>
        <w:rPr>
          <w:rFonts w:hint="eastAsia"/>
          <w:highlight w:val="none"/>
        </w:rPr>
        <w:t xml:space="preserve">（1）电子交易平台发生故障而无法登录访问的； </w:t>
      </w:r>
    </w:p>
    <w:p w14:paraId="51C3F996">
      <w:pPr>
        <w:pStyle w:val="25"/>
        <w:rPr>
          <w:rFonts w:hint="eastAsia"/>
          <w:highlight w:val="none"/>
        </w:rPr>
      </w:pPr>
      <w:r>
        <w:rPr>
          <w:rFonts w:hint="eastAsia"/>
          <w:highlight w:val="none"/>
        </w:rPr>
        <w:t>（2）电子交易平台应用或数据库出现错误，不能进行正常操作的；</w:t>
      </w:r>
    </w:p>
    <w:p w14:paraId="39CCFCC5">
      <w:pPr>
        <w:pStyle w:val="25"/>
        <w:rPr>
          <w:rFonts w:hint="eastAsia"/>
          <w:highlight w:val="none"/>
        </w:rPr>
      </w:pPr>
      <w:r>
        <w:rPr>
          <w:rFonts w:hint="eastAsia"/>
          <w:highlight w:val="none"/>
        </w:rPr>
        <w:t>（3）电子交易平台发现严重安全漏洞，有潜在泄密危险的；</w:t>
      </w:r>
    </w:p>
    <w:p w14:paraId="4F30EA40">
      <w:pPr>
        <w:pStyle w:val="25"/>
        <w:rPr>
          <w:rFonts w:hint="eastAsia"/>
          <w:highlight w:val="none"/>
        </w:rPr>
      </w:pPr>
      <w:r>
        <w:rPr>
          <w:rFonts w:hint="eastAsia"/>
          <w:highlight w:val="none"/>
        </w:rPr>
        <w:t xml:space="preserve">（4）病毒发作导致不能进行正常操作的； </w:t>
      </w:r>
    </w:p>
    <w:p w14:paraId="61E2C55F">
      <w:pPr>
        <w:pStyle w:val="25"/>
        <w:rPr>
          <w:rFonts w:hint="eastAsia"/>
          <w:highlight w:val="none"/>
        </w:rPr>
      </w:pPr>
      <w:r>
        <w:rPr>
          <w:rFonts w:hint="eastAsia"/>
          <w:highlight w:val="none"/>
        </w:rPr>
        <w:t>（4）其他无法保证电子交易的公平、公正和安全的情况。</w:t>
      </w:r>
    </w:p>
    <w:p w14:paraId="032F1A4A">
      <w:pPr>
        <w:pStyle w:val="25"/>
        <w:rPr>
          <w:rFonts w:hint="eastAsia"/>
          <w:highlight w:val="none"/>
        </w:rPr>
      </w:pPr>
      <w:r>
        <w:rPr>
          <w:rFonts w:hint="eastAsia"/>
          <w:highlight w:val="none"/>
        </w:rPr>
        <w:t>29.5出现以上情形，不影响采购公平、公正性的，采购代理机构可以待上述情形消除后继续组织电子交易活动；影响或可能影响采购公平、公正性的，经采购代理机构确认后，应当重新采购。</w:t>
      </w:r>
    </w:p>
    <w:p w14:paraId="2D62FFFB">
      <w:pPr>
        <w:pStyle w:val="4"/>
        <w:keepNext w:val="0"/>
        <w:keepLines w:val="0"/>
        <w:jc w:val="center"/>
        <w:rPr>
          <w:rFonts w:hint="eastAsia" w:ascii="仿宋" w:hAnsi="仿宋" w:eastAsia="仿宋"/>
          <w:highlight w:val="none"/>
        </w:rPr>
      </w:pPr>
      <w:bookmarkStart w:id="145" w:name="_Toc254970546"/>
      <w:bookmarkStart w:id="146" w:name="_Toc254970687"/>
      <w:r>
        <w:rPr>
          <w:rFonts w:hint="eastAsia" w:ascii="仿宋" w:hAnsi="仿宋" w:eastAsia="仿宋"/>
          <w:highlight w:val="none"/>
        </w:rPr>
        <w:t>七、</w:t>
      </w:r>
      <w:bookmarkEnd w:id="145"/>
      <w:bookmarkEnd w:id="146"/>
      <w:r>
        <w:rPr>
          <w:rFonts w:hint="eastAsia" w:ascii="仿宋" w:hAnsi="仿宋" w:eastAsia="仿宋"/>
          <w:highlight w:val="none"/>
        </w:rPr>
        <w:t>中标和合同</w:t>
      </w:r>
    </w:p>
    <w:p w14:paraId="3AD3A5CB">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30</w:t>
      </w:r>
      <w:r>
        <w:rPr>
          <w:rFonts w:ascii="仿宋" w:hAnsi="仿宋" w:eastAsia="仿宋"/>
          <w:sz w:val="24"/>
          <w:highlight w:val="none"/>
        </w:rPr>
        <w:t xml:space="preserve"> </w:t>
      </w:r>
      <w:r>
        <w:rPr>
          <w:rFonts w:hint="eastAsia" w:ascii="仿宋" w:hAnsi="仿宋" w:eastAsia="仿宋"/>
          <w:sz w:val="24"/>
          <w:highlight w:val="none"/>
        </w:rPr>
        <w:t>确定中标人</w:t>
      </w:r>
    </w:p>
    <w:p w14:paraId="58464DF9">
      <w:pPr>
        <w:pStyle w:val="6"/>
        <w:keepNext w:val="0"/>
        <w:keepLines w:val="0"/>
        <w:spacing w:before="0" w:after="0" w:line="360" w:lineRule="auto"/>
        <w:ind w:firstLine="480" w:firstLineChars="200"/>
        <w:rPr>
          <w:rFonts w:hint="eastAsia" w:ascii="仿宋" w:hAnsi="仿宋" w:eastAsia="仿宋"/>
          <w:b w:val="0"/>
          <w:sz w:val="24"/>
          <w:highlight w:val="none"/>
        </w:rPr>
      </w:pPr>
      <w:r>
        <w:rPr>
          <w:rFonts w:ascii="仿宋" w:hAnsi="仿宋" w:eastAsia="仿宋"/>
          <w:b w:val="0"/>
          <w:sz w:val="24"/>
          <w:highlight w:val="none"/>
        </w:rPr>
        <w:t>30.1</w:t>
      </w:r>
      <w:r>
        <w:rPr>
          <w:rFonts w:hint="eastAsia" w:ascii="仿宋" w:hAnsi="仿宋" w:eastAsia="仿宋"/>
          <w:b w:val="0"/>
          <w:sz w:val="24"/>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4C1512EC">
      <w:pPr>
        <w:snapToGrid w:val="0"/>
        <w:spacing w:line="360" w:lineRule="auto"/>
        <w:ind w:firstLine="480" w:firstLineChars="200"/>
        <w:rPr>
          <w:rFonts w:hint="eastAsia" w:ascii="仿宋" w:hAnsi="仿宋" w:eastAsia="仿宋" w:cs="Courier New"/>
          <w:sz w:val="24"/>
          <w:highlight w:val="none"/>
        </w:rPr>
      </w:pPr>
      <w:r>
        <w:rPr>
          <w:rFonts w:ascii="仿宋" w:hAnsi="仿宋" w:eastAsia="仿宋" w:cs="Courier New"/>
          <w:sz w:val="24"/>
          <w:highlight w:val="none"/>
        </w:rPr>
        <w:t>30.2</w:t>
      </w:r>
      <w:r>
        <w:rPr>
          <w:rFonts w:hint="eastAsia" w:ascii="仿宋" w:hAnsi="仿宋" w:eastAsia="仿宋" w:cs="Courier New"/>
          <w:sz w:val="24"/>
          <w:highlight w:val="none"/>
        </w:rPr>
        <w:t>采购人在收到评标报告5个工作日内未按评标报告推荐的中标候选人顺序确定中标人，又不能说明合法理由的，视同按评标报告推荐的顺序确定排名第一的中标候选人为中标人。</w:t>
      </w:r>
    </w:p>
    <w:p w14:paraId="416879F2">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30.3出现下列情形之一的，应予废标：</w:t>
      </w:r>
    </w:p>
    <w:p w14:paraId="79A2BDBB">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（1）符合专业条件的供应商或者对招标文件作实质响应的供应商不足三家的；</w:t>
      </w:r>
    </w:p>
    <w:p w14:paraId="3E09819A">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（2）出现影响采购公正的违法、违规行为的；</w:t>
      </w:r>
    </w:p>
    <w:p w14:paraId="79E27D39">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（3）投标人的报价均超过了采购预算，采购人不能支付的；</w:t>
      </w:r>
    </w:p>
    <w:p w14:paraId="6FE1411C">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（4）因重大变故，采购任务取消的。</w:t>
      </w:r>
    </w:p>
    <w:p w14:paraId="1A06869E">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废标后，采购人应当将废标理由通知所有投标人。</w:t>
      </w:r>
    </w:p>
    <w:p w14:paraId="31B26E2B">
      <w:pPr>
        <w:snapToGrid w:val="0"/>
        <w:spacing w:line="360" w:lineRule="auto"/>
        <w:ind w:firstLine="480" w:firstLineChars="200"/>
        <w:rPr>
          <w:rFonts w:hint="eastAsia" w:ascii="仿宋" w:hAnsi="仿宋" w:eastAsia="仿宋" w:cs="Courier New"/>
          <w:sz w:val="24"/>
          <w:highlight w:val="none"/>
        </w:rPr>
      </w:pPr>
      <w:r>
        <w:rPr>
          <w:rFonts w:ascii="仿宋" w:hAnsi="仿宋" w:eastAsia="仿宋" w:cs="Courier New"/>
          <w:sz w:val="24"/>
          <w:highlight w:val="none"/>
        </w:rPr>
        <w:t>30.</w:t>
      </w:r>
      <w:r>
        <w:rPr>
          <w:rFonts w:hint="eastAsia" w:ascii="仿宋" w:hAnsi="仿宋" w:eastAsia="仿宋" w:cs="Courier New"/>
          <w:sz w:val="24"/>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仿宋" w:hAnsi="仿宋" w:eastAsia="仿宋" w:cs="Courier New"/>
          <w:sz w:val="24"/>
          <w:highlight w:val="none"/>
        </w:rPr>
        <w:t>拒绝签订政府采购合同的</w:t>
      </w:r>
      <w:r>
        <w:rPr>
          <w:rFonts w:hint="eastAsia" w:ascii="仿宋" w:hAnsi="仿宋" w:eastAsia="仿宋" w:cs="Courier New"/>
          <w:sz w:val="24"/>
          <w:highlight w:val="none"/>
        </w:rPr>
        <w:t>中标人</w:t>
      </w:r>
      <w:r>
        <w:rPr>
          <w:rFonts w:ascii="仿宋" w:hAnsi="仿宋" w:eastAsia="仿宋" w:cs="Courier New"/>
          <w:sz w:val="24"/>
          <w:highlight w:val="none"/>
        </w:rPr>
        <w:t>不得参加对该项目重新开展的采购活动。</w:t>
      </w:r>
    </w:p>
    <w:p w14:paraId="7FCFB466">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31. 结果公告</w:t>
      </w:r>
    </w:p>
    <w:p w14:paraId="45E2AE7A">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w:t>
      </w:r>
      <w:r>
        <w:rPr>
          <w:rFonts w:ascii="仿宋" w:hAnsi="仿宋" w:eastAsia="仿宋"/>
          <w:b w:val="0"/>
          <w:sz w:val="24"/>
          <w:highlight w:val="none"/>
        </w:rPr>
        <w:t>1.1</w:t>
      </w:r>
      <w:r>
        <w:rPr>
          <w:rFonts w:hint="eastAsia" w:ascii="仿宋" w:hAnsi="仿宋" w:eastAsia="仿宋"/>
          <w:b w:val="0"/>
          <w:sz w:val="24"/>
          <w:highlight w:val="none"/>
        </w:rPr>
        <w:t>采购人或者采购代理机构应当自中标人确定之日起2个工作日内，在省级以上财政部门指定的媒体上公告中标结果，招标文件应当随中标结果同时公告。</w:t>
      </w:r>
      <w:r>
        <w:rPr>
          <w:rFonts w:hint="eastAsia" w:ascii="仿宋" w:hAnsi="仿宋" w:eastAsia="仿宋"/>
          <w:sz w:val="24"/>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b w:val="0"/>
          <w:sz w:val="24"/>
          <w:highlight w:val="none"/>
        </w:rPr>
        <w:t>排名第二的中标候选人因前款规定的同样原因被取消中标资格的，采购人可以确定排名第三的中标候选人为中标人，以此类推。以上信息查询记录及相关证据与采购文件一并保存。</w:t>
      </w:r>
    </w:p>
    <w:p w14:paraId="6692B46C">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31.2中标供应商享受《政府采购促进中小企业发展管理办法》（财库〔2020〕46号）规定的中小企业扶持政策的，采购人、采购代理机构应当随中标结果公开中标供应商的《中小企业声明函》。</w:t>
      </w:r>
    </w:p>
    <w:p w14:paraId="0122C65E">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32.发出中标通知书</w:t>
      </w:r>
    </w:p>
    <w:p w14:paraId="5B4F63E9">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077BCDCA">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33. 无义务解释未中标原因</w:t>
      </w:r>
    </w:p>
    <w:p w14:paraId="477C8CA1">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采购代理机构无义务向未中标的投标人解释未中标原因和退还投标文件。</w:t>
      </w:r>
    </w:p>
    <w:p w14:paraId="36AFA178">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34.合同授予标准</w:t>
      </w:r>
    </w:p>
    <w:p w14:paraId="237AB8A2">
      <w:pPr>
        <w:snapToGrid w:val="0"/>
        <w:spacing w:line="360" w:lineRule="auto"/>
        <w:ind w:firstLine="480" w:firstLineChars="200"/>
        <w:rPr>
          <w:rFonts w:hint="eastAsia" w:ascii="仿宋" w:hAnsi="仿宋" w:eastAsia="仿宋"/>
          <w:sz w:val="24"/>
          <w:highlight w:val="none"/>
        </w:rPr>
      </w:pPr>
      <w:r>
        <w:rPr>
          <w:rFonts w:hint="eastAsia" w:ascii="仿宋" w:hAnsi="仿宋" w:eastAsia="仿宋" w:cs="Courier New"/>
          <w:sz w:val="24"/>
          <w:highlight w:val="none"/>
        </w:rPr>
        <w:t>合同将授予被确定实质上响应招标文件要求，具备履行合同能力的中标人（招标文件另有约定多名中标人的除外）。</w:t>
      </w:r>
    </w:p>
    <w:p w14:paraId="0216FFF9">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35.履约保证金</w:t>
      </w:r>
    </w:p>
    <w:p w14:paraId="179B737A">
      <w:pPr>
        <w:pStyle w:val="6"/>
        <w:keepNext w:val="0"/>
        <w:keepLines w:val="0"/>
        <w:spacing w:before="0" w:after="0" w:line="360" w:lineRule="auto"/>
        <w:ind w:firstLine="360" w:firstLineChars="150"/>
        <w:rPr>
          <w:rFonts w:hint="eastAsia" w:ascii="仿宋" w:hAnsi="仿宋" w:eastAsia="仿宋"/>
          <w:b w:val="0"/>
          <w:sz w:val="24"/>
          <w:highlight w:val="none"/>
        </w:rPr>
      </w:pPr>
      <w:bookmarkStart w:id="147" w:name="_39.1中标人须于签订合同前按本须知前附表规定的金额转账或电汇到指定账"/>
      <w:bookmarkEnd w:id="147"/>
      <w:r>
        <w:rPr>
          <w:rFonts w:ascii="仿宋" w:hAnsi="仿宋" w:eastAsia="仿宋"/>
          <w:b w:val="0"/>
          <w:sz w:val="24"/>
          <w:highlight w:val="none"/>
        </w:rPr>
        <w:t xml:space="preserve"> </w:t>
      </w:r>
      <w:r>
        <w:rPr>
          <w:rFonts w:hint="eastAsia" w:ascii="仿宋" w:hAnsi="仿宋" w:eastAsia="仿宋"/>
          <w:b w:val="0"/>
          <w:sz w:val="24"/>
          <w:highlight w:val="none"/>
        </w:rPr>
        <w:t>3</w:t>
      </w:r>
      <w:r>
        <w:rPr>
          <w:rFonts w:ascii="仿宋" w:hAnsi="仿宋" w:eastAsia="仿宋"/>
          <w:b w:val="0"/>
          <w:sz w:val="24"/>
          <w:highlight w:val="none"/>
        </w:rPr>
        <w:t>5</w:t>
      </w:r>
      <w:r>
        <w:rPr>
          <w:rFonts w:hint="eastAsia" w:ascii="仿宋" w:hAnsi="仿宋" w:eastAsia="仿宋"/>
          <w:b w:val="0"/>
          <w:sz w:val="24"/>
          <w:highlight w:val="none"/>
        </w:rPr>
        <w:t>.1 履约保证金的金额、提交方式、退付的时间和条件详见 “投标人须知前附表”。中标人未按规定提交履约保证金的，视为拒绝与采购人签订合同。</w:t>
      </w:r>
    </w:p>
    <w:p w14:paraId="7A5444E1">
      <w:pPr>
        <w:pStyle w:val="6"/>
        <w:keepNext w:val="0"/>
        <w:keepLines w:val="0"/>
        <w:spacing w:before="0" w:after="0" w:line="360" w:lineRule="auto"/>
        <w:ind w:firstLine="361" w:firstLineChars="150"/>
        <w:rPr>
          <w:rFonts w:hint="eastAsia" w:ascii="仿宋" w:hAnsi="仿宋" w:eastAsia="仿宋"/>
          <w:sz w:val="24"/>
          <w:highlight w:val="none"/>
        </w:rPr>
      </w:pPr>
      <w:r>
        <w:rPr>
          <w:rFonts w:hint="eastAsia" w:ascii="仿宋" w:hAnsi="仿宋" w:eastAsia="仿宋"/>
          <w:sz w:val="24"/>
          <w:highlight w:val="none"/>
        </w:rPr>
        <w:t xml:space="preserve"> </w:t>
      </w:r>
      <w:r>
        <w:rPr>
          <w:rFonts w:hint="eastAsia" w:ascii="仿宋" w:hAnsi="仿宋" w:eastAsia="仿宋"/>
          <w:b w:val="0"/>
          <w:bCs/>
          <w:sz w:val="24"/>
          <w:highlight w:val="none"/>
        </w:rPr>
        <w:t>35.2在履约保证金退还日期前，若中标人的开户名称、开户银行、账号有变动的，请以书面形式通知履约保证金收取单位，否则由此产生的后果由中标人自行承担。</w:t>
      </w:r>
    </w:p>
    <w:p w14:paraId="66A2CA4C">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36.签订合同</w:t>
      </w:r>
    </w:p>
    <w:p w14:paraId="2CE561C7">
      <w:pPr>
        <w:pStyle w:val="6"/>
        <w:keepNext w:val="0"/>
        <w:keepLines w:val="0"/>
        <w:spacing w:before="0" w:after="0" w:line="360" w:lineRule="auto"/>
        <w:ind w:firstLine="360" w:firstLineChars="150"/>
        <w:rPr>
          <w:rFonts w:hint="eastAsia" w:ascii="仿宋" w:hAnsi="仿宋" w:eastAsia="仿宋"/>
          <w:b w:val="0"/>
          <w:bCs/>
          <w:sz w:val="24"/>
          <w:highlight w:val="none"/>
        </w:rPr>
      </w:pPr>
      <w:bookmarkStart w:id="148" w:name="_40.1投标人接到中标通知书后，按须知前附表规定向采购人出示相关资格证"/>
      <w:bookmarkEnd w:id="148"/>
      <w:r>
        <w:rPr>
          <w:rFonts w:hint="eastAsia" w:ascii="仿宋" w:hAnsi="仿宋" w:eastAsia="仿宋"/>
          <w:b w:val="0"/>
          <w:sz w:val="24"/>
          <w:highlight w:val="none"/>
        </w:rPr>
        <w:t xml:space="preserve"> 36.1投标人领取中标通知书（书面或电子）后，按“投标人须知前附表”规定向采购人出示相关证明材料，经采购人核验合格后方可签订采购合同（书面或电子）。</w:t>
      </w:r>
    </w:p>
    <w:p w14:paraId="639F0490">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36.2签订合同时间：中标通知书（中标公告）发出之日起</w:t>
      </w:r>
      <w:r>
        <w:rPr>
          <w:rFonts w:ascii="仿宋" w:hAnsi="仿宋" w:eastAsia="仿宋"/>
          <w:b w:val="0"/>
          <w:sz w:val="24"/>
          <w:highlight w:val="none"/>
        </w:rPr>
        <w:t>8</w:t>
      </w:r>
      <w:r>
        <w:rPr>
          <w:rFonts w:hint="eastAsia" w:ascii="仿宋" w:hAnsi="仿宋" w:eastAsia="仿宋"/>
          <w:b w:val="0"/>
          <w:sz w:val="24"/>
          <w:highlight w:val="none"/>
        </w:rPr>
        <w:t>个工作日内。</w:t>
      </w:r>
    </w:p>
    <w:p w14:paraId="0BDFF880">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36.</w:t>
      </w:r>
      <w:r>
        <w:rPr>
          <w:rFonts w:ascii="仿宋" w:hAnsi="仿宋" w:eastAsia="仿宋"/>
          <w:b w:val="0"/>
          <w:sz w:val="24"/>
          <w:highlight w:val="none"/>
        </w:rPr>
        <w:t>3</w:t>
      </w:r>
      <w:r>
        <w:rPr>
          <w:rFonts w:hint="eastAsia" w:ascii="仿宋" w:hAnsi="仿宋" w:eastAsia="仿宋"/>
          <w:b w:val="0"/>
          <w:sz w:val="24"/>
          <w:highlight w:val="none"/>
        </w:rPr>
        <w:t>中标人拒绝与采购人签订合同的，按照本须知正文第3</w:t>
      </w:r>
      <w:r>
        <w:rPr>
          <w:rFonts w:ascii="仿宋" w:hAnsi="仿宋" w:eastAsia="仿宋"/>
          <w:b w:val="0"/>
          <w:sz w:val="24"/>
          <w:highlight w:val="none"/>
        </w:rPr>
        <w:t>0.4条</w:t>
      </w:r>
      <w:r>
        <w:rPr>
          <w:rFonts w:hint="eastAsia" w:ascii="仿宋" w:hAnsi="仿宋" w:eastAsia="仿宋"/>
          <w:b w:val="0"/>
          <w:sz w:val="24"/>
          <w:highlight w:val="none"/>
        </w:rPr>
        <w:t>的规定执行。</w:t>
      </w:r>
    </w:p>
    <w:p w14:paraId="482A1E8F">
      <w:pPr>
        <w:pStyle w:val="6"/>
        <w:keepNext w:val="0"/>
        <w:keepLines w:val="0"/>
        <w:spacing w:before="0" w:after="0" w:line="360" w:lineRule="auto"/>
        <w:ind w:left="420" w:leftChars="200" w:firstLine="480"/>
        <w:rPr>
          <w:rFonts w:hint="eastAsia" w:ascii="仿宋" w:hAnsi="仿宋" w:eastAsia="仿宋"/>
          <w:sz w:val="24"/>
          <w:highlight w:val="none"/>
        </w:rPr>
      </w:pPr>
      <w:bookmarkStart w:id="149" w:name="_41.政府采购合同公告"/>
      <w:bookmarkEnd w:id="149"/>
      <w:r>
        <w:rPr>
          <w:rFonts w:hint="eastAsia" w:ascii="仿宋" w:hAnsi="仿宋" w:eastAsia="仿宋"/>
          <w:sz w:val="24"/>
          <w:highlight w:val="none"/>
        </w:rPr>
        <w:t>37.政府采购合同公告</w:t>
      </w:r>
    </w:p>
    <w:p w14:paraId="69B9B4D3">
      <w:pPr>
        <w:pStyle w:val="6"/>
        <w:keepNext w:val="0"/>
        <w:keepLines w:val="0"/>
        <w:spacing w:before="0" w:after="0" w:line="360" w:lineRule="auto"/>
        <w:ind w:firstLine="360" w:firstLineChars="150"/>
        <w:rPr>
          <w:highlight w:val="none"/>
        </w:rPr>
      </w:pPr>
      <w:r>
        <w:rPr>
          <w:rFonts w:hint="eastAsia" w:ascii="仿宋" w:hAnsi="仿宋" w:eastAsia="仿宋"/>
          <w:b w:val="0"/>
          <w:bCs/>
          <w:sz w:val="24"/>
          <w:highlight w:val="none"/>
        </w:rPr>
        <w:t>采购人或者受托采购代理机构应当自政府采购合同签订之日起2个工作日内，将政府采购合同在省级以上人民政府财政部门指定的媒体上公告，</w:t>
      </w:r>
      <w:r>
        <w:rPr>
          <w:rFonts w:ascii="仿宋" w:hAnsi="仿宋" w:eastAsia="仿宋"/>
          <w:b w:val="0"/>
          <w:bCs/>
          <w:sz w:val="24"/>
          <w:highlight w:val="none"/>
        </w:rPr>
        <w:t>但政府采购合同中涉及国家秘密、商业秘密的内容除外。</w:t>
      </w:r>
    </w:p>
    <w:p w14:paraId="527E56D2">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8.</w:t>
      </w:r>
      <w:r>
        <w:rPr>
          <w:rFonts w:hint="eastAsia" w:ascii="仿宋" w:hAnsi="仿宋" w:eastAsia="仿宋"/>
          <w:sz w:val="24"/>
          <w:highlight w:val="none"/>
        </w:rPr>
        <w:t xml:space="preserve"> 询问、质疑和投诉</w:t>
      </w:r>
    </w:p>
    <w:p w14:paraId="2E7AA5F2">
      <w:pPr>
        <w:pStyle w:val="7"/>
        <w:spacing w:line="360" w:lineRule="auto"/>
        <w:ind w:firstLine="480" w:firstLineChars="200"/>
        <w:rPr>
          <w:rFonts w:hint="eastAsia" w:ascii="仿宋" w:hAnsi="仿宋" w:eastAsia="仿宋"/>
          <w:sz w:val="24"/>
          <w:szCs w:val="24"/>
          <w:highlight w:val="none"/>
        </w:rPr>
      </w:pPr>
      <w:r>
        <w:rPr>
          <w:rFonts w:hint="eastAsia" w:ascii="仿宋" w:hAnsi="仿宋" w:eastAsia="仿宋"/>
          <w:sz w:val="24"/>
          <w:szCs w:val="24"/>
          <w:highlight w:val="none"/>
        </w:rPr>
        <w:t>38.1</w:t>
      </w:r>
      <w:r>
        <w:rPr>
          <w:rFonts w:ascii="仿宋" w:hAnsi="仿宋" w:eastAsia="仿宋"/>
          <w:sz w:val="24"/>
          <w:szCs w:val="24"/>
          <w:highlight w:val="none"/>
        </w:rPr>
        <w:t>供应商对政府采购活动事项有疑问的，可以向采购人提出询问，采购人或者采购代理机构应当在3个工作日内对供应商依法提出的询问作出答复，但答复的内容不得涉及商业秘密。</w:t>
      </w:r>
    </w:p>
    <w:p w14:paraId="50CF2F5D">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w:t>
      </w:r>
      <w:r>
        <w:rPr>
          <w:rFonts w:ascii="仿宋" w:hAnsi="仿宋" w:eastAsia="仿宋"/>
          <w:b w:val="0"/>
          <w:sz w:val="24"/>
          <w:highlight w:val="none"/>
        </w:rPr>
        <w:t>38</w:t>
      </w:r>
      <w:r>
        <w:rPr>
          <w:rFonts w:hint="eastAsia" w:ascii="仿宋" w:hAnsi="仿宋" w:eastAsia="仿宋"/>
          <w:b w:val="0"/>
          <w:sz w:val="24"/>
          <w:highlight w:val="none"/>
        </w:rPr>
        <w:t>.</w:t>
      </w:r>
      <w:r>
        <w:rPr>
          <w:rFonts w:ascii="仿宋" w:hAnsi="仿宋" w:eastAsia="仿宋"/>
          <w:b w:val="0"/>
          <w:sz w:val="24"/>
          <w:highlight w:val="none"/>
        </w:rPr>
        <w:t>2</w:t>
      </w:r>
      <w:r>
        <w:rPr>
          <w:rFonts w:hint="eastAsia" w:ascii="仿宋" w:hAnsi="仿宋" w:eastAsia="仿宋"/>
          <w:b w:val="0"/>
          <w:sz w:val="24"/>
          <w:highlight w:val="none"/>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2663F96D">
      <w:pPr>
        <w:pStyle w:val="25"/>
        <w:rPr>
          <w:rFonts w:hint="eastAsia"/>
          <w:highlight w:val="none"/>
        </w:rPr>
      </w:pPr>
      <w:r>
        <w:rPr>
          <w:highlight w:val="none"/>
        </w:rPr>
        <w:t>（</w:t>
      </w:r>
      <w:r>
        <w:rPr>
          <w:rFonts w:hint="eastAsia"/>
          <w:highlight w:val="none"/>
        </w:rPr>
        <w:t>1</w:t>
      </w:r>
      <w:r>
        <w:rPr>
          <w:highlight w:val="none"/>
        </w:rPr>
        <w:t>）对可以质疑的</w:t>
      </w:r>
      <w:r>
        <w:rPr>
          <w:rFonts w:hint="eastAsia"/>
          <w:highlight w:val="none"/>
        </w:rPr>
        <w:t>招标</w:t>
      </w:r>
      <w:r>
        <w:rPr>
          <w:highlight w:val="none"/>
        </w:rPr>
        <w:t>文件提出质疑的，为收到</w:t>
      </w:r>
      <w:r>
        <w:rPr>
          <w:rFonts w:hint="eastAsia"/>
          <w:highlight w:val="none"/>
        </w:rPr>
        <w:t>招标</w:t>
      </w:r>
      <w:r>
        <w:rPr>
          <w:highlight w:val="none"/>
        </w:rPr>
        <w:t>文件之日</w:t>
      </w:r>
      <w:r>
        <w:rPr>
          <w:rFonts w:hint="eastAsia"/>
          <w:highlight w:val="none"/>
        </w:rPr>
        <w:t>或者招标文件公告期限届满之日</w:t>
      </w:r>
      <w:r>
        <w:rPr>
          <w:highlight w:val="none"/>
        </w:rPr>
        <w:t>；</w:t>
      </w:r>
    </w:p>
    <w:p w14:paraId="068EAD39">
      <w:pPr>
        <w:pStyle w:val="25"/>
        <w:rPr>
          <w:rFonts w:hint="eastAsia"/>
          <w:highlight w:val="none"/>
        </w:rPr>
      </w:pPr>
      <w:r>
        <w:rPr>
          <w:highlight w:val="none"/>
        </w:rPr>
        <w:t>（</w:t>
      </w:r>
      <w:r>
        <w:rPr>
          <w:rFonts w:hint="eastAsia"/>
          <w:highlight w:val="none"/>
        </w:rPr>
        <w:t>2</w:t>
      </w:r>
      <w:r>
        <w:rPr>
          <w:highlight w:val="none"/>
        </w:rPr>
        <w:t>）对</w:t>
      </w:r>
      <w:r>
        <w:rPr>
          <w:rFonts w:hint="eastAsia"/>
          <w:highlight w:val="none"/>
        </w:rPr>
        <w:t>采购</w:t>
      </w:r>
      <w:r>
        <w:rPr>
          <w:highlight w:val="none"/>
        </w:rPr>
        <w:t>过程提出质疑的，为各采购程序环节结束之日；</w:t>
      </w:r>
    </w:p>
    <w:p w14:paraId="1423955E">
      <w:pPr>
        <w:pStyle w:val="25"/>
        <w:rPr>
          <w:rFonts w:hint="eastAsia"/>
          <w:bCs/>
          <w:highlight w:val="none"/>
        </w:rPr>
      </w:pPr>
      <w:r>
        <w:rPr>
          <w:highlight w:val="none"/>
        </w:rPr>
        <w:t>（</w:t>
      </w:r>
      <w:r>
        <w:rPr>
          <w:rFonts w:hint="eastAsia"/>
          <w:highlight w:val="none"/>
        </w:rPr>
        <w:t>3</w:t>
      </w:r>
      <w:r>
        <w:rPr>
          <w:highlight w:val="none"/>
        </w:rPr>
        <w:t>）对中标结果提出质疑的，为中标结果公告期限届满之日。</w:t>
      </w:r>
    </w:p>
    <w:p w14:paraId="14B765E1">
      <w:pPr>
        <w:pStyle w:val="6"/>
        <w:keepNext w:val="0"/>
        <w:keepLines w:val="0"/>
        <w:spacing w:before="0" w:after="0" w:line="360" w:lineRule="auto"/>
        <w:ind w:firstLine="360" w:firstLineChars="150"/>
        <w:rPr>
          <w:rFonts w:hint="eastAsia" w:ascii="仿宋" w:hAnsi="仿宋" w:eastAsia="仿宋"/>
          <w:b w:val="0"/>
          <w:sz w:val="24"/>
          <w:highlight w:val="none"/>
        </w:rPr>
      </w:pPr>
      <w:r>
        <w:rPr>
          <w:rFonts w:ascii="仿宋" w:hAnsi="仿宋" w:eastAsia="仿宋"/>
          <w:b w:val="0"/>
          <w:sz w:val="24"/>
          <w:highlight w:val="none"/>
        </w:rPr>
        <w:t>38</w:t>
      </w:r>
      <w:r>
        <w:rPr>
          <w:rFonts w:hint="eastAsia" w:ascii="仿宋" w:hAnsi="仿宋" w:eastAsia="仿宋"/>
          <w:b w:val="0"/>
          <w:sz w:val="24"/>
          <w:highlight w:val="none"/>
        </w:rPr>
        <w:t>.</w:t>
      </w:r>
      <w:r>
        <w:rPr>
          <w:rFonts w:ascii="仿宋" w:hAnsi="仿宋" w:eastAsia="仿宋"/>
          <w:b w:val="0"/>
          <w:sz w:val="24"/>
          <w:highlight w:val="none"/>
        </w:rPr>
        <w:t>3</w:t>
      </w:r>
      <w:r>
        <w:rPr>
          <w:rFonts w:hint="eastAsia" w:ascii="仿宋" w:hAnsi="仿宋" w:eastAsia="仿宋"/>
          <w:b w:val="0"/>
          <w:sz w:val="24"/>
          <w:highlight w:val="none"/>
        </w:rPr>
        <w:t xml:space="preserve"> </w:t>
      </w:r>
      <w:r>
        <w:rPr>
          <w:rFonts w:ascii="仿宋" w:hAnsi="仿宋" w:eastAsia="仿宋"/>
          <w:bCs/>
          <w:sz w:val="24"/>
          <w:highlight w:val="none"/>
        </w:rPr>
        <w:t>供应商提出质疑应当提交质疑函和必要的证明材料</w:t>
      </w:r>
      <w:r>
        <w:rPr>
          <w:rFonts w:hint="eastAsia" w:ascii="仿宋" w:hAnsi="仿宋" w:eastAsia="仿宋"/>
          <w:bCs/>
          <w:sz w:val="24"/>
          <w:highlight w:val="none"/>
        </w:rPr>
        <w:t>，</w:t>
      </w:r>
      <w:r>
        <w:rPr>
          <w:rFonts w:ascii="仿宋" w:hAnsi="仿宋" w:eastAsia="仿宋"/>
          <w:bCs/>
          <w:sz w:val="24"/>
          <w:highlight w:val="none"/>
        </w:rPr>
        <w:t>针对同一采购程序环节的质疑</w:t>
      </w:r>
      <w:r>
        <w:rPr>
          <w:rFonts w:hint="eastAsia" w:ascii="仿宋" w:hAnsi="仿宋" w:eastAsia="仿宋"/>
          <w:bCs/>
          <w:sz w:val="24"/>
          <w:highlight w:val="none"/>
        </w:rPr>
        <w:t>必须</w:t>
      </w:r>
      <w:r>
        <w:rPr>
          <w:rFonts w:ascii="仿宋" w:hAnsi="仿宋" w:eastAsia="仿宋"/>
          <w:bCs/>
          <w:sz w:val="24"/>
          <w:highlight w:val="none"/>
        </w:rPr>
        <w:t>在法定质疑期内一次性提出。质疑函应当包括下列内容</w:t>
      </w:r>
      <w:r>
        <w:rPr>
          <w:rFonts w:hint="eastAsia" w:ascii="仿宋" w:hAnsi="仿宋" w:eastAsia="仿宋"/>
          <w:bCs/>
          <w:sz w:val="24"/>
          <w:highlight w:val="none"/>
        </w:rPr>
        <w:t>（质疑函格式后附）</w:t>
      </w:r>
      <w:r>
        <w:rPr>
          <w:rFonts w:ascii="仿宋" w:hAnsi="仿宋" w:eastAsia="仿宋"/>
          <w:bCs/>
          <w:sz w:val="24"/>
          <w:highlight w:val="none"/>
        </w:rPr>
        <w:t>：</w:t>
      </w:r>
    </w:p>
    <w:p w14:paraId="125ECE2B">
      <w:pPr>
        <w:pStyle w:val="25"/>
        <w:rPr>
          <w:rFonts w:hint="eastAsia"/>
          <w:highlight w:val="none"/>
        </w:rPr>
      </w:pPr>
      <w:r>
        <w:rPr>
          <w:highlight w:val="none"/>
        </w:rPr>
        <w:t>（</w:t>
      </w:r>
      <w:r>
        <w:rPr>
          <w:rFonts w:hint="eastAsia"/>
          <w:highlight w:val="none"/>
        </w:rPr>
        <w:t>1</w:t>
      </w:r>
      <w:r>
        <w:rPr>
          <w:highlight w:val="none"/>
        </w:rPr>
        <w:t>）供应商的姓名或者名称、地址、邮编、联系人及联系电话；</w:t>
      </w:r>
    </w:p>
    <w:p w14:paraId="28C46844">
      <w:pPr>
        <w:pStyle w:val="25"/>
        <w:rPr>
          <w:rFonts w:hint="eastAsia"/>
          <w:highlight w:val="none"/>
        </w:rPr>
      </w:pPr>
      <w:r>
        <w:rPr>
          <w:highlight w:val="none"/>
        </w:rPr>
        <w:t>（</w:t>
      </w:r>
      <w:r>
        <w:rPr>
          <w:rFonts w:hint="eastAsia"/>
          <w:highlight w:val="none"/>
        </w:rPr>
        <w:t>2</w:t>
      </w:r>
      <w:r>
        <w:rPr>
          <w:highlight w:val="none"/>
        </w:rPr>
        <w:t>）质疑项目的名称、编号；</w:t>
      </w:r>
    </w:p>
    <w:p w14:paraId="4B2C1085">
      <w:pPr>
        <w:pStyle w:val="25"/>
        <w:rPr>
          <w:rFonts w:hint="eastAsia"/>
          <w:highlight w:val="none"/>
        </w:rPr>
      </w:pPr>
      <w:r>
        <w:rPr>
          <w:highlight w:val="none"/>
        </w:rPr>
        <w:t>（</w:t>
      </w:r>
      <w:r>
        <w:rPr>
          <w:rFonts w:hint="eastAsia"/>
          <w:highlight w:val="none"/>
        </w:rPr>
        <w:t>3</w:t>
      </w:r>
      <w:r>
        <w:rPr>
          <w:highlight w:val="none"/>
        </w:rPr>
        <w:t>）具体、明确的质疑事项和与质疑事项相关的请求；</w:t>
      </w:r>
    </w:p>
    <w:p w14:paraId="7D75C2A3">
      <w:pPr>
        <w:pStyle w:val="25"/>
        <w:rPr>
          <w:rFonts w:hint="eastAsia"/>
          <w:highlight w:val="none"/>
        </w:rPr>
      </w:pPr>
      <w:r>
        <w:rPr>
          <w:highlight w:val="none"/>
        </w:rPr>
        <w:t>（</w:t>
      </w:r>
      <w:r>
        <w:rPr>
          <w:rFonts w:hint="eastAsia"/>
          <w:highlight w:val="none"/>
        </w:rPr>
        <w:t>4</w:t>
      </w:r>
      <w:r>
        <w:rPr>
          <w:highlight w:val="none"/>
        </w:rPr>
        <w:t>）事实依据；</w:t>
      </w:r>
    </w:p>
    <w:p w14:paraId="7B60B579">
      <w:pPr>
        <w:pStyle w:val="25"/>
        <w:rPr>
          <w:rFonts w:hint="eastAsia"/>
          <w:highlight w:val="none"/>
        </w:rPr>
      </w:pPr>
      <w:r>
        <w:rPr>
          <w:highlight w:val="none"/>
        </w:rPr>
        <w:t>（</w:t>
      </w:r>
      <w:r>
        <w:rPr>
          <w:rFonts w:hint="eastAsia"/>
          <w:highlight w:val="none"/>
        </w:rPr>
        <w:t>5</w:t>
      </w:r>
      <w:r>
        <w:rPr>
          <w:highlight w:val="none"/>
        </w:rPr>
        <w:t>）必要的法律依据；</w:t>
      </w:r>
    </w:p>
    <w:p w14:paraId="3EDB73CE">
      <w:pPr>
        <w:pStyle w:val="25"/>
        <w:rPr>
          <w:rFonts w:hint="eastAsia"/>
          <w:highlight w:val="none"/>
        </w:rPr>
      </w:pPr>
      <w:r>
        <w:rPr>
          <w:highlight w:val="none"/>
        </w:rPr>
        <w:t>（</w:t>
      </w:r>
      <w:r>
        <w:rPr>
          <w:rFonts w:hint="eastAsia"/>
          <w:highlight w:val="none"/>
        </w:rPr>
        <w:t>6</w:t>
      </w:r>
      <w:r>
        <w:rPr>
          <w:highlight w:val="none"/>
        </w:rPr>
        <w:t>）提出质疑的日期。</w:t>
      </w:r>
    </w:p>
    <w:p w14:paraId="045D8574">
      <w:pPr>
        <w:pStyle w:val="25"/>
        <w:rPr>
          <w:rFonts w:hint="eastAsia"/>
          <w:highlight w:val="none"/>
        </w:rPr>
      </w:pPr>
      <w:r>
        <w:rPr>
          <w:highlight w:val="none"/>
        </w:rPr>
        <w:t>供应商为自然人的，应当由本人签字；供应商为法人或者其他组织的，应当由法定代表人、主要负责人，或者其委托代理人</w:t>
      </w:r>
      <w:r>
        <w:rPr>
          <w:rFonts w:hint="eastAsia"/>
          <w:highlight w:val="none"/>
          <w:lang w:eastAsia="zh-CN"/>
        </w:rPr>
        <w:t>签字或者盖CA章</w:t>
      </w:r>
      <w:r>
        <w:rPr>
          <w:highlight w:val="none"/>
        </w:rPr>
        <w:t>，并加</w:t>
      </w:r>
      <w:r>
        <w:rPr>
          <w:rFonts w:hint="eastAsia"/>
          <w:highlight w:val="none"/>
          <w:lang w:eastAsia="zh-CN"/>
        </w:rPr>
        <w:t>盖CA公章</w:t>
      </w:r>
      <w:r>
        <w:rPr>
          <w:rFonts w:hint="eastAsia"/>
          <w:highlight w:val="none"/>
        </w:rPr>
        <w:t>。</w:t>
      </w:r>
    </w:p>
    <w:p w14:paraId="6E52E809">
      <w:pPr>
        <w:pStyle w:val="6"/>
        <w:keepNext w:val="0"/>
        <w:keepLines w:val="0"/>
        <w:snapToGrid w:val="0"/>
        <w:spacing w:before="0" w:after="0" w:line="360" w:lineRule="auto"/>
        <w:ind w:firstLine="480" w:firstLineChars="200"/>
        <w:rPr>
          <w:rFonts w:hint="eastAsia" w:ascii="仿宋" w:hAnsi="仿宋" w:eastAsia="仿宋"/>
          <w:b w:val="0"/>
          <w:bCs/>
          <w:sz w:val="24"/>
          <w:highlight w:val="none"/>
        </w:rPr>
      </w:pPr>
      <w:r>
        <w:rPr>
          <w:rFonts w:ascii="仿宋" w:hAnsi="仿宋" w:eastAsia="仿宋"/>
          <w:b w:val="0"/>
          <w:sz w:val="24"/>
          <w:highlight w:val="none"/>
        </w:rPr>
        <w:t>3</w:t>
      </w:r>
      <w:r>
        <w:rPr>
          <w:rFonts w:ascii="仿宋" w:hAnsi="仿宋" w:eastAsia="仿宋"/>
          <w:b w:val="0"/>
          <w:bCs/>
          <w:sz w:val="24"/>
          <w:highlight w:val="none"/>
        </w:rPr>
        <w:t>8.4</w:t>
      </w:r>
      <w:r>
        <w:rPr>
          <w:rFonts w:hint="eastAsia" w:ascii="仿宋" w:hAnsi="仿宋" w:eastAsia="仿宋"/>
          <w:b w:val="0"/>
          <w:bCs/>
          <w:sz w:val="24"/>
          <w:highlight w:val="none"/>
        </w:rPr>
        <w:t>采购人、采购代理机构认为供应商质疑不成立，或者成立但未对中标结果构成影响的，继续开展采购活动；认为供应商质疑成立且影响或者可能影响中标结果的，按照下列情况处理：</w:t>
      </w:r>
    </w:p>
    <w:p w14:paraId="19440CDA">
      <w:pPr>
        <w:pStyle w:val="25"/>
        <w:rPr>
          <w:rFonts w:hint="eastAsia"/>
          <w:highlight w:val="none"/>
        </w:rPr>
      </w:pPr>
      <w:r>
        <w:rPr>
          <w:rFonts w:hint="eastAsia"/>
          <w:highlight w:val="none"/>
        </w:rPr>
        <w:t>（1）对招标文件提出的质疑，依法通过澄清或者修改可以继续开展采购活动的，澄清或者修改招标文件后继续开展采购活动；否则应当修改招标文件后重新开展采购活动。</w:t>
      </w:r>
    </w:p>
    <w:p w14:paraId="0F141985">
      <w:pPr>
        <w:pStyle w:val="25"/>
        <w:rPr>
          <w:rFonts w:hint="eastAsia"/>
          <w:highlight w:val="none"/>
        </w:rPr>
      </w:pPr>
      <w:r>
        <w:rPr>
          <w:rFonts w:hint="eastAsia"/>
          <w:highlight w:val="none"/>
        </w:rPr>
        <w:t>（2）对采购过程、中标结果提出的质疑，合格供应商符合法定数量时，可以从合格的中标候选人中另行确定中标供应商的，应当依法另行确定中标供应商；否则应当重新开展采购活动。</w:t>
      </w:r>
    </w:p>
    <w:p w14:paraId="2D7439BB">
      <w:pPr>
        <w:pStyle w:val="25"/>
        <w:rPr>
          <w:rFonts w:hint="eastAsia"/>
          <w:highlight w:val="none"/>
        </w:rPr>
      </w:pPr>
      <w:r>
        <w:rPr>
          <w:rFonts w:hint="eastAsia"/>
          <w:highlight w:val="none"/>
        </w:rPr>
        <w:t>质疑答复导致中标结果改变的，采购人或者采购代理机构应当将有关情况书面报告本级财政部门。</w:t>
      </w:r>
    </w:p>
    <w:p w14:paraId="2B0E8220">
      <w:pPr>
        <w:pStyle w:val="25"/>
        <w:rPr>
          <w:rFonts w:hint="eastAsia"/>
          <w:highlight w:val="none"/>
        </w:rPr>
      </w:pPr>
      <w:r>
        <w:rPr>
          <w:highlight w:val="none"/>
        </w:rPr>
        <w:t>38</w:t>
      </w:r>
      <w:r>
        <w:rPr>
          <w:rFonts w:hint="eastAsia"/>
          <w:highlight w:val="none"/>
        </w:rPr>
        <w:t>.</w:t>
      </w:r>
      <w:r>
        <w:rPr>
          <w:highlight w:val="none"/>
        </w:rPr>
        <w:t>5</w:t>
      </w:r>
      <w:r>
        <w:rPr>
          <w:rFonts w:hint="eastAsia"/>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50" w:name="_八、其他事项"/>
      <w:bookmarkEnd w:id="150"/>
    </w:p>
    <w:p w14:paraId="0FA40516">
      <w:pPr>
        <w:pStyle w:val="4"/>
        <w:keepNext w:val="0"/>
        <w:keepLines w:val="0"/>
        <w:jc w:val="center"/>
        <w:rPr>
          <w:rFonts w:hint="eastAsia" w:ascii="仿宋" w:hAnsi="仿宋" w:eastAsia="仿宋"/>
          <w:highlight w:val="none"/>
        </w:rPr>
      </w:pPr>
      <w:r>
        <w:rPr>
          <w:rFonts w:hint="eastAsia" w:ascii="仿宋" w:hAnsi="仿宋" w:eastAsia="仿宋"/>
          <w:highlight w:val="none"/>
        </w:rPr>
        <w:t>八、其他事项</w:t>
      </w:r>
    </w:p>
    <w:p w14:paraId="20D6D6D8">
      <w:pPr>
        <w:pStyle w:val="6"/>
        <w:keepNext w:val="0"/>
        <w:keepLines w:val="0"/>
        <w:spacing w:before="0" w:after="0" w:line="360" w:lineRule="auto"/>
        <w:ind w:left="420" w:leftChars="200" w:firstLine="480"/>
        <w:rPr>
          <w:rFonts w:hint="eastAsia" w:ascii="仿宋" w:hAnsi="仿宋" w:eastAsia="仿宋"/>
          <w:sz w:val="24"/>
          <w:highlight w:val="none"/>
        </w:rPr>
      </w:pPr>
      <w:bookmarkStart w:id="151" w:name="_42.代理服务费"/>
      <w:bookmarkEnd w:id="151"/>
      <w:r>
        <w:rPr>
          <w:rFonts w:hint="eastAsia" w:ascii="仿宋" w:hAnsi="仿宋" w:eastAsia="仿宋"/>
          <w:sz w:val="24"/>
          <w:highlight w:val="none"/>
        </w:rPr>
        <w:t>3</w:t>
      </w:r>
      <w:r>
        <w:rPr>
          <w:rFonts w:ascii="仿宋" w:hAnsi="仿宋" w:eastAsia="仿宋"/>
          <w:sz w:val="24"/>
          <w:highlight w:val="none"/>
        </w:rPr>
        <w:t>9</w:t>
      </w:r>
      <w:r>
        <w:rPr>
          <w:rFonts w:hint="eastAsia" w:ascii="仿宋" w:hAnsi="仿宋" w:eastAsia="仿宋"/>
          <w:sz w:val="24"/>
          <w:highlight w:val="none"/>
        </w:rPr>
        <w:t>.代理服务费</w:t>
      </w:r>
    </w:p>
    <w:p w14:paraId="657CFB15">
      <w:pPr>
        <w:pStyle w:val="25"/>
        <w:rPr>
          <w:rFonts w:hint="eastAsia"/>
          <w:highlight w:val="none"/>
        </w:rPr>
      </w:pPr>
      <w:r>
        <w:rPr>
          <w:rFonts w:hint="eastAsia"/>
          <w:highlight w:val="none"/>
        </w:rPr>
        <w:t>3</w:t>
      </w:r>
      <w:r>
        <w:rPr>
          <w:highlight w:val="none"/>
        </w:rPr>
        <w:t>9</w:t>
      </w:r>
      <w:r>
        <w:rPr>
          <w:rFonts w:hint="eastAsia"/>
          <w:highlight w:val="none"/>
        </w:rPr>
        <w:t>.1代理服务收取标准及缴费账户详见“投标人须知前附表”。</w:t>
      </w:r>
    </w:p>
    <w:p w14:paraId="3711319B">
      <w:pPr>
        <w:pStyle w:val="25"/>
        <w:rPr>
          <w:rFonts w:hint="eastAsia"/>
          <w:highlight w:val="none"/>
        </w:rPr>
      </w:pPr>
      <w:r>
        <w:rPr>
          <w:rFonts w:hint="eastAsia"/>
          <w:highlight w:val="none"/>
        </w:rPr>
        <w:t>3</w:t>
      </w:r>
      <w:r>
        <w:rPr>
          <w:highlight w:val="none"/>
        </w:rPr>
        <w:t>9</w:t>
      </w:r>
      <w:r>
        <w:rPr>
          <w:rFonts w:hint="eastAsia"/>
          <w:highlight w:val="none"/>
        </w:rPr>
        <w:t>.2代理服务收费标准：</w:t>
      </w:r>
    </w:p>
    <w:tbl>
      <w:tblPr>
        <w:tblStyle w:val="49"/>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7"/>
        <w:gridCol w:w="1910"/>
        <w:gridCol w:w="1942"/>
        <w:gridCol w:w="1910"/>
      </w:tblGrid>
      <w:tr w14:paraId="4920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tcBorders>
              <w:tl2br w:val="single" w:color="auto" w:sz="4" w:space="0"/>
            </w:tcBorders>
            <w:vAlign w:val="center"/>
          </w:tcPr>
          <w:p w14:paraId="798506D2">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 xml:space="preserve">               </w:t>
            </w:r>
            <w:r>
              <w:rPr>
                <w:rFonts w:ascii="仿宋" w:hAnsi="仿宋" w:eastAsia="仿宋"/>
                <w:sz w:val="21"/>
                <w:szCs w:val="21"/>
                <w:highlight w:val="none"/>
              </w:rPr>
              <w:t xml:space="preserve">    </w:t>
            </w:r>
            <w:r>
              <w:rPr>
                <w:rFonts w:hint="eastAsia" w:ascii="仿宋" w:hAnsi="仿宋" w:eastAsia="仿宋"/>
                <w:sz w:val="21"/>
                <w:szCs w:val="21"/>
                <w:highlight w:val="none"/>
              </w:rPr>
              <w:t>费率</w:t>
            </w:r>
          </w:p>
          <w:p w14:paraId="459EC4D4">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中标金额</w:t>
            </w:r>
          </w:p>
        </w:tc>
        <w:tc>
          <w:tcPr>
            <w:tcW w:w="1910" w:type="dxa"/>
            <w:vAlign w:val="center"/>
          </w:tcPr>
          <w:p w14:paraId="61008325">
            <w:pPr>
              <w:spacing w:line="360" w:lineRule="auto"/>
              <w:ind w:firstLine="105" w:firstLineChars="50"/>
              <w:jc w:val="center"/>
              <w:rPr>
                <w:rFonts w:hint="eastAsia" w:ascii="仿宋" w:hAnsi="仿宋" w:eastAsia="仿宋"/>
                <w:sz w:val="21"/>
                <w:szCs w:val="21"/>
                <w:highlight w:val="none"/>
              </w:rPr>
            </w:pPr>
            <w:r>
              <w:rPr>
                <w:rFonts w:hint="eastAsia" w:ascii="仿宋" w:hAnsi="仿宋" w:eastAsia="仿宋"/>
                <w:sz w:val="21"/>
                <w:szCs w:val="21"/>
                <w:highlight w:val="none"/>
              </w:rPr>
              <w:t>货物招标</w:t>
            </w:r>
          </w:p>
        </w:tc>
        <w:tc>
          <w:tcPr>
            <w:tcW w:w="1942" w:type="dxa"/>
            <w:vAlign w:val="center"/>
          </w:tcPr>
          <w:p w14:paraId="160F1EAC">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服务招标</w:t>
            </w:r>
          </w:p>
        </w:tc>
        <w:tc>
          <w:tcPr>
            <w:tcW w:w="1910" w:type="dxa"/>
            <w:vAlign w:val="center"/>
          </w:tcPr>
          <w:p w14:paraId="77A5CDC0">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工程招标</w:t>
            </w:r>
          </w:p>
        </w:tc>
      </w:tr>
      <w:tr w14:paraId="5F8F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4A93422F">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100万元以下</w:t>
            </w:r>
          </w:p>
        </w:tc>
        <w:tc>
          <w:tcPr>
            <w:tcW w:w="1910" w:type="dxa"/>
            <w:vAlign w:val="center"/>
          </w:tcPr>
          <w:p w14:paraId="23CA4457">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1.5%</w:t>
            </w:r>
          </w:p>
        </w:tc>
        <w:tc>
          <w:tcPr>
            <w:tcW w:w="1942" w:type="dxa"/>
            <w:vAlign w:val="center"/>
          </w:tcPr>
          <w:p w14:paraId="67B073C7">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1.5%</w:t>
            </w:r>
          </w:p>
        </w:tc>
        <w:tc>
          <w:tcPr>
            <w:tcW w:w="1910" w:type="dxa"/>
            <w:vAlign w:val="center"/>
          </w:tcPr>
          <w:p w14:paraId="72499B1C">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1.0%</w:t>
            </w:r>
          </w:p>
        </w:tc>
      </w:tr>
      <w:tr w14:paraId="4CC1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506696E9">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100～500万元</w:t>
            </w:r>
          </w:p>
        </w:tc>
        <w:tc>
          <w:tcPr>
            <w:tcW w:w="1910" w:type="dxa"/>
            <w:vAlign w:val="center"/>
          </w:tcPr>
          <w:p w14:paraId="2D48B049">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1.1%</w:t>
            </w:r>
          </w:p>
        </w:tc>
        <w:tc>
          <w:tcPr>
            <w:tcW w:w="1942" w:type="dxa"/>
            <w:vAlign w:val="center"/>
          </w:tcPr>
          <w:p w14:paraId="4070E94B">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0.8%</w:t>
            </w:r>
          </w:p>
        </w:tc>
        <w:tc>
          <w:tcPr>
            <w:tcW w:w="1910" w:type="dxa"/>
            <w:vAlign w:val="center"/>
          </w:tcPr>
          <w:p w14:paraId="45D092A7">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0.7%</w:t>
            </w:r>
          </w:p>
        </w:tc>
      </w:tr>
      <w:tr w14:paraId="7E33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2CB5E411">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500～1000万元</w:t>
            </w:r>
          </w:p>
        </w:tc>
        <w:tc>
          <w:tcPr>
            <w:tcW w:w="1910" w:type="dxa"/>
            <w:vAlign w:val="center"/>
          </w:tcPr>
          <w:p w14:paraId="65A84989">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0.8%</w:t>
            </w:r>
          </w:p>
        </w:tc>
        <w:tc>
          <w:tcPr>
            <w:tcW w:w="1942" w:type="dxa"/>
            <w:vAlign w:val="center"/>
          </w:tcPr>
          <w:p w14:paraId="050352F2">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0.45%</w:t>
            </w:r>
          </w:p>
        </w:tc>
        <w:tc>
          <w:tcPr>
            <w:tcW w:w="1910" w:type="dxa"/>
            <w:vAlign w:val="center"/>
          </w:tcPr>
          <w:p w14:paraId="7475FA91">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0.55%</w:t>
            </w:r>
          </w:p>
        </w:tc>
      </w:tr>
      <w:tr w14:paraId="7085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388833F6">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1000～5000万元</w:t>
            </w:r>
          </w:p>
        </w:tc>
        <w:tc>
          <w:tcPr>
            <w:tcW w:w="1910" w:type="dxa"/>
            <w:vAlign w:val="center"/>
          </w:tcPr>
          <w:p w14:paraId="68E74830">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0.5%</w:t>
            </w:r>
          </w:p>
        </w:tc>
        <w:tc>
          <w:tcPr>
            <w:tcW w:w="1942" w:type="dxa"/>
            <w:vAlign w:val="center"/>
          </w:tcPr>
          <w:p w14:paraId="3C912C33">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0.25%</w:t>
            </w:r>
          </w:p>
        </w:tc>
        <w:tc>
          <w:tcPr>
            <w:tcW w:w="1910" w:type="dxa"/>
            <w:vAlign w:val="center"/>
          </w:tcPr>
          <w:p w14:paraId="1F146DB5">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0.35%</w:t>
            </w:r>
          </w:p>
        </w:tc>
      </w:tr>
      <w:tr w14:paraId="724E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2E3B2ECA">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5000万元～1亿元</w:t>
            </w:r>
          </w:p>
        </w:tc>
        <w:tc>
          <w:tcPr>
            <w:tcW w:w="1910" w:type="dxa"/>
            <w:vAlign w:val="center"/>
          </w:tcPr>
          <w:p w14:paraId="64F855FE">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0.25%</w:t>
            </w:r>
          </w:p>
        </w:tc>
        <w:tc>
          <w:tcPr>
            <w:tcW w:w="1942" w:type="dxa"/>
            <w:vAlign w:val="center"/>
          </w:tcPr>
          <w:p w14:paraId="0A58EE85">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0.1%</w:t>
            </w:r>
          </w:p>
        </w:tc>
        <w:tc>
          <w:tcPr>
            <w:tcW w:w="1910" w:type="dxa"/>
            <w:vAlign w:val="center"/>
          </w:tcPr>
          <w:p w14:paraId="72C66FA4">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0.2%</w:t>
            </w:r>
          </w:p>
        </w:tc>
      </w:tr>
      <w:tr w14:paraId="4251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1821A96B">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1～5亿元</w:t>
            </w:r>
          </w:p>
        </w:tc>
        <w:tc>
          <w:tcPr>
            <w:tcW w:w="1910" w:type="dxa"/>
            <w:vAlign w:val="center"/>
          </w:tcPr>
          <w:p w14:paraId="53943DA1">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0.05%</w:t>
            </w:r>
          </w:p>
        </w:tc>
        <w:tc>
          <w:tcPr>
            <w:tcW w:w="1942" w:type="dxa"/>
            <w:vAlign w:val="center"/>
          </w:tcPr>
          <w:p w14:paraId="4D4E62A1">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0.05%</w:t>
            </w:r>
          </w:p>
        </w:tc>
        <w:tc>
          <w:tcPr>
            <w:tcW w:w="1910" w:type="dxa"/>
            <w:vAlign w:val="center"/>
          </w:tcPr>
          <w:p w14:paraId="2ACB663B">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0.05%</w:t>
            </w:r>
          </w:p>
        </w:tc>
      </w:tr>
      <w:tr w14:paraId="557D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4987CCAD">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5～10亿元</w:t>
            </w:r>
          </w:p>
        </w:tc>
        <w:tc>
          <w:tcPr>
            <w:tcW w:w="1910" w:type="dxa"/>
            <w:vAlign w:val="center"/>
          </w:tcPr>
          <w:p w14:paraId="2CA936BC">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0.035%</w:t>
            </w:r>
          </w:p>
        </w:tc>
        <w:tc>
          <w:tcPr>
            <w:tcW w:w="1942" w:type="dxa"/>
            <w:vAlign w:val="center"/>
          </w:tcPr>
          <w:p w14:paraId="4402FB38">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0.035%</w:t>
            </w:r>
          </w:p>
        </w:tc>
        <w:tc>
          <w:tcPr>
            <w:tcW w:w="1910" w:type="dxa"/>
            <w:vAlign w:val="center"/>
          </w:tcPr>
          <w:p w14:paraId="3FA732D3">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0.035%</w:t>
            </w:r>
          </w:p>
        </w:tc>
      </w:tr>
      <w:tr w14:paraId="20B1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2435659D">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10～50亿元</w:t>
            </w:r>
          </w:p>
        </w:tc>
        <w:tc>
          <w:tcPr>
            <w:tcW w:w="1910" w:type="dxa"/>
            <w:vAlign w:val="center"/>
          </w:tcPr>
          <w:p w14:paraId="2315A9E1">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0.008%</w:t>
            </w:r>
          </w:p>
        </w:tc>
        <w:tc>
          <w:tcPr>
            <w:tcW w:w="1942" w:type="dxa"/>
            <w:vAlign w:val="center"/>
          </w:tcPr>
          <w:p w14:paraId="7731BF0D">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0.008%</w:t>
            </w:r>
          </w:p>
        </w:tc>
        <w:tc>
          <w:tcPr>
            <w:tcW w:w="1910" w:type="dxa"/>
            <w:vAlign w:val="center"/>
          </w:tcPr>
          <w:p w14:paraId="7DF91B0A">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0.008%</w:t>
            </w:r>
          </w:p>
        </w:tc>
      </w:tr>
      <w:tr w14:paraId="0A20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5812C84A">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50～100亿元</w:t>
            </w:r>
          </w:p>
        </w:tc>
        <w:tc>
          <w:tcPr>
            <w:tcW w:w="1910" w:type="dxa"/>
            <w:vAlign w:val="center"/>
          </w:tcPr>
          <w:p w14:paraId="4568B135">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0.006%</w:t>
            </w:r>
          </w:p>
        </w:tc>
        <w:tc>
          <w:tcPr>
            <w:tcW w:w="1942" w:type="dxa"/>
            <w:vAlign w:val="center"/>
          </w:tcPr>
          <w:p w14:paraId="03A17992">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0.006%</w:t>
            </w:r>
          </w:p>
        </w:tc>
        <w:tc>
          <w:tcPr>
            <w:tcW w:w="1910" w:type="dxa"/>
            <w:vAlign w:val="center"/>
          </w:tcPr>
          <w:p w14:paraId="56CC493F">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0.006%</w:t>
            </w:r>
          </w:p>
        </w:tc>
      </w:tr>
      <w:tr w14:paraId="390E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7" w:type="dxa"/>
            <w:vAlign w:val="center"/>
          </w:tcPr>
          <w:p w14:paraId="3F40796B">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100亿以上</w:t>
            </w:r>
          </w:p>
        </w:tc>
        <w:tc>
          <w:tcPr>
            <w:tcW w:w="1910" w:type="dxa"/>
            <w:vAlign w:val="center"/>
          </w:tcPr>
          <w:p w14:paraId="4206D099">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0.004%</w:t>
            </w:r>
          </w:p>
        </w:tc>
        <w:tc>
          <w:tcPr>
            <w:tcW w:w="1942" w:type="dxa"/>
            <w:vAlign w:val="center"/>
          </w:tcPr>
          <w:p w14:paraId="2051C89E">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0.004%</w:t>
            </w:r>
          </w:p>
        </w:tc>
        <w:tc>
          <w:tcPr>
            <w:tcW w:w="1910" w:type="dxa"/>
            <w:vAlign w:val="center"/>
          </w:tcPr>
          <w:p w14:paraId="65F594B3">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0.004%</w:t>
            </w:r>
          </w:p>
        </w:tc>
      </w:tr>
    </w:tbl>
    <w:p w14:paraId="08496199">
      <w:pPr>
        <w:spacing w:line="360" w:lineRule="auto"/>
        <w:ind w:firstLine="480" w:firstLineChars="200"/>
        <w:rPr>
          <w:rFonts w:hint="eastAsia" w:ascii="仿宋" w:hAnsi="仿宋" w:eastAsia="仿宋" w:cs="宋体"/>
          <w:sz w:val="24"/>
          <w:highlight w:val="none"/>
        </w:rPr>
      </w:pPr>
      <w:r>
        <w:rPr>
          <w:rFonts w:hint="eastAsia" w:ascii="仿宋" w:hAnsi="仿宋" w:eastAsia="仿宋"/>
          <w:sz w:val="24"/>
          <w:highlight w:val="none"/>
        </w:rPr>
        <w:t>注:</w:t>
      </w:r>
      <w:r>
        <w:rPr>
          <w:rFonts w:ascii="仿宋" w:hAnsi="仿宋" w:eastAsia="仿宋" w:cs="宋体"/>
          <w:sz w:val="24"/>
          <w:highlight w:val="none"/>
        </w:rPr>
        <w:t xml:space="preserve"> </w:t>
      </w:r>
    </w:p>
    <w:p w14:paraId="7314D02D">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w:t>
      </w:r>
      <w:r>
        <w:rPr>
          <w:rFonts w:ascii="仿宋" w:hAnsi="仿宋" w:eastAsia="仿宋" w:cs="宋体"/>
          <w:sz w:val="24"/>
          <w:highlight w:val="none"/>
        </w:rPr>
        <w:t>按本表费率计算的收费为</w:t>
      </w:r>
      <w:r>
        <w:rPr>
          <w:rFonts w:hint="eastAsia" w:ascii="仿宋" w:hAnsi="仿宋" w:eastAsia="仿宋" w:cs="宋体"/>
          <w:sz w:val="24"/>
          <w:highlight w:val="none"/>
        </w:rPr>
        <w:t>采购</w:t>
      </w:r>
      <w:r>
        <w:rPr>
          <w:rFonts w:ascii="仿宋" w:hAnsi="仿宋" w:eastAsia="仿宋" w:cs="宋体"/>
          <w:sz w:val="24"/>
          <w:highlight w:val="none"/>
        </w:rPr>
        <w:t>代理的收费基准价格</w:t>
      </w:r>
      <w:r>
        <w:rPr>
          <w:rFonts w:hint="eastAsia" w:ascii="仿宋" w:hAnsi="仿宋" w:eastAsia="仿宋" w:cs="宋体"/>
          <w:sz w:val="24"/>
          <w:highlight w:val="none"/>
        </w:rPr>
        <w:t>；</w:t>
      </w:r>
    </w:p>
    <w:p w14:paraId="1E183E12">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（2）采购</w:t>
      </w:r>
      <w:r>
        <w:rPr>
          <w:rFonts w:ascii="仿宋" w:hAnsi="仿宋" w:eastAsia="仿宋" w:cs="宋体"/>
          <w:sz w:val="24"/>
          <w:highlight w:val="none"/>
        </w:rPr>
        <w:t>代理收费按差额定率累进法计算。</w:t>
      </w:r>
    </w:p>
    <w:p w14:paraId="7887B7D2">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例如：某</w:t>
      </w:r>
      <w:r>
        <w:rPr>
          <w:rFonts w:hint="eastAsia" w:ascii="仿宋" w:hAnsi="仿宋" w:eastAsia="仿宋" w:cs="宋体"/>
          <w:sz w:val="24"/>
          <w:highlight w:val="none"/>
        </w:rPr>
        <w:t>货物采购</w:t>
      </w:r>
      <w:r>
        <w:rPr>
          <w:rFonts w:ascii="仿宋" w:hAnsi="仿宋" w:eastAsia="仿宋" w:cs="宋体"/>
          <w:sz w:val="24"/>
          <w:highlight w:val="none"/>
        </w:rPr>
        <w:t>代理业务</w:t>
      </w:r>
      <w:r>
        <w:rPr>
          <w:rFonts w:hint="eastAsia" w:ascii="仿宋" w:hAnsi="仿宋" w:eastAsia="仿宋" w:cs="宋体"/>
          <w:sz w:val="24"/>
          <w:highlight w:val="none"/>
        </w:rPr>
        <w:t>中标</w:t>
      </w:r>
      <w:r>
        <w:rPr>
          <w:rFonts w:ascii="仿宋" w:hAnsi="仿宋" w:eastAsia="仿宋" w:cs="宋体"/>
          <w:sz w:val="24"/>
          <w:highlight w:val="none"/>
        </w:rPr>
        <w:t>金额</w:t>
      </w:r>
      <w:r>
        <w:rPr>
          <w:rFonts w:hint="eastAsia" w:ascii="仿宋" w:hAnsi="仿宋" w:eastAsia="仿宋" w:cs="宋体"/>
          <w:sz w:val="24"/>
          <w:highlight w:val="none"/>
        </w:rPr>
        <w:t>或者暂定价</w:t>
      </w:r>
      <w:r>
        <w:rPr>
          <w:rFonts w:ascii="仿宋" w:hAnsi="仿宋" w:eastAsia="仿宋" w:cs="宋体"/>
          <w:sz w:val="24"/>
          <w:highlight w:val="none"/>
        </w:rPr>
        <w:t>为200万元，计算</w:t>
      </w:r>
      <w:r>
        <w:rPr>
          <w:rFonts w:hint="eastAsia" w:ascii="仿宋" w:hAnsi="仿宋" w:eastAsia="仿宋" w:cs="宋体"/>
          <w:sz w:val="24"/>
          <w:highlight w:val="none"/>
        </w:rPr>
        <w:t>采购</w:t>
      </w:r>
      <w:r>
        <w:rPr>
          <w:rFonts w:ascii="仿宋" w:hAnsi="仿宋" w:eastAsia="仿宋" w:cs="宋体"/>
          <w:sz w:val="24"/>
          <w:highlight w:val="none"/>
        </w:rPr>
        <w:t>代理收费额如下：</w:t>
      </w:r>
    </w:p>
    <w:p w14:paraId="7F592065">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100万元×l.5％＝1.5万元</w:t>
      </w:r>
    </w:p>
    <w:p w14:paraId="2C7B3B2D">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（200－100）万元 ×1.1％＝1.1万元</w:t>
      </w:r>
    </w:p>
    <w:p w14:paraId="77069152">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合计收费＝1.5</w:t>
      </w:r>
      <w:r>
        <w:rPr>
          <w:rFonts w:hint="eastAsia" w:ascii="仿宋" w:hAnsi="仿宋" w:eastAsia="仿宋" w:cs="宋体"/>
          <w:sz w:val="24"/>
          <w:highlight w:val="none"/>
        </w:rPr>
        <w:t>+</w:t>
      </w:r>
      <w:r>
        <w:rPr>
          <w:rFonts w:ascii="仿宋" w:hAnsi="仿宋" w:eastAsia="仿宋" w:cs="宋体"/>
          <w:sz w:val="24"/>
          <w:highlight w:val="none"/>
        </w:rPr>
        <w:t>1.1＝2.6（万元）</w:t>
      </w:r>
    </w:p>
    <w:p w14:paraId="64F22B06">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3</w:t>
      </w:r>
      <w:r>
        <w:rPr>
          <w:rFonts w:hint="eastAsia" w:ascii="仿宋" w:hAnsi="仿宋" w:eastAsia="仿宋" w:cs="宋体"/>
          <w:sz w:val="24"/>
          <w:highlight w:val="none"/>
        </w:rPr>
        <w:t>9</w:t>
      </w:r>
      <w:r>
        <w:rPr>
          <w:rFonts w:ascii="仿宋" w:hAnsi="仿宋" w:eastAsia="仿宋" w:cs="宋体"/>
          <w:sz w:val="24"/>
          <w:highlight w:val="none"/>
        </w:rPr>
        <w:t>.</w:t>
      </w:r>
      <w:r>
        <w:rPr>
          <w:rFonts w:hint="eastAsia" w:ascii="仿宋" w:hAnsi="仿宋" w:eastAsia="仿宋" w:cs="宋体"/>
          <w:sz w:val="24"/>
          <w:highlight w:val="none"/>
        </w:rPr>
        <w:t>3</w:t>
      </w:r>
      <w:r>
        <w:rPr>
          <w:rFonts w:ascii="仿宋" w:hAnsi="仿宋" w:eastAsia="仿宋" w:cs="宋体"/>
          <w:sz w:val="24"/>
          <w:highlight w:val="none"/>
        </w:rPr>
        <w:t xml:space="preserve"> </w:t>
      </w:r>
      <w:r>
        <w:rPr>
          <w:rFonts w:hint="eastAsia" w:ascii="仿宋" w:hAnsi="仿宋" w:eastAsia="仿宋" w:cs="宋体"/>
          <w:sz w:val="24"/>
          <w:highlight w:val="none"/>
        </w:rPr>
        <w:t>代理服务费交纳</w:t>
      </w:r>
      <w:r>
        <w:rPr>
          <w:rFonts w:ascii="仿宋" w:hAnsi="仿宋" w:eastAsia="仿宋" w:cs="宋体"/>
          <w:sz w:val="24"/>
          <w:highlight w:val="none"/>
        </w:rPr>
        <w:t>银行</w:t>
      </w:r>
      <w:r>
        <w:rPr>
          <w:rFonts w:hint="eastAsia" w:ascii="仿宋" w:hAnsi="仿宋" w:eastAsia="仿宋" w:cs="宋体"/>
          <w:sz w:val="24"/>
          <w:highlight w:val="none"/>
        </w:rPr>
        <w:t>账</w:t>
      </w:r>
      <w:r>
        <w:rPr>
          <w:rFonts w:ascii="仿宋" w:hAnsi="仿宋" w:eastAsia="仿宋" w:cs="宋体"/>
          <w:sz w:val="24"/>
          <w:highlight w:val="none"/>
        </w:rPr>
        <w:t>号信息</w:t>
      </w:r>
      <w:r>
        <w:rPr>
          <w:rFonts w:hint="eastAsia" w:ascii="仿宋" w:hAnsi="仿宋" w:eastAsia="仿宋" w:cs="宋体"/>
          <w:sz w:val="24"/>
          <w:highlight w:val="none"/>
        </w:rPr>
        <w:t>：详见“投标人须知前附表”</w:t>
      </w:r>
    </w:p>
    <w:p w14:paraId="5064B33D">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40. 需要补充的其他内容</w:t>
      </w:r>
    </w:p>
    <w:p w14:paraId="59EC908B">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40.1本招标文件解释规则详见“投标人须知前附表”。</w:t>
      </w:r>
    </w:p>
    <w:p w14:paraId="349D8D74">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40.2 其他事项详见“投标人须知前附表”。</w:t>
      </w:r>
    </w:p>
    <w:p w14:paraId="610C7855">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40.3</w:t>
      </w:r>
      <w:bookmarkStart w:id="152" w:name="_Hlk65857140"/>
      <w:r>
        <w:rPr>
          <w:rFonts w:hint="eastAsia" w:ascii="仿宋" w:hAnsi="仿宋" w:eastAsia="仿宋" w:cs="宋体"/>
          <w:sz w:val="24"/>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1D51DC18">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（1）在货物采购项目中，货物由中小企业制造，即货物由中小企业生产且使用该中小企业商号或者注册商标，不对其中涉及的工程承建商和服务的承接商作出要求；</w:t>
      </w:r>
    </w:p>
    <w:p w14:paraId="076768A7">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（2）在工程采购项目中，工程由中小企业承建，即工程施工单位为中小企业，不对其中涉及的货物的制造商和服务的承接商作出要求；</w:t>
      </w:r>
    </w:p>
    <w:p w14:paraId="28C1BFFD">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5030536B">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在货物采购项目中，供应商提供的货物既有中小企业制造货物，也有大型企业制造货物的，不享受本招标文件规定的中小企业扶持政策。</w:t>
      </w:r>
    </w:p>
    <w:p w14:paraId="65B0B5D6">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依据本招标文件规定享受扶持政策获得政府采购合同的，小微企业不得将合同分包给大中型企业，中型企业不得将合同分包给大型企业。</w:t>
      </w:r>
      <w:bookmarkEnd w:id="152"/>
    </w:p>
    <w:p w14:paraId="5B6C2B91">
      <w:pPr>
        <w:pStyle w:val="2"/>
        <w:keepNext w:val="0"/>
        <w:keepLines w:val="0"/>
        <w:pageBreakBefore/>
        <w:spacing w:before="0" w:after="0" w:line="360" w:lineRule="auto"/>
        <w:jc w:val="center"/>
        <w:rPr>
          <w:rFonts w:hint="eastAsia" w:ascii="仿宋" w:hAnsi="仿宋" w:eastAsia="仿宋"/>
          <w:highlight w:val="none"/>
        </w:rPr>
      </w:pPr>
      <w:bookmarkStart w:id="153" w:name="_Toc254970689"/>
      <w:bookmarkStart w:id="154" w:name="_Toc254970548"/>
      <w:bookmarkStart w:id="155" w:name="_Toc330456896"/>
      <w:bookmarkStart w:id="156" w:name="_Toc18970"/>
      <w:r>
        <w:rPr>
          <w:rFonts w:hint="eastAsia" w:ascii="仿宋" w:hAnsi="仿宋" w:eastAsia="仿宋"/>
          <w:highlight w:val="none"/>
        </w:rPr>
        <w:t>第四章  评标方法及评标标准</w:t>
      </w:r>
      <w:bookmarkEnd w:id="153"/>
      <w:bookmarkEnd w:id="154"/>
      <w:bookmarkEnd w:id="155"/>
      <w:bookmarkEnd w:id="156"/>
    </w:p>
    <w:p w14:paraId="7A46D1ED">
      <w:pPr>
        <w:pStyle w:val="4"/>
        <w:keepNext w:val="0"/>
        <w:keepLines w:val="0"/>
        <w:spacing w:before="0" w:after="0" w:line="415" w:lineRule="auto"/>
        <w:jc w:val="center"/>
        <w:rPr>
          <w:rFonts w:hint="eastAsia" w:ascii="仿宋" w:hAnsi="仿宋" w:eastAsia="仿宋"/>
          <w:sz w:val="30"/>
          <w:szCs w:val="30"/>
          <w:highlight w:val="none"/>
        </w:rPr>
      </w:pPr>
      <w:r>
        <w:rPr>
          <w:rFonts w:hint="eastAsia" w:ascii="仿宋" w:hAnsi="仿宋" w:eastAsia="仿宋"/>
          <w:sz w:val="30"/>
          <w:szCs w:val="30"/>
          <w:highlight w:val="none"/>
        </w:rPr>
        <w:t>一、评标方法</w:t>
      </w:r>
    </w:p>
    <w:p w14:paraId="2C8A06B5">
      <w:pPr>
        <w:pStyle w:val="25"/>
        <w:rPr>
          <w:rFonts w:hint="eastAsia"/>
          <w:highlight w:val="none"/>
        </w:rPr>
      </w:pPr>
      <w:r>
        <w:rPr>
          <w:rFonts w:hint="eastAsia"/>
          <w:highlight w:val="none"/>
        </w:rPr>
        <w:t>综合评分法，是指投标文件满足招标文件全部实质性要求，且按照评审因素的量化指标评审得分最高的投标人为中标候选人的评标方法。</w:t>
      </w:r>
    </w:p>
    <w:p w14:paraId="1BA3E4D5">
      <w:pPr>
        <w:pStyle w:val="4"/>
        <w:keepNext w:val="0"/>
        <w:keepLines w:val="0"/>
        <w:spacing w:before="120" w:beforeLines="50" w:after="0" w:line="360" w:lineRule="auto"/>
        <w:jc w:val="center"/>
        <w:rPr>
          <w:rFonts w:hint="eastAsia" w:ascii="仿宋" w:hAnsi="仿宋" w:eastAsia="仿宋"/>
          <w:sz w:val="30"/>
          <w:szCs w:val="30"/>
          <w:highlight w:val="none"/>
        </w:rPr>
      </w:pPr>
      <w:r>
        <w:rPr>
          <w:rFonts w:hint="eastAsia" w:ascii="仿宋" w:hAnsi="仿宋" w:eastAsia="仿宋"/>
          <w:sz w:val="30"/>
          <w:szCs w:val="30"/>
          <w:highlight w:val="none"/>
        </w:rPr>
        <w:t>二、评标程序</w:t>
      </w:r>
    </w:p>
    <w:p w14:paraId="5611B1D5">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1.符合性审查</w:t>
      </w:r>
    </w:p>
    <w:p w14:paraId="1C3A32EC">
      <w:pPr>
        <w:pStyle w:val="25"/>
        <w:rPr>
          <w:rFonts w:hint="eastAsia"/>
          <w:highlight w:val="none"/>
        </w:rPr>
      </w:pPr>
      <w:r>
        <w:rPr>
          <w:rFonts w:hint="eastAsia"/>
          <w:highlight w:val="none"/>
        </w:rPr>
        <w:t>评标委员会应当对符合资格的投标人的投标文件进行投标报价、商务、技术等实质性内容符合性审查，以确定其是否满足招标文件的实质性要求。</w:t>
      </w:r>
    </w:p>
    <w:p w14:paraId="7DAAE604">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w:t>
      </w:r>
      <w:r>
        <w:rPr>
          <w:rFonts w:ascii="仿宋" w:hAnsi="仿宋" w:eastAsia="仿宋"/>
          <w:sz w:val="24"/>
          <w:highlight w:val="none"/>
        </w:rPr>
        <w:t>.</w:t>
      </w:r>
      <w:r>
        <w:rPr>
          <w:rFonts w:hint="eastAsia" w:ascii="仿宋" w:hAnsi="仿宋" w:eastAsia="仿宋"/>
          <w:sz w:val="24"/>
          <w:highlight w:val="none"/>
        </w:rPr>
        <w:t>符合性审查不通过而导致投标无效的情形</w:t>
      </w:r>
    </w:p>
    <w:p w14:paraId="059B1DF2">
      <w:p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投标人的投标文件中存在对招标文件的任何实质性要求和条件的负偏离，将被视为投标无效。</w:t>
      </w:r>
    </w:p>
    <w:p w14:paraId="1CAF0310">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2.1在报价评审时，如发现下列情形之一的，将被视为投标无效：</w:t>
      </w:r>
    </w:p>
    <w:p w14:paraId="7C1D601E">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pacing w:val="-6"/>
          <w:sz w:val="24"/>
          <w:szCs w:val="24"/>
          <w:highlight w:val="none"/>
        </w:rPr>
        <w:t>报价文件</w:t>
      </w:r>
      <w:r>
        <w:rPr>
          <w:rFonts w:hint="eastAsia" w:ascii="仿宋" w:hAnsi="仿宋" w:eastAsia="仿宋"/>
          <w:b/>
          <w:sz w:val="24"/>
          <w:szCs w:val="24"/>
          <w:highlight w:val="none"/>
        </w:rPr>
        <w:t>未提供“投标人须知前附表”第13.1条规定中“必须提供”的文件资料的；</w:t>
      </w:r>
    </w:p>
    <w:p w14:paraId="3B1AC3DF">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未采用人民币报价或者未按照招标文件标明的币种报价的；</w:t>
      </w:r>
    </w:p>
    <w:p w14:paraId="0894F820">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各</w:t>
      </w:r>
      <w:r>
        <w:rPr>
          <w:rFonts w:hint="eastAsia" w:ascii="仿宋" w:hAnsi="仿宋" w:eastAsia="仿宋"/>
          <w:b/>
          <w:sz w:val="24"/>
          <w:highlight w:val="none"/>
        </w:rPr>
        <w:t>标项</w:t>
      </w:r>
      <w:r>
        <w:rPr>
          <w:rFonts w:hint="eastAsia" w:ascii="仿宋" w:hAnsi="仿宋" w:eastAsia="仿宋"/>
          <w:b/>
          <w:sz w:val="24"/>
          <w:szCs w:val="24"/>
          <w:highlight w:val="none"/>
        </w:rPr>
        <w:t>报价超出招标文件相应</w:t>
      </w:r>
      <w:r>
        <w:rPr>
          <w:rFonts w:hint="eastAsia" w:ascii="仿宋" w:hAnsi="仿宋" w:eastAsia="仿宋"/>
          <w:b/>
          <w:sz w:val="24"/>
          <w:highlight w:val="none"/>
        </w:rPr>
        <w:t>标项</w:t>
      </w:r>
      <w:r>
        <w:rPr>
          <w:rFonts w:hint="eastAsia" w:ascii="仿宋" w:hAnsi="仿宋" w:eastAsia="仿宋"/>
          <w:b/>
          <w:sz w:val="24"/>
          <w:szCs w:val="24"/>
          <w:highlight w:val="none"/>
        </w:rPr>
        <w:t>规定最高限价，或者超出相应</w:t>
      </w:r>
      <w:r>
        <w:rPr>
          <w:rFonts w:hint="eastAsia" w:ascii="仿宋" w:hAnsi="仿宋" w:eastAsia="仿宋"/>
          <w:b/>
          <w:sz w:val="24"/>
          <w:highlight w:val="none"/>
        </w:rPr>
        <w:t>标项</w:t>
      </w:r>
      <w:r>
        <w:rPr>
          <w:rFonts w:hint="eastAsia" w:ascii="仿宋" w:hAnsi="仿宋" w:eastAsia="仿宋"/>
          <w:b/>
          <w:sz w:val="24"/>
          <w:szCs w:val="24"/>
          <w:highlight w:val="none"/>
        </w:rPr>
        <w:t>采购预算金额的；</w:t>
      </w:r>
    </w:p>
    <w:p w14:paraId="232A6AA3">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投标人未就所投</w:t>
      </w:r>
      <w:r>
        <w:rPr>
          <w:rFonts w:hint="eastAsia" w:ascii="仿宋" w:hAnsi="仿宋" w:eastAsia="仿宋"/>
          <w:b/>
          <w:sz w:val="24"/>
          <w:highlight w:val="none"/>
        </w:rPr>
        <w:t>标项</w:t>
      </w:r>
      <w:r>
        <w:rPr>
          <w:rFonts w:hint="eastAsia" w:ascii="仿宋" w:hAnsi="仿宋" w:eastAsia="仿宋"/>
          <w:b/>
          <w:sz w:val="24"/>
          <w:szCs w:val="24"/>
          <w:highlight w:val="none"/>
        </w:rPr>
        <w:t>进行报价或者存在漏项报价；投标人未就所投</w:t>
      </w:r>
      <w:r>
        <w:rPr>
          <w:rFonts w:hint="eastAsia" w:ascii="仿宋" w:hAnsi="仿宋" w:eastAsia="仿宋"/>
          <w:b/>
          <w:sz w:val="24"/>
          <w:highlight w:val="none"/>
        </w:rPr>
        <w:t>标项</w:t>
      </w:r>
      <w:r>
        <w:rPr>
          <w:rFonts w:hint="eastAsia" w:ascii="仿宋" w:hAnsi="仿宋" w:eastAsia="仿宋"/>
          <w:b/>
          <w:sz w:val="24"/>
          <w:szCs w:val="24"/>
          <w:highlight w:val="none"/>
        </w:rPr>
        <w:t>的单项内容作唯一报价；投标人未就所投</w:t>
      </w:r>
      <w:r>
        <w:rPr>
          <w:rFonts w:hint="eastAsia" w:ascii="仿宋" w:hAnsi="仿宋" w:eastAsia="仿宋"/>
          <w:b/>
          <w:sz w:val="24"/>
          <w:highlight w:val="none"/>
        </w:rPr>
        <w:t>标项</w:t>
      </w:r>
      <w:r>
        <w:rPr>
          <w:rFonts w:hint="eastAsia" w:ascii="仿宋" w:hAnsi="仿宋" w:eastAsia="仿宋"/>
          <w:b/>
          <w:sz w:val="24"/>
          <w:szCs w:val="24"/>
          <w:highlight w:val="none"/>
        </w:rPr>
        <w:t>的全部内容作完整唯一总价报价；存在有选择、有条件报价的（招标文件允许有备选方案或者其他约定的除外）；</w:t>
      </w:r>
    </w:p>
    <w:p w14:paraId="12CA60BB">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修正后的报价，投标人不确认的；</w:t>
      </w:r>
    </w:p>
    <w:p w14:paraId="70B1739C">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投标人属于本章第</w:t>
      </w:r>
      <w:r>
        <w:rPr>
          <w:rFonts w:ascii="仿宋" w:hAnsi="仿宋" w:eastAsia="仿宋"/>
          <w:b/>
          <w:sz w:val="24"/>
          <w:szCs w:val="24"/>
          <w:highlight w:val="none"/>
        </w:rPr>
        <w:t>5.1</w:t>
      </w:r>
      <w:r>
        <w:rPr>
          <w:rFonts w:hint="eastAsia" w:ascii="仿宋" w:hAnsi="仿宋" w:eastAsia="仿宋"/>
          <w:b/>
          <w:sz w:val="24"/>
          <w:szCs w:val="24"/>
          <w:highlight w:val="none"/>
        </w:rPr>
        <w:t>条（2）或者第5</w:t>
      </w:r>
      <w:r>
        <w:rPr>
          <w:rFonts w:ascii="仿宋" w:hAnsi="仿宋" w:eastAsia="仿宋"/>
          <w:b/>
          <w:sz w:val="24"/>
          <w:szCs w:val="24"/>
          <w:highlight w:val="none"/>
        </w:rPr>
        <w:t>.2条</w:t>
      </w:r>
      <w:r>
        <w:rPr>
          <w:rFonts w:hint="eastAsia" w:ascii="仿宋" w:hAnsi="仿宋" w:eastAsia="仿宋"/>
          <w:b/>
          <w:sz w:val="24"/>
          <w:szCs w:val="24"/>
          <w:highlight w:val="none"/>
        </w:rPr>
        <w:t>（2）项情形的；</w:t>
      </w:r>
    </w:p>
    <w:p w14:paraId="3623BFD2">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pacing w:val="-6"/>
          <w:sz w:val="24"/>
          <w:szCs w:val="24"/>
          <w:highlight w:val="none"/>
        </w:rPr>
        <w:t>报价文件</w:t>
      </w:r>
      <w:r>
        <w:rPr>
          <w:rFonts w:hint="eastAsia" w:ascii="仿宋" w:hAnsi="仿宋" w:eastAsia="仿宋"/>
          <w:b/>
          <w:sz w:val="24"/>
          <w:szCs w:val="24"/>
          <w:highlight w:val="none"/>
        </w:rPr>
        <w:t>响应的标的数量及单位与招标文件要求实质性不一致的。</w:t>
      </w:r>
    </w:p>
    <w:p w14:paraId="65793D3B">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2.2在商务评审时，如发现下列情形之一的，将被视为投标无效：</w:t>
      </w:r>
    </w:p>
    <w:p w14:paraId="3710D9B7">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投标文件未按招标文件要求签署、盖章的；</w:t>
      </w:r>
    </w:p>
    <w:p w14:paraId="0CC65DBC">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委托代理人未能出具有效身份证或者出具的身份证与授权委托书中的信息不符的；</w:t>
      </w:r>
    </w:p>
    <w:p w14:paraId="30F6881A">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为无效投标保证金的或者未按照招标文件的规定提交投标保证金的；</w:t>
      </w:r>
    </w:p>
    <w:p w14:paraId="2E882090">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投标文件未提供“投标人须知前附表”第13.</w:t>
      </w:r>
      <w:r>
        <w:rPr>
          <w:rFonts w:ascii="仿宋" w:hAnsi="仿宋" w:eastAsia="仿宋"/>
          <w:b/>
          <w:sz w:val="24"/>
          <w:highlight w:val="none"/>
        </w:rPr>
        <w:t>1</w:t>
      </w:r>
      <w:r>
        <w:rPr>
          <w:rFonts w:hint="eastAsia" w:ascii="仿宋" w:hAnsi="仿宋" w:eastAsia="仿宋"/>
          <w:b/>
          <w:sz w:val="24"/>
          <w:highlight w:val="none"/>
        </w:rPr>
        <w:t>条规定中“必须提供”或者“委托时必须提供”的文件资料的；</w:t>
      </w:r>
    </w:p>
    <w:p w14:paraId="6B8C90E5">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商务要求评审允许负偏离的条款数超过“投标人须知前附表”规定项数的；</w:t>
      </w:r>
    </w:p>
    <w:p w14:paraId="08CF133D">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投标文件的实质性内容未使用中文表述、使用计量单位不符合招标文件要求的；</w:t>
      </w:r>
    </w:p>
    <w:p w14:paraId="417D7A6F">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投标文件中的文件资料因填写不齐全或者内容虚假或者出现其他情形而导致被评标委员会认定无效的；</w:t>
      </w:r>
    </w:p>
    <w:p w14:paraId="3CE2D6DB">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投标文件含有采购人不能接受的附加条件的；</w:t>
      </w:r>
    </w:p>
    <w:p w14:paraId="3BA0D1EE">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属于投标人须知正文第</w:t>
      </w:r>
      <w:r>
        <w:rPr>
          <w:rFonts w:ascii="仿宋" w:hAnsi="仿宋" w:eastAsia="仿宋"/>
          <w:b/>
          <w:sz w:val="24"/>
          <w:highlight w:val="none"/>
        </w:rPr>
        <w:t>9.2</w:t>
      </w:r>
      <w:r>
        <w:rPr>
          <w:rFonts w:hint="eastAsia" w:ascii="仿宋" w:hAnsi="仿宋" w:eastAsia="仿宋"/>
          <w:b/>
          <w:sz w:val="24"/>
          <w:highlight w:val="none"/>
        </w:rPr>
        <w:t>条情形的；</w:t>
      </w:r>
    </w:p>
    <w:p w14:paraId="492C37C6">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投标文件标注的项目名称或者项目编号与招标文件标注的项目名称或者项目编号不一致的；</w:t>
      </w:r>
    </w:p>
    <w:p w14:paraId="330A42C1">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招标文件明确不允许分包，投标文件拟分包的；</w:t>
      </w:r>
    </w:p>
    <w:p w14:paraId="22C3AFC1">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未响应招标文件实质性要求的；</w:t>
      </w:r>
    </w:p>
    <w:p w14:paraId="65033B58">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法律、法规和招标文件规定的其他无效情形。</w:t>
      </w:r>
    </w:p>
    <w:p w14:paraId="63540EA9">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2.3在技术评审时，如发现下列情形之一的，将被视为投标无效：</w:t>
      </w:r>
    </w:p>
    <w:p w14:paraId="21EAE602">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（1）技术要求评审允许负偏离的条款数超过“投标人须知前附表”规定项数的；</w:t>
      </w:r>
    </w:p>
    <w:p w14:paraId="37BBB63B">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（2）投标文件未提供“投标人须知前附表”第13.</w:t>
      </w:r>
      <w:r>
        <w:rPr>
          <w:rFonts w:ascii="仿宋" w:hAnsi="仿宋" w:eastAsia="仿宋"/>
          <w:b/>
          <w:kern w:val="2"/>
          <w:sz w:val="24"/>
          <w:szCs w:val="24"/>
          <w:highlight w:val="none"/>
        </w:rPr>
        <w:t>1</w:t>
      </w:r>
      <w:r>
        <w:rPr>
          <w:rFonts w:hint="eastAsia" w:ascii="仿宋" w:hAnsi="仿宋" w:eastAsia="仿宋"/>
          <w:b/>
          <w:kern w:val="2"/>
          <w:sz w:val="24"/>
          <w:szCs w:val="24"/>
          <w:highlight w:val="none"/>
        </w:rPr>
        <w:t>条规定中“必须提供”的文件资料的；</w:t>
      </w:r>
    </w:p>
    <w:p w14:paraId="6AC1A374">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（3）虚假投标，或者出现其他情形而导致被评标委员会认定无效的；</w:t>
      </w:r>
    </w:p>
    <w:p w14:paraId="6D7293A0">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（4）</w:t>
      </w:r>
      <w:bookmarkStart w:id="157" w:name="_Hlk71706244"/>
      <w:r>
        <w:rPr>
          <w:rFonts w:hint="eastAsia" w:ascii="仿宋" w:hAnsi="仿宋" w:eastAsia="仿宋"/>
          <w:b/>
          <w:kern w:val="2"/>
          <w:sz w:val="24"/>
          <w:szCs w:val="24"/>
          <w:highlight w:val="none"/>
        </w:rPr>
        <w:t>招标文件未载明允许提供备选（替代）投标方案或明确不允许提供备选（替代）投标方案时，投标人提供了备选（替代）投标方案的；</w:t>
      </w:r>
      <w:bookmarkEnd w:id="157"/>
    </w:p>
    <w:p w14:paraId="463FC1E3">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（5）未响应招标文件实质性要求的。</w:t>
      </w:r>
    </w:p>
    <w:p w14:paraId="2CC11CF0">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2.4通过符合性审查的投标人不足3家，评标委员会不得继续评标，并出具评标报告。</w:t>
      </w:r>
    </w:p>
    <w:p w14:paraId="2BFD6FBF">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w:t>
      </w:r>
      <w:r>
        <w:rPr>
          <w:rFonts w:hint="eastAsia" w:ascii="仿宋" w:hAnsi="仿宋" w:eastAsia="仿宋"/>
          <w:sz w:val="24"/>
          <w:highlight w:val="none"/>
        </w:rPr>
        <w:t>澄清补正</w:t>
      </w:r>
    </w:p>
    <w:p w14:paraId="43367405">
      <w:pPr>
        <w:snapToGrid w:val="0"/>
        <w:spacing w:line="360" w:lineRule="auto"/>
        <w:ind w:firstLine="480" w:firstLineChars="200"/>
        <w:rPr>
          <w:rFonts w:hint="eastAsia" w:ascii="仿宋" w:hAnsi="仿宋" w:eastAsia="仿宋" w:cs="Courier New"/>
          <w:sz w:val="24"/>
          <w:highlight w:val="none"/>
        </w:rPr>
      </w:pPr>
      <w:r>
        <w:rPr>
          <w:rFonts w:hint="eastAsia" w:ascii="仿宋" w:hAnsi="仿宋" w:eastAsia="仿宋" w:cs="Courier New"/>
          <w:sz w:val="24"/>
          <w:highlight w:val="none"/>
        </w:rPr>
        <w:t>对投标文件中含义不明确、同类问题表述不一致或者有明显文字和计算错误的内容，评标委员会以</w:t>
      </w:r>
      <w:r>
        <w:rPr>
          <w:rFonts w:hint="eastAsia" w:ascii="仿宋" w:hAnsi="仿宋" w:eastAsia="仿宋" w:cs="宋体"/>
          <w:sz w:val="24"/>
          <w:highlight w:val="none"/>
        </w:rPr>
        <w:t>电子澄清函形式</w:t>
      </w:r>
      <w:r>
        <w:rPr>
          <w:rFonts w:hint="eastAsia" w:ascii="仿宋" w:hAnsi="仿宋" w:eastAsia="仿宋" w:cs="Courier New"/>
          <w:sz w:val="24"/>
          <w:highlight w:val="none"/>
        </w:rPr>
        <w:t>要求投标人在规定时间内作出必要的澄清、说明或者纠正。投标人的澄清、说明或者补正必须采用</w:t>
      </w:r>
      <w:r>
        <w:rPr>
          <w:rFonts w:hint="eastAsia" w:ascii="仿宋" w:hAnsi="仿宋" w:eastAsia="仿宋" w:cs="宋体"/>
          <w:sz w:val="24"/>
          <w:highlight w:val="none"/>
        </w:rPr>
        <w:t>电子回函形式</w:t>
      </w:r>
      <w:r>
        <w:rPr>
          <w:rFonts w:hint="eastAsia" w:ascii="仿宋" w:hAnsi="仿宋" w:eastAsia="仿宋" w:cs="Courier New"/>
          <w:sz w:val="24"/>
          <w:highlight w:val="none"/>
        </w:rPr>
        <w:t>，并加盖投标人公章，或者由法定代表人或者其授权的代表签字。投标人的澄清、说明或者补正不得超出投标文件的范围或者改变投标文件的实质性内容。</w:t>
      </w:r>
    </w:p>
    <w:p w14:paraId="42EF03CA">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投标文件修正</w:t>
      </w:r>
    </w:p>
    <w:p w14:paraId="1EFA9A3C">
      <w:pPr>
        <w:pStyle w:val="6"/>
        <w:keepNext w:val="0"/>
        <w:keepLines w:val="0"/>
        <w:spacing w:before="0" w:after="0" w:line="360" w:lineRule="auto"/>
        <w:ind w:left="420" w:leftChars="200"/>
        <w:rPr>
          <w:rFonts w:hint="eastAsia" w:ascii="仿宋" w:hAnsi="仿宋" w:eastAsia="仿宋"/>
          <w:b w:val="0"/>
          <w:sz w:val="24"/>
          <w:highlight w:val="none"/>
        </w:rPr>
      </w:pPr>
      <w:r>
        <w:rPr>
          <w:rFonts w:ascii="仿宋" w:hAnsi="仿宋" w:eastAsia="仿宋"/>
          <w:b w:val="0"/>
          <w:sz w:val="24"/>
          <w:highlight w:val="none"/>
        </w:rPr>
        <w:t>4</w:t>
      </w:r>
      <w:r>
        <w:rPr>
          <w:rFonts w:hint="eastAsia" w:ascii="仿宋" w:hAnsi="仿宋" w:eastAsia="仿宋"/>
          <w:b w:val="0"/>
          <w:sz w:val="24"/>
          <w:highlight w:val="none"/>
        </w:rPr>
        <w:t xml:space="preserve">.1投标文件报价出现前后不一致的，按照下列规定修正： </w:t>
      </w:r>
    </w:p>
    <w:p w14:paraId="170EACDF">
      <w:pPr>
        <w:pStyle w:val="25"/>
        <w:rPr>
          <w:rFonts w:hint="eastAsia"/>
          <w:highlight w:val="none"/>
        </w:rPr>
      </w:pPr>
      <w:r>
        <w:rPr>
          <w:rFonts w:hint="eastAsia"/>
          <w:highlight w:val="none"/>
        </w:rPr>
        <w:t>（1）投标文件中开标一览表（报价表）内容与投标文件中相应内容不一致的，以开标一览表（报价表）为准；</w:t>
      </w:r>
    </w:p>
    <w:p w14:paraId="23F474BC">
      <w:pPr>
        <w:pStyle w:val="25"/>
        <w:rPr>
          <w:rFonts w:hint="eastAsia"/>
          <w:highlight w:val="none"/>
        </w:rPr>
      </w:pPr>
      <w:r>
        <w:rPr>
          <w:rFonts w:hint="eastAsia"/>
          <w:highlight w:val="none"/>
        </w:rPr>
        <w:t>（2）大写金额和小写金额不一致的，以大写金额为准；</w:t>
      </w:r>
    </w:p>
    <w:p w14:paraId="3D63AF71">
      <w:pPr>
        <w:pStyle w:val="25"/>
        <w:rPr>
          <w:rFonts w:hint="eastAsia"/>
          <w:highlight w:val="none"/>
        </w:rPr>
      </w:pPr>
      <w:r>
        <w:rPr>
          <w:rFonts w:hint="eastAsia"/>
          <w:highlight w:val="none"/>
        </w:rPr>
        <w:t>（3）单价金额小数点或者百分比有明显错位的，以开标一览表的总价为准，并修改单价；</w:t>
      </w:r>
    </w:p>
    <w:p w14:paraId="4F14CAFA">
      <w:pPr>
        <w:pStyle w:val="25"/>
        <w:rPr>
          <w:rFonts w:hint="eastAsia"/>
          <w:highlight w:val="none"/>
        </w:rPr>
      </w:pPr>
      <w:r>
        <w:rPr>
          <w:rFonts w:hint="eastAsia"/>
          <w:highlight w:val="none"/>
        </w:rPr>
        <w:t>（4）总价金额与按单价汇总金额不一致的，以单价金额计算结果为准。</w:t>
      </w:r>
    </w:p>
    <w:p w14:paraId="198A5FFD">
      <w:pPr>
        <w:pStyle w:val="25"/>
        <w:rPr>
          <w:rFonts w:hint="eastAsia"/>
          <w:highlight w:val="none"/>
        </w:rPr>
      </w:pPr>
      <w:r>
        <w:rPr>
          <w:rFonts w:hint="eastAsia"/>
          <w:highlight w:val="none"/>
        </w:rPr>
        <w:t>同时出现两种以上不一致的，按照以上（1）-（4）规定的顺序修正。修正后的报价经投标人确认后产生约束力，投标人不确认的，</w:t>
      </w:r>
      <w:r>
        <w:rPr>
          <w:rFonts w:hint="eastAsia"/>
          <w:kern w:val="2"/>
          <w:highlight w:val="none"/>
        </w:rPr>
        <w:t>其投标无效</w:t>
      </w:r>
      <w:r>
        <w:rPr>
          <w:rFonts w:hint="eastAsia"/>
          <w:highlight w:val="none"/>
        </w:rPr>
        <w:t>。</w:t>
      </w:r>
    </w:p>
    <w:p w14:paraId="54045EBF">
      <w:pPr>
        <w:pStyle w:val="6"/>
        <w:keepNext w:val="0"/>
        <w:keepLines w:val="0"/>
        <w:spacing w:before="0" w:after="0" w:line="360" w:lineRule="auto"/>
        <w:rPr>
          <w:rFonts w:hint="eastAsia" w:ascii="仿宋" w:hAnsi="仿宋" w:eastAsia="仿宋"/>
          <w:b w:val="0"/>
          <w:sz w:val="24"/>
          <w:highlight w:val="none"/>
        </w:rPr>
      </w:pPr>
      <w:r>
        <w:rPr>
          <w:rFonts w:ascii="仿宋" w:hAnsi="仿宋" w:eastAsia="仿宋"/>
          <w:b w:val="0"/>
          <w:sz w:val="24"/>
          <w:highlight w:val="none"/>
        </w:rPr>
        <w:t xml:space="preserve">    4</w:t>
      </w:r>
      <w:r>
        <w:rPr>
          <w:rFonts w:hint="eastAsia" w:ascii="仿宋" w:hAnsi="仿宋" w:eastAsia="仿宋"/>
          <w:b w:val="0"/>
          <w:sz w:val="24"/>
          <w:highlight w:val="none"/>
        </w:rPr>
        <w:t>.2经投标人确认修正后的报价若超过采购预算金额或者最高限价，</w:t>
      </w:r>
      <w:r>
        <w:rPr>
          <w:rFonts w:hint="eastAsia" w:ascii="仿宋" w:hAnsi="仿宋" w:eastAsia="仿宋"/>
          <w:sz w:val="24"/>
          <w:highlight w:val="none"/>
        </w:rPr>
        <w:t>投标人的投标文件作无效投标处理</w:t>
      </w:r>
      <w:r>
        <w:rPr>
          <w:rFonts w:hint="eastAsia" w:ascii="仿宋" w:hAnsi="仿宋" w:eastAsia="仿宋"/>
          <w:b w:val="0"/>
          <w:sz w:val="24"/>
          <w:highlight w:val="none"/>
        </w:rPr>
        <w:t>。</w:t>
      </w:r>
    </w:p>
    <w:p w14:paraId="313B6AA8">
      <w:pPr>
        <w:snapToGrid w:val="0"/>
        <w:spacing w:line="360" w:lineRule="auto"/>
        <w:ind w:firstLine="480" w:firstLineChars="200"/>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.3经投标人确认修正后的报价作为签订合同的依据，并以此报价计算价格分。</w:t>
      </w:r>
    </w:p>
    <w:p w14:paraId="5D65D862">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5.</w:t>
      </w:r>
      <w:r>
        <w:rPr>
          <w:rFonts w:hint="eastAsia" w:ascii="仿宋" w:hAnsi="仿宋" w:eastAsia="仿宋"/>
          <w:sz w:val="24"/>
          <w:highlight w:val="none"/>
        </w:rPr>
        <w:t>比较与评价</w:t>
      </w:r>
    </w:p>
    <w:p w14:paraId="45D00AD2">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5.1采用综合评分法的</w:t>
      </w:r>
    </w:p>
    <w:p w14:paraId="0D707BE3">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（1）评标委员会按照招标文件中规定的评标方法及评标标准，对符合性审查合格的投标文件进行商务和技术评估，综合比较与评价。</w:t>
      </w:r>
    </w:p>
    <w:p w14:paraId="5C4C3956">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（2）评标委员会独立对每个投标人的投标文件进行评价，并汇总每个投标人的得分。</w:t>
      </w:r>
    </w:p>
    <w:p w14:paraId="7996135A">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z w:val="24"/>
          <w:highlight w:val="none"/>
        </w:rPr>
        <w:t>投标人不能证明其报价合理性的，评标委员会将其作为无效投标处理</w:t>
      </w:r>
      <w:r>
        <w:rPr>
          <w:rFonts w:hint="eastAsia" w:ascii="仿宋" w:hAnsi="仿宋" w:eastAsia="仿宋"/>
          <w:sz w:val="24"/>
          <w:highlight w:val="none"/>
        </w:rPr>
        <w:t>。</w:t>
      </w:r>
    </w:p>
    <w:p w14:paraId="3B0ABC20">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（3）评标委员会按照招标文件中规定的评标方法和标准计算各投标人的报价得分。在计算过程中，不得去掉最高报价或者最低报价。</w:t>
      </w:r>
    </w:p>
    <w:p w14:paraId="31323B9C">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（4）各投标人的得分为所有评委的有效评分的算术平均数。</w:t>
      </w:r>
    </w:p>
    <w:p w14:paraId="72200076">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（5）评标委员会按照招标文件中的规定推荐中标候选人。</w:t>
      </w:r>
    </w:p>
    <w:p w14:paraId="74F51F9A">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5FE635D8">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5.2采用最低评标价法的</w:t>
      </w:r>
    </w:p>
    <w:p w14:paraId="7799B5FA">
      <w:pPr>
        <w:snapToGrid w:val="0"/>
        <w:spacing w:line="360" w:lineRule="auto"/>
        <w:ind w:firstLine="484" w:firstLineChars="202"/>
        <w:jc w:val="left"/>
        <w:rPr>
          <w:rFonts w:hint="eastAsia" w:ascii="仿宋" w:hAnsi="仿宋" w:eastAsia="仿宋"/>
          <w:sz w:val="24"/>
          <w:highlight w:val="none"/>
        </w:rPr>
      </w:pPr>
      <w:r>
        <w:rPr>
          <w:rFonts w:hint="eastAsia" w:ascii="仿宋" w:hAnsi="仿宋" w:eastAsia="仿宋"/>
          <w:sz w:val="24"/>
          <w:highlight w:val="none"/>
        </w:rPr>
        <w:t>（1）评标委员会按照招标文件中规定的评标方法及评标标准，对符合性审查合格的投标文件报价进行比较。</w:t>
      </w:r>
    </w:p>
    <w:p w14:paraId="3FCA1F74">
      <w:pPr>
        <w:snapToGrid w:val="0"/>
        <w:spacing w:line="360" w:lineRule="auto"/>
        <w:ind w:firstLine="460" w:firstLineChars="202"/>
        <w:jc w:val="left"/>
        <w:rPr>
          <w:rFonts w:hint="eastAsia" w:ascii="仿宋" w:hAnsi="仿宋" w:eastAsia="仿宋"/>
          <w:spacing w:val="-6"/>
          <w:sz w:val="24"/>
          <w:highlight w:val="none"/>
        </w:rPr>
      </w:pPr>
      <w:r>
        <w:rPr>
          <w:rFonts w:hint="eastAsia" w:ascii="仿宋" w:hAnsi="仿宋" w:eastAsia="仿宋"/>
          <w:spacing w:val="-6"/>
          <w:sz w:val="24"/>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pacing w:val="-6"/>
          <w:sz w:val="24"/>
          <w:highlight w:val="none"/>
        </w:rPr>
        <w:t>投标人不能证明其报价合理性的，评标委员会将其作为无效投标处理</w:t>
      </w:r>
      <w:r>
        <w:rPr>
          <w:rFonts w:hint="eastAsia" w:ascii="仿宋" w:hAnsi="仿宋" w:eastAsia="仿宋"/>
          <w:spacing w:val="-6"/>
          <w:sz w:val="24"/>
          <w:highlight w:val="none"/>
        </w:rPr>
        <w:t>。</w:t>
      </w:r>
    </w:p>
    <w:p w14:paraId="085935F5">
      <w:pPr>
        <w:snapToGrid w:val="0"/>
        <w:spacing w:line="360" w:lineRule="auto"/>
        <w:ind w:firstLine="484" w:firstLineChars="202"/>
        <w:jc w:val="left"/>
        <w:rPr>
          <w:rFonts w:hint="eastAsia" w:ascii="仿宋" w:hAnsi="仿宋" w:eastAsia="仿宋"/>
          <w:sz w:val="24"/>
          <w:highlight w:val="none"/>
        </w:rPr>
      </w:pPr>
      <w:r>
        <w:rPr>
          <w:rFonts w:hint="eastAsia" w:ascii="仿宋" w:hAnsi="仿宋" w:eastAsia="仿宋"/>
          <w:sz w:val="24"/>
          <w:highlight w:val="none"/>
        </w:rPr>
        <w:t>（3）评标委员会按照招标文件中的规定推荐中标候选人。</w:t>
      </w:r>
    </w:p>
    <w:p w14:paraId="3E20BC8F">
      <w:pPr>
        <w:snapToGrid w:val="0"/>
        <w:spacing w:line="360" w:lineRule="auto"/>
        <w:ind w:firstLine="484" w:firstLineChars="202"/>
        <w:jc w:val="left"/>
        <w:rPr>
          <w:rFonts w:hint="eastAsia" w:ascii="仿宋" w:hAnsi="仿宋" w:eastAsia="仿宋"/>
          <w:sz w:val="24"/>
          <w:highlight w:val="none"/>
        </w:rPr>
      </w:pPr>
      <w:r>
        <w:rPr>
          <w:rFonts w:hint="eastAsia" w:ascii="仿宋" w:hAnsi="仿宋" w:eastAsia="仿宋"/>
          <w:sz w:val="24"/>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208EE551">
      <w:pPr>
        <w:snapToGrid w:val="0"/>
        <w:spacing w:line="360" w:lineRule="auto"/>
        <w:jc w:val="center"/>
        <w:rPr>
          <w:rFonts w:hint="eastAsia" w:ascii="仿宋" w:hAnsi="仿宋" w:eastAsia="仿宋"/>
          <w:highlight w:val="none"/>
        </w:rPr>
      </w:pPr>
      <w:r>
        <w:rPr>
          <w:rFonts w:ascii="仿宋" w:hAnsi="仿宋" w:eastAsia="仿宋"/>
          <w:highlight w:val="none"/>
        </w:rPr>
        <w:br w:type="page"/>
      </w:r>
      <w:r>
        <w:rPr>
          <w:rFonts w:ascii="仿宋" w:hAnsi="仿宋" w:eastAsia="仿宋" w:cs="宋体"/>
          <w:b/>
          <w:bCs/>
          <w:sz w:val="32"/>
          <w:szCs w:val="32"/>
          <w:highlight w:val="none"/>
        </w:rPr>
        <w:t>三</w:t>
      </w:r>
      <w:r>
        <w:rPr>
          <w:rFonts w:hint="eastAsia" w:ascii="仿宋" w:hAnsi="仿宋" w:eastAsia="仿宋" w:cs="宋体"/>
          <w:b/>
          <w:bCs/>
          <w:sz w:val="32"/>
          <w:szCs w:val="32"/>
          <w:highlight w:val="none"/>
        </w:rPr>
        <w:t>、评标标准</w:t>
      </w:r>
    </w:p>
    <w:p w14:paraId="423A83C8">
      <w:pPr>
        <w:pStyle w:val="4"/>
        <w:keepNext w:val="0"/>
        <w:keepLines w:val="0"/>
        <w:spacing w:before="0" w:after="0" w:line="500" w:lineRule="exact"/>
        <w:jc w:val="center"/>
        <w:rPr>
          <w:rFonts w:hint="eastAsia" w:ascii="仿宋" w:hAnsi="仿宋" w:eastAsia="仿宋"/>
          <w:highlight w:val="none"/>
        </w:rPr>
      </w:pPr>
      <w:r>
        <w:rPr>
          <w:rFonts w:hint="eastAsia" w:ascii="仿宋" w:hAnsi="仿宋" w:eastAsia="仿宋"/>
          <w:highlight w:val="none"/>
        </w:rPr>
        <w:t>综合评分法</w:t>
      </w:r>
    </w:p>
    <w:p w14:paraId="783E04DF">
      <w:pPr>
        <w:pStyle w:val="4"/>
        <w:keepNext w:val="0"/>
        <w:keepLines w:val="0"/>
        <w:spacing w:before="0" w:after="0" w:line="500" w:lineRule="exact"/>
        <w:rPr>
          <w:rFonts w:hint="eastAsia" w:ascii="仿宋" w:hAnsi="仿宋" w:eastAsia="仿宋"/>
          <w:highlight w:val="none"/>
        </w:rPr>
      </w:pPr>
      <w:r>
        <w:rPr>
          <w:rFonts w:hint="eastAsia" w:ascii="仿宋" w:hAnsi="仿宋" w:eastAsia="仿宋"/>
          <w:highlight w:val="none"/>
        </w:rPr>
        <w:t>（一）评标标准</w:t>
      </w:r>
    </w:p>
    <w:tbl>
      <w:tblPr>
        <w:tblStyle w:val="49"/>
        <w:tblW w:w="10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993"/>
        <w:gridCol w:w="850"/>
        <w:gridCol w:w="1134"/>
        <w:gridCol w:w="6668"/>
      </w:tblGrid>
      <w:tr w14:paraId="0FCD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14:paraId="4AF63247">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序号</w:t>
            </w:r>
          </w:p>
        </w:tc>
        <w:tc>
          <w:tcPr>
            <w:tcW w:w="993" w:type="dxa"/>
            <w:tcBorders>
              <w:top w:val="single" w:color="auto" w:sz="4" w:space="0"/>
              <w:left w:val="single" w:color="auto" w:sz="4" w:space="0"/>
              <w:bottom w:val="single" w:color="auto" w:sz="4" w:space="0"/>
              <w:right w:val="single" w:color="auto" w:sz="4" w:space="0"/>
            </w:tcBorders>
            <w:vAlign w:val="center"/>
          </w:tcPr>
          <w:p w14:paraId="7B046844">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评审</w:t>
            </w:r>
          </w:p>
          <w:p w14:paraId="61FBAD34">
            <w:pPr>
              <w:spacing w:line="460" w:lineRule="exact"/>
              <w:jc w:val="center"/>
              <w:rPr>
                <w:rFonts w:hint="eastAsia" w:ascii="仿宋" w:hAnsi="仿宋" w:eastAsia="仿宋" w:cs="宋体"/>
                <w:sz w:val="24"/>
                <w:highlight w:val="none"/>
              </w:rPr>
            </w:pPr>
            <w:r>
              <w:rPr>
                <w:rFonts w:hint="eastAsia" w:ascii="仿宋" w:hAnsi="仿宋" w:eastAsia="仿宋" w:cs="宋体"/>
                <w:b/>
                <w:sz w:val="24"/>
                <w:highlight w:val="none"/>
              </w:rPr>
              <w:t>因素</w:t>
            </w:r>
          </w:p>
        </w:tc>
        <w:tc>
          <w:tcPr>
            <w:tcW w:w="850" w:type="dxa"/>
            <w:tcBorders>
              <w:top w:val="single" w:color="auto" w:sz="4" w:space="0"/>
              <w:left w:val="single" w:color="auto" w:sz="4" w:space="0"/>
              <w:bottom w:val="single" w:color="auto" w:sz="4" w:space="0"/>
              <w:right w:val="single" w:color="auto" w:sz="4" w:space="0"/>
            </w:tcBorders>
            <w:vAlign w:val="center"/>
          </w:tcPr>
          <w:p w14:paraId="44534175">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分值</w:t>
            </w:r>
          </w:p>
        </w:tc>
        <w:tc>
          <w:tcPr>
            <w:tcW w:w="7802" w:type="dxa"/>
            <w:gridSpan w:val="2"/>
            <w:tcBorders>
              <w:top w:val="single" w:color="auto" w:sz="4" w:space="0"/>
              <w:left w:val="single" w:color="auto" w:sz="4" w:space="0"/>
              <w:bottom w:val="single" w:color="auto" w:sz="4" w:space="0"/>
              <w:right w:val="single" w:color="auto" w:sz="4" w:space="0"/>
            </w:tcBorders>
            <w:vAlign w:val="center"/>
          </w:tcPr>
          <w:p w14:paraId="65171613">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评标标准</w:t>
            </w:r>
          </w:p>
        </w:tc>
      </w:tr>
      <w:tr w14:paraId="229C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14:paraId="124653A8">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1</w:t>
            </w:r>
          </w:p>
        </w:tc>
        <w:tc>
          <w:tcPr>
            <w:tcW w:w="993" w:type="dxa"/>
            <w:tcBorders>
              <w:top w:val="single" w:color="auto" w:sz="4" w:space="0"/>
              <w:left w:val="single" w:color="auto" w:sz="4" w:space="0"/>
              <w:bottom w:val="single" w:color="auto" w:sz="4" w:space="0"/>
              <w:right w:val="single" w:color="auto" w:sz="4" w:space="0"/>
            </w:tcBorders>
            <w:vAlign w:val="center"/>
          </w:tcPr>
          <w:p w14:paraId="03315B12">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投标</w:t>
            </w:r>
          </w:p>
          <w:p w14:paraId="180110BB">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报价</w:t>
            </w:r>
          </w:p>
        </w:tc>
        <w:tc>
          <w:tcPr>
            <w:tcW w:w="850" w:type="dxa"/>
            <w:tcBorders>
              <w:top w:val="single" w:color="auto" w:sz="4" w:space="0"/>
              <w:left w:val="single" w:color="auto" w:sz="4" w:space="0"/>
              <w:bottom w:val="single" w:color="auto" w:sz="4" w:space="0"/>
              <w:right w:val="single" w:color="auto" w:sz="4" w:space="0"/>
            </w:tcBorders>
            <w:vAlign w:val="center"/>
          </w:tcPr>
          <w:p w14:paraId="019758C2">
            <w:pPr>
              <w:spacing w:line="460" w:lineRule="exact"/>
              <w:jc w:val="center"/>
              <w:rPr>
                <w:rFonts w:hint="eastAsia" w:ascii="仿宋" w:hAnsi="仿宋" w:eastAsia="仿宋" w:cs="宋体"/>
                <w:b/>
                <w:sz w:val="24"/>
                <w:highlight w:val="none"/>
              </w:rPr>
            </w:pPr>
            <w:r>
              <w:rPr>
                <w:rFonts w:ascii="仿宋" w:hAnsi="仿宋" w:eastAsia="仿宋" w:cs="宋体"/>
                <w:b/>
                <w:sz w:val="24"/>
                <w:highlight w:val="none"/>
              </w:rPr>
              <w:t>30</w:t>
            </w:r>
            <w:r>
              <w:rPr>
                <w:rFonts w:hint="eastAsia" w:ascii="仿宋" w:hAnsi="仿宋" w:eastAsia="仿宋" w:cs="宋体"/>
                <w:b/>
                <w:sz w:val="24"/>
                <w:highlight w:val="none"/>
              </w:rPr>
              <w:t>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14:paraId="7A8AC9CA">
            <w:pPr>
              <w:spacing w:line="460" w:lineRule="exact"/>
              <w:rPr>
                <w:rFonts w:ascii="仿宋" w:hAnsi="仿宋" w:eastAsia="仿宋" w:cs="宋体"/>
                <w:b/>
                <w:bCs/>
                <w:sz w:val="24"/>
                <w:highlight w:val="none"/>
              </w:rPr>
            </w:pPr>
            <w:r>
              <w:rPr>
                <w:rFonts w:hint="eastAsia" w:ascii="仿宋" w:hAnsi="仿宋" w:eastAsia="仿宋" w:cs="宋体"/>
                <w:b/>
                <w:bCs/>
                <w:sz w:val="24"/>
                <w:highlight w:val="none"/>
              </w:rPr>
              <w:t>一、政府采购政策扣除</w:t>
            </w:r>
          </w:p>
          <w:p w14:paraId="18A4E31F">
            <w:pPr>
              <w:spacing w:line="460" w:lineRule="exact"/>
              <w:ind w:firstLine="480" w:firstLineChars="200"/>
              <w:rPr>
                <w:rFonts w:ascii="仿宋" w:hAnsi="仿宋" w:eastAsia="仿宋" w:cs="宋体"/>
                <w:bCs/>
                <w:kern w:val="0"/>
                <w:sz w:val="24"/>
                <w:highlight w:val="none"/>
              </w:rPr>
            </w:pPr>
            <w:r>
              <w:rPr>
                <w:rFonts w:hint="eastAsia" w:ascii="仿宋" w:hAnsi="仿宋" w:eastAsia="仿宋" w:cs="宋体"/>
                <w:bCs/>
                <w:kern w:val="0"/>
                <w:sz w:val="24"/>
                <w:highlight w:val="none"/>
              </w:rPr>
              <w:t>1、根据《政府采购促进中小企业发展管理办法》的规定、广西壮族自治区财政厅关于进一步发挥政府采购政策功能促进企业发展的通知-桂财采〔2022〕30号规定，对于经主管预算单位统筹后未预留份额专门面向中小企业采购的采购项目，以及预留份额项目中的非预留部分采购包，投标人在其投标文件中提供《中小企业声明函》，且其投标产品全部为小型和微型企业产品的，对投标报价给予20%的扣除，用扣除后的价格参加评审。符合上述规定对报价给予扣除的，扣除后的价格为评标价，即评标价=投标报价×（1-扣除比例）；不符合上述给予扣除情形的，评标价=投标报价。</w:t>
            </w:r>
          </w:p>
          <w:p w14:paraId="216493D6">
            <w:pPr>
              <w:spacing w:line="460" w:lineRule="exact"/>
              <w:ind w:firstLine="480" w:firstLineChars="200"/>
              <w:rPr>
                <w:rFonts w:ascii="仿宋" w:hAnsi="仿宋" w:eastAsia="仿宋" w:cs="宋体"/>
                <w:bCs/>
                <w:kern w:val="0"/>
                <w:sz w:val="24"/>
                <w:highlight w:val="none"/>
              </w:rPr>
            </w:pPr>
            <w:r>
              <w:rPr>
                <w:rFonts w:hint="eastAsia" w:ascii="仿宋" w:hAnsi="仿宋" w:eastAsia="仿宋" w:cs="宋体"/>
                <w:bCs/>
                <w:kern w:val="0"/>
                <w:sz w:val="24"/>
                <w:highlight w:val="none"/>
              </w:rPr>
              <w:t>2、</w:t>
            </w:r>
            <w:r>
              <w:rPr>
                <w:rFonts w:hint="eastAsia" w:ascii="仿宋" w:hAnsi="仿宋" w:eastAsia="仿宋" w:cs="宋体"/>
                <w:kern w:val="0"/>
                <w:sz w:val="24"/>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0568E791">
            <w:pPr>
              <w:spacing w:line="460" w:lineRule="exact"/>
              <w:ind w:firstLine="480" w:firstLineChars="200"/>
              <w:outlineLvl w:val="0"/>
              <w:rPr>
                <w:rFonts w:ascii="仿宋" w:hAnsi="仿宋" w:eastAsia="仿宋" w:cs="宋体"/>
                <w:kern w:val="0"/>
                <w:sz w:val="24"/>
                <w:highlight w:val="none"/>
              </w:rPr>
            </w:pPr>
            <w:bookmarkStart w:id="158" w:name="_Toc27424"/>
            <w:r>
              <w:rPr>
                <w:rFonts w:hint="eastAsia" w:ascii="仿宋" w:hAnsi="仿宋" w:eastAsia="仿宋" w:cs="宋体"/>
                <w:bCs/>
                <w:kern w:val="0"/>
                <w:sz w:val="24"/>
                <w:highlight w:val="none"/>
              </w:rPr>
              <w:t>3、</w:t>
            </w:r>
            <w:r>
              <w:rPr>
                <w:rFonts w:hint="eastAsia" w:ascii="仿宋" w:hAnsi="仿宋" w:eastAsia="仿宋" w:cs="宋体"/>
                <w:kern w:val="0"/>
                <w:sz w:val="24"/>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bookmarkEnd w:id="158"/>
          </w:p>
          <w:p w14:paraId="4DE1EC76">
            <w:pPr>
              <w:spacing w:line="460" w:lineRule="exact"/>
              <w:outlineLvl w:val="0"/>
              <w:rPr>
                <w:rFonts w:hint="eastAsia" w:ascii="仿宋" w:hAnsi="仿宋" w:eastAsia="仿宋" w:cs="宋体"/>
                <w:b/>
                <w:kern w:val="0"/>
                <w:sz w:val="24"/>
                <w:highlight w:val="none"/>
              </w:rPr>
            </w:pPr>
            <w:bookmarkStart w:id="159" w:name="_Toc6585"/>
            <w:r>
              <w:rPr>
                <w:rFonts w:hint="eastAsia" w:ascii="仿宋" w:hAnsi="仿宋" w:eastAsia="仿宋" w:cs="宋体"/>
                <w:b/>
                <w:kern w:val="0"/>
                <w:sz w:val="24"/>
                <w:highlight w:val="none"/>
              </w:rPr>
              <w:t>二、投标报价分（满分</w:t>
            </w:r>
            <w:r>
              <w:rPr>
                <w:rFonts w:ascii="仿宋" w:hAnsi="仿宋" w:eastAsia="仿宋" w:cs="宋体"/>
                <w:b/>
                <w:kern w:val="0"/>
                <w:sz w:val="24"/>
                <w:highlight w:val="none"/>
              </w:rPr>
              <w:t>30</w:t>
            </w:r>
            <w:r>
              <w:rPr>
                <w:rFonts w:hint="eastAsia" w:ascii="仿宋" w:hAnsi="仿宋" w:eastAsia="仿宋" w:cs="宋体"/>
                <w:b/>
                <w:kern w:val="0"/>
                <w:sz w:val="24"/>
                <w:highlight w:val="none"/>
              </w:rPr>
              <w:t>分）</w:t>
            </w:r>
            <w:bookmarkEnd w:id="159"/>
          </w:p>
          <w:p w14:paraId="3DE57E53">
            <w:pPr>
              <w:spacing w:line="460" w:lineRule="exact"/>
              <w:ind w:firstLine="480" w:firstLineChars="200"/>
              <w:rPr>
                <w:rFonts w:hint="eastAsia" w:ascii="仿宋" w:hAnsi="仿宋" w:eastAsia="仿宋" w:cs="宋体"/>
                <w:bCs/>
                <w:kern w:val="0"/>
                <w:sz w:val="24"/>
                <w:highlight w:val="none"/>
              </w:rPr>
            </w:pPr>
            <w:r>
              <w:rPr>
                <w:rFonts w:hint="eastAsia" w:ascii="仿宋" w:hAnsi="仿宋" w:eastAsia="仿宋" w:cs="宋体"/>
                <w:kern w:val="0"/>
                <w:sz w:val="24"/>
                <w:highlight w:val="none"/>
              </w:rPr>
              <w:t>1、</w:t>
            </w:r>
            <w:r>
              <w:rPr>
                <w:rFonts w:hint="eastAsia" w:ascii="仿宋" w:hAnsi="仿宋" w:eastAsia="仿宋" w:cs="宋体"/>
                <w:bCs/>
                <w:kern w:val="0"/>
                <w:sz w:val="24"/>
                <w:highlight w:val="none"/>
              </w:rPr>
              <w:t>投标报价分采用低价优先法计算，满足招标文件要求且评标价最低的有效投标人的评标价为评标基准价，其投标报价分为满分。</w:t>
            </w:r>
          </w:p>
          <w:p w14:paraId="7F17D196">
            <w:pPr>
              <w:spacing w:line="460" w:lineRule="exact"/>
              <w:ind w:firstLine="480" w:firstLineChars="200"/>
              <w:rPr>
                <w:rFonts w:hint="eastAsia" w:ascii="仿宋" w:hAnsi="仿宋" w:eastAsia="仿宋" w:cs="宋体"/>
                <w:bCs/>
                <w:kern w:val="0"/>
                <w:sz w:val="24"/>
                <w:highlight w:val="none"/>
              </w:rPr>
            </w:pPr>
            <w:r>
              <w:rPr>
                <w:rFonts w:hint="eastAsia" w:ascii="仿宋" w:hAnsi="仿宋" w:eastAsia="仿宋" w:cs="宋体"/>
                <w:bCs/>
                <w:kern w:val="0"/>
                <w:sz w:val="24"/>
                <w:highlight w:val="none"/>
              </w:rPr>
              <w:t>2、其他投标人的价格分统一按照下列公式计算：</w:t>
            </w:r>
          </w:p>
          <w:p w14:paraId="0EF2F107">
            <w:pPr>
              <w:spacing w:line="460" w:lineRule="exact"/>
              <w:rPr>
                <w:rFonts w:hint="eastAsia" w:ascii="仿宋" w:hAnsi="仿宋" w:eastAsia="仿宋" w:cs="宋体"/>
                <w:bCs/>
                <w:kern w:val="0"/>
                <w:sz w:val="24"/>
                <w:highlight w:val="none"/>
              </w:rPr>
            </w:pPr>
            <w:r>
              <w:rPr>
                <w:rFonts w:hint="eastAsia" w:ascii="仿宋" w:hAnsi="仿宋" w:eastAsia="仿宋" w:cs="宋体"/>
                <w:bCs/>
                <w:kern w:val="0"/>
                <w:sz w:val="24"/>
                <w:highlight w:val="none"/>
              </w:rPr>
              <w:t>某有效投标人的投标报价分=（评标基准价／某有效投标人评标价）×</w:t>
            </w:r>
            <w:r>
              <w:rPr>
                <w:rFonts w:ascii="仿宋" w:hAnsi="仿宋" w:eastAsia="仿宋" w:cs="宋体"/>
                <w:bCs/>
                <w:kern w:val="0"/>
                <w:sz w:val="24"/>
                <w:highlight w:val="none"/>
              </w:rPr>
              <w:t>30</w:t>
            </w:r>
            <w:r>
              <w:rPr>
                <w:rFonts w:hint="eastAsia" w:ascii="仿宋" w:hAnsi="仿宋" w:eastAsia="仿宋" w:cs="宋体"/>
                <w:bCs/>
                <w:kern w:val="0"/>
                <w:sz w:val="24"/>
                <w:highlight w:val="none"/>
              </w:rPr>
              <w:t>分</w:t>
            </w:r>
          </w:p>
        </w:tc>
      </w:tr>
      <w:tr w14:paraId="61F6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14:paraId="57B44CB2">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2</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555C67F">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技术分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29BD2E48">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55分</w:t>
            </w:r>
          </w:p>
        </w:tc>
        <w:tc>
          <w:tcPr>
            <w:tcW w:w="1134" w:type="dxa"/>
            <w:tcBorders>
              <w:top w:val="single" w:color="auto" w:sz="4" w:space="0"/>
              <w:left w:val="single" w:color="auto" w:sz="4" w:space="0"/>
              <w:bottom w:val="single" w:color="auto" w:sz="4" w:space="0"/>
              <w:right w:val="single" w:color="auto" w:sz="4" w:space="0"/>
            </w:tcBorders>
            <w:vAlign w:val="center"/>
          </w:tcPr>
          <w:p w14:paraId="108D61AE">
            <w:pPr>
              <w:spacing w:line="460" w:lineRule="exact"/>
              <w:jc w:val="center"/>
              <w:rPr>
                <w:rFonts w:hint="eastAsia" w:ascii="仿宋" w:hAnsi="仿宋" w:eastAsia="仿宋" w:cs="宋体"/>
                <w:b/>
                <w:bCs/>
                <w:kern w:val="0"/>
                <w:sz w:val="24"/>
                <w:szCs w:val="21"/>
                <w:highlight w:val="none"/>
              </w:rPr>
            </w:pPr>
            <w:bookmarkStart w:id="160" w:name="OLE_LINK28"/>
            <w:r>
              <w:rPr>
                <w:rFonts w:hint="eastAsia" w:ascii="仿宋" w:hAnsi="仿宋" w:eastAsia="仿宋" w:cs="宋体"/>
                <w:b/>
                <w:bCs/>
                <w:kern w:val="0"/>
                <w:sz w:val="24"/>
                <w:szCs w:val="21"/>
                <w:highlight w:val="none"/>
              </w:rPr>
              <w:t>产品参数分（满分</w:t>
            </w:r>
            <w:r>
              <w:rPr>
                <w:rFonts w:ascii="仿宋" w:hAnsi="仿宋" w:eastAsia="仿宋" w:cs="宋体"/>
                <w:b/>
                <w:bCs/>
                <w:kern w:val="0"/>
                <w:sz w:val="24"/>
                <w:szCs w:val="21"/>
                <w:highlight w:val="none"/>
              </w:rPr>
              <w:t>40</w:t>
            </w:r>
            <w:r>
              <w:rPr>
                <w:rFonts w:hint="eastAsia" w:ascii="仿宋" w:hAnsi="仿宋" w:eastAsia="仿宋" w:cs="宋体"/>
                <w:b/>
                <w:bCs/>
                <w:kern w:val="0"/>
                <w:sz w:val="24"/>
                <w:szCs w:val="21"/>
                <w:highlight w:val="none"/>
              </w:rPr>
              <w:t>分）</w:t>
            </w:r>
            <w:bookmarkEnd w:id="160"/>
          </w:p>
        </w:tc>
        <w:tc>
          <w:tcPr>
            <w:tcW w:w="6668" w:type="dxa"/>
            <w:tcBorders>
              <w:top w:val="single" w:color="auto" w:sz="4" w:space="0"/>
              <w:left w:val="single" w:color="auto" w:sz="4" w:space="0"/>
              <w:bottom w:val="single" w:color="auto" w:sz="4" w:space="0"/>
              <w:right w:val="single" w:color="auto" w:sz="4" w:space="0"/>
            </w:tcBorders>
            <w:vAlign w:val="center"/>
          </w:tcPr>
          <w:p w14:paraId="5F52875A">
            <w:pPr>
              <w:spacing w:line="46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通过资格和符合性审查的投标人得基本分4</w:t>
            </w:r>
            <w:r>
              <w:rPr>
                <w:rFonts w:ascii="仿宋" w:hAnsi="仿宋" w:eastAsia="仿宋" w:cs="宋体"/>
                <w:sz w:val="24"/>
                <w:highlight w:val="none"/>
              </w:rPr>
              <w:t>0</w:t>
            </w:r>
            <w:r>
              <w:rPr>
                <w:rFonts w:hint="eastAsia" w:ascii="仿宋" w:hAnsi="仿宋" w:eastAsia="仿宋" w:cs="宋体"/>
                <w:sz w:val="24"/>
                <w:highlight w:val="none"/>
              </w:rPr>
              <w:t>分。评标委员会将根据招标文件第二章“采购需求”中技术条款要求，对比各投标人相应所投产品的技术参数，并按以下标准评分：</w:t>
            </w:r>
          </w:p>
          <w:p w14:paraId="112CA893">
            <w:pPr>
              <w:spacing w:line="460" w:lineRule="exact"/>
              <w:rPr>
                <w:rFonts w:hint="eastAsia" w:ascii="仿宋" w:hAnsi="仿宋" w:eastAsia="仿宋" w:cs="宋体"/>
                <w:sz w:val="24"/>
                <w:highlight w:val="none"/>
              </w:rPr>
            </w:pPr>
            <w:r>
              <w:rPr>
                <w:rFonts w:hint="eastAsia" w:ascii="仿宋" w:hAnsi="仿宋" w:eastAsia="仿宋" w:cs="宋体"/>
                <w:sz w:val="24"/>
                <w:highlight w:val="none"/>
              </w:rPr>
              <w:t>（1）不满足标注</w:t>
            </w:r>
            <w:r>
              <w:rPr>
                <w:rFonts w:hint="eastAsia" w:ascii="仿宋" w:hAnsi="仿宋" w:eastAsia="仿宋" w:cs="仿宋"/>
                <w:sz w:val="24"/>
                <w:highlight w:val="none"/>
              </w:rPr>
              <w:t>▲</w:t>
            </w:r>
            <w:r>
              <w:rPr>
                <w:rFonts w:hint="eastAsia" w:ascii="仿宋" w:hAnsi="仿宋" w:eastAsia="仿宋" w:cs="宋体"/>
                <w:sz w:val="24"/>
                <w:highlight w:val="none"/>
              </w:rPr>
              <w:t>号项技术指标或未按要求提供证明材料的，每项扣10分，扣完4</w:t>
            </w:r>
            <w:r>
              <w:rPr>
                <w:rFonts w:ascii="仿宋" w:hAnsi="仿宋" w:eastAsia="仿宋" w:cs="宋体"/>
                <w:sz w:val="24"/>
                <w:highlight w:val="none"/>
              </w:rPr>
              <w:t>0</w:t>
            </w:r>
            <w:r>
              <w:rPr>
                <w:rFonts w:hint="eastAsia" w:ascii="仿宋" w:hAnsi="仿宋" w:eastAsia="仿宋" w:cs="宋体"/>
                <w:sz w:val="24"/>
                <w:highlight w:val="none"/>
              </w:rPr>
              <w:t>分即止；</w:t>
            </w:r>
          </w:p>
          <w:p w14:paraId="520FF7AB">
            <w:pPr>
              <w:spacing w:line="460" w:lineRule="exact"/>
              <w:rPr>
                <w:rFonts w:hint="eastAsia" w:ascii="仿宋" w:hAnsi="仿宋" w:eastAsia="仿宋" w:cs="宋体"/>
                <w:sz w:val="24"/>
                <w:highlight w:val="none"/>
              </w:rPr>
            </w:pPr>
            <w:r>
              <w:rPr>
                <w:rFonts w:hint="eastAsia" w:ascii="仿宋" w:hAnsi="仿宋" w:eastAsia="仿宋" w:cs="宋体"/>
                <w:sz w:val="24"/>
                <w:highlight w:val="none"/>
              </w:rPr>
              <w:t>（2）不满足未标注</w:t>
            </w:r>
            <w:r>
              <w:rPr>
                <w:rFonts w:hint="eastAsia" w:ascii="仿宋" w:hAnsi="仿宋" w:eastAsia="仿宋" w:cs="仿宋"/>
                <w:sz w:val="24"/>
                <w:highlight w:val="none"/>
              </w:rPr>
              <w:t>▲</w:t>
            </w:r>
            <w:r>
              <w:rPr>
                <w:rFonts w:hint="eastAsia" w:ascii="仿宋" w:hAnsi="仿宋" w:eastAsia="仿宋" w:cs="宋体"/>
                <w:sz w:val="24"/>
                <w:highlight w:val="none"/>
              </w:rPr>
              <w:t>号项技术指标或未按要求提供证明材料的，每项扣5分，扣完4</w:t>
            </w:r>
            <w:r>
              <w:rPr>
                <w:rFonts w:ascii="仿宋" w:hAnsi="仿宋" w:eastAsia="仿宋" w:cs="宋体"/>
                <w:sz w:val="24"/>
                <w:highlight w:val="none"/>
              </w:rPr>
              <w:t>0</w:t>
            </w:r>
            <w:r>
              <w:rPr>
                <w:rFonts w:hint="eastAsia" w:ascii="仿宋" w:hAnsi="仿宋" w:eastAsia="仿宋" w:cs="宋体"/>
                <w:sz w:val="24"/>
                <w:highlight w:val="none"/>
              </w:rPr>
              <w:t>分即止。</w:t>
            </w:r>
          </w:p>
        </w:tc>
      </w:tr>
      <w:tr w14:paraId="67F5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14:paraId="001F8364">
            <w:pPr>
              <w:spacing w:line="460" w:lineRule="exact"/>
              <w:jc w:val="left"/>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71F54FA">
            <w:pPr>
              <w:spacing w:line="460" w:lineRule="exact"/>
              <w:jc w:val="left"/>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132AEC2C">
            <w:pPr>
              <w:spacing w:line="460" w:lineRule="exact"/>
              <w:jc w:val="left"/>
              <w:rPr>
                <w:rFonts w:hint="eastAsia" w:ascii="仿宋" w:hAnsi="仿宋" w:eastAsia="仿宋" w:cs="宋体"/>
                <w:b/>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E36AB7F">
            <w:pPr>
              <w:spacing w:line="460" w:lineRule="exact"/>
              <w:jc w:val="center"/>
              <w:rPr>
                <w:rFonts w:hint="eastAsia" w:ascii="仿宋" w:hAnsi="仿宋" w:eastAsia="仿宋" w:cs="宋体"/>
                <w:b/>
                <w:bCs/>
                <w:sz w:val="24"/>
                <w:highlight w:val="none"/>
              </w:rPr>
            </w:pPr>
            <w:bookmarkStart w:id="161" w:name="OLE_LINK29"/>
            <w:r>
              <w:rPr>
                <w:rFonts w:hint="eastAsia" w:ascii="仿宋" w:hAnsi="仿宋" w:eastAsia="仿宋" w:cs="宋体"/>
                <w:b/>
                <w:bCs/>
                <w:sz w:val="24"/>
                <w:highlight w:val="none"/>
                <w:lang w:val="en-US" w:eastAsia="zh-CN"/>
              </w:rPr>
              <w:t>配送及</w:t>
            </w:r>
            <w:r>
              <w:rPr>
                <w:rFonts w:hint="eastAsia" w:ascii="仿宋" w:hAnsi="仿宋" w:eastAsia="仿宋" w:cs="宋体"/>
                <w:b/>
                <w:bCs/>
                <w:sz w:val="24"/>
                <w:highlight w:val="none"/>
              </w:rPr>
              <w:t>项目实施方案分（满分</w:t>
            </w:r>
            <w:r>
              <w:rPr>
                <w:rFonts w:ascii="仿宋" w:hAnsi="仿宋" w:eastAsia="仿宋" w:cs="宋体"/>
                <w:b/>
                <w:bCs/>
                <w:sz w:val="24"/>
                <w:highlight w:val="none"/>
              </w:rPr>
              <w:t>15</w:t>
            </w:r>
            <w:r>
              <w:rPr>
                <w:rFonts w:hint="eastAsia" w:ascii="仿宋" w:hAnsi="仿宋" w:eastAsia="仿宋" w:cs="宋体"/>
                <w:b/>
                <w:bCs/>
                <w:sz w:val="24"/>
                <w:highlight w:val="none"/>
              </w:rPr>
              <w:t>分）</w:t>
            </w:r>
            <w:bookmarkEnd w:id="161"/>
          </w:p>
        </w:tc>
        <w:tc>
          <w:tcPr>
            <w:tcW w:w="6668" w:type="dxa"/>
            <w:tcBorders>
              <w:top w:val="single" w:color="auto" w:sz="4" w:space="0"/>
              <w:left w:val="single" w:color="auto" w:sz="4" w:space="0"/>
              <w:bottom w:val="single" w:color="auto" w:sz="4" w:space="0"/>
              <w:right w:val="single" w:color="auto" w:sz="4" w:space="0"/>
            </w:tcBorders>
            <w:vAlign w:val="center"/>
          </w:tcPr>
          <w:p w14:paraId="73A4EC29">
            <w:pPr>
              <w:spacing w:line="460" w:lineRule="exact"/>
              <w:rPr>
                <w:rFonts w:hint="eastAsia" w:ascii="仿宋" w:hAnsi="仿宋" w:eastAsia="仿宋" w:cs="宋体"/>
                <w:sz w:val="24"/>
                <w:highlight w:val="none"/>
              </w:rPr>
            </w:pPr>
            <w:bookmarkStart w:id="162" w:name="OLE_LINK30"/>
            <w:r>
              <w:rPr>
                <w:rFonts w:hint="eastAsia" w:ascii="仿宋" w:hAnsi="仿宋" w:eastAsia="仿宋" w:cs="宋体"/>
                <w:sz w:val="24"/>
                <w:highlight w:val="none"/>
              </w:rPr>
              <w:t>评标委员会对比各投标人提供的项目实施方案，包含但不限于：①产品运输配送方案；②安装调试方案；③产品试运行等内容进行综合评定，并按以下内容进行独立评审评分：</w:t>
            </w:r>
          </w:p>
          <w:p w14:paraId="4BD6F793">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一档：（0分）：未提供项目实施方案或不满足二档评审标准的；</w:t>
            </w:r>
          </w:p>
          <w:p w14:paraId="72E3C05B">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二档（</w:t>
            </w:r>
            <w:r>
              <w:rPr>
                <w:rFonts w:ascii="仿宋" w:hAnsi="仿宋" w:eastAsia="仿宋" w:cs="宋体"/>
                <w:sz w:val="24"/>
                <w:highlight w:val="none"/>
              </w:rPr>
              <w:t>5</w:t>
            </w:r>
            <w:r>
              <w:rPr>
                <w:rFonts w:hint="eastAsia" w:ascii="仿宋" w:hAnsi="仿宋" w:eastAsia="仿宋" w:cs="宋体"/>
                <w:sz w:val="24"/>
                <w:highlight w:val="none"/>
              </w:rPr>
              <w:t>分）：上述评审内容中有1项内容经评审为完整、可行的；</w:t>
            </w:r>
          </w:p>
          <w:p w14:paraId="4A838E01">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三档（</w:t>
            </w:r>
            <w:r>
              <w:rPr>
                <w:rFonts w:ascii="仿宋" w:hAnsi="仿宋" w:eastAsia="仿宋" w:cs="宋体"/>
                <w:sz w:val="24"/>
                <w:highlight w:val="none"/>
              </w:rPr>
              <w:t>10</w:t>
            </w:r>
            <w:r>
              <w:rPr>
                <w:rFonts w:hint="eastAsia" w:ascii="仿宋" w:hAnsi="仿宋" w:eastAsia="仿宋" w:cs="宋体"/>
                <w:sz w:val="24"/>
                <w:highlight w:val="none"/>
              </w:rPr>
              <w:t>分）：上述评审内容中有2项内容经评审为完整、可行的；</w:t>
            </w:r>
          </w:p>
          <w:p w14:paraId="2F0BA0E7">
            <w:pPr>
              <w:spacing w:line="460" w:lineRule="exact"/>
              <w:rPr>
                <w:rFonts w:hint="eastAsia" w:ascii="仿宋" w:hAnsi="仿宋" w:eastAsia="仿宋" w:cs="宋体"/>
                <w:sz w:val="24"/>
                <w:highlight w:val="none"/>
              </w:rPr>
            </w:pPr>
            <w:r>
              <w:rPr>
                <w:rFonts w:hint="eastAsia" w:ascii="仿宋" w:hAnsi="仿宋" w:eastAsia="仿宋" w:cs="宋体"/>
                <w:sz w:val="24"/>
                <w:highlight w:val="none"/>
              </w:rPr>
              <w:t>四档（</w:t>
            </w:r>
            <w:r>
              <w:rPr>
                <w:rFonts w:ascii="仿宋" w:hAnsi="仿宋" w:eastAsia="仿宋" w:cs="宋体"/>
                <w:sz w:val="24"/>
                <w:highlight w:val="none"/>
              </w:rPr>
              <w:t>15</w:t>
            </w:r>
            <w:r>
              <w:rPr>
                <w:rFonts w:hint="eastAsia" w:ascii="仿宋" w:hAnsi="仿宋" w:eastAsia="仿宋" w:cs="宋体"/>
                <w:sz w:val="24"/>
                <w:highlight w:val="none"/>
              </w:rPr>
              <w:t>分）：上述全部评审内容经评审为完整、可行的。</w:t>
            </w:r>
            <w:bookmarkEnd w:id="162"/>
          </w:p>
        </w:tc>
      </w:tr>
      <w:tr w14:paraId="7AC0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14:paraId="25E98179">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3</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0A2940C8">
            <w:pPr>
              <w:spacing w:line="460" w:lineRule="exact"/>
              <w:rPr>
                <w:rFonts w:hint="eastAsia" w:ascii="仿宋" w:hAnsi="仿宋" w:eastAsia="仿宋" w:cs="宋体"/>
                <w:b/>
                <w:sz w:val="24"/>
                <w:highlight w:val="none"/>
              </w:rPr>
            </w:pPr>
            <w:r>
              <w:rPr>
                <w:rFonts w:hint="eastAsia" w:ascii="仿宋" w:hAnsi="仿宋" w:eastAsia="仿宋" w:cs="宋体"/>
                <w:b/>
                <w:sz w:val="24"/>
                <w:highlight w:val="none"/>
              </w:rPr>
              <w:t>商务分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35C2A5ED">
            <w:pPr>
              <w:spacing w:line="460" w:lineRule="exact"/>
              <w:jc w:val="center"/>
              <w:rPr>
                <w:rFonts w:hint="eastAsia" w:ascii="仿宋" w:hAnsi="仿宋" w:eastAsia="仿宋" w:cs="宋体"/>
                <w:b/>
                <w:sz w:val="24"/>
                <w:highlight w:val="none"/>
              </w:rPr>
            </w:pPr>
            <w:bookmarkStart w:id="163" w:name="OLE_LINK31"/>
            <w:r>
              <w:rPr>
                <w:rFonts w:hint="eastAsia" w:ascii="仿宋" w:hAnsi="仿宋" w:eastAsia="仿宋" w:cs="宋体"/>
                <w:b/>
                <w:sz w:val="24"/>
                <w:highlight w:val="none"/>
              </w:rPr>
              <w:t>1</w:t>
            </w:r>
            <w:r>
              <w:rPr>
                <w:rFonts w:hint="eastAsia" w:ascii="仿宋" w:hAnsi="仿宋" w:eastAsia="仿宋" w:cs="宋体"/>
                <w:b/>
                <w:sz w:val="24"/>
                <w:highlight w:val="none"/>
                <w:lang w:val="en-US" w:eastAsia="zh-CN"/>
              </w:rPr>
              <w:t>3</w:t>
            </w:r>
            <w:r>
              <w:rPr>
                <w:rFonts w:hint="eastAsia" w:ascii="仿宋" w:hAnsi="仿宋" w:eastAsia="仿宋" w:cs="宋体"/>
                <w:b/>
                <w:sz w:val="24"/>
                <w:highlight w:val="none"/>
              </w:rPr>
              <w:t>分</w:t>
            </w:r>
            <w:bookmarkEnd w:id="163"/>
          </w:p>
        </w:tc>
        <w:tc>
          <w:tcPr>
            <w:tcW w:w="1134" w:type="dxa"/>
            <w:tcBorders>
              <w:top w:val="single" w:color="auto" w:sz="4" w:space="0"/>
              <w:left w:val="single" w:color="auto" w:sz="4" w:space="0"/>
              <w:bottom w:val="single" w:color="auto" w:sz="4" w:space="0"/>
              <w:right w:val="single" w:color="auto" w:sz="4" w:space="0"/>
            </w:tcBorders>
            <w:vAlign w:val="center"/>
          </w:tcPr>
          <w:p w14:paraId="4C737481">
            <w:pPr>
              <w:spacing w:line="460" w:lineRule="exact"/>
              <w:jc w:val="center"/>
              <w:rPr>
                <w:rFonts w:hint="eastAsia" w:ascii="仿宋" w:hAnsi="仿宋" w:eastAsia="仿宋" w:cs="宋体"/>
                <w:b/>
                <w:bCs/>
                <w:sz w:val="24"/>
                <w:highlight w:val="none"/>
              </w:rPr>
            </w:pPr>
            <w:bookmarkStart w:id="164" w:name="OLE_LINK32"/>
            <w:r>
              <w:rPr>
                <w:rFonts w:hint="eastAsia" w:ascii="仿宋" w:hAnsi="仿宋" w:eastAsia="仿宋" w:cs="宋体"/>
                <w:b/>
                <w:bCs/>
                <w:sz w:val="24"/>
                <w:highlight w:val="none"/>
              </w:rPr>
              <w:t>售后服务分(满分</w:t>
            </w:r>
            <w:r>
              <w:rPr>
                <w:rFonts w:ascii="仿宋" w:hAnsi="仿宋" w:eastAsia="仿宋" w:cs="宋体"/>
                <w:b/>
                <w:bCs/>
                <w:sz w:val="24"/>
                <w:highlight w:val="none"/>
              </w:rPr>
              <w:t>6</w:t>
            </w:r>
            <w:r>
              <w:rPr>
                <w:rFonts w:hint="eastAsia" w:ascii="仿宋" w:hAnsi="仿宋" w:eastAsia="仿宋" w:cs="宋体"/>
                <w:b/>
                <w:bCs/>
                <w:sz w:val="24"/>
                <w:highlight w:val="none"/>
              </w:rPr>
              <w:t>分)</w:t>
            </w:r>
            <w:bookmarkEnd w:id="164"/>
          </w:p>
        </w:tc>
        <w:tc>
          <w:tcPr>
            <w:tcW w:w="6668" w:type="dxa"/>
            <w:tcBorders>
              <w:top w:val="single" w:color="auto" w:sz="4" w:space="0"/>
              <w:left w:val="single" w:color="auto" w:sz="4" w:space="0"/>
              <w:bottom w:val="single" w:color="auto" w:sz="4" w:space="0"/>
              <w:right w:val="single" w:color="auto" w:sz="4" w:space="0"/>
            </w:tcBorders>
            <w:vAlign w:val="center"/>
          </w:tcPr>
          <w:p w14:paraId="37565B0D">
            <w:pPr>
              <w:spacing w:line="460" w:lineRule="exact"/>
              <w:rPr>
                <w:rFonts w:hint="eastAsia" w:ascii="仿宋" w:hAnsi="仿宋" w:eastAsia="仿宋" w:cs="宋体"/>
                <w:sz w:val="24"/>
                <w:highlight w:val="none"/>
              </w:rPr>
            </w:pPr>
            <w:r>
              <w:rPr>
                <w:rFonts w:hint="eastAsia" w:ascii="仿宋" w:hAnsi="仿宋" w:eastAsia="仿宋" w:cs="宋体"/>
                <w:sz w:val="24"/>
                <w:highlight w:val="none"/>
              </w:rPr>
              <w:t>评标委员会对比各投标人提供的售后服务内容，包括但不限于：①售后服务计划；②售后保障措施；③应急预案等内容进行综合评定，并按以下标准独立评分：</w:t>
            </w:r>
          </w:p>
          <w:p w14:paraId="61F0DB74">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一档（0分）：未提供售后服务方案或不满足二档评审标准的；</w:t>
            </w:r>
          </w:p>
          <w:p w14:paraId="583F8A8D">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二档（</w:t>
            </w:r>
            <w:r>
              <w:rPr>
                <w:rFonts w:ascii="仿宋" w:hAnsi="仿宋" w:eastAsia="仿宋" w:cs="宋体"/>
                <w:sz w:val="24"/>
                <w:highlight w:val="none"/>
              </w:rPr>
              <w:t>2</w:t>
            </w:r>
            <w:r>
              <w:rPr>
                <w:rFonts w:hint="eastAsia" w:ascii="仿宋" w:hAnsi="仿宋" w:eastAsia="仿宋" w:cs="宋体"/>
                <w:sz w:val="24"/>
                <w:highlight w:val="none"/>
              </w:rPr>
              <w:t>分）：售后服务内容满足招标文件相关要求，上述评审内容中有1项内容经评审为完整、可行的；</w:t>
            </w:r>
          </w:p>
          <w:p w14:paraId="2CBDADC6">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三档（</w:t>
            </w:r>
            <w:r>
              <w:rPr>
                <w:rFonts w:ascii="仿宋" w:hAnsi="仿宋" w:eastAsia="仿宋" w:cs="宋体"/>
                <w:sz w:val="24"/>
                <w:highlight w:val="none"/>
              </w:rPr>
              <w:t>4</w:t>
            </w:r>
            <w:r>
              <w:rPr>
                <w:rFonts w:hint="eastAsia" w:ascii="仿宋" w:hAnsi="仿宋" w:eastAsia="仿宋" w:cs="宋体"/>
                <w:sz w:val="24"/>
                <w:highlight w:val="none"/>
              </w:rPr>
              <w:t>分）：售后服务内容满足招标文件相关要求，上述评审内容中有</w:t>
            </w:r>
            <w:r>
              <w:rPr>
                <w:rFonts w:ascii="仿宋" w:hAnsi="仿宋" w:eastAsia="仿宋" w:cs="宋体"/>
                <w:sz w:val="24"/>
                <w:highlight w:val="none"/>
              </w:rPr>
              <w:t>2</w:t>
            </w:r>
            <w:r>
              <w:rPr>
                <w:rFonts w:hint="eastAsia" w:ascii="仿宋" w:hAnsi="仿宋" w:eastAsia="仿宋" w:cs="宋体"/>
                <w:sz w:val="24"/>
                <w:highlight w:val="none"/>
              </w:rPr>
              <w:t>项内容经评审为完整、可行的；</w:t>
            </w:r>
          </w:p>
          <w:p w14:paraId="58772335">
            <w:pPr>
              <w:spacing w:line="460" w:lineRule="exact"/>
              <w:rPr>
                <w:rFonts w:hint="eastAsia" w:ascii="仿宋" w:hAnsi="仿宋" w:eastAsia="仿宋" w:cs="宋体"/>
                <w:sz w:val="24"/>
                <w:highlight w:val="none"/>
              </w:rPr>
            </w:pPr>
            <w:r>
              <w:rPr>
                <w:rFonts w:hint="eastAsia" w:ascii="仿宋" w:hAnsi="仿宋" w:eastAsia="仿宋" w:cs="宋体"/>
                <w:sz w:val="24"/>
                <w:highlight w:val="none"/>
              </w:rPr>
              <w:t>四档（6分）：售后服务内容满足招标文件相关要求，上述全部评审内容经评审为完整、可行的。</w:t>
            </w:r>
          </w:p>
        </w:tc>
      </w:tr>
      <w:tr w14:paraId="7ED7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75" w:type="dxa"/>
            <w:vMerge w:val="continue"/>
            <w:tcBorders>
              <w:left w:val="single" w:color="auto" w:sz="4" w:space="0"/>
              <w:right w:val="single" w:color="auto" w:sz="4" w:space="0"/>
            </w:tcBorders>
            <w:vAlign w:val="center"/>
          </w:tcPr>
          <w:p w14:paraId="76AEFBE1">
            <w:pPr>
              <w:spacing w:line="460" w:lineRule="exact"/>
              <w:jc w:val="center"/>
              <w:rPr>
                <w:rFonts w:hint="eastAsia" w:ascii="仿宋" w:hAnsi="仿宋" w:eastAsia="仿宋" w:cs="宋体"/>
                <w:b/>
                <w:sz w:val="24"/>
                <w:highlight w:val="none"/>
              </w:rPr>
            </w:pPr>
          </w:p>
        </w:tc>
        <w:tc>
          <w:tcPr>
            <w:tcW w:w="993" w:type="dxa"/>
            <w:vMerge w:val="continue"/>
            <w:tcBorders>
              <w:left w:val="single" w:color="auto" w:sz="4" w:space="0"/>
              <w:right w:val="single" w:color="auto" w:sz="4" w:space="0"/>
            </w:tcBorders>
            <w:vAlign w:val="center"/>
          </w:tcPr>
          <w:p w14:paraId="758D37C2">
            <w:pPr>
              <w:spacing w:line="460" w:lineRule="exact"/>
              <w:rPr>
                <w:rFonts w:hint="eastAsia" w:ascii="仿宋" w:hAnsi="仿宋" w:eastAsia="仿宋" w:cs="宋体"/>
                <w:b/>
                <w:sz w:val="24"/>
                <w:highlight w:val="none"/>
              </w:rPr>
            </w:pPr>
          </w:p>
        </w:tc>
        <w:tc>
          <w:tcPr>
            <w:tcW w:w="850" w:type="dxa"/>
            <w:vMerge w:val="continue"/>
            <w:tcBorders>
              <w:left w:val="single" w:color="auto" w:sz="4" w:space="0"/>
              <w:right w:val="single" w:color="auto" w:sz="4" w:space="0"/>
            </w:tcBorders>
            <w:vAlign w:val="center"/>
          </w:tcPr>
          <w:p w14:paraId="1F2EC87E">
            <w:pPr>
              <w:spacing w:line="460" w:lineRule="exact"/>
              <w:jc w:val="center"/>
              <w:rPr>
                <w:rFonts w:hint="eastAsia" w:ascii="仿宋" w:hAnsi="仿宋" w:eastAsia="仿宋" w:cs="宋体"/>
                <w:b/>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A410AC3">
            <w:pPr>
              <w:spacing w:line="460" w:lineRule="exact"/>
              <w:jc w:val="center"/>
              <w:rPr>
                <w:rFonts w:hint="default" w:ascii="仿宋" w:hAnsi="仿宋" w:eastAsia="仿宋" w:cs="宋体"/>
                <w:b/>
                <w:bCs/>
                <w:sz w:val="24"/>
                <w:highlight w:val="none"/>
                <w:lang w:val="en-US" w:eastAsia="zh-CN"/>
              </w:rPr>
            </w:pPr>
            <w:r>
              <w:rPr>
                <w:rFonts w:hint="eastAsia" w:ascii="仿宋" w:hAnsi="仿宋" w:eastAsia="仿宋" w:cs="宋体"/>
                <w:b/>
                <w:bCs/>
                <w:sz w:val="24"/>
                <w:highlight w:val="none"/>
                <w:lang w:val="en-US" w:eastAsia="zh-CN"/>
              </w:rPr>
              <w:t>延长保修（满分3分）</w:t>
            </w:r>
          </w:p>
        </w:tc>
        <w:tc>
          <w:tcPr>
            <w:tcW w:w="6668" w:type="dxa"/>
            <w:tcBorders>
              <w:top w:val="single" w:color="auto" w:sz="4" w:space="0"/>
              <w:left w:val="single" w:color="auto" w:sz="4" w:space="0"/>
              <w:bottom w:val="single" w:color="auto" w:sz="4" w:space="0"/>
              <w:right w:val="single" w:color="auto" w:sz="4" w:space="0"/>
            </w:tcBorders>
            <w:vAlign w:val="center"/>
          </w:tcPr>
          <w:p w14:paraId="353E87F7">
            <w:pPr>
              <w:spacing w:line="460" w:lineRule="exact"/>
              <w:rPr>
                <w:rFonts w:hint="eastAsia" w:ascii="仿宋" w:hAnsi="仿宋" w:eastAsia="仿宋" w:cs="宋体"/>
                <w:sz w:val="24"/>
                <w:highlight w:val="none"/>
              </w:rPr>
            </w:pPr>
            <w:r>
              <w:rPr>
                <w:rFonts w:hint="eastAsia" w:ascii="仿宋" w:hAnsi="仿宋" w:eastAsia="仿宋" w:cs="宋体"/>
                <w:sz w:val="24"/>
                <w:highlight w:val="none"/>
              </w:rPr>
              <w:t>在满足所投分标基本保修期的基础上，投标人承诺所投标的保修期每延长一年的得1分，最多得3分。</w:t>
            </w:r>
          </w:p>
        </w:tc>
      </w:tr>
      <w:tr w14:paraId="150A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14:paraId="0AE8FA5D">
            <w:pPr>
              <w:spacing w:line="460" w:lineRule="exact"/>
              <w:jc w:val="left"/>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59ADB46">
            <w:pPr>
              <w:spacing w:line="460" w:lineRule="exact"/>
              <w:jc w:val="left"/>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0C531B0">
            <w:pPr>
              <w:spacing w:line="460" w:lineRule="exact"/>
              <w:jc w:val="left"/>
              <w:rPr>
                <w:rFonts w:hint="eastAsia" w:ascii="仿宋" w:hAnsi="仿宋" w:eastAsia="仿宋" w:cs="宋体"/>
                <w:b/>
                <w:sz w:val="24"/>
                <w:highlight w:val="none"/>
              </w:rPr>
            </w:pPr>
          </w:p>
        </w:tc>
        <w:tc>
          <w:tcPr>
            <w:tcW w:w="1134" w:type="dxa"/>
            <w:tcBorders>
              <w:left w:val="single" w:color="auto" w:sz="4" w:space="0"/>
              <w:bottom w:val="single" w:color="auto" w:sz="4" w:space="0"/>
              <w:right w:val="single" w:color="auto" w:sz="4" w:space="0"/>
            </w:tcBorders>
            <w:vAlign w:val="center"/>
          </w:tcPr>
          <w:p w14:paraId="43EEA4F6">
            <w:pPr>
              <w:spacing w:line="460" w:lineRule="exact"/>
              <w:jc w:val="center"/>
              <w:rPr>
                <w:rFonts w:hint="default" w:ascii="仿宋" w:hAnsi="仿宋" w:eastAsia="仿宋" w:cs="宋体"/>
                <w:b/>
                <w:bCs/>
                <w:sz w:val="24"/>
                <w:highlight w:val="none"/>
                <w:lang w:val="en-US" w:eastAsia="zh-CN"/>
              </w:rPr>
            </w:pPr>
            <w:r>
              <w:rPr>
                <w:rFonts w:hint="eastAsia" w:ascii="仿宋" w:hAnsi="仿宋" w:eastAsia="仿宋" w:cs="宋体"/>
                <w:b/>
                <w:bCs/>
                <w:sz w:val="24"/>
                <w:highlight w:val="none"/>
                <w:lang w:val="en-US" w:eastAsia="zh-CN"/>
              </w:rPr>
              <w:t>业绩分（满分4分）</w:t>
            </w:r>
          </w:p>
        </w:tc>
        <w:tc>
          <w:tcPr>
            <w:tcW w:w="6668" w:type="dxa"/>
            <w:tcBorders>
              <w:top w:val="single" w:color="auto" w:sz="4" w:space="0"/>
              <w:left w:val="single" w:color="auto" w:sz="4" w:space="0"/>
              <w:bottom w:val="single" w:color="auto" w:sz="4" w:space="0"/>
              <w:right w:val="single" w:color="auto" w:sz="4" w:space="0"/>
            </w:tcBorders>
            <w:vAlign w:val="center"/>
          </w:tcPr>
          <w:p w14:paraId="454D13B4">
            <w:pPr>
              <w:spacing w:line="460" w:lineRule="exact"/>
              <w:rPr>
                <w:rFonts w:hint="eastAsia" w:ascii="仿宋" w:hAnsi="仿宋" w:eastAsia="仿宋" w:cs="宋体"/>
                <w:sz w:val="24"/>
                <w:highlight w:val="none"/>
              </w:rPr>
            </w:pPr>
            <w:bookmarkStart w:id="165" w:name="OLE_LINK34"/>
            <w:r>
              <w:rPr>
                <w:rFonts w:hint="eastAsia" w:ascii="仿宋" w:hAnsi="仿宋" w:eastAsia="仿宋" w:cs="宋体"/>
                <w:sz w:val="24"/>
                <w:highlight w:val="none"/>
              </w:rPr>
              <w:t>投标人</w:t>
            </w:r>
            <w:r>
              <w:rPr>
                <w:rFonts w:hint="eastAsia" w:ascii="仿宋" w:hAnsi="仿宋" w:eastAsia="仿宋" w:cs="宋体"/>
                <w:sz w:val="24"/>
                <w:highlight w:val="none"/>
                <w:lang w:val="en-US" w:eastAsia="zh-CN"/>
              </w:rPr>
              <w:t>或投标产品生产厂家</w:t>
            </w:r>
            <w:r>
              <w:rPr>
                <w:rFonts w:hint="eastAsia" w:ascii="仿宋" w:hAnsi="仿宋" w:eastAsia="仿宋" w:cs="宋体"/>
                <w:sz w:val="24"/>
                <w:highlight w:val="none"/>
              </w:rPr>
              <w:t>202</w:t>
            </w:r>
            <w:r>
              <w:rPr>
                <w:rFonts w:ascii="仿宋" w:hAnsi="仿宋" w:eastAsia="仿宋" w:cs="宋体"/>
                <w:sz w:val="24"/>
                <w:highlight w:val="none"/>
              </w:rPr>
              <w:t>1</w:t>
            </w:r>
            <w:r>
              <w:rPr>
                <w:rFonts w:hint="eastAsia" w:ascii="仿宋" w:hAnsi="仿宋" w:eastAsia="仿宋" w:cs="宋体"/>
                <w:sz w:val="24"/>
                <w:highlight w:val="none"/>
              </w:rPr>
              <w:t>年以来完成同类产品（同类产品指</w:t>
            </w:r>
            <w:r>
              <w:rPr>
                <w:rFonts w:hint="eastAsia" w:ascii="仿宋" w:hAnsi="仿宋" w:eastAsia="仿宋" w:cs="宋体"/>
                <w:sz w:val="24"/>
                <w:highlight w:val="none"/>
                <w:lang w:val="en-US" w:eastAsia="zh-CN"/>
              </w:rPr>
              <w:t>所投分标相应医疗</w:t>
            </w:r>
            <w:r>
              <w:rPr>
                <w:rFonts w:hint="eastAsia" w:ascii="仿宋" w:hAnsi="仿宋" w:eastAsia="仿宋" w:cs="宋体"/>
                <w:sz w:val="24"/>
                <w:highlight w:val="none"/>
              </w:rPr>
              <w:t>设备）的销售业绩[无不良记录，以中标（成交）通知书和合同书复印件为准（能清晰反映所销售的货物名称、种类、金额)，否则将不予计分；同一个编号的项目有两个或两个以上的分标中标的只算一次]，每个业绩得1分，满分4分。</w:t>
            </w:r>
            <w:bookmarkEnd w:id="165"/>
          </w:p>
        </w:tc>
      </w:tr>
      <w:tr w14:paraId="783F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14:paraId="6E720E6A">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4</w:t>
            </w:r>
          </w:p>
        </w:tc>
        <w:tc>
          <w:tcPr>
            <w:tcW w:w="993" w:type="dxa"/>
            <w:tcBorders>
              <w:top w:val="single" w:color="auto" w:sz="4" w:space="0"/>
              <w:left w:val="single" w:color="auto" w:sz="4" w:space="0"/>
              <w:bottom w:val="single" w:color="auto" w:sz="4" w:space="0"/>
              <w:right w:val="single" w:color="auto" w:sz="4" w:space="0"/>
            </w:tcBorders>
            <w:vAlign w:val="center"/>
          </w:tcPr>
          <w:p w14:paraId="771D4E07">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政策功能</w:t>
            </w:r>
          </w:p>
        </w:tc>
        <w:tc>
          <w:tcPr>
            <w:tcW w:w="850" w:type="dxa"/>
            <w:tcBorders>
              <w:top w:val="single" w:color="auto" w:sz="4" w:space="0"/>
              <w:left w:val="single" w:color="auto" w:sz="4" w:space="0"/>
              <w:bottom w:val="single" w:color="auto" w:sz="4" w:space="0"/>
              <w:right w:val="single" w:color="auto" w:sz="4" w:space="0"/>
            </w:tcBorders>
            <w:vAlign w:val="center"/>
          </w:tcPr>
          <w:p w14:paraId="172CEDC1">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2分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14:paraId="79621195">
            <w:pPr>
              <w:spacing w:line="460" w:lineRule="exact"/>
              <w:rPr>
                <w:rFonts w:hint="eastAsia" w:ascii="仿宋" w:hAnsi="仿宋" w:eastAsia="仿宋" w:cs="宋体"/>
                <w:bCs/>
                <w:sz w:val="24"/>
                <w:highlight w:val="none"/>
              </w:rPr>
            </w:pPr>
            <w:bookmarkStart w:id="166" w:name="OLE_LINK35"/>
            <w:r>
              <w:rPr>
                <w:rFonts w:hint="eastAsia" w:ascii="仿宋" w:hAnsi="仿宋" w:eastAsia="仿宋" w:cs="宋体"/>
                <w:bCs/>
                <w:sz w:val="24"/>
                <w:highlight w:val="none"/>
              </w:rPr>
              <w:t>（1）主要投标产品（单一</w:t>
            </w:r>
            <w:r>
              <w:rPr>
                <w:rFonts w:hint="eastAsia" w:ascii="仿宋" w:hAnsi="仿宋" w:eastAsia="仿宋" w:cs="宋体"/>
                <w:sz w:val="24"/>
                <w:highlight w:val="none"/>
              </w:rPr>
              <w:t>标项</w:t>
            </w:r>
            <w:r>
              <w:rPr>
                <w:rFonts w:hint="eastAsia" w:ascii="仿宋" w:hAnsi="仿宋" w:eastAsia="仿宋" w:cs="宋体"/>
                <w:bCs/>
                <w:sz w:val="24"/>
                <w:highlight w:val="none"/>
              </w:rPr>
              <w:t>的投标报价或产品项号数占三分之一及以上）为政府采购节能产品的，得1分（适用于非强制采购节能产品，以有效的政府采购节能产品认证证书复印件为准，投标产品需清晰反映在证书上）。</w:t>
            </w:r>
            <w:bookmarkEnd w:id="166"/>
          </w:p>
          <w:p w14:paraId="52978983">
            <w:pPr>
              <w:spacing w:line="460" w:lineRule="exact"/>
              <w:rPr>
                <w:rFonts w:hint="eastAsia" w:ascii="仿宋" w:hAnsi="仿宋" w:eastAsia="仿宋" w:cs="宋体"/>
                <w:sz w:val="24"/>
                <w:highlight w:val="none"/>
              </w:rPr>
            </w:pPr>
            <w:r>
              <w:rPr>
                <w:rFonts w:hint="eastAsia" w:ascii="仿宋" w:hAnsi="仿宋" w:eastAsia="仿宋" w:cs="宋体"/>
                <w:bCs/>
                <w:sz w:val="24"/>
                <w:highlight w:val="none"/>
              </w:rPr>
              <w:t>（2）</w:t>
            </w:r>
            <w:bookmarkStart w:id="176" w:name="_GoBack"/>
            <w:r>
              <w:rPr>
                <w:rFonts w:hint="eastAsia" w:ascii="仿宋" w:hAnsi="仿宋" w:eastAsia="仿宋" w:cs="宋体"/>
                <w:bCs/>
                <w:sz w:val="24"/>
                <w:highlight w:val="none"/>
              </w:rPr>
              <w:t>主要投标产品（单一</w:t>
            </w:r>
            <w:r>
              <w:rPr>
                <w:rFonts w:hint="eastAsia" w:ascii="仿宋" w:hAnsi="仿宋" w:eastAsia="仿宋" w:cs="宋体"/>
                <w:sz w:val="24"/>
                <w:highlight w:val="none"/>
              </w:rPr>
              <w:t>标项</w:t>
            </w:r>
            <w:r>
              <w:rPr>
                <w:rFonts w:hint="eastAsia" w:ascii="仿宋" w:hAnsi="仿宋" w:eastAsia="仿宋" w:cs="宋体"/>
                <w:bCs/>
                <w:sz w:val="24"/>
                <w:highlight w:val="none"/>
              </w:rPr>
              <w:t>的投标报价或产品项号数占三分之一及以上）为政府采购环境标志产品的，得1分（以有效的政府采购环境标志产品认证证书复印件为准，投标产品需清晰反映在证书上）。</w:t>
            </w:r>
            <w:bookmarkEnd w:id="176"/>
          </w:p>
        </w:tc>
      </w:tr>
      <w:tr w14:paraId="27F6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20" w:type="dxa"/>
            <w:gridSpan w:val="5"/>
            <w:tcBorders>
              <w:top w:val="single" w:color="auto" w:sz="4" w:space="0"/>
              <w:left w:val="single" w:color="auto" w:sz="4" w:space="0"/>
              <w:bottom w:val="single" w:color="auto" w:sz="4" w:space="0"/>
              <w:right w:val="single" w:color="auto" w:sz="4" w:space="0"/>
            </w:tcBorders>
            <w:vAlign w:val="center"/>
          </w:tcPr>
          <w:p w14:paraId="642068A2">
            <w:pPr>
              <w:spacing w:line="460" w:lineRule="exact"/>
              <w:rPr>
                <w:rFonts w:hint="eastAsia" w:ascii="仿宋" w:hAnsi="仿宋" w:eastAsia="仿宋" w:cs="宋体"/>
                <w:b/>
                <w:bCs/>
                <w:sz w:val="24"/>
                <w:highlight w:val="none"/>
              </w:rPr>
            </w:pPr>
            <w:r>
              <w:rPr>
                <w:rFonts w:hint="eastAsia" w:ascii="仿宋" w:hAnsi="仿宋" w:eastAsia="仿宋" w:cs="宋体"/>
                <w:b/>
                <w:bCs/>
                <w:sz w:val="24"/>
                <w:highlight w:val="none"/>
              </w:rPr>
              <w:t>总得分=1+2+3</w:t>
            </w:r>
            <w:r>
              <w:rPr>
                <w:rFonts w:hint="eastAsia" w:ascii="仿宋" w:hAnsi="仿宋" w:eastAsia="仿宋" w:cs="宋体"/>
                <w:b/>
                <w:bCs/>
                <w:sz w:val="24"/>
                <w:highlight w:val="none"/>
                <w:lang w:val="en-US" w:eastAsia="zh-CN"/>
              </w:rPr>
              <w:t>+4</w:t>
            </w:r>
            <w:r>
              <w:rPr>
                <w:rFonts w:hint="eastAsia" w:ascii="仿宋" w:hAnsi="仿宋" w:eastAsia="仿宋" w:cs="宋体"/>
                <w:b/>
                <w:bCs/>
                <w:sz w:val="24"/>
                <w:highlight w:val="none"/>
              </w:rPr>
              <w:t>。</w:t>
            </w:r>
          </w:p>
          <w:p w14:paraId="46671157">
            <w:pPr>
              <w:spacing w:line="460" w:lineRule="exact"/>
              <w:rPr>
                <w:rFonts w:hint="eastAsia" w:ascii="仿宋" w:hAnsi="仿宋" w:eastAsia="仿宋" w:cs="宋体"/>
                <w:bCs/>
                <w:sz w:val="24"/>
                <w:highlight w:val="none"/>
              </w:rPr>
            </w:pPr>
            <w:r>
              <w:rPr>
                <w:rFonts w:hint="eastAsia" w:ascii="仿宋" w:hAnsi="仿宋" w:eastAsia="仿宋" w:cs="宋体"/>
                <w:bCs/>
                <w:sz w:val="24"/>
                <w:highlight w:val="none"/>
              </w:rPr>
              <w:t>注：1.计分方法按四舍五入取至百分位；</w:t>
            </w:r>
          </w:p>
          <w:p w14:paraId="1B1D0CC2">
            <w:pPr>
              <w:spacing w:line="460" w:lineRule="exact"/>
              <w:rPr>
                <w:rFonts w:hint="eastAsia" w:ascii="仿宋" w:hAnsi="仿宋" w:eastAsia="仿宋" w:cs="宋体"/>
                <w:bCs/>
                <w:sz w:val="24"/>
                <w:highlight w:val="none"/>
              </w:rPr>
            </w:pPr>
            <w:r>
              <w:rPr>
                <w:rFonts w:hint="eastAsia" w:ascii="仿宋" w:hAnsi="仿宋" w:eastAsia="仿宋" w:cs="宋体"/>
                <w:bCs/>
                <w:sz w:val="24"/>
                <w:highlight w:val="none"/>
              </w:rPr>
              <w:t xml:space="preserve">    2.因落实政府采购政策进行价格调整的，以调整后的价格计算评标基准价和投标报价。</w:t>
            </w:r>
          </w:p>
        </w:tc>
      </w:tr>
    </w:tbl>
    <w:p w14:paraId="2C40D75D">
      <w:pPr>
        <w:pStyle w:val="4"/>
        <w:keepNext w:val="0"/>
        <w:keepLines w:val="0"/>
        <w:spacing w:before="0" w:after="0" w:line="415" w:lineRule="auto"/>
        <w:jc w:val="center"/>
        <w:rPr>
          <w:rFonts w:hint="eastAsia" w:ascii="仿宋" w:hAnsi="仿宋" w:eastAsia="仿宋"/>
          <w:sz w:val="30"/>
          <w:szCs w:val="30"/>
          <w:highlight w:val="none"/>
        </w:rPr>
      </w:pPr>
      <w:r>
        <w:rPr>
          <w:rFonts w:ascii="仿宋" w:hAnsi="仿宋" w:eastAsia="仿宋"/>
          <w:highlight w:val="none"/>
        </w:rPr>
        <w:br w:type="page"/>
      </w:r>
      <w:r>
        <w:rPr>
          <w:rFonts w:hint="eastAsia" w:ascii="仿宋" w:hAnsi="仿宋" w:eastAsia="仿宋"/>
          <w:sz w:val="30"/>
          <w:szCs w:val="30"/>
          <w:highlight w:val="none"/>
        </w:rPr>
        <w:t>四、中标候选人推荐原则</w:t>
      </w:r>
    </w:p>
    <w:p w14:paraId="669C08A3">
      <w:pPr>
        <w:pStyle w:val="25"/>
        <w:rPr>
          <w:rFonts w:hint="eastAsia"/>
          <w:highlight w:val="none"/>
        </w:rPr>
      </w:pPr>
      <w:r>
        <w:rPr>
          <w:rFonts w:hint="eastAsia"/>
          <w:highlight w:val="none"/>
        </w:rPr>
        <w:t>（一）综合评分法</w:t>
      </w:r>
    </w:p>
    <w:p w14:paraId="317057FF">
      <w:pPr>
        <w:pStyle w:val="25"/>
        <w:rPr>
          <w:rFonts w:hint="eastAsia"/>
          <w:highlight w:val="none"/>
        </w:rPr>
      </w:pPr>
      <w:r>
        <w:rPr>
          <w:rFonts w:hint="eastAsia"/>
          <w:highlight w:val="none"/>
        </w:rPr>
        <w:t>评标委员会将根据得分由高到低排列次序（得分相同时，以投标报价由低到高顺序排列；得分相同且投标报价相同的，按技术、商务、政策功能得分由高到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14:paraId="08580C09">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szCs w:val="44"/>
          <w:highlight w:val="none"/>
        </w:rPr>
      </w:pPr>
      <w:r>
        <w:rPr>
          <w:rFonts w:ascii="仿宋" w:hAnsi="仿宋" w:eastAsia="仿宋"/>
          <w:highlight w:val="none"/>
        </w:rPr>
        <w:br w:type="page"/>
      </w:r>
      <w:bookmarkStart w:id="167" w:name="_Toc24990"/>
      <w:r>
        <w:rPr>
          <w:rFonts w:hint="eastAsia" w:ascii="仿宋" w:hAnsi="仿宋" w:eastAsia="仿宋" w:cs="仿宋"/>
          <w:highlight w:val="none"/>
        </w:rPr>
        <w:t>第五章  拟签订的合同文本</w:t>
      </w:r>
      <w:bookmarkEnd w:id="167"/>
    </w:p>
    <w:p w14:paraId="5CE8DCC7">
      <w:pPr>
        <w:snapToGrid w:val="0"/>
        <w:spacing w:line="420" w:lineRule="exact"/>
        <w:ind w:right="480" w:firstLine="480" w:firstLineChars="200"/>
        <w:rPr>
          <w:rFonts w:hint="eastAsia" w:ascii="仿宋" w:hAnsi="仿宋" w:eastAsia="仿宋"/>
          <w:bCs/>
          <w:sz w:val="24"/>
          <w:highlight w:val="none"/>
          <w:u w:val="single"/>
        </w:rPr>
      </w:pPr>
      <w:r>
        <w:rPr>
          <w:rFonts w:hint="eastAsia" w:ascii="仿宋" w:hAnsi="仿宋" w:eastAsia="仿宋"/>
          <w:bCs/>
          <w:sz w:val="24"/>
          <w:highlight w:val="none"/>
        </w:rPr>
        <w:t>合同编号：</w:t>
      </w:r>
    </w:p>
    <w:p w14:paraId="39DFB4DD">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采购人（甲方）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pacing w:val="-20"/>
          <w:sz w:val="24"/>
          <w:highlight w:val="none"/>
        </w:rPr>
        <w:t>采 购 计 划 号</w:t>
      </w:r>
      <w:r>
        <w:rPr>
          <w:rFonts w:hint="eastAsia" w:ascii="仿宋" w:hAnsi="仿宋" w:eastAsia="仿宋"/>
          <w:sz w:val="24"/>
          <w:highlight w:val="none"/>
          <w:u w:val="single"/>
        </w:rPr>
        <w:t xml:space="preserve">             </w:t>
      </w:r>
    </w:p>
    <w:p w14:paraId="432D4792">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供 应 商（乙方）</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hint="eastAsia" w:ascii="仿宋" w:hAnsi="仿宋" w:eastAsia="仿宋"/>
          <w:spacing w:val="-20"/>
          <w:sz w:val="24"/>
          <w:highlight w:val="none"/>
        </w:rPr>
        <w:t>招  标  编  号</w:t>
      </w:r>
      <w:r>
        <w:rPr>
          <w:rFonts w:hint="eastAsia" w:ascii="仿宋" w:hAnsi="仿宋" w:eastAsia="仿宋"/>
          <w:sz w:val="24"/>
          <w:highlight w:val="none"/>
          <w:u w:val="single"/>
        </w:rPr>
        <w:t xml:space="preserve">             </w:t>
      </w:r>
    </w:p>
    <w:p w14:paraId="4DBD0F77">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 xml:space="preserve">签  订  地  点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签 订 时 间</w:t>
      </w:r>
      <w:r>
        <w:rPr>
          <w:rFonts w:hint="eastAsia" w:ascii="仿宋" w:hAnsi="仿宋" w:eastAsia="仿宋"/>
          <w:sz w:val="24"/>
          <w:highlight w:val="none"/>
          <w:u w:val="single"/>
        </w:rPr>
        <w:t xml:space="preserve">             </w:t>
      </w:r>
    </w:p>
    <w:p w14:paraId="69D039E7">
      <w:pPr>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本合同为中小企业预留合同：</w:t>
      </w:r>
      <w:r>
        <w:rPr>
          <w:rFonts w:hint="eastAsia" w:ascii="仿宋" w:hAnsi="仿宋" w:eastAsia="仿宋" w:cs="宋体"/>
          <w:sz w:val="24"/>
          <w:highlight w:val="none"/>
          <w:u w:val="single"/>
        </w:rPr>
        <w:t xml:space="preserve">（否） </w:t>
      </w:r>
      <w:r>
        <w:rPr>
          <w:rFonts w:hint="eastAsia" w:ascii="仿宋" w:hAnsi="仿宋" w:eastAsia="仿宋" w:cs="宋体"/>
          <w:sz w:val="24"/>
          <w:highlight w:val="none"/>
        </w:rPr>
        <w:t>。</w:t>
      </w:r>
    </w:p>
    <w:p w14:paraId="2EA29305">
      <w:pPr>
        <w:snapToGrid w:val="0"/>
        <w:spacing w:line="440" w:lineRule="exact"/>
        <w:ind w:firstLine="480" w:firstLineChars="200"/>
        <w:rPr>
          <w:rFonts w:hint="eastAsia" w:ascii="仿宋" w:hAnsi="仿宋" w:eastAsia="仿宋"/>
          <w:sz w:val="24"/>
          <w:highlight w:val="none"/>
        </w:rPr>
      </w:pPr>
      <w:r>
        <w:rPr>
          <w:rFonts w:hint="eastAsia" w:ascii="仿宋" w:hAnsi="仿宋" w:eastAsia="仿宋"/>
          <w:sz w:val="24"/>
          <w:highlight w:val="none"/>
        </w:rPr>
        <w:t>根据《中华人民共和国政府采购法》、《中华人民共和国民法典》等法律、法规规定，按照招标文件规定条款和中标供应商承诺，甲乙双方签订本合同。</w:t>
      </w:r>
    </w:p>
    <w:p w14:paraId="549E73D6">
      <w:pPr>
        <w:spacing w:line="460" w:lineRule="exact"/>
        <w:ind w:firstLine="482" w:firstLineChars="200"/>
        <w:jc w:val="left"/>
        <w:rPr>
          <w:rFonts w:hint="eastAsia" w:ascii="仿宋" w:hAnsi="仿宋" w:eastAsia="仿宋" w:cs="宋体"/>
          <w:b/>
          <w:sz w:val="24"/>
          <w:highlight w:val="none"/>
        </w:rPr>
      </w:pPr>
      <w:r>
        <w:rPr>
          <w:rFonts w:hint="eastAsia" w:ascii="仿宋" w:hAnsi="仿宋" w:eastAsia="仿宋" w:cs="宋体"/>
          <w:b/>
          <w:sz w:val="24"/>
          <w:highlight w:val="none"/>
        </w:rPr>
        <w:t>1、合同主要条款</w:t>
      </w:r>
    </w:p>
    <w:p w14:paraId="47879393">
      <w:pPr>
        <w:spacing w:line="40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 xml:space="preserve">第一条 合同标的及合同金额 </w:t>
      </w:r>
    </w:p>
    <w:p w14:paraId="58612465">
      <w:pPr>
        <w:spacing w:line="400" w:lineRule="exac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甲方向乙方购买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见下表）；设备配置包括但不限于双方签字（甲方为使用科室签字）确认的清单（清单附后），该配置必须同时满足乙方在投标文件中所有的响应条款以及在采购和商务谈判过程中做出的所有承诺，并综合配置清单、招标文件及投标文件承诺中的条款进行验收。</w:t>
      </w:r>
    </w:p>
    <w:tbl>
      <w:tblPr>
        <w:tblStyle w:val="49"/>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40"/>
        <w:gridCol w:w="2089"/>
        <w:gridCol w:w="1621"/>
        <w:gridCol w:w="684"/>
        <w:gridCol w:w="529"/>
        <w:gridCol w:w="1153"/>
        <w:gridCol w:w="2402"/>
      </w:tblGrid>
      <w:tr w14:paraId="0958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12AD5E02">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0" w:type="dxa"/>
            <w:tcBorders>
              <w:top w:val="single" w:color="auto" w:sz="4" w:space="0"/>
              <w:left w:val="single" w:color="auto" w:sz="4" w:space="0"/>
              <w:bottom w:val="single" w:color="auto" w:sz="4" w:space="0"/>
              <w:right w:val="single" w:color="auto" w:sz="4" w:space="0"/>
            </w:tcBorders>
            <w:vAlign w:val="center"/>
          </w:tcPr>
          <w:p w14:paraId="282596B6">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货物名称</w:t>
            </w:r>
          </w:p>
        </w:tc>
        <w:tc>
          <w:tcPr>
            <w:tcW w:w="2089" w:type="dxa"/>
            <w:tcBorders>
              <w:top w:val="single" w:color="auto" w:sz="4" w:space="0"/>
              <w:left w:val="single" w:color="auto" w:sz="4" w:space="0"/>
              <w:bottom w:val="single" w:color="auto" w:sz="4" w:space="0"/>
              <w:right w:val="single" w:color="auto" w:sz="4" w:space="0"/>
            </w:tcBorders>
            <w:vAlign w:val="center"/>
          </w:tcPr>
          <w:p w14:paraId="1F929D6F">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生产厂家、品牌、规格型号</w:t>
            </w:r>
          </w:p>
        </w:tc>
        <w:tc>
          <w:tcPr>
            <w:tcW w:w="1621" w:type="dxa"/>
            <w:tcBorders>
              <w:top w:val="single" w:color="auto" w:sz="4" w:space="0"/>
              <w:left w:val="single" w:color="auto" w:sz="4" w:space="0"/>
              <w:bottom w:val="single" w:color="auto" w:sz="4" w:space="0"/>
              <w:right w:val="single" w:color="auto" w:sz="4" w:space="0"/>
            </w:tcBorders>
            <w:vAlign w:val="center"/>
          </w:tcPr>
          <w:p w14:paraId="2AAECE13">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技术参数性能指标等</w:t>
            </w:r>
          </w:p>
        </w:tc>
        <w:tc>
          <w:tcPr>
            <w:tcW w:w="684" w:type="dxa"/>
            <w:tcBorders>
              <w:top w:val="single" w:color="auto" w:sz="4" w:space="0"/>
              <w:left w:val="single" w:color="auto" w:sz="4" w:space="0"/>
              <w:bottom w:val="single" w:color="auto" w:sz="4" w:space="0"/>
              <w:right w:val="single" w:color="auto" w:sz="4" w:space="0"/>
            </w:tcBorders>
            <w:vAlign w:val="center"/>
          </w:tcPr>
          <w:p w14:paraId="12DCC732">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数量①</w:t>
            </w:r>
          </w:p>
        </w:tc>
        <w:tc>
          <w:tcPr>
            <w:tcW w:w="529" w:type="dxa"/>
            <w:tcBorders>
              <w:top w:val="single" w:color="auto" w:sz="4" w:space="0"/>
              <w:left w:val="single" w:color="auto" w:sz="4" w:space="0"/>
              <w:bottom w:val="single" w:color="auto" w:sz="4" w:space="0"/>
              <w:right w:val="single" w:color="auto" w:sz="4" w:space="0"/>
            </w:tcBorders>
            <w:vAlign w:val="center"/>
          </w:tcPr>
          <w:p w14:paraId="54128F10">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单位</w:t>
            </w:r>
          </w:p>
        </w:tc>
        <w:tc>
          <w:tcPr>
            <w:tcW w:w="1153" w:type="dxa"/>
            <w:tcBorders>
              <w:top w:val="single" w:color="auto" w:sz="4" w:space="0"/>
              <w:left w:val="single" w:color="auto" w:sz="4" w:space="0"/>
              <w:bottom w:val="single" w:color="auto" w:sz="4" w:space="0"/>
              <w:right w:val="single" w:color="auto" w:sz="4" w:space="0"/>
            </w:tcBorders>
            <w:vAlign w:val="center"/>
          </w:tcPr>
          <w:p w14:paraId="369FED15">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单价（元）②</w:t>
            </w:r>
          </w:p>
        </w:tc>
        <w:tc>
          <w:tcPr>
            <w:tcW w:w="2402" w:type="dxa"/>
            <w:tcBorders>
              <w:top w:val="single" w:color="auto" w:sz="4" w:space="0"/>
              <w:left w:val="single" w:color="auto" w:sz="4" w:space="0"/>
              <w:bottom w:val="single" w:color="auto" w:sz="4" w:space="0"/>
              <w:right w:val="single" w:color="auto" w:sz="4" w:space="0"/>
            </w:tcBorders>
            <w:vAlign w:val="center"/>
          </w:tcPr>
          <w:p w14:paraId="74821952">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单项合计 =数量×单价＝①×②</w:t>
            </w:r>
          </w:p>
        </w:tc>
      </w:tr>
      <w:tr w14:paraId="78C8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6FD585A9">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0" w:type="dxa"/>
            <w:tcBorders>
              <w:top w:val="single" w:color="auto" w:sz="4" w:space="0"/>
              <w:left w:val="single" w:color="auto" w:sz="4" w:space="0"/>
              <w:bottom w:val="single" w:color="auto" w:sz="4" w:space="0"/>
              <w:right w:val="single" w:color="auto" w:sz="4" w:space="0"/>
            </w:tcBorders>
            <w:vAlign w:val="center"/>
          </w:tcPr>
          <w:p w14:paraId="44BAC976">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14:paraId="51DA46AD">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14:paraId="711CC43F">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14:paraId="2BD65AF2">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14:paraId="04C31E1D">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78F8BB8F">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14:paraId="4CF987E3">
            <w:pPr>
              <w:spacing w:line="400" w:lineRule="exact"/>
              <w:jc w:val="center"/>
              <w:rPr>
                <w:rFonts w:hint="eastAsia" w:ascii="仿宋" w:hAnsi="仿宋" w:eastAsia="仿宋" w:cs="仿宋"/>
                <w:sz w:val="24"/>
                <w:highlight w:val="none"/>
              </w:rPr>
            </w:pPr>
          </w:p>
        </w:tc>
      </w:tr>
      <w:tr w14:paraId="35BB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1495E595">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0" w:type="dxa"/>
            <w:tcBorders>
              <w:top w:val="single" w:color="auto" w:sz="4" w:space="0"/>
              <w:left w:val="single" w:color="auto" w:sz="4" w:space="0"/>
              <w:bottom w:val="single" w:color="auto" w:sz="4" w:space="0"/>
              <w:right w:val="single" w:color="auto" w:sz="4" w:space="0"/>
            </w:tcBorders>
            <w:vAlign w:val="center"/>
          </w:tcPr>
          <w:p w14:paraId="60BB8018">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14:paraId="22121CB2">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14:paraId="12EDF007">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14:paraId="14D392A3">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14:paraId="2232AD62">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1607817B">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14:paraId="20EF307F">
            <w:pPr>
              <w:spacing w:line="400" w:lineRule="exact"/>
              <w:jc w:val="center"/>
              <w:rPr>
                <w:rFonts w:hint="eastAsia" w:ascii="仿宋" w:hAnsi="仿宋" w:eastAsia="仿宋" w:cs="仿宋"/>
                <w:sz w:val="24"/>
                <w:highlight w:val="none"/>
              </w:rPr>
            </w:pPr>
          </w:p>
        </w:tc>
      </w:tr>
      <w:tr w14:paraId="50F3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7E3549DE">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840" w:type="dxa"/>
            <w:tcBorders>
              <w:top w:val="single" w:color="auto" w:sz="4" w:space="0"/>
              <w:left w:val="single" w:color="auto" w:sz="4" w:space="0"/>
              <w:bottom w:val="single" w:color="auto" w:sz="4" w:space="0"/>
              <w:right w:val="single" w:color="auto" w:sz="4" w:space="0"/>
            </w:tcBorders>
            <w:vAlign w:val="center"/>
          </w:tcPr>
          <w:p w14:paraId="67921467">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14:paraId="27B974E0">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14:paraId="3120E55A">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14:paraId="79510193">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14:paraId="26D656DE">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3D7372FE">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14:paraId="70944F0D">
            <w:pPr>
              <w:spacing w:line="400" w:lineRule="exact"/>
              <w:jc w:val="center"/>
              <w:rPr>
                <w:rFonts w:hint="eastAsia" w:ascii="仿宋" w:hAnsi="仿宋" w:eastAsia="仿宋" w:cs="仿宋"/>
                <w:sz w:val="24"/>
                <w:highlight w:val="none"/>
              </w:rPr>
            </w:pPr>
          </w:p>
        </w:tc>
      </w:tr>
      <w:tr w14:paraId="3A06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444" w:type="dxa"/>
            <w:gridSpan w:val="7"/>
            <w:tcBorders>
              <w:top w:val="single" w:color="auto" w:sz="4" w:space="0"/>
              <w:left w:val="single" w:color="auto" w:sz="4" w:space="0"/>
              <w:bottom w:val="single" w:color="auto" w:sz="4" w:space="0"/>
              <w:right w:val="single" w:color="auto" w:sz="4" w:space="0"/>
            </w:tcBorders>
            <w:vAlign w:val="center"/>
          </w:tcPr>
          <w:p w14:paraId="4F2796CF">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2402" w:type="dxa"/>
            <w:tcBorders>
              <w:top w:val="single" w:color="auto" w:sz="4" w:space="0"/>
              <w:left w:val="single" w:color="auto" w:sz="4" w:space="0"/>
              <w:bottom w:val="single" w:color="auto" w:sz="4" w:space="0"/>
              <w:right w:val="single" w:color="auto" w:sz="4" w:space="0"/>
            </w:tcBorders>
            <w:vAlign w:val="center"/>
          </w:tcPr>
          <w:p w14:paraId="426F37F0">
            <w:pPr>
              <w:spacing w:line="400" w:lineRule="exact"/>
              <w:jc w:val="center"/>
              <w:rPr>
                <w:rFonts w:hint="eastAsia" w:ascii="仿宋" w:hAnsi="仿宋" w:eastAsia="仿宋" w:cs="仿宋"/>
                <w:sz w:val="24"/>
                <w:highlight w:val="none"/>
              </w:rPr>
            </w:pPr>
          </w:p>
        </w:tc>
      </w:tr>
    </w:tbl>
    <w:p w14:paraId="57B00470">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sz w:val="24"/>
          <w:highlight w:val="none"/>
        </w:rPr>
        <w:t>根据《中标通知书》的中标内容，合同的总金额为：（大写）</w:t>
      </w:r>
      <w:r>
        <w:rPr>
          <w:rFonts w:hint="eastAsia" w:ascii="仿宋" w:hAnsi="仿宋" w:eastAsia="仿宋" w:cs="仿宋"/>
          <w:bCs/>
          <w:sz w:val="24"/>
          <w:highlight w:val="none"/>
        </w:rPr>
        <w:t>人民币</w:t>
      </w:r>
      <w:r>
        <w:rPr>
          <w:rFonts w:hint="eastAsia" w:ascii="仿宋" w:hAnsi="仿宋" w:eastAsia="仿宋" w:cs="仿宋"/>
          <w:bCs/>
          <w:sz w:val="24"/>
          <w:highlight w:val="none"/>
          <w:u w:val="single"/>
        </w:rPr>
        <w:t>（</w:t>
      </w:r>
      <w:r>
        <w:rPr>
          <w:rFonts w:ascii="Calibri" w:hAnsi="Calibri" w:eastAsia="仿宋" w:cs="Calibri"/>
          <w:bCs/>
          <w:sz w:val="24"/>
          <w:highlight w:val="none"/>
          <w:u w:val="single"/>
        </w:rPr>
        <w:t>¥</w:t>
      </w:r>
      <w:r>
        <w:rPr>
          <w:rFonts w:hint="eastAsia" w:ascii="仿宋" w:hAnsi="仿宋" w:eastAsia="仿宋" w:cs="仿宋"/>
          <w:bCs/>
          <w:sz w:val="24"/>
          <w:highlight w:val="none"/>
          <w:u w:val="single"/>
        </w:rPr>
        <w:t xml:space="preserve">     </w:t>
      </w:r>
      <w:r>
        <w:rPr>
          <w:rFonts w:ascii="仿宋" w:hAnsi="仿宋" w:eastAsia="仿宋" w:cs="仿宋"/>
          <w:bCs/>
          <w:sz w:val="24"/>
          <w:highlight w:val="none"/>
          <w:u w:val="single"/>
        </w:rPr>
        <w:t xml:space="preserve"> </w:t>
      </w:r>
      <w:r>
        <w:rPr>
          <w:rFonts w:hint="eastAsia" w:ascii="仿宋" w:hAnsi="仿宋" w:eastAsia="仿宋" w:cs="仿宋"/>
          <w:bCs/>
          <w:sz w:val="24"/>
          <w:highlight w:val="none"/>
          <w:u w:val="single"/>
        </w:rPr>
        <w:t xml:space="preserve">    元）</w:t>
      </w:r>
      <w:r>
        <w:rPr>
          <w:rFonts w:hint="eastAsia" w:ascii="仿宋" w:hAnsi="仿宋" w:eastAsia="仿宋" w:cs="仿宋"/>
          <w:bCs/>
          <w:sz w:val="24"/>
          <w:highlight w:val="none"/>
        </w:rPr>
        <w:t xml:space="preserve"> 。</w:t>
      </w:r>
    </w:p>
    <w:p w14:paraId="6A92DFA2">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第二条  质量保证</w:t>
      </w:r>
    </w:p>
    <w:p w14:paraId="3B2B7727">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1.乙方所提供的货物型号、技术规格、技术参数等质量必须与投标文件的承诺相一致。乙方提供的自主创新产品、节能和环保产品必须是列入政府采购清单的产品。</w:t>
      </w:r>
    </w:p>
    <w:p w14:paraId="1AD00311">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2.乙方所提供的货物必须是全新、未使用的原装产品，且在正常安装、使用和保养条件下，其使用寿命期内各项指标均达到质量要求。</w:t>
      </w:r>
    </w:p>
    <w:p w14:paraId="087964EB">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3.如在使用过程中发生质量问题，乙方在接到甲方通知后在按乙方投标文件中承诺的不超过招标要求的响应时间小时内到达甲方现场处理。</w:t>
      </w:r>
    </w:p>
    <w:p w14:paraId="75892FDE">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4.乙方提供货物的免费保修期为自交货物验收合格之日起</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年（企业备案标准厂家规定免费保修期超过年的，按厂家规定，“采购需求”有规定的，按规定执行）。</w:t>
      </w:r>
    </w:p>
    <w:p w14:paraId="00072A9B">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在免费保修期内，乙方应对货物出现的质量及安全问题负责处理解决并承担一切费用。在免费保修期内因货物本身的质量问题发生故障，乙方应负责免费修理和更换零部件。乙方同意，对达不到技术要求者，根据实际情况，甲方可以要求乙方按以下办法处理：</w:t>
      </w:r>
    </w:p>
    <w:p w14:paraId="51CD3ACA">
      <w:pPr>
        <w:spacing w:line="400" w:lineRule="exact"/>
        <w:ind w:left="412" w:leftChars="196"/>
        <w:rPr>
          <w:rFonts w:hint="eastAsia" w:ascii="仿宋" w:hAnsi="仿宋" w:eastAsia="仿宋" w:cs="仿宋"/>
          <w:sz w:val="24"/>
          <w:highlight w:val="none"/>
        </w:rPr>
      </w:pPr>
      <w:r>
        <w:rPr>
          <w:rFonts w:hint="eastAsia" w:ascii="仿宋" w:hAnsi="仿宋" w:eastAsia="仿宋" w:cs="仿宋"/>
          <w:sz w:val="24"/>
          <w:highlight w:val="none"/>
        </w:rPr>
        <w:t>（1）更换：由乙方承担所发生的全部费用。</w:t>
      </w:r>
    </w:p>
    <w:p w14:paraId="10051EF0">
      <w:pPr>
        <w:spacing w:line="400" w:lineRule="exact"/>
        <w:ind w:left="412" w:leftChars="196"/>
        <w:rPr>
          <w:rFonts w:hint="eastAsia" w:ascii="仿宋" w:hAnsi="仿宋" w:eastAsia="仿宋" w:cs="仿宋"/>
          <w:sz w:val="24"/>
          <w:highlight w:val="none"/>
        </w:rPr>
      </w:pPr>
      <w:r>
        <w:rPr>
          <w:rFonts w:hint="eastAsia" w:ascii="仿宋" w:hAnsi="仿宋" w:eastAsia="仿宋" w:cs="仿宋"/>
          <w:sz w:val="24"/>
          <w:highlight w:val="none"/>
        </w:rPr>
        <w:t>（2）贬值处理：由甲乙双方合议定价。</w:t>
      </w:r>
    </w:p>
    <w:p w14:paraId="56FC53FD">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（3）退货处理：乙方应退还甲方支付的合同款，同时应承担该货物的直接费用（运输、保险、检验、贷款利息及银行手续费等）。</w:t>
      </w:r>
    </w:p>
    <w:p w14:paraId="525F143E">
      <w:pPr>
        <w:snapToGrid w:val="0"/>
        <w:spacing w:line="400" w:lineRule="exac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6.乙方应按投标文件承诺的货物规格型号、技术参数、质量标准等向甲方提供未经使用的全新原装产品（包括产品的零部件），且在正常安装使用和保养条件下，其使用寿命期内各项指标均达到质量标准。乙方提供的节能和环境标志产品必须是列入现行政府采购清单目录内的产品。</w:t>
      </w:r>
    </w:p>
    <w:p w14:paraId="6A262A66">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第三条  权利保证</w:t>
      </w:r>
    </w:p>
    <w:p w14:paraId="0BE7789D">
      <w:pPr>
        <w:spacing w:line="400" w:lineRule="exact"/>
        <w:ind w:firstLine="470" w:firstLineChars="196"/>
        <w:rPr>
          <w:rFonts w:hint="eastAsia" w:ascii="仿宋" w:hAnsi="仿宋" w:eastAsia="仿宋" w:cs="仿宋"/>
          <w:b/>
          <w:bCs/>
          <w:sz w:val="24"/>
          <w:highlight w:val="none"/>
        </w:rPr>
      </w:pPr>
      <w:r>
        <w:rPr>
          <w:rFonts w:hint="eastAsia" w:ascii="仿宋" w:hAnsi="仿宋" w:eastAsia="仿宋" w:cs="仿宋"/>
          <w:sz w:val="24"/>
          <w:highlight w:val="none"/>
        </w:rPr>
        <w:t>1.乙方应保证所提供货物在使用时不会侵犯任何第三方的专利权、商标权、著作权在内的知识产权或其他权利。如果甲方因此遭受任何第三方的索赔、诉讼或任何权利请求，乙方有义务以买方名义自费处理纠纷，并承担所有法律和经济责任。</w:t>
      </w:r>
    </w:p>
    <w:p w14:paraId="38192C4C">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2.乙方应按招标文件规定的时间向甲方提供使用货物的有关技术资料。</w:t>
      </w:r>
    </w:p>
    <w:p w14:paraId="198E854E">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3.乙方保证所交付的货物的所有权完全属于乙方，且无任何抵押、质押、查封等物权瑕疵，乙方保证对乙方所交付的货物享有完全的处分权。</w:t>
      </w:r>
    </w:p>
    <w:p w14:paraId="7E771446">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保证对本合同项下产品及其配件在合同期内拥有完全知识产权或知识产权授权，对于所涉及的第三方知识产权予以了充分的尊重和依法保护，乙方为本合同所提供的相关产品均不存在知识产权方面的瑕疵，否则乙方应对甲方因使用乙方产品导致任何第三方向甲方提起知识产权索赔要求、诉讼或其他侵权指控行为承担全部责任（包括甲方因此造成的直接和间接的损失赔偿）。</w:t>
      </w:r>
    </w:p>
    <w:p w14:paraId="4BD3E3AE">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乙方保证对本合同项下产品拥有完全的销售权利（包括但不限于代理经营权等），如因为乙方原因导致无法供货，甲方可单方解除合同。乙方应当承担本合同总金额20%的违约责任，且应当承担甲方全部损失，包括但不限于重新采购、使用替代产品等。</w:t>
      </w:r>
    </w:p>
    <w:p w14:paraId="3B3CCABB">
      <w:pPr>
        <w:spacing w:line="400" w:lineRule="exact"/>
        <w:ind w:firstLine="470" w:firstLineChars="196"/>
        <w:rPr>
          <w:rFonts w:hint="eastAsia" w:ascii="仿宋" w:hAnsi="仿宋" w:eastAsia="仿宋" w:cs="仿宋"/>
          <w:b/>
          <w:bCs/>
          <w:sz w:val="24"/>
          <w:highlight w:val="none"/>
        </w:rPr>
      </w:pPr>
      <w:r>
        <w:rPr>
          <w:rFonts w:hint="eastAsia" w:ascii="仿宋" w:hAnsi="仿宋" w:eastAsia="仿宋" w:cs="仿宋"/>
          <w:sz w:val="24"/>
          <w:highlight w:val="none"/>
        </w:rPr>
        <w:t>6.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DD081E5">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第四条  货物包装、运输</w:t>
      </w:r>
    </w:p>
    <w:p w14:paraId="06F5B28E">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1.乙方应在货物发运前对其进行满足运输距离、防潮、防震、防锈和防破损装卸等要求的包装，以保证货物安全运达甲方指定地点。</w:t>
      </w:r>
    </w:p>
    <w:p w14:paraId="45ADACCD">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2.使用中文说明书（货物属于进口产品的，供货时应同时附上中文使用说明书）、质量检验证明书、随配附件和工具以及清单一并附随货物送达。</w:t>
      </w:r>
    </w:p>
    <w:p w14:paraId="700A088A">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3.乙方在货物发运手续办理完毕后二十四小时内或货到甲方四十八小时前通知甲方，以准备接货。</w:t>
      </w:r>
    </w:p>
    <w:p w14:paraId="6C871069">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4.货物在交付甲方前发生的全部风险和责任均由乙方负责承担，甲方对此不负责任。</w:t>
      </w:r>
    </w:p>
    <w:p w14:paraId="76A5FEF7">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第五条  交付</w:t>
      </w:r>
    </w:p>
    <w:p w14:paraId="522CB46D">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1.交付使用日期：自本合同签订之日起</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日历天；地点：</w:t>
      </w:r>
      <w:r>
        <w:rPr>
          <w:rFonts w:hint="eastAsia" w:ascii="仿宋" w:hAnsi="仿宋" w:eastAsia="仿宋" w:cs="仿宋"/>
          <w:sz w:val="24"/>
          <w:highlight w:val="none"/>
          <w:u w:val="single"/>
        </w:rPr>
        <w:t>甲方指定地点，</w:t>
      </w:r>
      <w:r>
        <w:rPr>
          <w:rFonts w:hint="eastAsia" w:ascii="仿宋" w:hAnsi="仿宋" w:eastAsia="仿宋" w:cs="仿宋"/>
          <w:sz w:val="24"/>
          <w:highlight w:val="none"/>
        </w:rPr>
        <w:t>该交付日为绝对交付日，即乙方已经充分考虑交付前的相关风险等原因，乙方确认货物将在该交付日在甲方的指定地点交付给甲方。</w:t>
      </w:r>
    </w:p>
    <w:p w14:paraId="3397CA52">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2.乙方提供不符合招投标和招标文件及本合同规定的货物，甲方有权拒绝接受。</w:t>
      </w:r>
    </w:p>
    <w:p w14:paraId="6CB5D54C">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应将所有提供货物的装箱清单、用户手册、原厂保修卡、随机资料、工具和备用、备件等交付给甲方，货物属于进口产品的，供货时应同时附上中文使用说明书，如有缺失应及时补齐，补齐时间由甲方规定的时间为准，否则视为逾期交货。</w:t>
      </w:r>
    </w:p>
    <w:p w14:paraId="54831C83">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第六条  调试和验收</w:t>
      </w:r>
    </w:p>
    <w:p w14:paraId="0DEF3CC3">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1.乙方交货前应对产品做出全面的检查和对验收文件进行整理，并列出清单，作为甲方验收和使用的技术条件依据，验收的结果应随货物交甲方。</w:t>
      </w:r>
    </w:p>
    <w:p w14:paraId="43011A86">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甲方依据招标文件要求、投标文件的承诺和国家有关质量标准对货物进行现场初步验收，外观、说明书符合招标文件技术要求的，给予签收，初步验收不合格的不予签收。货到后，甲方应当在设备（含附件）全部安装到位、调试完好、相关培训结束后七个工作日内进行验收。验收合格后由甲乙双方签署货物验收单并加</w:t>
      </w:r>
      <w:r>
        <w:rPr>
          <w:rFonts w:hint="eastAsia" w:ascii="仿宋" w:hAnsi="仿宋" w:eastAsia="仿宋" w:cs="仿宋"/>
          <w:bCs/>
          <w:sz w:val="24"/>
          <w:highlight w:val="none"/>
          <w:lang w:eastAsia="zh-CN"/>
        </w:rPr>
        <w:t>盖CA公章</w:t>
      </w:r>
      <w:r>
        <w:rPr>
          <w:rFonts w:hint="eastAsia" w:ascii="仿宋" w:hAnsi="仿宋" w:eastAsia="仿宋" w:cs="仿宋"/>
          <w:bCs/>
          <w:sz w:val="24"/>
          <w:highlight w:val="none"/>
        </w:rPr>
        <w:t>，甲乙双方各执一份。</w:t>
      </w:r>
    </w:p>
    <w:p w14:paraId="5199C94D">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3.甲方对乙方提供的货物在使用前进行调试和试用时，乙方需负责安装并培训甲方的使用操作人员，并协助甲方人员一起调试，乙方对于培训质量负责直到符合技术要求，甲方才做最终验收。</w:t>
      </w:r>
    </w:p>
    <w:p w14:paraId="4540F528">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4.对技术复杂的货物（“技术复杂的货物”以甲方定义为准），甲方可以请国家认可的专业检测机构参与初步验收及最终验收，并由其出具质量检测报告。进口设备必须提供货物清关记录，具备省级（或相当于省级）商检部门的检验证明。甲方针对技术复杂的货物可以按照以下流程进行初步验收及最终验收：</w:t>
      </w:r>
    </w:p>
    <w:p w14:paraId="17F88A75">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（1）货物在乙方通知安装调试完毕后七个工作日内初步验收。初步验收合格后，进入一个月试用期；试用期间发生重大质量问题，修复后重新起计试用期；试用期结束后七个工作日内完成最终验收；</w:t>
      </w:r>
    </w:p>
    <w:p w14:paraId="4C1ABA3E">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按招标文件“采购需求”要求的验收标准与本合同约定标准进行验收。甲乙双方如对质量要求和技术指标的约定标准有相互抵触或异议的事项，由甲方在招标文件与投标文件中，按质量要求和技术指标比较优胜的原则，确定该项的约定标准进行验收；</w:t>
      </w:r>
    </w:p>
    <w:p w14:paraId="3914315B">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0D2A8DC">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（4）如货物经乙方2次维修仍不能达到合同约定的质量标准，甲方有权更换新机或者退货，如退货，视作乙方不能交付货物，乙方应当支付赔偿金赔偿甲方的实际损失并且向甲方承担合同总金额20%的违约责任。 </w:t>
      </w:r>
    </w:p>
    <w:p w14:paraId="7F14C607">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（5）验收结束后，应当出具验收书，列明各项标准的验收情况及项目总体评价，由验收双方共同签署。</w:t>
      </w:r>
    </w:p>
    <w:p w14:paraId="13D30D17">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5.验收时乙方必须在现场，验收完毕后作出验收结果报告，验收费用及产生的相关费用由乙方全部负担。</w:t>
      </w:r>
    </w:p>
    <w:p w14:paraId="339AA74A">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6.甲方对验收有异议的，在验收后五个工作日内以书面形式向乙方提出，乙方应自收到甲方书面异议后3日内及时予以解决。</w:t>
      </w:r>
    </w:p>
    <w:p w14:paraId="45939623">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7.乙方供货时必须向甲方提供招标文件中约定的证明材料，否则不予验收。如有委托代理人，乙方必须提供：①关于本项目的授权委托书（授权需要含有授权事由、权限范围、时间期限、法定代表人签字、写上日期并且</w:t>
      </w:r>
      <w:r>
        <w:rPr>
          <w:rFonts w:hint="eastAsia" w:ascii="仿宋" w:hAnsi="仿宋" w:eastAsia="仿宋" w:cs="仿宋"/>
          <w:sz w:val="24"/>
          <w:highlight w:val="none"/>
          <w:lang w:eastAsia="zh-CN"/>
        </w:rPr>
        <w:t>盖CA公章</w:t>
      </w:r>
      <w:r>
        <w:rPr>
          <w:rFonts w:hint="eastAsia" w:ascii="仿宋" w:hAnsi="仿宋" w:eastAsia="仿宋" w:cs="仿宋"/>
          <w:sz w:val="24"/>
          <w:highlight w:val="none"/>
        </w:rPr>
        <w:t>）；②被委托人/被授权人的身份证彩色扫描打印件（加</w:t>
      </w:r>
      <w:r>
        <w:rPr>
          <w:rFonts w:hint="eastAsia" w:ascii="仿宋" w:hAnsi="仿宋" w:eastAsia="仿宋" w:cs="仿宋"/>
          <w:sz w:val="24"/>
          <w:highlight w:val="none"/>
          <w:lang w:eastAsia="zh-CN"/>
        </w:rPr>
        <w:t>盖CA公章</w:t>
      </w:r>
      <w:r>
        <w:rPr>
          <w:rFonts w:hint="eastAsia" w:ascii="仿宋" w:hAnsi="仿宋" w:eastAsia="仿宋" w:cs="仿宋"/>
          <w:sz w:val="24"/>
          <w:highlight w:val="none"/>
        </w:rPr>
        <w:t>）；③法定代表人身份证扫描件（加</w:t>
      </w:r>
      <w:r>
        <w:rPr>
          <w:rFonts w:hint="eastAsia" w:ascii="仿宋" w:hAnsi="仿宋" w:eastAsia="仿宋" w:cs="仿宋"/>
          <w:sz w:val="24"/>
          <w:highlight w:val="none"/>
          <w:lang w:eastAsia="zh-CN"/>
        </w:rPr>
        <w:t>盖CA公章</w:t>
      </w:r>
      <w:r>
        <w:rPr>
          <w:rFonts w:hint="eastAsia" w:ascii="仿宋" w:hAnsi="仿宋" w:eastAsia="仿宋" w:cs="仿宋"/>
          <w:sz w:val="24"/>
          <w:highlight w:val="none"/>
        </w:rPr>
        <w:t>）。</w:t>
      </w:r>
    </w:p>
    <w:p w14:paraId="3241300B">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8.供货时，乙方必须提供全新的原装正品，符合有关质量标准的产品；乙方所提供的货物规格、技术标准等质量必须与采购需求及投标文件中承诺的参数一致。甲方将委托具有检测资质的第三方检测机构，邀请相关专家，根据招标文件要求及投标文件承诺，逐条对应进行现场核验。核验不合格的，乙方应在3个工作日内进行更换。乙方未按要求进行更换或再次验收不合格的，甲方有权解除合同，同时报相关监督管理部门处理，由此造成甲方损失的由乙方负责承担全部赔偿责任和本合同总金额20%的违约金，甲方有权处理已进场的产品。如有异议，将交由具有检测资质的第三方检测机构邀请相关专家进行实际检验，以实测值为准，所有产生的费用由乙方承担。验收完成后乙方须提供完整的安装、操作、使用和维护手册及设备位置图等所有技术资料、图纸。</w:t>
      </w:r>
    </w:p>
    <w:p w14:paraId="3712A103">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第七条  安装和培训</w:t>
      </w:r>
    </w:p>
    <w:p w14:paraId="69393913">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1.甲方应提供必要安装条件（如场地、电源、水源等）。</w:t>
      </w:r>
    </w:p>
    <w:p w14:paraId="678AEBB9">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设备到达甲方使用科室后，乙方负责派工程师免费安装、调试机器，并在甲方指定时间地点，培训甲方工作人员，直至熟练掌握设备的操作、日常维护保养技能为止。乙方负责提供针对甲方维修工程师的现场操作、维修、维护培训服务。乙方负责免费安装，甲方不再支付任何与安装相关费用。乙方安装完毕后立即清理包装等残留垃圾，不准在甲方场所内堆放，一旦发现，甲方有权要求乙方支付合同金额10%的违约金。</w:t>
      </w:r>
    </w:p>
    <w:p w14:paraId="74C55472">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第八条  售后服务约定</w:t>
      </w:r>
    </w:p>
    <w:p w14:paraId="0D40CC31">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1.乙方应按照国家有关法律规定和“三包”规定以及招标文件要求、乙方投标文件承诺为甲方提供售后服务。</w:t>
      </w:r>
    </w:p>
    <w:p w14:paraId="480C78F8">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2.按国家有关产品“三包”规定执行“三包”，产品免费保修期为：</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，以上免费保修期均自交货验收合格之日起计算。</w:t>
      </w:r>
    </w:p>
    <w:p w14:paraId="6AAB8E6A">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3.送货上门、安装调试合格，向甲方提供培训服务，直至甲方相关人员熟练使用为止。</w:t>
      </w:r>
    </w:p>
    <w:p w14:paraId="07B1698A">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4.免费保修要求：</w:t>
      </w:r>
    </w:p>
    <w:p w14:paraId="502125A1">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（1）免费保修期内定期上门检查、上门维修。在使用过程中若产品发生质量问题或故障，在接到甲方通知后个</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小时内响应，</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小时内到达故障现场处理，一般故障处理时限不超过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小时修复；重大故障处理时限不超过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小时修复（不可抗力情况除外）。如遇更换配件或其它特殊原因短时间内无法解决的（故障发生后的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无法修复），应向甲方提供备用产品以保障甲方工作的正常开展，如无法提供备用产品的，则按实际停止使用时间的7倍顺延保修期（如停止使用1天，保修期则在原有保修年限基础上加7天，停止使用2天则加14天，停3天则加21天，以此类推）。保修期第一年内设备正常运行率低于95％[计算公式：设备正常运行率=（365-实际停机时间）÷365×100%]则无条件退货（退货后的责任承担问题参照本合同第6条第4款中（4）项中相关规定。）维修中如需要更换配件的，要求更换的配件应跟被更换的品牌、类型相一致或者是同类同档次的替代品，后者需提供相应证明文件并征得甲方同意。</w:t>
      </w:r>
    </w:p>
    <w:p w14:paraId="5E9EBF36">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（2）若产品自带软件的，则须提供免费保修期内提供软件升级服务。</w:t>
      </w:r>
    </w:p>
    <w:p w14:paraId="779FE124">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3）乙方如将设备运离甲方处进行维修，须事先征得甲方设备管理部门和临床使用科室的同意，并留下书面字据。免费保修期内厂家应每年对设备进行1-2次的巡回检修，并出具检修报告。由设备本身原因产生的医疗事故、医疗纠纷、安全事故等由乙方负责。</w:t>
      </w:r>
    </w:p>
    <w:p w14:paraId="6AC36C83">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（4）签订合同时，由厂家提供的保修承诺作为合同的附件，效力与合同正文一致。乙方保证厂家提供的保修承诺与乙方承诺的售后服务条款并行有效。</w:t>
      </w:r>
    </w:p>
    <w:p w14:paraId="28A6D13E">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第九条  税费</w:t>
      </w:r>
    </w:p>
    <w:p w14:paraId="57874DBA">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本合同执行中相关的一切税费均由乙方自行全部负担。</w:t>
      </w:r>
    </w:p>
    <w:p w14:paraId="63DDA86C">
      <w:pPr>
        <w:spacing w:line="400" w:lineRule="exact"/>
        <w:ind w:firstLine="472" w:firstLineChars="196"/>
        <w:rPr>
          <w:rFonts w:hint="eastAsia" w:ascii="仿宋" w:hAnsi="仿宋" w:eastAsia="仿宋" w:cs="仿宋"/>
          <w:sz w:val="24"/>
          <w:highlight w:val="none"/>
        </w:rPr>
      </w:pPr>
      <w:r>
        <w:rPr>
          <w:rFonts w:hint="eastAsia" w:ascii="仿宋" w:hAnsi="仿宋" w:eastAsia="仿宋" w:cs="仿宋"/>
          <w:b/>
          <w:bCs/>
          <w:sz w:val="24"/>
          <w:highlight w:val="none"/>
        </w:rPr>
        <w:t>第十条 履约保证金</w:t>
      </w:r>
    </w:p>
    <w:p w14:paraId="2C568863">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1.履约保证金金额按合同金额的</w:t>
      </w:r>
      <w:r>
        <w:rPr>
          <w:rFonts w:ascii="仿宋" w:hAnsi="仿宋" w:eastAsia="仿宋" w:cs="仿宋"/>
          <w:sz w:val="24"/>
          <w:highlight w:val="none"/>
          <w:u w:val="single"/>
        </w:rPr>
        <w:t xml:space="preserve">     </w:t>
      </w:r>
      <w:r>
        <w:rPr>
          <w:rFonts w:hint="eastAsia" w:ascii="仿宋" w:hAnsi="仿宋" w:eastAsia="仿宋" w:cs="仿宋"/>
          <w:sz w:val="24"/>
          <w:highlight w:val="none"/>
        </w:rPr>
        <w:t>%交纳（人民币，四舍五入到元，如为中型企业中标的按合同金额的2%交纳，如为小微企业中标的则免收履约保证金），乙方于签订合同前将履约保证金以支票、汇票、本票或者金融机构、担保机构出具的保函等非现金形式提交至甲方。</w:t>
      </w:r>
    </w:p>
    <w:p w14:paraId="6DFE899D">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2.履约保证金形式：以支票、汇票、本票或者金融机构、担保机构出具的保函等非现金形式。</w:t>
      </w:r>
    </w:p>
    <w:p w14:paraId="1AFFE6EE">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3.履约保证金递交时间：乙方于中标通知书发出之日起8个工作日内且在签订合同前将履约保证金提交至甲方，否则，甲方有权不予签订合同。</w:t>
      </w:r>
    </w:p>
    <w:p w14:paraId="4A3473B3">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按合同约定交货、安装调试验收完毕交付甲方使用后，凭《政府采购项目合同验收书》和履约保证金交纳凭证向甲方申请办理退还手续，甲方不得额外要求乙方提交其他证明材料，并应当自收到退还资料之日起5个工作日内退还其履约保证金（无息）。如乙方不按双方签订的合同规定履约，则没收其全部履约保证金，履约保证金不足以赔偿损失的，按实际损失赔偿。</w:t>
      </w:r>
    </w:p>
    <w:p w14:paraId="26EE4BC8">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5.在履约保证金到期退还前，若乙方的开户名称、开户银行、账号有变动的，以书面形式通知甲方，否则由此产生的后果由乙方自负。</w:t>
      </w:r>
    </w:p>
    <w:p w14:paraId="140B5882">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第十一条 付款方式</w:t>
      </w:r>
    </w:p>
    <w:p w14:paraId="0B2278E9">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color w:val="auto"/>
          <w:kern w:val="0"/>
          <w:sz w:val="24"/>
          <w:highlight w:val="none"/>
        </w:rPr>
        <w:t>设备安装调试并经采购人验收合格后，中标供应商开具足额发票给采购人，采购人收到发票后</w:t>
      </w:r>
      <w:r>
        <w:rPr>
          <w:rFonts w:hint="eastAsia" w:ascii="仿宋" w:hAnsi="仿宋" w:eastAsia="仿宋" w:cs="仿宋"/>
          <w:color w:val="auto"/>
          <w:kern w:val="0"/>
          <w:sz w:val="24"/>
          <w:highlight w:val="none"/>
          <w:lang w:val="en-US" w:eastAsia="zh-CN"/>
        </w:rPr>
        <w:t>15个工作日内支付</w:t>
      </w:r>
      <w:r>
        <w:rPr>
          <w:rFonts w:hint="eastAsia" w:ascii="仿宋" w:hAnsi="仿宋" w:eastAsia="仿宋" w:cs="仿宋"/>
          <w:bCs/>
          <w:color w:val="auto"/>
          <w:sz w:val="24"/>
          <w:szCs w:val="24"/>
          <w:highlight w:val="none"/>
        </w:rPr>
        <w:t>合同总金额的100%（无息）。</w:t>
      </w:r>
    </w:p>
    <w:p w14:paraId="038CBE09">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第十二条  违约责任</w:t>
      </w:r>
    </w:p>
    <w:p w14:paraId="082E44D7">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1.乙方所提供的货物规格、技术标准、材料等质量不合格的，应及时更换，更换不及时的按逾期交货处理，乙方应向甲方支付合同金额</w:t>
      </w:r>
      <w:r>
        <w:rPr>
          <w:rFonts w:hint="eastAsia" w:ascii="仿宋" w:hAnsi="仿宋" w:eastAsia="仿宋" w:cs="仿宋"/>
          <w:sz w:val="24"/>
          <w:highlight w:val="none"/>
          <w:u w:val="single"/>
        </w:rPr>
        <w:t>　30　</w:t>
      </w:r>
      <w:r>
        <w:rPr>
          <w:rFonts w:hint="eastAsia" w:ascii="仿宋" w:hAnsi="仿宋" w:eastAsia="仿宋" w:cs="仿宋"/>
          <w:sz w:val="24"/>
          <w:highlight w:val="none"/>
        </w:rPr>
        <w:t>%违约金并赔偿甲方经济损失。</w:t>
      </w:r>
    </w:p>
    <w:p w14:paraId="028AEA12">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2.乙方提供的货物如果侵犯了第三方合法权益而引发的任何纠纷或诉讼，均由乙方负责交涉并承担全部责任，如果累及甲方，需赔偿甲方的损失（包括处理费用）。</w:t>
      </w:r>
    </w:p>
    <w:p w14:paraId="56A74A1A">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3.因包装、运输引起的货物损坏，按质量不合格处理。</w:t>
      </w:r>
    </w:p>
    <w:p w14:paraId="551F4D80">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4.乙方逾期交货的，每天向对方偿付违约货款额</w:t>
      </w:r>
      <w:r>
        <w:rPr>
          <w:rFonts w:hint="eastAsia" w:ascii="仿宋" w:hAnsi="仿宋" w:eastAsia="仿宋" w:cs="仿宋"/>
          <w:sz w:val="24"/>
          <w:highlight w:val="none"/>
          <w:u w:val="single"/>
        </w:rPr>
        <w:t>5‰</w:t>
      </w:r>
      <w:r>
        <w:rPr>
          <w:rFonts w:hint="eastAsia" w:ascii="仿宋" w:hAnsi="仿宋" w:eastAsia="仿宋" w:cs="仿宋"/>
          <w:sz w:val="24"/>
          <w:highlight w:val="none"/>
        </w:rPr>
        <w:t>违约金，但违约金累计不得超过违约货款额</w:t>
      </w:r>
      <w:r>
        <w:rPr>
          <w:rFonts w:hint="eastAsia" w:ascii="仿宋" w:hAnsi="仿宋" w:eastAsia="仿宋" w:cs="仿宋"/>
          <w:sz w:val="24"/>
          <w:highlight w:val="none"/>
          <w:u w:val="single"/>
        </w:rPr>
        <w:t>5%</w:t>
      </w:r>
      <w:r>
        <w:rPr>
          <w:rFonts w:hint="eastAsia" w:ascii="仿宋" w:hAnsi="仿宋" w:eastAsia="仿宋" w:cs="仿宋"/>
          <w:sz w:val="24"/>
          <w:highlight w:val="none"/>
        </w:rPr>
        <w:t>，超过</w:t>
      </w:r>
      <w:r>
        <w:rPr>
          <w:rFonts w:hint="eastAsia" w:ascii="仿宋" w:hAnsi="仿宋" w:eastAsia="仿宋" w:cs="仿宋"/>
          <w:sz w:val="24"/>
          <w:highlight w:val="none"/>
          <w:u w:val="single"/>
        </w:rPr>
        <w:t xml:space="preserve"> 5 天</w:t>
      </w:r>
      <w:r>
        <w:rPr>
          <w:rFonts w:hint="eastAsia" w:ascii="仿宋" w:hAnsi="仿宋" w:eastAsia="仿宋" w:cs="仿宋"/>
          <w:sz w:val="24"/>
          <w:highlight w:val="none"/>
        </w:rPr>
        <w:t>甲方有权解除合同，乙方承担甲方损失，包括但不限于甲方为维护权利而支付的律师费、诉讼费、保全费、财产保全保险费、鉴定费、交通费、食宿费等费用。</w:t>
      </w:r>
    </w:p>
    <w:p w14:paraId="6198041C">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5.乙方未按本合同和投标文件中规定的服务承诺提供售后服务的，甲方有权要求解除合同或者继续履行合同，同时乙方应按本合同合计金额 30%向甲方支付违约金并赔偿甲方经济损失，乙方还应承担甲方为维护权利而支付的律师费、诉讼费、保全费、财产保全保险费、鉴定费、交通费、食宿费等费用。</w:t>
      </w:r>
    </w:p>
    <w:p w14:paraId="42FA71C1">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6.若商品存在设计、工艺或材料的缺陷，且这些缺陷使得商品无法正常使用，乙方应当负责维修或更换；若维修不能解决问题，乙方应退还商品价格并承担由此导致的其他合理费用。</w:t>
      </w:r>
    </w:p>
    <w:p w14:paraId="3F2318C9">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7.乙方存在其它违约行为，乙方应向甲方支付违约货款额30%违约金并赔偿甲方经济损失，包括但不限于甲方为维护权利而支付的律师费、诉讼费、保全费、财产保全保险费、鉴定费、交通费、食宿费等费用。</w:t>
      </w:r>
    </w:p>
    <w:p w14:paraId="05875B1E">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8.因乙方的行为造成违约的，甲方有权解除合同或者继续履行合同，乙方还应承担甲方为维护权利而支付的律师费、诉讼费、保全费、财产保全保险费、鉴定费、交通费、食宿费等费用。</w:t>
      </w:r>
    </w:p>
    <w:p w14:paraId="3FE4ECFA">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9.违约方造成对方损害的，应当赔偿损失。如未能按期支付相关违约金等，乙方同意按两倍同期银行贷款利率向甲方支付此违约金的利息，甲方有权利以货款抵扣违约金及利息。解除通知的送达方式包括但不限于：书面手递送达、邮政快递送达、电子邮件送达、短信送达等。送达地址为本合同列明的地址，自解除通知发出之日起7个自然日后视为送达。</w:t>
      </w:r>
    </w:p>
    <w:p w14:paraId="4B1204F4">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第十三条  不可抗力事件处理</w:t>
      </w:r>
    </w:p>
    <w:p w14:paraId="7469D911">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合同有效期内，乙方因不可抗力事件导致不能履行合同，则合同履行期可延长，其延长期与不可抗力影响期相同。不可抗力事件包括但不限于自然灾害、战争、政府行为等无法预见且无法避免并无法克服的外力事件。乙方在不可抗力事件发生后，应立即以书面形式通知甲方，并在15日内提供由公证机构出具的与不可抗力事件相关的证明。</w:t>
      </w:r>
    </w:p>
    <w:p w14:paraId="16A6C358">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2.不可抗力事件发生后，应立即通知对方，并寄送有关权威机构出具的证明。</w:t>
      </w:r>
    </w:p>
    <w:p w14:paraId="026E780F">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3.不可抗力事件延续一百二十天以上，双方应通过友好协商，确定是否继续履行合同。</w:t>
      </w:r>
    </w:p>
    <w:p w14:paraId="4B161D86">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第十四条  合同争议解决</w:t>
      </w:r>
    </w:p>
    <w:p w14:paraId="15B00730">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1.因货物质量问题发生争议的，应邀请国家认可的质量检测机构对货物质量进行鉴定。货物符合标准的，鉴定费由甲方承担；货物不符合标准的，鉴定费由乙方承担。</w:t>
      </w:r>
    </w:p>
    <w:p w14:paraId="08B56941">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2.因履行本合同引起的或与本合同有关的争议，甲乙双方应首先通过友好协商解决，如果协商不能解决，可向甲方所在地有管辖权的人民法院起诉。</w:t>
      </w:r>
    </w:p>
    <w:p w14:paraId="2D0234C1">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3.诉讼期间，本合同继续履行。</w:t>
      </w:r>
    </w:p>
    <w:p w14:paraId="61B69C2A">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第十五条  合同生效及其他</w:t>
      </w:r>
    </w:p>
    <w:p w14:paraId="7D734A8C">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1.本合同履行期限为：；合同履行地点为：</w:t>
      </w:r>
      <w:r>
        <w:rPr>
          <w:rFonts w:hint="eastAsia" w:ascii="仿宋" w:hAnsi="仿宋" w:eastAsia="仿宋" w:cs="仿宋"/>
          <w:sz w:val="24"/>
          <w:highlight w:val="none"/>
          <w:u w:val="single"/>
        </w:rPr>
        <w:t>甲方指定地点</w:t>
      </w:r>
      <w:r>
        <w:rPr>
          <w:rFonts w:hint="eastAsia" w:ascii="仿宋" w:hAnsi="仿宋" w:eastAsia="仿宋" w:cs="仿宋"/>
          <w:sz w:val="24"/>
          <w:highlight w:val="none"/>
        </w:rPr>
        <w:t>；合同履行的方式：</w:t>
      </w:r>
      <w:r>
        <w:rPr>
          <w:rFonts w:hint="eastAsia" w:ascii="仿宋" w:hAnsi="仿宋" w:eastAsia="仿宋" w:cs="仿宋"/>
          <w:sz w:val="24"/>
          <w:highlight w:val="none"/>
          <w:u w:val="single"/>
        </w:rPr>
        <w:t>按照本合同约定</w:t>
      </w:r>
      <w:r>
        <w:rPr>
          <w:rFonts w:hint="eastAsia" w:ascii="仿宋" w:hAnsi="仿宋" w:eastAsia="仿宋" w:cs="仿宋"/>
          <w:sz w:val="24"/>
          <w:highlight w:val="none"/>
        </w:rPr>
        <w:t>。</w:t>
      </w:r>
    </w:p>
    <w:p w14:paraId="45418A5E">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2.合同经甲乙双方法定代表人或相应的授权代表签字并加盖供应商公章后生效。</w:t>
      </w:r>
    </w:p>
    <w:p w14:paraId="3EA755D4">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3.合同执行中涉及采购资金和采购内容修改或补充的，需经财政部门审批，并签订书面补充协议报</w:t>
      </w:r>
      <w:r>
        <w:rPr>
          <w:rFonts w:hint="eastAsia" w:ascii="仿宋" w:hAnsi="仿宋" w:eastAsia="仿宋" w:cs="仿宋"/>
          <w:sz w:val="24"/>
          <w:highlight w:val="none"/>
          <w:lang w:val="en-US" w:eastAsia="zh-CN"/>
        </w:rPr>
        <w:t>兴安县</w:t>
      </w:r>
      <w:r>
        <w:rPr>
          <w:rFonts w:hint="eastAsia" w:ascii="仿宋" w:hAnsi="仿宋" w:eastAsia="仿宋" w:cs="仿宋"/>
          <w:sz w:val="24"/>
          <w:highlight w:val="none"/>
        </w:rPr>
        <w:t>政府采购监督管理办公室备案，方可作为主合同不可分割的一部分。</w:t>
      </w:r>
    </w:p>
    <w:p w14:paraId="38290DF9">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4.本合同未尽事宜，遵照《中华人民共和国民法典》及有关条文执行。</w:t>
      </w:r>
    </w:p>
    <w:p w14:paraId="34AA2BAF">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第十六条  合同的变更、终止与转让</w:t>
      </w:r>
    </w:p>
    <w:p w14:paraId="07E053D8">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1.除《中华人民共和国政府采购法》第五十条规定的情形外，本合同一经签订，甲乙双方不得擅自变更，中止或终止。</w:t>
      </w:r>
    </w:p>
    <w:p w14:paraId="4516103E">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不得未经甲方书面同意，擅自转让其应履行的合同义务。违反此条款的，甲方有权解除合同，并要求乙方承担本合同总金额20%的违约责任。原则上，对于无进口资格的供应商，不得签订与进口产品相关的合同。如遇特殊情况，经甲方书面认可，对于无进口资格的供应商转委托有进口资格第三方进口货物的行为，应该在保证货物进口质量和进口时间的前提下进行，并且乙方应与第三方承担连带责任。</w:t>
      </w:r>
    </w:p>
    <w:p w14:paraId="43FDB866">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3.合同期内，未经甲方同意，乙方供货义务不得转让给第三人，否则，甲方可以单方解除本合同。本合同项下乙方收取货款的权利，未经甲方同意，不得转让。</w:t>
      </w:r>
    </w:p>
    <w:p w14:paraId="12BF7258">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第十七条  合同解除</w:t>
      </w:r>
    </w:p>
    <w:p w14:paraId="3FDD8BB1">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乙方如有下列情形之一的，甲方有权解除合同，并要求乙方支付违约金，并赔偿损失：</w:t>
      </w:r>
    </w:p>
    <w:p w14:paraId="5B0CA144">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1.在合同期内甲方有权对乙方的售后服务质量、响应及时性、货物质量等进行不定期考核，甲方评价乙方考核不合格的；</w:t>
      </w:r>
    </w:p>
    <w:p w14:paraId="3F041737">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服务期内如乙方出现（1）犯罪行为；（2）被行政执法机关处以吊销营业执照、取消资质、责令停业、行政罚款金额较大（叁万元人民币以上）、暂扣安全生产许可证；（3）财务被接管或冻结情况的。包括但不限于偷税漏税、虚假宣传、商业欺诈、商业贿赂、非法生产等商业不良行为；</w:t>
      </w:r>
    </w:p>
    <w:p w14:paraId="778948F7">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3.乙方在合同签署前未主动告知甲方其在合同签署前三年之内有本条第2款中的行为的；</w:t>
      </w:r>
    </w:p>
    <w:p w14:paraId="5B1417EF">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4.乙方处于司法诉讼中且甲方认为乙方存在经营风险或专利侵权风险等可能影响合同履行的情形。</w:t>
      </w:r>
    </w:p>
    <w:p w14:paraId="0F7067C3">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5.因乙方原因，未按期交货一次以上，含专机专用试剂耗材（如有）；或未按招标文件、投标文件及合同规定履行服务承诺一次以上；</w:t>
      </w:r>
    </w:p>
    <w:p w14:paraId="02D15E77">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 其他解除情形依照本合同约定。</w:t>
      </w:r>
    </w:p>
    <w:p w14:paraId="541AD67A">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第十八条 专机专用试剂/耗材声明与承诺</w:t>
      </w:r>
    </w:p>
    <w:p w14:paraId="4A096F05">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试剂/耗材是指某类设备所配套使用的持续消耗品，包括但不限于试剂、校准品、质控品、电极模块、清洗保养品、消耗品等设备日常运作、维修、维护所需要全部材料，专机专用试剂/耗材是指在上述基础上符合下列条件之一的：</w:t>
      </w:r>
    </w:p>
    <w:p w14:paraId="542E6894">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1）仅有唯一生产厂家（包括但不限于设备制造商、试剂/耗材生产商等）自行配套生产的；</w:t>
      </w:r>
    </w:p>
    <w:p w14:paraId="3506B527">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2）其他生产厂家不生产或其他产品无法替代的；</w:t>
      </w:r>
    </w:p>
    <w:p w14:paraId="75BF27D1">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注：如甲乙方对本合同项下产品是否包含专机专用试剂/耗材产生争议，不包含专机专用试剂/耗材的举证责任归乙方承担，适用举证责任倒置。</w:t>
      </w:r>
    </w:p>
    <w:p w14:paraId="234FFB2B">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承诺，本合同项下全部设备专机专用试剂耗材在本合同签订前的招投标过程中已向甲方以特别提醒的方式明示（是否提醒甲方由乙方承担举证责任）并在投标文件中明示单次完整使用之消耗量及对应价格。如未明示的，则表示乙方确认专机专用试剂耗材由乙方永久不限量免费提供，该部分试剂耗材价格已计入设备款之中，甲方已经一次性支付完毕。</w:t>
      </w:r>
    </w:p>
    <w:p w14:paraId="0476C87A">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乙方承诺，如若甲方选择乙方供应专机专用耗材，则乙方提供的价格不高于桂林市三级甲等医院相同产品或类似产品的价格。</w:t>
      </w:r>
    </w:p>
    <w:p w14:paraId="7D7D14B1">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专机专用试剂耗材提供方式为：以甲方相关部门书面、电话形式向乙方合同首部载明的联系方式发送通知为准，书面形式包括纸质订单和数据电文（包括电传、传真、电子数据交换、电子邮件、短信、微信、qq）等可以有形地表现所载内容的形式。以数据电文订货的，电文发送成功之日为订单送达日，如电话通知则以乙方接通甲方订货电话之时起视为送达。具体订货信息以书面内容为准，如甲方当面口头或电话、书面订单对有关种类、数量等内容通知不明确的，则以该订货通知发送之日起7个工作日内甲方实际收货内部登记（包括系统数据及人工登记）为准；甲方以上述任意一种方式向乙方订货，视为甲方已经完成了订货及通知义务。自甲方通知送达之日起计算交货期，如延期交货应承担违约责任。</w:t>
      </w:r>
    </w:p>
    <w:p w14:paraId="25F45835">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专机专用试剂耗材交货时间：自订单送达之日起2个自然日内。如乙方未按合同规定时间将产品运到甲方指定地点或未按约定时间送到全部产品（经甲方书面同意允许延期交货的产品除外），每延期一日，乙方应向甲方支付本合同总货款3%的违约金，上不封顶。</w:t>
      </w:r>
    </w:p>
    <w:p w14:paraId="39B182ED">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本条款效力在本合同终止、解除后依然有效。</w:t>
      </w:r>
    </w:p>
    <w:p w14:paraId="710F98A5">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第十九条 反商业贿赂条款</w:t>
      </w:r>
    </w:p>
    <w:p w14:paraId="5E025755">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1.甲乙双方都清楚并愿意严格遵守中华人民共和国反商业贿赂的法律规定，双方都清楚任何形式的贿赂和贪渎行为都将触犯法律，并将受到法律的严惩。</w:t>
      </w:r>
    </w:p>
    <w:p w14:paraId="36EC7645">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甲方或乙方均不得向对方或对方经办人或其他相关人员索要、收受、提供、给予合同约定外的任何利益，包括但不限于明扣、暗扣、现金、购物卡、实物、有价证券、旅游或其他非物质性利益等，但如该等利益属于行业惯例或通常做法，则须在合同中明示。</w:t>
      </w:r>
    </w:p>
    <w:p w14:paraId="1629B48D">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3.甲方严格禁止甲方经办人员的任何商业贿赂行为。甲方经办人发生本条第二款所列示的任何一种行为，都是违反甲方制度的，都将受到甲方制度和国家法律的惩处。</w:t>
      </w:r>
    </w:p>
    <w:p w14:paraId="5EDA7D02">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4.甲方郑重提示：甲方反对乙方或乙方经办人员为了本合同之目的与本合同以外的任何第三方发生本条第二款所列示的任何一种行为，该等行为都是违反国家法律的行为，并将受到国家法律的惩处。</w:t>
      </w:r>
    </w:p>
    <w:p w14:paraId="2E50FFD6">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5.如因一方或一方经办人涉嫌违反第二十条第2点、第3点、第4点之规定，相对方均有权中止合同；如经司法机关调查后其商业贿赂行为属实，则相对方有权解除合同，造成守约方损失的，应承担损害赔偿责任。</w:t>
      </w:r>
    </w:p>
    <w:p w14:paraId="070DC5CF">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6.本条所称“其他相关人员”是指甲乙方经办人以外的与合同有直接或间接利益关系的人员，包括但不仅限于合同经办人的亲友。</w:t>
      </w:r>
    </w:p>
    <w:p w14:paraId="467AE289">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第二十条  签订本合同时包括但不限于以下文件，以下文件属于本合同的依据和附件，具有与合同正文同等的法律效力：</w:t>
      </w:r>
    </w:p>
    <w:p w14:paraId="33098077">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1.合同主要条款； </w:t>
      </w:r>
    </w:p>
    <w:p w14:paraId="6E3DB2E6">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2.采购需求；</w:t>
      </w:r>
    </w:p>
    <w:p w14:paraId="59956F03">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3.投标函、</w:t>
      </w:r>
      <w:r>
        <w:rPr>
          <w:rFonts w:hint="eastAsia" w:ascii="仿宋" w:hAnsi="仿宋" w:eastAsia="仿宋" w:cs="仿宋"/>
          <w:sz w:val="24"/>
          <w:highlight w:val="none"/>
        </w:rPr>
        <w:t>投标报价表、易损件报价表（如有）</w:t>
      </w:r>
      <w:r>
        <w:rPr>
          <w:rFonts w:hint="eastAsia" w:ascii="仿宋" w:hAnsi="仿宋" w:eastAsia="仿宋" w:cs="仿宋"/>
          <w:bCs/>
          <w:sz w:val="24"/>
          <w:highlight w:val="none"/>
        </w:rPr>
        <w:t>；</w:t>
      </w:r>
    </w:p>
    <w:p w14:paraId="34C500A8">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4.</w:t>
      </w:r>
      <w:r>
        <w:rPr>
          <w:rFonts w:hint="eastAsia" w:ascii="仿宋" w:hAnsi="仿宋" w:eastAsia="仿宋" w:cs="仿宋"/>
          <w:sz w:val="24"/>
          <w:highlight w:val="none"/>
        </w:rPr>
        <w:t>技术偏离表、</w:t>
      </w:r>
      <w:r>
        <w:rPr>
          <w:rFonts w:hint="eastAsia" w:ascii="仿宋" w:hAnsi="仿宋" w:eastAsia="仿宋" w:cs="仿宋"/>
          <w:bCs/>
          <w:sz w:val="24"/>
          <w:highlight w:val="none"/>
        </w:rPr>
        <w:t>商</w:t>
      </w:r>
      <w:r>
        <w:rPr>
          <w:rFonts w:hint="eastAsia" w:ascii="仿宋" w:hAnsi="仿宋" w:eastAsia="仿宋" w:cs="仿宋"/>
          <w:sz w:val="24"/>
          <w:highlight w:val="none"/>
        </w:rPr>
        <w:t>务响应表</w:t>
      </w:r>
      <w:r>
        <w:rPr>
          <w:rFonts w:hint="eastAsia" w:ascii="仿宋" w:hAnsi="仿宋" w:eastAsia="仿宋" w:cs="仿宋"/>
          <w:bCs/>
          <w:sz w:val="24"/>
          <w:highlight w:val="none"/>
        </w:rPr>
        <w:t xml:space="preserve">； </w:t>
      </w:r>
    </w:p>
    <w:p w14:paraId="47747BDE">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5.厂家售后服务承诺书（盖厂家公章，如有）； </w:t>
      </w:r>
    </w:p>
    <w:p w14:paraId="024B5271">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6.乙方设备安装方案、售后服务实施方案（盖乙方公章）；</w:t>
      </w:r>
    </w:p>
    <w:p w14:paraId="712D9BDF">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7.产品配置清单（盖乙方公章）；</w:t>
      </w:r>
    </w:p>
    <w:p w14:paraId="2987B5A0">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8.法定代表人授权委托书（详情见第六条第8款）；</w:t>
      </w:r>
    </w:p>
    <w:p w14:paraId="5AA7009F">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9.中标单位注册证（三证合一）；</w:t>
      </w:r>
    </w:p>
    <w:p w14:paraId="4D2C7492">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10.产品代理授权书（如有，请提供。1.授权书必须加盖厂家的公章2.有上级代理的，还应当提供上级代理公司出具的授权，授权必须加盖上级代理公司的公章3.授权链条务必完整）；</w:t>
      </w:r>
    </w:p>
    <w:p w14:paraId="1CFCD61D">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11.医疗器械注册证（详情见第六条第7款，如不属于医疗器械或依法不需要相关注册证，请提供证据证明）；</w:t>
      </w:r>
    </w:p>
    <w:p w14:paraId="30863DD8">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12.廉洁协议；</w:t>
      </w:r>
    </w:p>
    <w:p w14:paraId="744E281F">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13.中标通知书。</w:t>
      </w:r>
    </w:p>
    <w:p w14:paraId="29D77778">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 xml:space="preserve">本项目的招标文件及投标文件均作为本合同的附件之一，效力等同于本合同正文。如有双方均认可的有利于甲方的条款更改或增加（如乙方出具的书面优惠承诺书等），则以更改或增加后的条款为准。 </w:t>
      </w:r>
    </w:p>
    <w:p w14:paraId="0B362271">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本合同甲乙双方签字盖章后生效，一式柒份，具有同等法律效力，甲方四份、乙方一份，政府采购合同双方自签订之日起 1 个工作日内将合同原件二份交采购代理机构。</w:t>
      </w:r>
    </w:p>
    <w:p w14:paraId="24430E21">
      <w:pPr>
        <w:spacing w:line="400" w:lineRule="exact"/>
        <w:rPr>
          <w:rFonts w:hint="eastAsia" w:ascii="仿宋" w:hAnsi="仿宋" w:eastAsia="仿宋" w:cs="仿宋"/>
          <w:sz w:val="24"/>
          <w:highlight w:val="none"/>
        </w:rPr>
      </w:pPr>
    </w:p>
    <w:p w14:paraId="7A6EDB23">
      <w:pPr>
        <w:spacing w:line="400" w:lineRule="exact"/>
        <w:rPr>
          <w:rFonts w:hint="eastAsia" w:ascii="仿宋" w:hAnsi="仿宋" w:eastAsia="仿宋" w:cs="仿宋"/>
          <w:sz w:val="24"/>
          <w:highlight w:val="none"/>
        </w:rPr>
      </w:pPr>
      <w:r>
        <w:rPr>
          <w:rFonts w:hint="eastAsia" w:ascii="仿宋" w:hAnsi="仿宋" w:eastAsia="仿宋" w:cs="仿宋"/>
          <w:sz w:val="24"/>
          <w:highlight w:val="none"/>
        </w:rPr>
        <w:t>（以下无正文）</w:t>
      </w:r>
    </w:p>
    <w:p w14:paraId="15757CC0">
      <w:pPr>
        <w:spacing w:line="400" w:lineRule="exact"/>
        <w:rPr>
          <w:rFonts w:hint="eastAsia" w:ascii="仿宋" w:hAnsi="仿宋" w:eastAsia="仿宋" w:cs="仿宋"/>
          <w:kern w:val="0"/>
          <w:sz w:val="24"/>
          <w:highlight w:val="none"/>
        </w:rPr>
      </w:pPr>
    </w:p>
    <w:p w14:paraId="0F24DD2A">
      <w:pPr>
        <w:spacing w:line="400" w:lineRule="exact"/>
        <w:rPr>
          <w:rFonts w:hint="eastAsia" w:ascii="仿宋" w:hAnsi="仿宋" w:eastAsia="仿宋" w:cs="仿宋"/>
          <w:sz w:val="24"/>
          <w:highlight w:val="none"/>
          <w:u w:val="single"/>
        </w:rPr>
      </w:pPr>
      <w:r>
        <w:rPr>
          <w:rFonts w:hint="eastAsia" w:ascii="仿宋" w:hAnsi="仿宋" w:eastAsia="仿宋" w:cs="仿宋"/>
          <w:kern w:val="0"/>
          <w:sz w:val="24"/>
          <w:highlight w:val="none"/>
        </w:rPr>
        <w:t>甲方（公章）：</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乙方（公章）：</w:t>
      </w:r>
      <w:r>
        <w:rPr>
          <w:rFonts w:hint="eastAsia" w:ascii="仿宋" w:hAnsi="仿宋" w:eastAsia="仿宋" w:cs="仿宋"/>
          <w:kern w:val="0"/>
          <w:sz w:val="24"/>
          <w:highlight w:val="none"/>
          <w:u w:val="single"/>
        </w:rPr>
        <w:t xml:space="preserve">                                </w:t>
      </w:r>
    </w:p>
    <w:p w14:paraId="0F498D86">
      <w:pPr>
        <w:widowControl/>
        <w:spacing w:line="400" w:lineRule="exact"/>
        <w:ind w:left="5040" w:hanging="5040" w:hangingChars="2100"/>
        <w:jc w:val="left"/>
        <w:rPr>
          <w:rFonts w:hint="eastAsia" w:ascii="仿宋" w:hAnsi="仿宋" w:eastAsia="仿宋" w:cs="仿宋"/>
          <w:sz w:val="24"/>
          <w:highlight w:val="none"/>
          <w:u w:val="single"/>
        </w:rPr>
      </w:pPr>
      <w:r>
        <w:rPr>
          <w:rFonts w:hint="eastAsia" w:ascii="仿宋" w:hAnsi="仿宋" w:eastAsia="仿宋" w:cs="仿宋"/>
          <w:kern w:val="0"/>
          <w:sz w:val="24"/>
          <w:highlight w:val="none"/>
        </w:rPr>
        <w:t>法定代表人签字：</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法定代表人签字：</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2712DE98">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委托代理人：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委托代理人：</w:t>
      </w:r>
      <w:r>
        <w:rPr>
          <w:rFonts w:hint="eastAsia" w:ascii="仿宋" w:hAnsi="仿宋" w:eastAsia="仿宋" w:cs="仿宋"/>
          <w:kern w:val="0"/>
          <w:sz w:val="24"/>
          <w:highlight w:val="none"/>
          <w:u w:val="single"/>
        </w:rPr>
        <w:t xml:space="preserve">                                  </w:t>
      </w:r>
    </w:p>
    <w:p w14:paraId="14F677F2">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电 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电 话：</w:t>
      </w:r>
      <w:r>
        <w:rPr>
          <w:rFonts w:hint="eastAsia" w:ascii="仿宋" w:hAnsi="仿宋" w:eastAsia="仿宋" w:cs="仿宋"/>
          <w:kern w:val="0"/>
          <w:sz w:val="24"/>
          <w:highlight w:val="none"/>
          <w:u w:val="single"/>
        </w:rPr>
        <w:t xml:space="preserve">                                       </w:t>
      </w:r>
    </w:p>
    <w:p w14:paraId="6A17E2DA">
      <w:pPr>
        <w:widowControl/>
        <w:spacing w:line="400" w:lineRule="exact"/>
        <w:ind w:left="8640" w:hanging="8640" w:hangingChars="3600"/>
        <w:jc w:val="left"/>
        <w:rPr>
          <w:rFonts w:hint="eastAsia" w:ascii="仿宋" w:hAnsi="仿宋" w:eastAsia="仿宋" w:cs="仿宋"/>
          <w:sz w:val="24"/>
          <w:highlight w:val="none"/>
          <w:u w:val="single"/>
        </w:rPr>
      </w:pPr>
      <w:r>
        <w:rPr>
          <w:rFonts w:hint="eastAsia" w:ascii="仿宋" w:hAnsi="仿宋" w:eastAsia="仿宋" w:cs="仿宋"/>
          <w:kern w:val="0"/>
          <w:sz w:val="24"/>
          <w:highlight w:val="none"/>
        </w:rPr>
        <w:t xml:space="preserve">开户名称：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开户名称：</w:t>
      </w:r>
      <w:r>
        <w:rPr>
          <w:rFonts w:hint="eastAsia" w:ascii="仿宋" w:hAnsi="仿宋" w:eastAsia="仿宋" w:cs="仿宋"/>
          <w:kern w:val="0"/>
          <w:sz w:val="24"/>
          <w:highlight w:val="none"/>
          <w:u w:val="single"/>
        </w:rPr>
        <w:t xml:space="preserve">                                    </w:t>
      </w:r>
    </w:p>
    <w:p w14:paraId="180053D1">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开户银行：</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开户银行：</w:t>
      </w:r>
      <w:r>
        <w:rPr>
          <w:rFonts w:hint="eastAsia" w:ascii="仿宋" w:hAnsi="仿宋" w:eastAsia="仿宋" w:cs="仿宋"/>
          <w:sz w:val="24"/>
          <w:highlight w:val="none"/>
          <w:u w:val="single"/>
        </w:rPr>
        <w:t xml:space="preserve">                                    </w:t>
      </w:r>
    </w:p>
    <w:p w14:paraId="7FD180F8">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 xml:space="preserve">银行账号：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银行账号：</w:t>
      </w:r>
      <w:r>
        <w:rPr>
          <w:rFonts w:hint="eastAsia" w:ascii="仿宋" w:hAnsi="仿宋" w:eastAsia="仿宋" w:cs="仿宋"/>
          <w:sz w:val="24"/>
          <w:highlight w:val="none"/>
          <w:u w:val="single"/>
        </w:rPr>
        <w:t xml:space="preserve">                                     </w:t>
      </w:r>
    </w:p>
    <w:p w14:paraId="7B0124F7">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日 期：</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日 期：</w:t>
      </w:r>
      <w:r>
        <w:rPr>
          <w:rFonts w:hint="eastAsia" w:ascii="仿宋" w:hAnsi="仿宋" w:eastAsia="仿宋" w:cs="仿宋"/>
          <w:kern w:val="0"/>
          <w:sz w:val="24"/>
          <w:highlight w:val="none"/>
          <w:u w:val="single"/>
        </w:rPr>
        <w:t xml:space="preserve">                                       </w:t>
      </w:r>
    </w:p>
    <w:p w14:paraId="451E72EA">
      <w:pPr>
        <w:spacing w:line="460" w:lineRule="exact"/>
        <w:jc w:val="left"/>
        <w:rPr>
          <w:rFonts w:hint="eastAsia" w:ascii="仿宋" w:hAnsi="仿宋" w:eastAsia="仿宋" w:cs="宋体"/>
          <w:b/>
          <w:sz w:val="24"/>
          <w:highlight w:val="none"/>
        </w:rPr>
      </w:pPr>
    </w:p>
    <w:p w14:paraId="04B2F4D6">
      <w:pPr>
        <w:adjustRightInd w:val="0"/>
        <w:snapToGrid w:val="0"/>
        <w:spacing w:line="380" w:lineRule="exact"/>
        <w:jc w:val="center"/>
        <w:rPr>
          <w:rFonts w:hint="eastAsia" w:ascii="宋体" w:hAnsi="宋体"/>
          <w:b/>
          <w:sz w:val="32"/>
          <w:szCs w:val="32"/>
          <w:highlight w:val="none"/>
        </w:rPr>
      </w:pPr>
    </w:p>
    <w:p w14:paraId="5C6D1169">
      <w:pPr>
        <w:spacing w:line="460" w:lineRule="exact"/>
        <w:jc w:val="left"/>
        <w:rPr>
          <w:rFonts w:hint="eastAsia" w:ascii="仿宋" w:hAnsi="仿宋" w:eastAsia="仿宋" w:cs="宋体"/>
          <w:b/>
          <w:sz w:val="24"/>
          <w:highlight w:val="none"/>
        </w:rPr>
      </w:pPr>
      <w:r>
        <w:rPr>
          <w:rFonts w:ascii="仿宋" w:hAnsi="仿宋" w:eastAsia="仿宋" w:cs="宋体"/>
          <w:b/>
          <w:sz w:val="24"/>
          <w:highlight w:val="none"/>
        </w:rPr>
        <w:br w:type="page"/>
      </w:r>
    </w:p>
    <w:p w14:paraId="1CDB9584">
      <w:pPr>
        <w:spacing w:line="460" w:lineRule="exact"/>
        <w:jc w:val="center"/>
        <w:rPr>
          <w:rFonts w:hint="eastAsia" w:ascii="仿宋" w:hAnsi="仿宋" w:eastAsia="仿宋" w:cs="宋体"/>
          <w:b/>
          <w:sz w:val="36"/>
          <w:szCs w:val="36"/>
          <w:highlight w:val="none"/>
        </w:rPr>
      </w:pPr>
      <w:r>
        <w:rPr>
          <w:rFonts w:hint="eastAsia" w:ascii="仿宋" w:hAnsi="仿宋" w:eastAsia="仿宋" w:cs="宋体"/>
          <w:b/>
          <w:sz w:val="36"/>
          <w:szCs w:val="36"/>
          <w:highlight w:val="none"/>
        </w:rPr>
        <w:t>医疗卫生机构医药产品廉洁购销合同</w:t>
      </w:r>
    </w:p>
    <w:p w14:paraId="67B5E9CF">
      <w:pPr>
        <w:adjustRightInd w:val="0"/>
        <w:snapToGrid w:val="0"/>
        <w:spacing w:line="380" w:lineRule="exact"/>
        <w:jc w:val="center"/>
        <w:rPr>
          <w:rFonts w:hint="eastAsia" w:ascii="宋体" w:hAnsi="宋体"/>
          <w:b/>
          <w:sz w:val="32"/>
          <w:szCs w:val="32"/>
          <w:highlight w:val="none"/>
        </w:rPr>
      </w:pPr>
    </w:p>
    <w:p w14:paraId="0D4D5CF8">
      <w:pPr>
        <w:spacing w:line="400" w:lineRule="exact"/>
        <w:rPr>
          <w:rFonts w:hint="eastAsia" w:ascii="仿宋" w:hAnsi="仿宋" w:eastAsia="仿宋"/>
          <w:sz w:val="24"/>
          <w:highlight w:val="none"/>
        </w:rPr>
      </w:pPr>
      <w:r>
        <w:rPr>
          <w:rFonts w:hint="eastAsia" w:ascii="仿宋" w:hAnsi="仿宋" w:eastAsia="仿宋"/>
          <w:sz w:val="24"/>
          <w:highlight w:val="none"/>
        </w:rPr>
        <w:t>甲方（采购人）：</w:t>
      </w:r>
    </w:p>
    <w:p w14:paraId="6FF8A453">
      <w:pPr>
        <w:spacing w:line="400" w:lineRule="exact"/>
        <w:rPr>
          <w:rFonts w:hint="eastAsia" w:ascii="仿宋" w:hAnsi="仿宋" w:eastAsia="仿宋"/>
          <w:sz w:val="24"/>
          <w:highlight w:val="none"/>
        </w:rPr>
      </w:pPr>
      <w:r>
        <w:rPr>
          <w:rFonts w:hint="eastAsia" w:ascii="仿宋" w:hAnsi="仿宋" w:eastAsia="仿宋"/>
          <w:sz w:val="24"/>
          <w:highlight w:val="none"/>
        </w:rPr>
        <w:t>乙方（中标人）：</w:t>
      </w:r>
    </w:p>
    <w:p w14:paraId="0FC7CCEC">
      <w:pPr>
        <w:spacing w:line="400" w:lineRule="exact"/>
        <w:rPr>
          <w:rFonts w:hint="eastAsia" w:ascii="仿宋" w:hAnsi="仿宋" w:eastAsia="仿宋"/>
          <w:sz w:val="24"/>
          <w:highlight w:val="none"/>
        </w:rPr>
      </w:pPr>
      <w:r>
        <w:rPr>
          <w:rFonts w:hint="eastAsia" w:ascii="仿宋" w:hAnsi="仿宋" w:eastAsia="仿宋"/>
          <w:sz w:val="24"/>
          <w:highlight w:val="none"/>
        </w:rPr>
        <w:t xml:space="preserve"> </w:t>
      </w:r>
    </w:p>
    <w:p w14:paraId="3018EA4B">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为进一步加强医疗卫生行风建设，规范医疗卫生机构医药购销行为，有效防范商业贿赂行为，营造公平交易、诚实守信的购销环境，经甲、乙双方协商，同意签订本合同，并共同遵守：</w:t>
      </w:r>
    </w:p>
    <w:p w14:paraId="7B2C9AEC">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一、甲乙双方按照《中华人民共和国民法典》及医药产品购销合同约定购销药品、医用设备、医用耗材等医药产品。</w:t>
      </w:r>
    </w:p>
    <w:p w14:paraId="45F2ECB5">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二、甲方应当严格执行医药产品购销合同验收、入库制度，对采购医药产品及发票进行查验，不得违反有关规定合同外采购、违价采购或从非规定渠道采购。</w:t>
      </w:r>
    </w:p>
    <w:p w14:paraId="2DC55516">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DFBFCF4">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四、严禁甲方工作人员利用任何途径和方式，为乙方统计医师个人及临床科室有关医药产品用量信息，或为乙方统计提供便利。</w:t>
      </w:r>
    </w:p>
    <w:p w14:paraId="1A264C16">
      <w:pPr>
        <w:spacing w:line="400" w:lineRule="exact"/>
        <w:ind w:firstLine="480"/>
        <w:rPr>
          <w:rFonts w:hint="eastAsia" w:ascii="仿宋" w:hAnsi="仿宋" w:eastAsia="仿宋"/>
          <w:sz w:val="24"/>
          <w:highlight w:val="none"/>
        </w:rPr>
      </w:pPr>
      <w:r>
        <w:rPr>
          <w:rFonts w:hint="eastAsia" w:ascii="仿宋" w:hAnsi="仿宋" w:eastAsia="仿宋"/>
          <w:sz w:val="24"/>
          <w:highlight w:val="none"/>
        </w:rPr>
        <w:t>五、乙方不得以回扣、宴请等方式影响甲方工作人员采购或使用医药产品的选择权，不得在学术活动中提供旅游、超标准支付食宿费用。</w:t>
      </w:r>
    </w:p>
    <w:p w14:paraId="1E9A7A9C">
      <w:pPr>
        <w:spacing w:line="400" w:lineRule="exact"/>
        <w:ind w:firstLine="480"/>
        <w:rPr>
          <w:rFonts w:hint="eastAsia" w:ascii="仿宋" w:hAnsi="仿宋" w:eastAsia="仿宋"/>
          <w:sz w:val="24"/>
          <w:highlight w:val="none"/>
        </w:rPr>
      </w:pPr>
      <w:r>
        <w:rPr>
          <w:rFonts w:hint="eastAsia" w:ascii="仿宋" w:hAnsi="仿宋" w:eastAsia="仿宋"/>
          <w:sz w:val="24"/>
          <w:highlight w:val="none"/>
        </w:rPr>
        <w:t>六、乙方指定____________洽谈业务。销售代表必须在工作时间到甲方指定地点联系商谈，不得到住院部、门诊部、医技科室等推销医药产品，不得借故到甲方相关领导、部门负责人及相关工作人员家中访谈并提供任何好处费。</w:t>
      </w:r>
    </w:p>
    <w:p w14:paraId="355FFA92">
      <w:pPr>
        <w:spacing w:line="400" w:lineRule="exact"/>
        <w:ind w:firstLine="480"/>
        <w:rPr>
          <w:rFonts w:hint="eastAsia" w:ascii="仿宋" w:hAnsi="仿宋" w:eastAsia="仿宋"/>
          <w:sz w:val="24"/>
          <w:highlight w:val="none"/>
        </w:rPr>
      </w:pPr>
      <w:r>
        <w:rPr>
          <w:rFonts w:hint="eastAsia" w:ascii="仿宋" w:hAnsi="仿宋" w:eastAsia="仿宋"/>
          <w:sz w:val="24"/>
          <w:highlight w:val="none"/>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6493190D">
      <w:pPr>
        <w:spacing w:line="400" w:lineRule="exact"/>
        <w:ind w:firstLine="480"/>
        <w:rPr>
          <w:rFonts w:hint="eastAsia" w:ascii="仿宋" w:hAnsi="仿宋" w:eastAsia="仿宋"/>
          <w:sz w:val="24"/>
          <w:highlight w:val="none"/>
        </w:rPr>
      </w:pPr>
      <w:r>
        <w:rPr>
          <w:rFonts w:hint="eastAsia" w:ascii="仿宋" w:hAnsi="仿宋" w:eastAsia="仿宋"/>
          <w:sz w:val="24"/>
          <w:highlight w:val="none"/>
        </w:rPr>
        <w:t>八、本合同作为医药产品购销合同的重要组成部分，与购销合同一并执行，具有同等的法律效力。</w:t>
      </w:r>
    </w:p>
    <w:p w14:paraId="387623FC">
      <w:pPr>
        <w:spacing w:line="400" w:lineRule="exact"/>
        <w:ind w:firstLine="480"/>
        <w:rPr>
          <w:rFonts w:hint="eastAsia" w:ascii="仿宋" w:hAnsi="仿宋" w:eastAsia="仿宋"/>
          <w:sz w:val="24"/>
          <w:highlight w:val="none"/>
        </w:rPr>
      </w:pPr>
      <w:r>
        <w:rPr>
          <w:rFonts w:hint="eastAsia" w:ascii="仿宋" w:hAnsi="仿宋" w:eastAsia="仿宋"/>
          <w:sz w:val="24"/>
          <w:highlight w:val="none"/>
        </w:rPr>
        <w:t>九、本合同一式三份，甲、乙双方各执一份，甲方纪检监察部门（基层医疗卫生机构上报上级卫生计生行政部门）执一份，并从签订之日起生效。</w:t>
      </w:r>
    </w:p>
    <w:p w14:paraId="70F2032C">
      <w:pPr>
        <w:spacing w:line="400" w:lineRule="exact"/>
        <w:rPr>
          <w:rFonts w:hint="eastAsia" w:ascii="仿宋" w:hAnsi="仿宋" w:eastAsia="仿宋"/>
          <w:sz w:val="24"/>
          <w:highlight w:val="none"/>
        </w:rPr>
      </w:pPr>
      <w:r>
        <w:rPr>
          <w:rFonts w:hint="eastAsia" w:ascii="仿宋" w:hAnsi="仿宋" w:eastAsia="仿宋"/>
          <w:sz w:val="24"/>
          <w:highlight w:val="none"/>
        </w:rPr>
        <w:t xml:space="preserve"> </w:t>
      </w:r>
    </w:p>
    <w:p w14:paraId="34BE22B2">
      <w:pPr>
        <w:spacing w:line="400" w:lineRule="exact"/>
        <w:rPr>
          <w:rFonts w:hint="eastAsia" w:ascii="仿宋" w:hAnsi="仿宋" w:eastAsia="仿宋"/>
          <w:sz w:val="24"/>
          <w:highlight w:val="none"/>
        </w:rPr>
      </w:pPr>
    </w:p>
    <w:p w14:paraId="1750D9FC">
      <w:pPr>
        <w:spacing w:line="400" w:lineRule="exact"/>
        <w:rPr>
          <w:rFonts w:hint="eastAsia" w:ascii="仿宋" w:hAnsi="仿宋" w:eastAsia="仿宋"/>
          <w:sz w:val="24"/>
          <w:highlight w:val="none"/>
        </w:rPr>
      </w:pPr>
      <w:r>
        <w:rPr>
          <w:rFonts w:hint="eastAsia" w:ascii="仿宋" w:hAnsi="仿宋" w:eastAsia="仿宋"/>
          <w:sz w:val="24"/>
          <w:highlight w:val="none"/>
        </w:rPr>
        <w:t xml:space="preserve">甲方（盖章）：                       </w:t>
      </w:r>
      <w:r>
        <w:rPr>
          <w:rFonts w:ascii="仿宋" w:hAnsi="仿宋" w:eastAsia="仿宋"/>
          <w:sz w:val="24"/>
          <w:highlight w:val="none"/>
        </w:rPr>
        <w:t xml:space="preserve"> </w:t>
      </w:r>
      <w:r>
        <w:rPr>
          <w:rFonts w:hint="eastAsia" w:ascii="仿宋" w:hAnsi="仿宋" w:eastAsia="仿宋"/>
          <w:sz w:val="24"/>
          <w:highlight w:val="none"/>
        </w:rPr>
        <w:t>乙方（盖章）：</w:t>
      </w:r>
    </w:p>
    <w:p w14:paraId="7E08665C">
      <w:pPr>
        <w:spacing w:line="400" w:lineRule="exact"/>
        <w:rPr>
          <w:rFonts w:hint="eastAsia" w:ascii="仿宋" w:hAnsi="仿宋" w:eastAsia="仿宋"/>
          <w:sz w:val="24"/>
          <w:highlight w:val="none"/>
        </w:rPr>
      </w:pPr>
      <w:r>
        <w:rPr>
          <w:rFonts w:hint="eastAsia" w:ascii="仿宋" w:hAnsi="仿宋" w:eastAsia="仿宋"/>
          <w:sz w:val="24"/>
          <w:highlight w:val="none"/>
        </w:rPr>
        <w:t>法定代表人：                         法定代表人：</w:t>
      </w:r>
    </w:p>
    <w:p w14:paraId="69E5B880">
      <w:pPr>
        <w:spacing w:line="400" w:lineRule="exact"/>
        <w:rPr>
          <w:rFonts w:hint="eastAsia" w:ascii="仿宋" w:hAnsi="仿宋" w:eastAsia="仿宋"/>
          <w:sz w:val="24"/>
          <w:highlight w:val="none"/>
        </w:rPr>
      </w:pPr>
      <w:r>
        <w:rPr>
          <w:rFonts w:hint="eastAsia" w:ascii="仿宋" w:hAnsi="仿宋" w:eastAsia="仿宋"/>
          <w:sz w:val="24"/>
          <w:highlight w:val="none"/>
        </w:rPr>
        <w:t>经办人签名：                         经办人签名：</w:t>
      </w:r>
    </w:p>
    <w:p w14:paraId="6F0211C4">
      <w:pPr>
        <w:spacing w:line="400" w:lineRule="exact"/>
        <w:ind w:firstLine="720" w:firstLineChars="300"/>
        <w:rPr>
          <w:rFonts w:hint="eastAsia" w:ascii="仿宋" w:hAnsi="仿宋" w:eastAsia="仿宋"/>
          <w:b/>
          <w:sz w:val="24"/>
          <w:highlight w:val="none"/>
        </w:rPr>
      </w:pPr>
      <w:r>
        <w:rPr>
          <w:rFonts w:hint="eastAsia" w:ascii="仿宋" w:hAnsi="仿宋" w:eastAsia="仿宋"/>
          <w:sz w:val="24"/>
          <w:highlight w:val="none"/>
        </w:rPr>
        <w:t>年    月    日                       年    月    日</w:t>
      </w:r>
    </w:p>
    <w:p w14:paraId="38028DED">
      <w:pPr>
        <w:pStyle w:val="2"/>
        <w:keepNext w:val="0"/>
        <w:keepLines w:val="0"/>
        <w:pageBreakBefore/>
        <w:spacing w:before="0" w:after="0" w:line="360" w:lineRule="auto"/>
        <w:jc w:val="center"/>
        <w:textAlignment w:val="center"/>
        <w:rPr>
          <w:rFonts w:hint="eastAsia" w:ascii="仿宋" w:hAnsi="仿宋" w:eastAsia="仿宋"/>
          <w:highlight w:val="none"/>
        </w:rPr>
      </w:pPr>
      <w:bookmarkStart w:id="168" w:name="_Toc13518"/>
      <w:r>
        <w:rPr>
          <w:rFonts w:hint="eastAsia" w:ascii="仿宋" w:hAnsi="仿宋" w:eastAsia="仿宋"/>
          <w:highlight w:val="none"/>
        </w:rPr>
        <w:t>第六章　投标文件格式</w:t>
      </w:r>
      <w:bookmarkEnd w:id="168"/>
    </w:p>
    <w:p w14:paraId="7E1D4A00">
      <w:pPr>
        <w:rPr>
          <w:rFonts w:hint="eastAsia" w:ascii="仿宋" w:hAnsi="仿宋" w:eastAsia="仿宋"/>
          <w:b/>
          <w:sz w:val="28"/>
          <w:szCs w:val="28"/>
          <w:highlight w:val="none"/>
        </w:rPr>
      </w:pPr>
      <w:bookmarkStart w:id="169" w:name="_Toc19686836"/>
      <w:bookmarkStart w:id="170" w:name="_Toc254970557"/>
      <w:bookmarkStart w:id="171" w:name="_Toc254970698"/>
      <w:r>
        <w:rPr>
          <w:rFonts w:hint="eastAsia" w:ascii="仿宋" w:hAnsi="仿宋" w:eastAsia="仿宋"/>
          <w:b/>
          <w:sz w:val="28"/>
          <w:szCs w:val="28"/>
          <w:highlight w:val="none"/>
        </w:rPr>
        <w:t>一、报价文件格式</w:t>
      </w:r>
      <w:bookmarkEnd w:id="169"/>
    </w:p>
    <w:p w14:paraId="4C4BACB6">
      <w:pPr>
        <w:snapToGrid w:val="0"/>
        <w:spacing w:before="120" w:beforeLines="50" w:after="50" w:line="360" w:lineRule="auto"/>
        <w:ind w:left="142"/>
        <w:jc w:val="left"/>
        <w:rPr>
          <w:rFonts w:hint="eastAsia" w:ascii="仿宋" w:hAnsi="仿宋" w:eastAsia="仿宋"/>
          <w:sz w:val="24"/>
          <w:szCs w:val="20"/>
          <w:highlight w:val="none"/>
        </w:rPr>
      </w:pPr>
      <w:r>
        <w:rPr>
          <w:rFonts w:hint="eastAsia" w:ascii="仿宋" w:hAnsi="仿宋" w:eastAsia="仿宋"/>
          <w:b/>
          <w:sz w:val="24"/>
          <w:highlight w:val="none"/>
        </w:rPr>
        <w:t xml:space="preserve">1. 报价文件封面格式： </w:t>
      </w:r>
    </w:p>
    <w:p w14:paraId="78342137">
      <w:pPr>
        <w:snapToGrid w:val="0"/>
        <w:spacing w:before="120" w:beforeLines="50" w:after="50" w:line="400" w:lineRule="exact"/>
        <w:rPr>
          <w:rFonts w:hint="eastAsia" w:ascii="仿宋" w:hAnsi="仿宋" w:eastAsia="仿宋"/>
          <w:bCs/>
          <w:sz w:val="32"/>
          <w:szCs w:val="20"/>
          <w:highlight w:val="none"/>
        </w:rPr>
      </w:pPr>
      <w:r>
        <w:rPr>
          <w:rFonts w:hint="eastAsia" w:ascii="仿宋" w:hAnsi="仿宋" w:eastAsia="仿宋"/>
          <w:sz w:val="24"/>
          <w:highlight w:val="none"/>
        </w:rPr>
        <w:t xml:space="preserve">                                                   </w:t>
      </w:r>
    </w:p>
    <w:p w14:paraId="3F7896B6">
      <w:pPr>
        <w:snapToGrid w:val="0"/>
        <w:spacing w:before="120" w:beforeLines="50" w:after="50" w:line="400" w:lineRule="exact"/>
        <w:jc w:val="center"/>
        <w:rPr>
          <w:rFonts w:hint="eastAsia" w:ascii="仿宋" w:hAnsi="仿宋" w:eastAsia="仿宋"/>
          <w:bCs/>
          <w:sz w:val="24"/>
          <w:szCs w:val="20"/>
          <w:highlight w:val="none"/>
        </w:rPr>
      </w:pPr>
    </w:p>
    <w:p w14:paraId="12C41B59">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14:paraId="5DBB0135">
      <w:pPr>
        <w:snapToGrid w:val="0"/>
        <w:spacing w:before="120" w:beforeLines="50" w:after="50" w:line="400" w:lineRule="exact"/>
        <w:jc w:val="center"/>
        <w:rPr>
          <w:rFonts w:hint="eastAsia" w:ascii="仿宋" w:hAnsi="仿宋" w:eastAsia="仿宋"/>
          <w:bCs/>
          <w:sz w:val="32"/>
          <w:szCs w:val="32"/>
          <w:highlight w:val="none"/>
        </w:rPr>
      </w:pPr>
    </w:p>
    <w:p w14:paraId="2805A7AA">
      <w:pPr>
        <w:snapToGrid w:val="0"/>
        <w:spacing w:before="120" w:beforeLines="50" w:after="50" w:line="400" w:lineRule="exact"/>
        <w:jc w:val="center"/>
        <w:rPr>
          <w:rFonts w:hint="eastAsia" w:ascii="仿宋" w:hAnsi="仿宋" w:eastAsia="仿宋" w:cs="方正小标宋简体"/>
          <w:sz w:val="32"/>
          <w:szCs w:val="32"/>
          <w:highlight w:val="none"/>
        </w:rPr>
      </w:pPr>
      <w:r>
        <w:rPr>
          <w:rFonts w:hint="eastAsia" w:ascii="仿宋" w:hAnsi="仿宋" w:eastAsia="仿宋" w:cs="方正小标宋简体"/>
          <w:sz w:val="32"/>
          <w:szCs w:val="32"/>
          <w:highlight w:val="none"/>
        </w:rPr>
        <w:t>报  价  文  件</w:t>
      </w:r>
    </w:p>
    <w:p w14:paraId="03B11A35">
      <w:pPr>
        <w:snapToGrid w:val="0"/>
        <w:spacing w:before="120" w:beforeLines="50" w:after="50" w:line="400" w:lineRule="exact"/>
        <w:rPr>
          <w:rFonts w:hint="eastAsia" w:ascii="仿宋" w:hAnsi="仿宋" w:eastAsia="仿宋"/>
          <w:bCs/>
          <w:sz w:val="24"/>
          <w:szCs w:val="20"/>
          <w:highlight w:val="none"/>
        </w:rPr>
      </w:pPr>
    </w:p>
    <w:p w14:paraId="3AAF3AD8">
      <w:pPr>
        <w:snapToGrid w:val="0"/>
        <w:spacing w:before="120" w:beforeLines="50" w:after="50" w:line="400" w:lineRule="exact"/>
        <w:rPr>
          <w:rFonts w:hint="eastAsia" w:ascii="仿宋" w:hAnsi="仿宋" w:eastAsia="仿宋"/>
          <w:bCs/>
          <w:sz w:val="24"/>
          <w:szCs w:val="20"/>
          <w:highlight w:val="none"/>
        </w:rPr>
      </w:pPr>
    </w:p>
    <w:p w14:paraId="104B45AB">
      <w:pPr>
        <w:snapToGrid w:val="0"/>
        <w:spacing w:before="120" w:beforeLines="50" w:after="50" w:line="400" w:lineRule="exact"/>
        <w:rPr>
          <w:rFonts w:hint="eastAsia" w:ascii="仿宋" w:hAnsi="仿宋" w:eastAsia="仿宋"/>
          <w:bCs/>
          <w:sz w:val="24"/>
          <w:szCs w:val="20"/>
          <w:highlight w:val="none"/>
        </w:rPr>
      </w:pPr>
    </w:p>
    <w:p w14:paraId="7DF2BBFC">
      <w:pPr>
        <w:snapToGrid w:val="0"/>
        <w:spacing w:before="120" w:beforeLines="50" w:after="50" w:line="400" w:lineRule="exact"/>
        <w:rPr>
          <w:rFonts w:hint="eastAsia" w:ascii="仿宋" w:hAnsi="仿宋" w:eastAsia="仿宋"/>
          <w:bCs/>
          <w:sz w:val="24"/>
          <w:szCs w:val="20"/>
          <w:highlight w:val="none"/>
        </w:rPr>
      </w:pPr>
    </w:p>
    <w:p w14:paraId="6F91930A">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项目名称： </w:t>
      </w:r>
    </w:p>
    <w:p w14:paraId="4CFAD913">
      <w:pPr>
        <w:snapToGrid w:val="0"/>
        <w:spacing w:before="120" w:beforeLines="50" w:after="50" w:line="400" w:lineRule="exact"/>
        <w:ind w:firstLine="360" w:firstLineChars="150"/>
        <w:rPr>
          <w:rFonts w:hint="eastAsia" w:ascii="仿宋" w:hAnsi="仿宋" w:eastAsia="仿宋"/>
          <w:bCs/>
          <w:sz w:val="24"/>
          <w:highlight w:val="none"/>
        </w:rPr>
      </w:pPr>
    </w:p>
    <w:p w14:paraId="6223ACB8">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项目编号： </w:t>
      </w:r>
    </w:p>
    <w:p w14:paraId="15FD0709">
      <w:pPr>
        <w:snapToGrid w:val="0"/>
        <w:spacing w:before="120" w:beforeLines="50" w:after="50" w:line="400" w:lineRule="exact"/>
        <w:ind w:firstLine="360" w:firstLineChars="150"/>
        <w:rPr>
          <w:rFonts w:hint="eastAsia" w:ascii="仿宋" w:hAnsi="仿宋" w:eastAsia="仿宋"/>
          <w:bCs/>
          <w:sz w:val="24"/>
          <w:highlight w:val="none"/>
        </w:rPr>
      </w:pPr>
    </w:p>
    <w:p w14:paraId="6B13830A">
      <w:pPr>
        <w:snapToGrid w:val="0"/>
        <w:spacing w:before="120" w:beforeLines="50" w:after="50" w:line="400" w:lineRule="exact"/>
        <w:ind w:firstLine="360" w:firstLineChars="150"/>
        <w:rPr>
          <w:rFonts w:hint="eastAsia" w:ascii="仿宋" w:hAnsi="仿宋" w:eastAsia="仿宋"/>
          <w:bCs/>
          <w:sz w:val="24"/>
          <w:highlight w:val="none"/>
        </w:rPr>
      </w:pPr>
    </w:p>
    <w:p w14:paraId="2AC62B47">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投标人名称：</w:t>
      </w:r>
    </w:p>
    <w:p w14:paraId="2162EDAC">
      <w:pPr>
        <w:snapToGrid w:val="0"/>
        <w:spacing w:before="120" w:beforeLines="50" w:after="50" w:line="400" w:lineRule="exact"/>
        <w:ind w:firstLine="360" w:firstLineChars="150"/>
        <w:rPr>
          <w:rFonts w:hint="eastAsia" w:ascii="仿宋" w:hAnsi="仿宋" w:eastAsia="仿宋"/>
          <w:bCs/>
          <w:sz w:val="24"/>
          <w:highlight w:val="none"/>
        </w:rPr>
      </w:pPr>
    </w:p>
    <w:p w14:paraId="36BE6E55">
      <w:pPr>
        <w:pStyle w:val="7"/>
        <w:rPr>
          <w:highlight w:val="none"/>
        </w:rPr>
      </w:pPr>
    </w:p>
    <w:p w14:paraId="3ED74F82">
      <w:pPr>
        <w:snapToGrid w:val="0"/>
        <w:spacing w:before="120" w:beforeLines="50" w:after="50" w:line="400" w:lineRule="exact"/>
        <w:rPr>
          <w:rFonts w:hint="eastAsia" w:ascii="仿宋" w:hAnsi="仿宋" w:eastAsia="仿宋"/>
          <w:sz w:val="30"/>
          <w:szCs w:val="20"/>
          <w:highlight w:val="none"/>
        </w:rPr>
      </w:pPr>
      <w:r>
        <w:rPr>
          <w:rFonts w:hint="eastAsia" w:ascii="仿宋" w:hAnsi="仿宋" w:eastAsia="仿宋"/>
          <w:sz w:val="24"/>
          <w:highlight w:val="none"/>
        </w:rPr>
        <w:t xml:space="preserve">                                   年 </w:t>
      </w:r>
      <w:r>
        <w:rPr>
          <w:rFonts w:ascii="仿宋" w:hAnsi="仿宋" w:eastAsia="仿宋"/>
          <w:sz w:val="24"/>
          <w:highlight w:val="none"/>
        </w:rPr>
        <w:t xml:space="preserve"> </w:t>
      </w:r>
      <w:r>
        <w:rPr>
          <w:rFonts w:hint="eastAsia" w:ascii="仿宋" w:hAnsi="仿宋" w:eastAsia="仿宋"/>
          <w:sz w:val="24"/>
          <w:highlight w:val="none"/>
        </w:rPr>
        <w:t xml:space="preserve"> 月 </w:t>
      </w:r>
      <w:r>
        <w:rPr>
          <w:rFonts w:ascii="仿宋" w:hAnsi="仿宋" w:eastAsia="仿宋"/>
          <w:sz w:val="24"/>
          <w:highlight w:val="none"/>
        </w:rPr>
        <w:t xml:space="preserve"> </w:t>
      </w:r>
      <w:r>
        <w:rPr>
          <w:rFonts w:hint="eastAsia" w:ascii="仿宋" w:hAnsi="仿宋" w:eastAsia="仿宋"/>
          <w:sz w:val="24"/>
          <w:highlight w:val="none"/>
        </w:rPr>
        <w:t xml:space="preserve"> 日</w:t>
      </w:r>
    </w:p>
    <w:p w14:paraId="61152F98">
      <w:pPr>
        <w:snapToGrid w:val="0"/>
        <w:spacing w:before="120" w:beforeLines="50" w:after="50" w:line="360" w:lineRule="auto"/>
        <w:jc w:val="left"/>
        <w:rPr>
          <w:rFonts w:hint="eastAsia" w:ascii="仿宋" w:hAnsi="仿宋" w:eastAsia="仿宋"/>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2.</w:t>
      </w:r>
      <w:r>
        <w:rPr>
          <w:rFonts w:hint="eastAsia" w:ascii="仿宋" w:hAnsi="仿宋" w:eastAsia="仿宋"/>
          <w:b/>
          <w:bCs/>
          <w:sz w:val="24"/>
          <w:highlight w:val="none"/>
        </w:rPr>
        <w:t>报价文件目录</w:t>
      </w:r>
    </w:p>
    <w:p w14:paraId="0641EC27">
      <w:pPr>
        <w:snapToGrid w:val="0"/>
        <w:spacing w:before="50" w:after="120" w:afterLines="50" w:line="360" w:lineRule="auto"/>
        <w:jc w:val="left"/>
        <w:rPr>
          <w:rFonts w:hint="eastAsia" w:ascii="仿宋" w:hAnsi="仿宋" w:eastAsia="仿宋"/>
          <w:b/>
          <w:sz w:val="24"/>
          <w:highlight w:val="none"/>
        </w:rPr>
      </w:pPr>
      <w:r>
        <w:rPr>
          <w:rFonts w:hint="eastAsia" w:ascii="仿宋" w:hAnsi="仿宋" w:eastAsia="仿宋"/>
          <w:szCs w:val="21"/>
          <w:highlight w:val="none"/>
        </w:rPr>
        <w:t>根据招标文件规定及投标人提供的材料自行编写目录。</w:t>
      </w:r>
    </w:p>
    <w:p w14:paraId="0A8278B4">
      <w:pPr>
        <w:snapToGrid w:val="0"/>
        <w:spacing w:before="120" w:beforeLines="50" w:after="50"/>
        <w:rPr>
          <w:rFonts w:hint="eastAsia" w:ascii="仿宋" w:hAnsi="仿宋" w:eastAsia="仿宋"/>
          <w:b/>
          <w:sz w:val="24"/>
          <w:highlight w:val="none"/>
        </w:rPr>
      </w:pPr>
    </w:p>
    <w:p w14:paraId="7FA46D36">
      <w:pPr>
        <w:snapToGrid w:val="0"/>
        <w:spacing w:before="120" w:beforeLines="50" w:after="50"/>
        <w:rPr>
          <w:rFonts w:hint="eastAsia" w:ascii="仿宋" w:hAnsi="仿宋" w:eastAsia="仿宋"/>
          <w:b/>
          <w:sz w:val="24"/>
          <w:highlight w:val="none"/>
        </w:rPr>
      </w:pPr>
    </w:p>
    <w:p w14:paraId="42974476">
      <w:pPr>
        <w:snapToGrid w:val="0"/>
        <w:spacing w:before="120" w:beforeLines="50" w:after="50"/>
        <w:rPr>
          <w:rFonts w:hint="eastAsia" w:ascii="仿宋" w:hAnsi="仿宋" w:eastAsia="仿宋"/>
          <w:b/>
          <w:sz w:val="24"/>
          <w:highlight w:val="none"/>
        </w:rPr>
      </w:pPr>
    </w:p>
    <w:p w14:paraId="19D46E35">
      <w:pPr>
        <w:snapToGrid w:val="0"/>
        <w:spacing w:before="120" w:beforeLines="50" w:after="50"/>
        <w:ind w:left="142"/>
        <w:jc w:val="left"/>
        <w:rPr>
          <w:rFonts w:hint="eastAsia" w:ascii="仿宋" w:hAnsi="仿宋" w:eastAsia="仿宋"/>
          <w:b/>
          <w:sz w:val="24"/>
          <w:highlight w:val="none"/>
        </w:rPr>
      </w:pPr>
    </w:p>
    <w:p w14:paraId="02D86D41">
      <w:pPr>
        <w:snapToGrid w:val="0"/>
        <w:spacing w:before="120" w:beforeLines="50" w:after="50"/>
        <w:ind w:left="142"/>
        <w:jc w:val="left"/>
        <w:rPr>
          <w:rFonts w:hint="eastAsia" w:ascii="仿宋" w:hAnsi="仿宋" w:eastAsia="仿宋"/>
          <w:b/>
          <w:sz w:val="24"/>
          <w:highlight w:val="none"/>
        </w:rPr>
      </w:pPr>
    </w:p>
    <w:p w14:paraId="02EF231E">
      <w:pPr>
        <w:snapToGrid w:val="0"/>
        <w:spacing w:before="120" w:beforeLines="50" w:after="50"/>
        <w:ind w:left="142"/>
        <w:jc w:val="left"/>
        <w:rPr>
          <w:rFonts w:hint="eastAsia" w:ascii="仿宋" w:hAnsi="仿宋" w:eastAsia="仿宋"/>
          <w:b/>
          <w:sz w:val="24"/>
          <w:highlight w:val="none"/>
        </w:rPr>
      </w:pPr>
    </w:p>
    <w:p w14:paraId="7E0BE6C3">
      <w:pPr>
        <w:snapToGrid w:val="0"/>
        <w:spacing w:before="120" w:beforeLines="50" w:after="50"/>
        <w:ind w:left="142"/>
        <w:jc w:val="left"/>
        <w:rPr>
          <w:rFonts w:hint="eastAsia" w:ascii="仿宋" w:hAnsi="仿宋" w:eastAsia="仿宋"/>
          <w:b/>
          <w:sz w:val="24"/>
          <w:highlight w:val="none"/>
        </w:rPr>
      </w:pPr>
    </w:p>
    <w:p w14:paraId="58346A60">
      <w:pPr>
        <w:snapToGrid w:val="0"/>
        <w:spacing w:before="120" w:beforeLines="50" w:after="50"/>
        <w:ind w:left="142"/>
        <w:jc w:val="left"/>
        <w:rPr>
          <w:rFonts w:hint="eastAsia" w:ascii="仿宋" w:hAnsi="仿宋" w:eastAsia="仿宋"/>
          <w:b/>
          <w:sz w:val="24"/>
          <w:highlight w:val="none"/>
        </w:rPr>
      </w:pPr>
    </w:p>
    <w:p w14:paraId="302BD203">
      <w:pPr>
        <w:snapToGrid w:val="0"/>
        <w:spacing w:before="120" w:beforeLines="50" w:after="50"/>
        <w:ind w:left="142"/>
        <w:jc w:val="left"/>
        <w:rPr>
          <w:rFonts w:hint="eastAsia" w:ascii="仿宋" w:hAnsi="仿宋" w:eastAsia="仿宋"/>
          <w:b/>
          <w:sz w:val="24"/>
          <w:highlight w:val="none"/>
        </w:rPr>
      </w:pPr>
    </w:p>
    <w:p w14:paraId="242BAF22">
      <w:pPr>
        <w:snapToGrid w:val="0"/>
        <w:spacing w:before="120" w:beforeLines="50" w:after="50"/>
        <w:ind w:left="142"/>
        <w:jc w:val="left"/>
        <w:rPr>
          <w:rFonts w:hint="eastAsia" w:ascii="仿宋" w:hAnsi="仿宋" w:eastAsia="仿宋"/>
          <w:b/>
          <w:sz w:val="24"/>
          <w:highlight w:val="none"/>
        </w:rPr>
      </w:pPr>
    </w:p>
    <w:p w14:paraId="321DFE0A">
      <w:pPr>
        <w:snapToGrid w:val="0"/>
        <w:spacing w:before="120" w:beforeLines="50" w:after="50"/>
        <w:ind w:left="142"/>
        <w:jc w:val="left"/>
        <w:rPr>
          <w:rFonts w:hint="eastAsia" w:ascii="仿宋" w:hAnsi="仿宋" w:eastAsia="仿宋"/>
          <w:b/>
          <w:sz w:val="24"/>
          <w:highlight w:val="none"/>
        </w:rPr>
      </w:pPr>
    </w:p>
    <w:p w14:paraId="12044A29">
      <w:pPr>
        <w:snapToGrid w:val="0"/>
        <w:spacing w:before="120" w:beforeLines="50" w:after="50"/>
        <w:ind w:left="142"/>
        <w:jc w:val="left"/>
        <w:rPr>
          <w:rFonts w:hint="eastAsia" w:ascii="仿宋" w:hAnsi="仿宋" w:eastAsia="仿宋"/>
          <w:b/>
          <w:sz w:val="24"/>
          <w:highlight w:val="none"/>
        </w:rPr>
      </w:pPr>
    </w:p>
    <w:p w14:paraId="7D190DA1">
      <w:pPr>
        <w:snapToGrid w:val="0"/>
        <w:spacing w:before="120" w:beforeLines="50" w:after="50"/>
        <w:ind w:left="142"/>
        <w:jc w:val="left"/>
        <w:rPr>
          <w:rFonts w:hint="eastAsia" w:ascii="仿宋" w:hAnsi="仿宋" w:eastAsia="仿宋"/>
          <w:b/>
          <w:sz w:val="24"/>
          <w:highlight w:val="none"/>
        </w:rPr>
      </w:pPr>
    </w:p>
    <w:p w14:paraId="50F2A551">
      <w:pPr>
        <w:snapToGrid w:val="0"/>
        <w:spacing w:before="120" w:beforeLines="50" w:after="50"/>
        <w:ind w:left="142"/>
        <w:jc w:val="left"/>
        <w:rPr>
          <w:rFonts w:hint="eastAsia" w:ascii="仿宋" w:hAnsi="仿宋" w:eastAsia="仿宋"/>
          <w:b/>
          <w:sz w:val="24"/>
          <w:highlight w:val="none"/>
        </w:rPr>
      </w:pPr>
    </w:p>
    <w:p w14:paraId="195EF232">
      <w:pPr>
        <w:snapToGrid w:val="0"/>
        <w:spacing w:before="120" w:beforeLines="50" w:after="50"/>
        <w:ind w:left="142"/>
        <w:jc w:val="left"/>
        <w:rPr>
          <w:rFonts w:hint="eastAsia" w:ascii="仿宋" w:hAnsi="仿宋" w:eastAsia="仿宋"/>
          <w:b/>
          <w:sz w:val="24"/>
          <w:highlight w:val="none"/>
        </w:rPr>
      </w:pPr>
    </w:p>
    <w:p w14:paraId="1CBCBA84">
      <w:pPr>
        <w:snapToGrid w:val="0"/>
        <w:spacing w:before="120" w:beforeLines="50" w:after="50"/>
        <w:ind w:left="142"/>
        <w:jc w:val="left"/>
        <w:rPr>
          <w:rFonts w:hint="eastAsia" w:ascii="仿宋" w:hAnsi="仿宋" w:eastAsia="仿宋"/>
          <w:b/>
          <w:sz w:val="24"/>
          <w:highlight w:val="none"/>
        </w:rPr>
      </w:pPr>
    </w:p>
    <w:p w14:paraId="19666E34">
      <w:pPr>
        <w:snapToGrid w:val="0"/>
        <w:spacing w:before="120" w:beforeLines="50" w:after="50"/>
        <w:ind w:left="142"/>
        <w:jc w:val="left"/>
        <w:rPr>
          <w:rFonts w:hint="eastAsia" w:ascii="仿宋" w:hAnsi="仿宋" w:eastAsia="仿宋"/>
          <w:b/>
          <w:sz w:val="24"/>
          <w:highlight w:val="none"/>
        </w:rPr>
      </w:pPr>
    </w:p>
    <w:p w14:paraId="0934AF1F">
      <w:pPr>
        <w:snapToGrid w:val="0"/>
        <w:spacing w:before="120" w:beforeLines="50" w:after="50"/>
        <w:ind w:left="142"/>
        <w:jc w:val="left"/>
        <w:rPr>
          <w:rFonts w:hint="eastAsia" w:ascii="仿宋" w:hAnsi="仿宋" w:eastAsia="仿宋"/>
          <w:b/>
          <w:sz w:val="24"/>
          <w:highlight w:val="none"/>
        </w:rPr>
      </w:pPr>
    </w:p>
    <w:p w14:paraId="6FB42A10">
      <w:pPr>
        <w:snapToGrid w:val="0"/>
        <w:spacing w:before="120" w:beforeLines="50" w:after="50"/>
        <w:ind w:left="142"/>
        <w:jc w:val="left"/>
        <w:rPr>
          <w:rFonts w:hint="eastAsia" w:ascii="仿宋" w:hAnsi="仿宋" w:eastAsia="仿宋"/>
          <w:b/>
          <w:sz w:val="24"/>
          <w:highlight w:val="none"/>
        </w:rPr>
      </w:pPr>
    </w:p>
    <w:p w14:paraId="629B417C">
      <w:pPr>
        <w:snapToGrid w:val="0"/>
        <w:spacing w:before="120" w:beforeLines="50" w:after="50"/>
        <w:ind w:left="142"/>
        <w:jc w:val="left"/>
        <w:rPr>
          <w:rFonts w:hint="eastAsia" w:ascii="仿宋" w:hAnsi="仿宋" w:eastAsia="仿宋"/>
          <w:b/>
          <w:sz w:val="24"/>
          <w:highlight w:val="none"/>
        </w:rPr>
      </w:pPr>
    </w:p>
    <w:p w14:paraId="19C1E739">
      <w:pPr>
        <w:snapToGrid w:val="0"/>
        <w:spacing w:before="120" w:beforeLines="50" w:after="50"/>
        <w:ind w:left="142"/>
        <w:jc w:val="left"/>
        <w:rPr>
          <w:rFonts w:hint="eastAsia" w:ascii="仿宋" w:hAnsi="仿宋" w:eastAsia="仿宋"/>
          <w:b/>
          <w:sz w:val="24"/>
          <w:highlight w:val="none"/>
        </w:rPr>
      </w:pPr>
    </w:p>
    <w:p w14:paraId="16184096">
      <w:pPr>
        <w:snapToGrid w:val="0"/>
        <w:spacing w:before="120" w:beforeLines="50" w:after="50"/>
        <w:ind w:left="142"/>
        <w:jc w:val="left"/>
        <w:rPr>
          <w:rFonts w:hint="eastAsia" w:ascii="仿宋" w:hAnsi="仿宋" w:eastAsia="仿宋"/>
          <w:b/>
          <w:sz w:val="24"/>
          <w:highlight w:val="none"/>
        </w:rPr>
      </w:pPr>
    </w:p>
    <w:p w14:paraId="61A8F575">
      <w:pPr>
        <w:snapToGrid w:val="0"/>
        <w:spacing w:before="120" w:beforeLines="50" w:after="50"/>
        <w:ind w:left="142"/>
        <w:jc w:val="left"/>
        <w:rPr>
          <w:rFonts w:hint="eastAsia" w:ascii="仿宋" w:hAnsi="仿宋" w:eastAsia="仿宋"/>
          <w:b/>
          <w:sz w:val="24"/>
          <w:highlight w:val="none"/>
        </w:rPr>
      </w:pPr>
    </w:p>
    <w:p w14:paraId="4CFC5087">
      <w:pPr>
        <w:snapToGrid w:val="0"/>
        <w:spacing w:before="120" w:beforeLines="50" w:after="50"/>
        <w:ind w:left="142"/>
        <w:jc w:val="left"/>
        <w:rPr>
          <w:rFonts w:hint="eastAsia" w:ascii="仿宋" w:hAnsi="仿宋" w:eastAsia="仿宋"/>
          <w:b/>
          <w:sz w:val="24"/>
          <w:highlight w:val="none"/>
        </w:rPr>
      </w:pPr>
    </w:p>
    <w:p w14:paraId="5465A4E1">
      <w:pPr>
        <w:snapToGrid w:val="0"/>
        <w:spacing w:before="120" w:beforeLines="50" w:after="50"/>
        <w:ind w:left="142"/>
        <w:jc w:val="left"/>
        <w:rPr>
          <w:rFonts w:hint="eastAsia" w:ascii="仿宋" w:hAnsi="仿宋" w:eastAsia="仿宋"/>
          <w:b/>
          <w:sz w:val="24"/>
          <w:highlight w:val="none"/>
        </w:rPr>
      </w:pPr>
    </w:p>
    <w:p w14:paraId="19DF6123">
      <w:pPr>
        <w:snapToGrid w:val="0"/>
        <w:spacing w:before="120" w:beforeLines="50" w:after="50"/>
        <w:ind w:left="142"/>
        <w:jc w:val="left"/>
        <w:rPr>
          <w:rFonts w:hint="eastAsia" w:ascii="仿宋" w:hAnsi="仿宋" w:eastAsia="仿宋"/>
          <w:b/>
          <w:sz w:val="24"/>
          <w:highlight w:val="none"/>
        </w:rPr>
      </w:pPr>
    </w:p>
    <w:p w14:paraId="13D8844E">
      <w:pPr>
        <w:snapToGrid w:val="0"/>
        <w:spacing w:before="120" w:beforeLines="50" w:after="50"/>
        <w:ind w:left="142"/>
        <w:jc w:val="left"/>
        <w:rPr>
          <w:rFonts w:hint="eastAsia" w:ascii="仿宋" w:hAnsi="仿宋" w:eastAsia="仿宋"/>
          <w:b/>
          <w:sz w:val="24"/>
          <w:highlight w:val="none"/>
        </w:rPr>
      </w:pPr>
    </w:p>
    <w:p w14:paraId="790D5C24">
      <w:pPr>
        <w:keepNext w:val="0"/>
        <w:keepLines w:val="0"/>
        <w:pageBreakBefore w:val="0"/>
        <w:widowControl w:val="0"/>
        <w:kinsoku/>
        <w:wordWrap/>
        <w:overflowPunct/>
        <w:topLinePunct w:val="0"/>
        <w:autoSpaceDE/>
        <w:autoSpaceDN/>
        <w:bidi w:val="0"/>
        <w:adjustRightInd/>
        <w:snapToGrid w:val="0"/>
        <w:spacing w:before="120" w:beforeLines="50" w:after="50" w:line="240" w:lineRule="auto"/>
        <w:ind w:left="142"/>
        <w:jc w:val="left"/>
        <w:textAlignment w:val="auto"/>
        <w:rPr>
          <w:rFonts w:hint="eastAsia" w:ascii="仿宋" w:hAnsi="仿宋" w:eastAsia="仿宋"/>
          <w:b/>
          <w:sz w:val="24"/>
          <w:highlight w:val="none"/>
        </w:rPr>
      </w:pPr>
    </w:p>
    <w:p w14:paraId="03F17918">
      <w:pPr>
        <w:keepNext w:val="0"/>
        <w:keepLines w:val="0"/>
        <w:pageBreakBefore w:val="0"/>
        <w:widowControl w:val="0"/>
        <w:kinsoku/>
        <w:wordWrap/>
        <w:overflowPunct/>
        <w:topLinePunct w:val="0"/>
        <w:autoSpaceDE/>
        <w:autoSpaceDN/>
        <w:bidi w:val="0"/>
        <w:adjustRightInd/>
        <w:snapToGrid w:val="0"/>
        <w:spacing w:before="120" w:beforeLines="50" w:after="50" w:line="240" w:lineRule="auto"/>
        <w:ind w:left="142"/>
        <w:jc w:val="left"/>
        <w:textAlignment w:val="auto"/>
        <w:rPr>
          <w:rFonts w:hint="eastAsia" w:ascii="仿宋" w:hAnsi="仿宋" w:eastAsia="仿宋"/>
          <w:b/>
          <w:sz w:val="24"/>
          <w:highlight w:val="none"/>
        </w:rPr>
      </w:pPr>
      <w:r>
        <w:rPr>
          <w:rFonts w:hint="eastAsia" w:ascii="仿宋" w:hAnsi="仿宋" w:eastAsia="仿宋"/>
          <w:b/>
          <w:sz w:val="24"/>
          <w:highlight w:val="none"/>
        </w:rPr>
        <w:t>3. 投标函格式：</w:t>
      </w:r>
    </w:p>
    <w:p w14:paraId="396FE0F3">
      <w:pPr>
        <w:keepNext w:val="0"/>
        <w:keepLines w:val="0"/>
        <w:pageBreakBefore w:val="0"/>
        <w:widowControl w:val="0"/>
        <w:kinsoku/>
        <w:wordWrap/>
        <w:overflowPunct/>
        <w:topLinePunct w:val="0"/>
        <w:autoSpaceDE/>
        <w:autoSpaceDN/>
        <w:bidi w:val="0"/>
        <w:adjustRightInd/>
        <w:snapToGrid w:val="0"/>
        <w:spacing w:before="120" w:beforeLines="50" w:after="50" w:line="240" w:lineRule="auto"/>
        <w:jc w:val="center"/>
        <w:textAlignment w:val="auto"/>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投 标 函</w:t>
      </w:r>
    </w:p>
    <w:p w14:paraId="271B8B4E">
      <w:pPr>
        <w:spacing w:line="440" w:lineRule="exact"/>
        <w:contextualSpacing/>
        <w:rPr>
          <w:rFonts w:hint="eastAsia" w:ascii="仿宋" w:hAnsi="仿宋" w:eastAsia="仿宋"/>
          <w:sz w:val="24"/>
          <w:highlight w:val="none"/>
        </w:rPr>
      </w:pPr>
      <w:r>
        <w:rPr>
          <w:rFonts w:hint="eastAsia" w:ascii="仿宋" w:hAnsi="仿宋" w:eastAsia="仿宋"/>
          <w:sz w:val="24"/>
          <w:highlight w:val="none"/>
        </w:rPr>
        <w:t>致：</w:t>
      </w:r>
      <w:r>
        <w:rPr>
          <w:rFonts w:hint="eastAsia" w:ascii="仿宋" w:hAnsi="仿宋" w:eastAsia="仿宋"/>
          <w:sz w:val="24"/>
          <w:highlight w:val="none"/>
          <w:u w:val="single"/>
        </w:rPr>
        <w:t xml:space="preserve">采购人名称 </w:t>
      </w:r>
    </w:p>
    <w:p w14:paraId="16D6F012">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根据贵方</w:t>
      </w:r>
      <w:r>
        <w:rPr>
          <w:rFonts w:hint="eastAsia" w:ascii="仿宋" w:hAnsi="仿宋" w:eastAsia="仿宋"/>
          <w:sz w:val="24"/>
          <w:highlight w:val="none"/>
          <w:u w:val="single"/>
        </w:rPr>
        <w:t xml:space="preserve"> （项目名称） </w:t>
      </w:r>
      <w:r>
        <w:rPr>
          <w:rFonts w:hint="eastAsia" w:ascii="仿宋" w:hAnsi="仿宋" w:eastAsia="仿宋"/>
          <w:sz w:val="24"/>
          <w:highlight w:val="none"/>
        </w:rPr>
        <w:t>（项目编号：</w:t>
      </w:r>
      <w:r>
        <w:rPr>
          <w:rFonts w:hint="eastAsia" w:ascii="仿宋" w:hAnsi="仿宋" w:eastAsia="仿宋"/>
          <w:sz w:val="24"/>
          <w:highlight w:val="none"/>
          <w:u w:val="single"/>
        </w:rPr>
        <w:t xml:space="preserve">        </w:t>
      </w:r>
      <w:r>
        <w:rPr>
          <w:rFonts w:hint="eastAsia" w:ascii="仿宋" w:hAnsi="仿宋" w:eastAsia="仿宋"/>
          <w:sz w:val="24"/>
          <w:highlight w:val="none"/>
        </w:rPr>
        <w:t>）的招标公告，签字代表______</w:t>
      </w:r>
      <w:r>
        <w:rPr>
          <w:rFonts w:hint="eastAsia" w:ascii="仿宋" w:hAnsi="仿宋" w:eastAsia="仿宋"/>
          <w:sz w:val="24"/>
          <w:highlight w:val="none"/>
          <w:u w:val="single"/>
        </w:rPr>
        <w:t xml:space="preserve">     </w:t>
      </w:r>
      <w:r>
        <w:rPr>
          <w:rFonts w:hint="eastAsia" w:ascii="仿宋" w:hAnsi="仿宋" w:eastAsia="仿宋"/>
          <w:sz w:val="24"/>
          <w:highlight w:val="none"/>
        </w:rPr>
        <w:t>（姓名）经正式授权并代表投标人</w:t>
      </w:r>
      <w:r>
        <w:rPr>
          <w:rFonts w:hint="eastAsia" w:ascii="仿宋" w:hAnsi="仿宋" w:eastAsia="仿宋"/>
          <w:sz w:val="24"/>
          <w:highlight w:val="none"/>
          <w:u w:val="single"/>
        </w:rPr>
        <w:t xml:space="preserve">                 </w:t>
      </w:r>
      <w:r>
        <w:rPr>
          <w:rFonts w:hint="eastAsia" w:ascii="仿宋" w:hAnsi="仿宋" w:eastAsia="仿宋"/>
          <w:sz w:val="24"/>
          <w:highlight w:val="none"/>
        </w:rPr>
        <w:t>（投标人名称）提交投标文件。</w:t>
      </w:r>
    </w:p>
    <w:p w14:paraId="72F65FE3">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据此函，我方宣布同意如下：</w:t>
      </w:r>
    </w:p>
    <w:p w14:paraId="335183CA">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06F5150B">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2.我方在投标之前已经完全理解并接受招标文件的各项规定和要求，对招标文件的合理性、合法性不再有异议。</w:t>
      </w:r>
    </w:p>
    <w:p w14:paraId="11514032">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3.本投标有效期自投标截止之日起</w:t>
      </w:r>
      <w:r>
        <w:rPr>
          <w:rFonts w:ascii="仿宋" w:hAnsi="仿宋" w:eastAsia="仿宋"/>
          <w:sz w:val="24"/>
          <w:highlight w:val="none"/>
          <w:u w:val="single"/>
        </w:rPr>
        <w:t xml:space="preserve">    </w:t>
      </w:r>
      <w:r>
        <w:rPr>
          <w:rFonts w:hint="eastAsia" w:ascii="仿宋" w:hAnsi="仿宋" w:eastAsia="仿宋"/>
          <w:sz w:val="24"/>
          <w:highlight w:val="none"/>
        </w:rPr>
        <w:t>日。</w:t>
      </w:r>
    </w:p>
    <w:p w14:paraId="20A86A12">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4.如中标，本投标文件至本项目合同履行完毕止均保持有效，我方将按“招标文件”及政府采购法律、法规的规定履行合同责任和义务。</w:t>
      </w:r>
    </w:p>
    <w:p w14:paraId="29EF441C">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5.我方同意按照贵方要求提供与投标有关的一切数据或者资料。</w:t>
      </w:r>
    </w:p>
    <w:p w14:paraId="716C620C">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6.我方向贵方提交的所有投标文件、资料都是准确的和真实的。</w:t>
      </w:r>
    </w:p>
    <w:p w14:paraId="56F565C2">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7.以上事项如有虚假或者隐瞒，我方愿意承担一切后果，并不再寻求任何旨在减轻或者免除法律责任的辩解。</w:t>
      </w:r>
    </w:p>
    <w:p w14:paraId="6E75D228">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8.根据</w:t>
      </w:r>
      <w:r>
        <w:rPr>
          <w:rFonts w:ascii="仿宋" w:hAnsi="仿宋" w:eastAsia="仿宋"/>
          <w:sz w:val="24"/>
          <w:highlight w:val="none"/>
        </w:rPr>
        <w:t>《中华人民共和国政府采购法实施条例》第五十条要求对政府采购合同进行公告</w:t>
      </w:r>
      <w:r>
        <w:rPr>
          <w:rFonts w:hint="eastAsia" w:ascii="仿宋" w:hAnsi="仿宋" w:eastAsia="仿宋"/>
          <w:sz w:val="24"/>
          <w:highlight w:val="none"/>
        </w:rPr>
        <w:t>，</w:t>
      </w:r>
      <w:r>
        <w:rPr>
          <w:rFonts w:ascii="仿宋" w:hAnsi="仿宋" w:eastAsia="仿宋"/>
          <w:sz w:val="24"/>
          <w:highlight w:val="none"/>
        </w:rPr>
        <w:t>但政府采购合同中涉及国家秘密、商业秘密的内容除外。</w:t>
      </w:r>
      <w:r>
        <w:rPr>
          <w:rFonts w:hint="eastAsia" w:ascii="仿宋" w:hAnsi="仿宋" w:eastAsia="仿宋"/>
          <w:sz w:val="24"/>
          <w:highlight w:val="none"/>
        </w:rPr>
        <w:t>我方就对本次投标文件进行注明如下：（两项内容中必须选择一项）</w:t>
      </w:r>
    </w:p>
    <w:p w14:paraId="232F76B9">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□我方本次投标文件</w:t>
      </w:r>
      <w:r>
        <w:rPr>
          <w:rFonts w:ascii="仿宋" w:hAnsi="仿宋" w:eastAsia="仿宋" w:cs="宋体"/>
          <w:kern w:val="0"/>
          <w:sz w:val="24"/>
          <w:highlight w:val="none"/>
        </w:rPr>
        <w:t>内容中</w:t>
      </w:r>
      <w:r>
        <w:rPr>
          <w:rFonts w:hint="eastAsia" w:ascii="仿宋" w:hAnsi="仿宋" w:eastAsia="仿宋"/>
          <w:sz w:val="24"/>
          <w:highlight w:val="none"/>
        </w:rPr>
        <w:t>未</w:t>
      </w:r>
      <w:r>
        <w:rPr>
          <w:rFonts w:ascii="仿宋" w:hAnsi="仿宋" w:eastAsia="仿宋" w:cs="宋体"/>
          <w:kern w:val="0"/>
          <w:sz w:val="24"/>
          <w:highlight w:val="none"/>
        </w:rPr>
        <w:t>涉及商业秘密</w:t>
      </w:r>
      <w:r>
        <w:rPr>
          <w:rFonts w:hint="eastAsia" w:ascii="仿宋" w:hAnsi="仿宋" w:eastAsia="仿宋" w:cs="宋体"/>
          <w:kern w:val="0"/>
          <w:sz w:val="24"/>
          <w:highlight w:val="none"/>
        </w:rPr>
        <w:t>；</w:t>
      </w:r>
    </w:p>
    <w:p w14:paraId="6E7F9ACF">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□我方本次投标文件</w:t>
      </w:r>
      <w:r>
        <w:rPr>
          <w:rFonts w:ascii="仿宋" w:hAnsi="仿宋" w:eastAsia="仿宋" w:cs="宋体"/>
          <w:kern w:val="0"/>
          <w:sz w:val="24"/>
          <w:highlight w:val="none"/>
        </w:rPr>
        <w:t>涉及商业秘密</w:t>
      </w:r>
      <w:r>
        <w:rPr>
          <w:rFonts w:hint="eastAsia" w:ascii="仿宋" w:hAnsi="仿宋" w:eastAsia="仿宋" w:cs="宋体"/>
          <w:kern w:val="0"/>
          <w:sz w:val="24"/>
          <w:highlight w:val="none"/>
        </w:rPr>
        <w:t>的</w:t>
      </w:r>
      <w:r>
        <w:rPr>
          <w:rFonts w:ascii="仿宋" w:hAnsi="仿宋" w:eastAsia="仿宋" w:cs="宋体"/>
          <w:kern w:val="0"/>
          <w:sz w:val="24"/>
          <w:highlight w:val="none"/>
        </w:rPr>
        <w:t>内容</w:t>
      </w:r>
      <w:r>
        <w:rPr>
          <w:rFonts w:hint="eastAsia" w:ascii="仿宋" w:hAnsi="仿宋" w:eastAsia="仿宋" w:cs="宋体"/>
          <w:kern w:val="0"/>
          <w:sz w:val="24"/>
          <w:highlight w:val="none"/>
        </w:rPr>
        <w:t>有：</w:t>
      </w:r>
      <w:r>
        <w:rPr>
          <w:rFonts w:hint="eastAsia" w:ascii="仿宋" w:hAnsi="仿宋" w:eastAsia="仿宋" w:cs="宋体"/>
          <w:kern w:val="0"/>
          <w:sz w:val="24"/>
          <w:highlight w:val="none"/>
          <w:u w:val="single"/>
        </w:rPr>
        <w:t xml:space="preserve">                         </w:t>
      </w:r>
      <w:r>
        <w:rPr>
          <w:rFonts w:hint="eastAsia" w:ascii="仿宋" w:hAnsi="仿宋" w:eastAsia="仿宋" w:cs="宋体"/>
          <w:kern w:val="0"/>
          <w:sz w:val="24"/>
          <w:highlight w:val="none"/>
        </w:rPr>
        <w:t>；</w:t>
      </w:r>
    </w:p>
    <w:p w14:paraId="55027313">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9.与本投标有关的一切正式往来信函请寄：</w:t>
      </w:r>
    </w:p>
    <w:p w14:paraId="38A74231">
      <w:pPr>
        <w:spacing w:line="440" w:lineRule="exact"/>
        <w:ind w:firstLine="480" w:firstLineChars="200"/>
        <w:contextualSpacing/>
        <w:rPr>
          <w:rFonts w:hint="eastAsia" w:ascii="仿宋" w:hAnsi="仿宋" w:eastAsia="仿宋"/>
          <w:sz w:val="24"/>
          <w:highlight w:val="none"/>
          <w:u w:val="single"/>
        </w:rPr>
      </w:pPr>
      <w:r>
        <w:rPr>
          <w:rFonts w:hint="eastAsia" w:ascii="仿宋" w:hAnsi="仿宋" w:eastAsia="仿宋"/>
          <w:sz w:val="24"/>
          <w:highlight w:val="none"/>
        </w:rPr>
        <w:t>地址：</w:t>
      </w:r>
      <w:r>
        <w:rPr>
          <w:rFonts w:hint="eastAsia" w:ascii="仿宋" w:hAnsi="仿宋" w:eastAsia="仿宋"/>
          <w:sz w:val="24"/>
          <w:highlight w:val="none"/>
          <w:u w:val="single"/>
        </w:rPr>
        <w:t xml:space="preserve">          </w:t>
      </w:r>
      <w:r>
        <w:rPr>
          <w:rFonts w:hint="eastAsia" w:ascii="仿宋" w:hAnsi="仿宋" w:eastAsia="仿宋"/>
          <w:sz w:val="24"/>
          <w:highlight w:val="none"/>
        </w:rPr>
        <w:t>邮编：</w:t>
      </w:r>
      <w:r>
        <w:rPr>
          <w:rFonts w:hint="eastAsia" w:ascii="仿宋" w:hAnsi="仿宋" w:eastAsia="仿宋"/>
          <w:sz w:val="24"/>
          <w:highlight w:val="none"/>
          <w:u w:val="single"/>
        </w:rPr>
        <w:t xml:space="preserve">            </w:t>
      </w:r>
    </w:p>
    <w:p w14:paraId="24F93896">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电话：</w:t>
      </w:r>
      <w:r>
        <w:rPr>
          <w:rFonts w:hint="eastAsia" w:ascii="仿宋" w:hAnsi="仿宋" w:eastAsia="仿宋"/>
          <w:sz w:val="24"/>
          <w:highlight w:val="none"/>
          <w:u w:val="single"/>
        </w:rPr>
        <w:t xml:space="preserve">        </w:t>
      </w:r>
      <w:r>
        <w:rPr>
          <w:rFonts w:hint="eastAsia" w:ascii="仿宋" w:hAnsi="仿宋" w:eastAsia="仿宋"/>
          <w:sz w:val="24"/>
          <w:highlight w:val="none"/>
        </w:rPr>
        <w:t>传真：</w:t>
      </w:r>
      <w:r>
        <w:rPr>
          <w:rFonts w:hint="eastAsia" w:ascii="仿宋" w:hAnsi="仿宋" w:eastAsia="仿宋"/>
          <w:sz w:val="24"/>
          <w:highlight w:val="none"/>
          <w:u w:val="single"/>
        </w:rPr>
        <w:t xml:space="preserve">          </w:t>
      </w:r>
    </w:p>
    <w:p w14:paraId="1581866D">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投标人名称:</w:t>
      </w:r>
      <w:r>
        <w:rPr>
          <w:rFonts w:hint="eastAsia" w:ascii="仿宋" w:hAnsi="仿宋" w:eastAsia="仿宋"/>
          <w:sz w:val="24"/>
          <w:highlight w:val="none"/>
          <w:u w:val="single"/>
        </w:rPr>
        <w:t xml:space="preserve">                </w:t>
      </w:r>
    </w:p>
    <w:p w14:paraId="54483A4F">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开户银行：</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23531F9B">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银行账号：</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7FC10941">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 xml:space="preserve">法定代表人或者委托代理人签字:___________ </w:t>
      </w:r>
    </w:p>
    <w:p w14:paraId="572FC545">
      <w:pPr>
        <w:pStyle w:val="25"/>
        <w:rPr>
          <w:rFonts w:hint="eastAsia"/>
          <w:b w:val="0"/>
          <w:highlight w:val="none"/>
          <w:u w:val="single"/>
        </w:rPr>
      </w:pPr>
      <w:r>
        <w:rPr>
          <w:rFonts w:hint="eastAsia"/>
          <w:highlight w:val="none"/>
        </w:rPr>
        <w:t xml:space="preserve"> </w:t>
      </w:r>
      <w:r>
        <w:rPr>
          <w:highlight w:val="none"/>
        </w:rPr>
        <w:t xml:space="preserve">                                 </w:t>
      </w:r>
      <w:r>
        <w:rPr>
          <w:b w:val="0"/>
          <w:highlight w:val="none"/>
        </w:rPr>
        <w:t xml:space="preserve">  </w:t>
      </w:r>
      <w:r>
        <w:rPr>
          <w:rFonts w:hint="eastAsia"/>
          <w:b w:val="0"/>
          <w:highlight w:val="none"/>
        </w:rPr>
        <w:t>投标人（</w:t>
      </w:r>
      <w:r>
        <w:rPr>
          <w:rFonts w:hint="eastAsia"/>
          <w:b w:val="0"/>
          <w:highlight w:val="none"/>
          <w:lang w:eastAsia="zh-CN"/>
        </w:rPr>
        <w:t>盖CA公章</w:t>
      </w:r>
      <w:r>
        <w:rPr>
          <w:rFonts w:hint="eastAsia"/>
          <w:b w:val="0"/>
          <w:highlight w:val="none"/>
        </w:rPr>
        <w:t>）：</w:t>
      </w:r>
      <w:r>
        <w:rPr>
          <w:rFonts w:hint="eastAsia"/>
          <w:b w:val="0"/>
          <w:highlight w:val="none"/>
          <w:u w:val="single"/>
        </w:rPr>
        <w:t xml:space="preserve">                      </w:t>
      </w:r>
    </w:p>
    <w:p w14:paraId="11BBC188">
      <w:pPr>
        <w:pStyle w:val="25"/>
        <w:ind w:firstLine="480"/>
        <w:rPr>
          <w:rFonts w:hint="eastAsia"/>
          <w:b w:val="0"/>
          <w:highlight w:val="none"/>
        </w:rPr>
      </w:pPr>
      <w:r>
        <w:rPr>
          <w:rFonts w:hint="eastAsia"/>
          <w:b w:val="0"/>
          <w:highlight w:val="none"/>
        </w:rPr>
        <w:t xml:space="preserve">                                               </w:t>
      </w:r>
      <w:r>
        <w:rPr>
          <w:b w:val="0"/>
          <w:highlight w:val="none"/>
        </w:rPr>
        <w:t xml:space="preserve">    </w:t>
      </w:r>
      <w:r>
        <w:rPr>
          <w:rFonts w:hint="eastAsia"/>
          <w:b w:val="0"/>
          <w:highlight w:val="none"/>
        </w:rPr>
        <w:t xml:space="preserve"> </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日</w:t>
      </w:r>
    </w:p>
    <w:p w14:paraId="129A4979">
      <w:pPr>
        <w:snapToGrid w:val="0"/>
        <w:spacing w:before="120" w:beforeLines="50" w:after="50" w:line="440" w:lineRule="exact"/>
        <w:jc w:val="left"/>
        <w:rPr>
          <w:rFonts w:hint="eastAsia" w:ascii="仿宋" w:hAnsi="仿宋" w:eastAsia="仿宋"/>
          <w:b/>
          <w:sz w:val="24"/>
          <w:szCs w:val="20"/>
          <w:highlight w:val="none"/>
        </w:rPr>
      </w:pPr>
      <w:r>
        <w:rPr>
          <w:rFonts w:hint="eastAsia" w:ascii="仿宋" w:hAnsi="仿宋" w:eastAsia="仿宋"/>
          <w:b/>
          <w:sz w:val="24"/>
          <w:highlight w:val="none"/>
        </w:rPr>
        <w:t>4. 开标一览表（货物类格式）</w:t>
      </w:r>
    </w:p>
    <w:p w14:paraId="2576E569">
      <w:pPr>
        <w:snapToGrid w:val="0"/>
        <w:spacing w:before="50" w:after="50"/>
        <w:jc w:val="center"/>
        <w:rPr>
          <w:rFonts w:hint="eastAsia" w:ascii="仿宋" w:hAnsi="仿宋" w:eastAsia="仿宋"/>
          <w:b/>
          <w:sz w:val="30"/>
          <w:highlight w:val="none"/>
        </w:rPr>
      </w:pPr>
      <w:r>
        <w:rPr>
          <w:rFonts w:hint="eastAsia" w:ascii="仿宋" w:hAnsi="仿宋" w:eastAsia="仿宋"/>
          <w:b/>
          <w:sz w:val="30"/>
          <w:highlight w:val="none"/>
          <w:u w:val="single"/>
          <w:lang w:val="en-US" w:eastAsia="zh-CN"/>
        </w:rPr>
        <w:t xml:space="preserve">   </w:t>
      </w:r>
      <w:r>
        <w:rPr>
          <w:rFonts w:hint="eastAsia" w:ascii="仿宋" w:hAnsi="仿宋" w:eastAsia="仿宋"/>
          <w:b/>
          <w:bCs w:val="0"/>
          <w:sz w:val="30"/>
          <w:highlight w:val="none"/>
          <w:u w:val="none"/>
          <w:lang w:val="en-US" w:eastAsia="zh-CN"/>
        </w:rPr>
        <w:t>分标</w:t>
      </w:r>
      <w:r>
        <w:rPr>
          <w:rFonts w:hint="eastAsia" w:ascii="仿宋" w:hAnsi="仿宋" w:eastAsia="仿宋"/>
          <w:b/>
          <w:sz w:val="30"/>
          <w:highlight w:val="none"/>
        </w:rPr>
        <w:t>开标一览表</w:t>
      </w:r>
    </w:p>
    <w:p w14:paraId="6B91F49C">
      <w:pPr>
        <w:snapToGrid w:val="0"/>
        <w:spacing w:before="50" w:after="50"/>
        <w:jc w:val="center"/>
        <w:rPr>
          <w:rFonts w:hint="eastAsia" w:ascii="仿宋" w:hAnsi="仿宋" w:eastAsia="仿宋"/>
          <w:b/>
          <w:sz w:val="30"/>
          <w:szCs w:val="20"/>
          <w:highlight w:val="none"/>
        </w:rPr>
      </w:pPr>
    </w:p>
    <w:p w14:paraId="1DEFC1D2">
      <w:pPr>
        <w:snapToGrid w:val="0"/>
        <w:spacing w:before="50" w:after="50" w:line="360" w:lineRule="auto"/>
        <w:rPr>
          <w:rFonts w:hint="eastAsia" w:ascii="仿宋" w:hAnsi="仿宋" w:eastAsia="仿宋"/>
          <w:sz w:val="24"/>
          <w:highlight w:val="none"/>
          <w:u w:val="single"/>
        </w:rPr>
      </w:pPr>
      <w:r>
        <w:rPr>
          <w:rFonts w:hint="eastAsia" w:ascii="仿宋" w:hAnsi="仿宋" w:eastAsia="仿宋"/>
          <w:sz w:val="24"/>
          <w:highlight w:val="none"/>
        </w:rPr>
        <w:t>项目名称：</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r>
        <w:rPr>
          <w:rFonts w:hint="eastAsia" w:ascii="仿宋" w:hAnsi="仿宋" w:eastAsia="仿宋"/>
          <w:sz w:val="24"/>
          <w:highlight w:val="none"/>
        </w:rPr>
        <w:t>项目编号：</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74AB7F5A">
      <w:pPr>
        <w:snapToGrid w:val="0"/>
        <w:spacing w:before="50" w:after="50" w:line="360" w:lineRule="auto"/>
        <w:rPr>
          <w:rFonts w:hint="eastAsia" w:ascii="仿宋" w:hAnsi="仿宋" w:eastAsia="仿宋"/>
          <w:sz w:val="24"/>
          <w:highlight w:val="none"/>
        </w:rPr>
      </w:pPr>
      <w:r>
        <w:rPr>
          <w:rFonts w:hint="eastAsia" w:ascii="仿宋" w:hAnsi="仿宋" w:eastAsia="仿宋"/>
          <w:sz w:val="24"/>
          <w:highlight w:val="none"/>
        </w:rPr>
        <w:t>投标人名称：</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单位：元</w:t>
      </w:r>
    </w:p>
    <w:tbl>
      <w:tblPr>
        <w:tblStyle w:val="49"/>
        <w:tblW w:w="98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5"/>
        <w:gridCol w:w="1870"/>
        <w:gridCol w:w="1418"/>
        <w:gridCol w:w="850"/>
        <w:gridCol w:w="1418"/>
        <w:gridCol w:w="992"/>
        <w:gridCol w:w="1134"/>
        <w:gridCol w:w="1637"/>
      </w:tblGrid>
      <w:tr w14:paraId="5485F5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5969886B">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序号</w:t>
            </w:r>
          </w:p>
        </w:tc>
        <w:tc>
          <w:tcPr>
            <w:tcW w:w="1870" w:type="dxa"/>
            <w:tcBorders>
              <w:top w:val="single" w:color="auto" w:sz="4" w:space="0"/>
              <w:left w:val="single" w:color="auto" w:sz="4" w:space="0"/>
              <w:bottom w:val="single" w:color="auto" w:sz="4" w:space="0"/>
              <w:right w:val="single" w:color="auto" w:sz="4" w:space="0"/>
            </w:tcBorders>
            <w:vAlign w:val="center"/>
          </w:tcPr>
          <w:p w14:paraId="646D50FC">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标的名称</w:t>
            </w:r>
          </w:p>
        </w:tc>
        <w:tc>
          <w:tcPr>
            <w:tcW w:w="1418" w:type="dxa"/>
            <w:tcBorders>
              <w:top w:val="single" w:color="auto" w:sz="4" w:space="0"/>
              <w:left w:val="single" w:color="auto" w:sz="4" w:space="0"/>
              <w:bottom w:val="single" w:color="auto" w:sz="4" w:space="0"/>
              <w:right w:val="single" w:color="auto" w:sz="4" w:space="0"/>
            </w:tcBorders>
            <w:vAlign w:val="center"/>
          </w:tcPr>
          <w:p w14:paraId="088807BA">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品牌、生产厂家</w:t>
            </w:r>
          </w:p>
        </w:tc>
        <w:tc>
          <w:tcPr>
            <w:tcW w:w="850" w:type="dxa"/>
            <w:tcBorders>
              <w:top w:val="single" w:color="auto" w:sz="4" w:space="0"/>
              <w:left w:val="single" w:color="auto" w:sz="4" w:space="0"/>
              <w:bottom w:val="single" w:color="auto" w:sz="4" w:space="0"/>
              <w:right w:val="single" w:color="auto" w:sz="4" w:space="0"/>
            </w:tcBorders>
            <w:vAlign w:val="center"/>
          </w:tcPr>
          <w:p w14:paraId="5F2F817D">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产地</w:t>
            </w:r>
          </w:p>
        </w:tc>
        <w:tc>
          <w:tcPr>
            <w:tcW w:w="1418" w:type="dxa"/>
            <w:tcBorders>
              <w:top w:val="single" w:color="auto" w:sz="4" w:space="0"/>
              <w:left w:val="single" w:color="auto" w:sz="4" w:space="0"/>
              <w:bottom w:val="single" w:color="auto" w:sz="4" w:space="0"/>
              <w:right w:val="single" w:color="auto" w:sz="4" w:space="0"/>
            </w:tcBorders>
            <w:vAlign w:val="center"/>
          </w:tcPr>
          <w:p w14:paraId="1363E7AB">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580779CF">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数量及单位①</w:t>
            </w:r>
          </w:p>
        </w:tc>
        <w:tc>
          <w:tcPr>
            <w:tcW w:w="1134" w:type="dxa"/>
            <w:tcBorders>
              <w:top w:val="single" w:color="auto" w:sz="4" w:space="0"/>
              <w:left w:val="single" w:color="auto" w:sz="4" w:space="0"/>
              <w:bottom w:val="single" w:color="auto" w:sz="4" w:space="0"/>
              <w:right w:val="single" w:color="auto" w:sz="4" w:space="0"/>
            </w:tcBorders>
            <w:vAlign w:val="center"/>
          </w:tcPr>
          <w:p w14:paraId="798912AE">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单价</w:t>
            </w:r>
          </w:p>
          <w:p w14:paraId="44A45EFD">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②</w:t>
            </w:r>
          </w:p>
        </w:tc>
        <w:tc>
          <w:tcPr>
            <w:tcW w:w="1637" w:type="dxa"/>
            <w:tcBorders>
              <w:top w:val="single" w:color="auto" w:sz="4" w:space="0"/>
              <w:left w:val="single" w:color="auto" w:sz="4" w:space="0"/>
              <w:bottom w:val="single" w:color="auto" w:sz="4" w:space="0"/>
              <w:right w:val="single" w:color="auto" w:sz="4" w:space="0"/>
            </w:tcBorders>
            <w:vAlign w:val="center"/>
          </w:tcPr>
          <w:p w14:paraId="35C12137">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投标报价</w:t>
            </w:r>
          </w:p>
          <w:p w14:paraId="270207AD">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③</w:t>
            </w:r>
            <w:r>
              <w:rPr>
                <w:rFonts w:hint="eastAsia" w:ascii="仿宋" w:hAnsi="仿宋" w:eastAsia="仿宋"/>
                <w:b/>
                <w:sz w:val="24"/>
                <w:highlight w:val="none"/>
              </w:rPr>
              <w:t>=①×②</w:t>
            </w:r>
          </w:p>
        </w:tc>
      </w:tr>
      <w:tr w14:paraId="6312E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170EA3BF">
            <w:pPr>
              <w:snapToGrid w:val="0"/>
              <w:spacing w:line="400" w:lineRule="exact"/>
              <w:jc w:val="center"/>
              <w:rPr>
                <w:rFonts w:hint="eastAsia" w:ascii="仿宋" w:hAnsi="仿宋" w:eastAsia="仿宋"/>
                <w:sz w:val="24"/>
                <w:highlight w:val="none"/>
              </w:rPr>
            </w:pPr>
            <w:r>
              <w:rPr>
                <w:rFonts w:hint="eastAsia" w:ascii="仿宋" w:hAnsi="仿宋" w:eastAsia="仿宋"/>
                <w:sz w:val="24"/>
                <w:highlight w:val="none"/>
              </w:rPr>
              <w:t>1</w:t>
            </w:r>
          </w:p>
        </w:tc>
        <w:tc>
          <w:tcPr>
            <w:tcW w:w="1870" w:type="dxa"/>
            <w:tcBorders>
              <w:top w:val="single" w:color="auto" w:sz="4" w:space="0"/>
              <w:left w:val="single" w:color="auto" w:sz="4" w:space="0"/>
              <w:bottom w:val="single" w:color="auto" w:sz="4" w:space="0"/>
              <w:right w:val="single" w:color="auto" w:sz="4" w:space="0"/>
            </w:tcBorders>
            <w:vAlign w:val="center"/>
          </w:tcPr>
          <w:p w14:paraId="08A459E1">
            <w:pPr>
              <w:snapToGrid w:val="0"/>
              <w:spacing w:line="400" w:lineRule="exact"/>
              <w:jc w:val="center"/>
              <w:rPr>
                <w:rFonts w:hint="eastAsia" w:ascii="仿宋" w:hAnsi="仿宋" w:eastAsia="仿宋"/>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7C645103">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15CC3F3C">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1DB890E6">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664C74B5">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1047DD0">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14:paraId="56F5C2F9">
            <w:pPr>
              <w:snapToGrid w:val="0"/>
              <w:spacing w:line="400" w:lineRule="exact"/>
              <w:rPr>
                <w:rFonts w:hint="eastAsia" w:ascii="仿宋" w:hAnsi="仿宋" w:eastAsia="仿宋"/>
                <w:sz w:val="24"/>
                <w:highlight w:val="none"/>
              </w:rPr>
            </w:pPr>
          </w:p>
        </w:tc>
      </w:tr>
      <w:tr w14:paraId="0E9E15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C8A714A">
            <w:pPr>
              <w:snapToGrid w:val="0"/>
              <w:spacing w:line="400" w:lineRule="exact"/>
              <w:jc w:val="center"/>
              <w:rPr>
                <w:rFonts w:hint="eastAsia" w:ascii="仿宋" w:hAnsi="仿宋" w:eastAsia="仿宋"/>
                <w:sz w:val="24"/>
                <w:highlight w:val="none"/>
              </w:rPr>
            </w:pPr>
            <w:r>
              <w:rPr>
                <w:rFonts w:hint="eastAsia" w:ascii="仿宋" w:hAnsi="仿宋" w:eastAsia="仿宋"/>
                <w:sz w:val="24"/>
                <w:highlight w:val="none"/>
              </w:rPr>
              <w:t>2</w:t>
            </w:r>
          </w:p>
        </w:tc>
        <w:tc>
          <w:tcPr>
            <w:tcW w:w="1870" w:type="dxa"/>
            <w:tcBorders>
              <w:top w:val="single" w:color="auto" w:sz="4" w:space="0"/>
              <w:left w:val="single" w:color="auto" w:sz="4" w:space="0"/>
              <w:bottom w:val="single" w:color="auto" w:sz="4" w:space="0"/>
              <w:right w:val="single" w:color="auto" w:sz="4" w:space="0"/>
            </w:tcBorders>
            <w:vAlign w:val="center"/>
          </w:tcPr>
          <w:p w14:paraId="5CB197DE">
            <w:pPr>
              <w:snapToGrid w:val="0"/>
              <w:spacing w:line="400" w:lineRule="exact"/>
              <w:jc w:val="center"/>
              <w:rPr>
                <w:rFonts w:hint="eastAsia" w:ascii="仿宋" w:hAnsi="仿宋" w:eastAsia="仿宋"/>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3E9BCD61">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12927BF">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47A554CE">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3CF4A464">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A1E4366">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14:paraId="4E8B7DE9">
            <w:pPr>
              <w:snapToGrid w:val="0"/>
              <w:spacing w:line="400" w:lineRule="exact"/>
              <w:rPr>
                <w:rFonts w:hint="eastAsia" w:ascii="仿宋" w:hAnsi="仿宋" w:eastAsia="仿宋"/>
                <w:sz w:val="24"/>
                <w:highlight w:val="none"/>
              </w:rPr>
            </w:pPr>
          </w:p>
        </w:tc>
      </w:tr>
      <w:tr w14:paraId="5A3644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50E532DC">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w:t>
            </w:r>
          </w:p>
        </w:tc>
        <w:tc>
          <w:tcPr>
            <w:tcW w:w="1870" w:type="dxa"/>
            <w:tcBorders>
              <w:top w:val="single" w:color="auto" w:sz="4" w:space="0"/>
              <w:left w:val="single" w:color="auto" w:sz="4" w:space="0"/>
              <w:bottom w:val="single" w:color="auto" w:sz="4" w:space="0"/>
              <w:right w:val="single" w:color="auto" w:sz="4" w:space="0"/>
            </w:tcBorders>
            <w:vAlign w:val="center"/>
          </w:tcPr>
          <w:p w14:paraId="1B1722C9">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w:t>
            </w:r>
          </w:p>
        </w:tc>
        <w:tc>
          <w:tcPr>
            <w:tcW w:w="1418" w:type="dxa"/>
            <w:tcBorders>
              <w:top w:val="single" w:color="auto" w:sz="4" w:space="0"/>
              <w:left w:val="single" w:color="auto" w:sz="4" w:space="0"/>
              <w:bottom w:val="single" w:color="auto" w:sz="4" w:space="0"/>
              <w:right w:val="single" w:color="auto" w:sz="4" w:space="0"/>
            </w:tcBorders>
            <w:vAlign w:val="center"/>
          </w:tcPr>
          <w:p w14:paraId="67A8C5E5">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8D493D3">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3FA3EEED">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7A100005">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5A55F74">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14:paraId="4038C052">
            <w:pPr>
              <w:snapToGrid w:val="0"/>
              <w:spacing w:line="400" w:lineRule="exact"/>
              <w:rPr>
                <w:rFonts w:hint="eastAsia" w:ascii="仿宋" w:hAnsi="仿宋" w:eastAsia="仿宋"/>
                <w:sz w:val="24"/>
                <w:highlight w:val="none"/>
              </w:rPr>
            </w:pPr>
          </w:p>
        </w:tc>
      </w:tr>
      <w:tr w14:paraId="51047F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9854" w:type="dxa"/>
            <w:gridSpan w:val="8"/>
            <w:tcBorders>
              <w:top w:val="single" w:color="auto" w:sz="4" w:space="0"/>
              <w:left w:val="single" w:color="auto" w:sz="4" w:space="0"/>
              <w:bottom w:val="single" w:color="auto" w:sz="4" w:space="0"/>
              <w:right w:val="single" w:color="auto" w:sz="4" w:space="0"/>
            </w:tcBorders>
            <w:vAlign w:val="center"/>
          </w:tcPr>
          <w:p w14:paraId="74971445">
            <w:pPr>
              <w:snapToGrid w:val="0"/>
              <w:spacing w:line="400" w:lineRule="exact"/>
              <w:rPr>
                <w:rFonts w:hint="eastAsia" w:ascii="仿宋" w:hAnsi="仿宋" w:eastAsia="仿宋"/>
                <w:sz w:val="24"/>
                <w:highlight w:val="none"/>
              </w:rPr>
            </w:pPr>
            <w:r>
              <w:rPr>
                <w:rFonts w:hint="eastAsia" w:ascii="仿宋" w:hAnsi="仿宋" w:eastAsia="仿宋" w:cs="仿宋_GB2312"/>
                <w:sz w:val="24"/>
                <w:highlight w:val="none"/>
              </w:rPr>
              <w:t>合计金额大写：人民币</w:t>
            </w:r>
            <w:r>
              <w:rPr>
                <w:rFonts w:hint="eastAsia" w:ascii="仿宋" w:hAnsi="仿宋" w:eastAsia="仿宋" w:cs="仿宋_GB2312"/>
                <w:sz w:val="24"/>
                <w:highlight w:val="none"/>
                <w:u w:val="single"/>
              </w:rPr>
              <w:t xml:space="preserve">        </w:t>
            </w:r>
            <w:r>
              <w:rPr>
                <w:rFonts w:ascii="仿宋" w:hAnsi="仿宋" w:eastAsia="仿宋" w:cs="仿宋_GB2312"/>
                <w:sz w:val="24"/>
                <w:highlight w:val="none"/>
                <w:u w:val="single"/>
              </w:rPr>
              <w:t xml:space="preserve">   </w:t>
            </w:r>
            <w:r>
              <w:rPr>
                <w:rFonts w:hint="eastAsia" w:ascii="仿宋" w:hAnsi="仿宋" w:eastAsia="仿宋" w:cs="仿宋_GB2312"/>
                <w:sz w:val="24"/>
                <w:highlight w:val="none"/>
                <w:u w:val="single"/>
              </w:rPr>
              <w:t xml:space="preserve">   </w:t>
            </w:r>
            <w:r>
              <w:rPr>
                <w:rFonts w:hint="eastAsia" w:ascii="仿宋" w:hAnsi="仿宋" w:eastAsia="仿宋" w:cs="仿宋_GB2312"/>
                <w:sz w:val="24"/>
                <w:highlight w:val="none"/>
              </w:rPr>
              <w:t>（</w:t>
            </w:r>
            <w:r>
              <w:rPr>
                <w:rFonts w:ascii="Calibri" w:hAnsi="Calibri" w:eastAsia="仿宋" w:cs="仿宋_GB2312"/>
                <w:sz w:val="24"/>
                <w:highlight w:val="none"/>
              </w:rPr>
              <w:t>¥</w:t>
            </w:r>
            <w:r>
              <w:rPr>
                <w:rFonts w:hint="eastAsia" w:ascii="仿宋" w:hAnsi="仿宋" w:eastAsia="仿宋" w:cs="仿宋_GB2312"/>
                <w:sz w:val="24"/>
                <w:highlight w:val="none"/>
                <w:u w:val="single"/>
              </w:rPr>
              <w:t xml:space="preserve">     </w:t>
            </w:r>
            <w:r>
              <w:rPr>
                <w:rFonts w:ascii="仿宋" w:hAnsi="仿宋" w:eastAsia="仿宋" w:cs="仿宋_GB2312"/>
                <w:sz w:val="24"/>
                <w:highlight w:val="none"/>
                <w:u w:val="single"/>
              </w:rPr>
              <w:t xml:space="preserve"> </w:t>
            </w:r>
            <w:r>
              <w:rPr>
                <w:rFonts w:hint="eastAsia" w:ascii="仿宋" w:hAnsi="仿宋" w:eastAsia="仿宋" w:cs="仿宋_GB2312"/>
                <w:sz w:val="24"/>
                <w:highlight w:val="none"/>
                <w:u w:val="single"/>
              </w:rPr>
              <w:t xml:space="preserve">      </w:t>
            </w:r>
            <w:r>
              <w:rPr>
                <w:rFonts w:hint="eastAsia" w:ascii="仿宋" w:hAnsi="仿宋" w:eastAsia="仿宋" w:cs="仿宋_GB2312"/>
                <w:sz w:val="24"/>
                <w:highlight w:val="none"/>
              </w:rPr>
              <w:t>）</w:t>
            </w:r>
          </w:p>
        </w:tc>
      </w:tr>
    </w:tbl>
    <w:p w14:paraId="5B050267">
      <w:pPr>
        <w:snapToGrid w:val="0"/>
        <w:spacing w:before="50" w:after="50" w:line="360" w:lineRule="auto"/>
        <w:jc w:val="left"/>
        <w:rPr>
          <w:rFonts w:hint="eastAsia" w:ascii="仿宋" w:hAnsi="仿宋" w:eastAsia="仿宋"/>
          <w:sz w:val="24"/>
          <w:highlight w:val="none"/>
        </w:rPr>
      </w:pPr>
      <w:r>
        <w:rPr>
          <w:rFonts w:hint="eastAsia" w:ascii="仿宋" w:hAnsi="仿宋" w:eastAsia="仿宋"/>
          <w:sz w:val="24"/>
          <w:highlight w:val="none"/>
        </w:rPr>
        <w:t xml:space="preserve">注: </w:t>
      </w:r>
    </w:p>
    <w:p w14:paraId="1764B04C">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1.投标人的开标一览表必须加盖投标人公章并由</w:t>
      </w:r>
      <w:r>
        <w:rPr>
          <w:rFonts w:ascii="仿宋" w:hAnsi="仿宋" w:eastAsia="仿宋"/>
          <w:sz w:val="24"/>
          <w:highlight w:val="none"/>
        </w:rPr>
        <w:t>法定代表人或者委托代理人</w:t>
      </w:r>
      <w:r>
        <w:rPr>
          <w:rFonts w:hint="eastAsia" w:ascii="仿宋" w:hAnsi="仿宋" w:eastAsia="仿宋"/>
          <w:sz w:val="24"/>
          <w:highlight w:val="none"/>
        </w:rPr>
        <w:t>签字，</w:t>
      </w:r>
      <w:r>
        <w:rPr>
          <w:rFonts w:hint="eastAsia" w:ascii="仿宋" w:hAnsi="仿宋" w:eastAsia="仿宋"/>
          <w:b/>
          <w:sz w:val="24"/>
          <w:highlight w:val="none"/>
        </w:rPr>
        <w:t>否则其投标作无效标处理</w:t>
      </w:r>
      <w:r>
        <w:rPr>
          <w:rFonts w:hint="eastAsia" w:ascii="仿宋" w:hAnsi="仿宋" w:eastAsia="仿宋"/>
          <w:sz w:val="24"/>
          <w:highlight w:val="none"/>
        </w:rPr>
        <w:t>。</w:t>
      </w:r>
    </w:p>
    <w:p w14:paraId="65316499">
      <w:pPr>
        <w:snapToGrid w:val="0"/>
        <w:spacing w:before="50" w:after="50" w:line="360" w:lineRule="auto"/>
        <w:ind w:firstLine="480" w:firstLineChars="200"/>
        <w:jc w:val="left"/>
        <w:rPr>
          <w:rFonts w:hint="eastAsia" w:ascii="仿宋" w:hAnsi="仿宋" w:eastAsia="仿宋"/>
          <w:b/>
          <w:sz w:val="24"/>
          <w:highlight w:val="none"/>
        </w:rPr>
      </w:pPr>
      <w:r>
        <w:rPr>
          <w:rFonts w:hint="eastAsia" w:ascii="仿宋" w:hAnsi="仿宋" w:eastAsia="仿宋"/>
          <w:bCs/>
          <w:sz w:val="24"/>
          <w:highlight w:val="none"/>
        </w:rPr>
        <w:t>2.</w:t>
      </w:r>
      <w:r>
        <w:rPr>
          <w:rFonts w:hint="eastAsia" w:ascii="仿宋" w:hAnsi="仿宋" w:eastAsia="仿宋"/>
          <w:sz w:val="24"/>
          <w:highlight w:val="none"/>
        </w:rPr>
        <w:t>报价一经涂改，应在涂改处加盖投标人公章或者由法定代表人或者委托代理人</w:t>
      </w:r>
      <w:r>
        <w:rPr>
          <w:rFonts w:hint="eastAsia" w:ascii="仿宋" w:hAnsi="仿宋" w:eastAsia="仿宋"/>
          <w:sz w:val="24"/>
          <w:highlight w:val="none"/>
          <w:lang w:eastAsia="zh-CN"/>
        </w:rPr>
        <w:t>签字或者盖CA章</w:t>
      </w:r>
      <w:r>
        <w:rPr>
          <w:rFonts w:hint="eastAsia" w:ascii="仿宋" w:hAnsi="仿宋" w:eastAsia="仿宋"/>
          <w:b/>
          <w:sz w:val="24"/>
          <w:highlight w:val="none"/>
        </w:rPr>
        <w:t>，否则其投标作无效标处理。</w:t>
      </w:r>
    </w:p>
    <w:p w14:paraId="44EB3C76">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3.招标文件中列明采购专用耗材的，应按招标文件规定的耗材量或者按耗材的常规试用量提供报价。</w:t>
      </w:r>
    </w:p>
    <w:p w14:paraId="0B754050">
      <w:pPr>
        <w:snapToGrid w:val="0"/>
        <w:spacing w:before="50" w:after="50" w:line="360" w:lineRule="auto"/>
        <w:ind w:firstLine="480" w:firstLineChars="200"/>
        <w:rPr>
          <w:rFonts w:hint="eastAsia" w:ascii="仿宋" w:hAnsi="仿宋" w:eastAsia="仿宋"/>
          <w:b/>
          <w:sz w:val="24"/>
          <w:highlight w:val="none"/>
        </w:rPr>
      </w:pPr>
      <w:r>
        <w:rPr>
          <w:rFonts w:hint="eastAsia" w:ascii="仿宋" w:hAnsi="仿宋" w:eastAsia="仿宋"/>
          <w:sz w:val="24"/>
          <w:highlight w:val="none"/>
          <w:lang w:val="en-US" w:eastAsia="zh-CN"/>
        </w:rPr>
        <w:t>4</w:t>
      </w:r>
      <w:r>
        <w:rPr>
          <w:rFonts w:hint="eastAsia" w:ascii="仿宋" w:hAnsi="仿宋" w:eastAsia="仿宋"/>
          <w:sz w:val="24"/>
          <w:highlight w:val="none"/>
        </w:rPr>
        <w:t>.如有多</w:t>
      </w:r>
      <w:r>
        <w:rPr>
          <w:rFonts w:hint="eastAsia" w:ascii="仿宋" w:hAnsi="仿宋" w:eastAsia="仿宋" w:cs="宋体"/>
          <w:sz w:val="24"/>
          <w:highlight w:val="none"/>
        </w:rPr>
        <w:t>标项</w:t>
      </w:r>
      <w:r>
        <w:rPr>
          <w:rFonts w:hint="eastAsia" w:ascii="仿宋" w:hAnsi="仿宋" w:eastAsia="仿宋"/>
          <w:sz w:val="24"/>
          <w:highlight w:val="none"/>
        </w:rPr>
        <w:t>，按</w:t>
      </w:r>
      <w:r>
        <w:rPr>
          <w:rFonts w:hint="eastAsia" w:ascii="仿宋" w:hAnsi="仿宋" w:eastAsia="仿宋" w:cs="宋体"/>
          <w:sz w:val="24"/>
          <w:highlight w:val="none"/>
        </w:rPr>
        <w:t>标项</w:t>
      </w:r>
      <w:r>
        <w:rPr>
          <w:rFonts w:hint="eastAsia" w:ascii="仿宋" w:hAnsi="仿宋" w:eastAsia="仿宋"/>
          <w:sz w:val="24"/>
          <w:highlight w:val="none"/>
        </w:rPr>
        <w:t>分别提供开标一览表，</w:t>
      </w:r>
      <w:r>
        <w:rPr>
          <w:rFonts w:hint="eastAsia" w:ascii="仿宋" w:hAnsi="仿宋" w:eastAsia="仿宋"/>
          <w:b/>
          <w:sz w:val="24"/>
          <w:highlight w:val="none"/>
        </w:rPr>
        <w:t>否则投标无效。</w:t>
      </w:r>
    </w:p>
    <w:p w14:paraId="437BA86A">
      <w:pPr>
        <w:snapToGrid w:val="0"/>
        <w:spacing w:before="50" w:after="50" w:line="360" w:lineRule="auto"/>
        <w:ind w:firstLine="482" w:firstLineChars="200"/>
        <w:rPr>
          <w:rFonts w:hint="eastAsia" w:ascii="仿宋" w:hAnsi="仿宋" w:eastAsia="仿宋"/>
          <w:b/>
          <w:sz w:val="24"/>
          <w:highlight w:val="none"/>
        </w:rPr>
      </w:pPr>
    </w:p>
    <w:p w14:paraId="1777C4DD">
      <w:pPr>
        <w:snapToGrid w:val="0"/>
        <w:spacing w:before="50" w:after="50" w:line="360" w:lineRule="auto"/>
        <w:ind w:left="-2" w:leftChars="-1" w:right="-817" w:rightChars="-389"/>
        <w:rPr>
          <w:rFonts w:hint="eastAsia" w:ascii="仿宋" w:hAnsi="仿宋" w:eastAsia="仿宋"/>
          <w:sz w:val="24"/>
          <w:highlight w:val="non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551CB718">
      <w:pPr>
        <w:snapToGrid w:val="0"/>
        <w:spacing w:before="50" w:after="50" w:line="360" w:lineRule="auto"/>
        <w:ind w:left="-3" w:leftChars="-15" w:right="-817" w:rightChars="-389" w:hanging="28" w:hangingChars="12"/>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549F5866">
      <w:pPr>
        <w:snapToGrid w:val="0"/>
        <w:spacing w:before="50" w:after="50" w:line="360" w:lineRule="auto"/>
        <w:ind w:left="-3" w:leftChars="-15" w:right="-817" w:rightChars="-389" w:hanging="28" w:hangingChars="12"/>
        <w:rPr>
          <w:rFonts w:hint="eastAsia" w:ascii="仿宋" w:hAnsi="仿宋" w:eastAsia="仿宋"/>
          <w:szCs w:val="21"/>
          <w:highlight w:val="none"/>
        </w:rPr>
      </w:pPr>
      <w:r>
        <w:rPr>
          <w:rFonts w:hint="eastAsia" w:ascii="仿宋" w:hAnsi="仿宋" w:eastAsia="仿宋"/>
          <w:sz w:val="24"/>
          <w:highlight w:val="none"/>
        </w:rPr>
        <w:t>日期：    年   月   日</w:t>
      </w:r>
    </w:p>
    <w:p w14:paraId="58F2EE66">
      <w:pPr>
        <w:rPr>
          <w:rFonts w:hint="eastAsia" w:ascii="仿宋" w:hAnsi="仿宋" w:eastAsia="仿宋"/>
          <w:b/>
          <w:sz w:val="28"/>
          <w:szCs w:val="28"/>
          <w:highlight w:val="none"/>
        </w:rPr>
      </w:pPr>
      <w:r>
        <w:rPr>
          <w:rFonts w:ascii="仿宋" w:hAnsi="仿宋" w:eastAsia="仿宋"/>
          <w:b/>
          <w:bCs/>
          <w:sz w:val="24"/>
          <w:highlight w:val="none"/>
        </w:rPr>
        <w:br w:type="page"/>
      </w:r>
      <w:bookmarkStart w:id="172" w:name="_Toc19686837"/>
      <w:r>
        <w:rPr>
          <w:rFonts w:hint="eastAsia" w:ascii="仿宋" w:hAnsi="仿宋" w:eastAsia="仿宋"/>
          <w:b/>
          <w:sz w:val="28"/>
          <w:szCs w:val="28"/>
          <w:highlight w:val="none"/>
        </w:rPr>
        <w:t>二、资格证明文件格式</w:t>
      </w:r>
      <w:bookmarkEnd w:id="170"/>
      <w:bookmarkEnd w:id="171"/>
      <w:bookmarkEnd w:id="172"/>
    </w:p>
    <w:p w14:paraId="74260032">
      <w:pPr>
        <w:tabs>
          <w:tab w:val="left" w:pos="1815"/>
        </w:tabs>
        <w:snapToGrid w:val="0"/>
        <w:spacing w:before="120" w:beforeLines="50" w:after="50" w:line="360" w:lineRule="auto"/>
        <w:jc w:val="left"/>
        <w:rPr>
          <w:rFonts w:hint="eastAsia" w:ascii="仿宋" w:hAnsi="仿宋" w:eastAsia="仿宋"/>
          <w:b/>
          <w:sz w:val="24"/>
          <w:highlight w:val="none"/>
        </w:rPr>
      </w:pPr>
      <w:r>
        <w:rPr>
          <w:rFonts w:hint="eastAsia" w:ascii="仿宋" w:hAnsi="仿宋" w:eastAsia="仿宋"/>
          <w:b/>
          <w:sz w:val="24"/>
          <w:highlight w:val="none"/>
        </w:rPr>
        <w:t>1</w:t>
      </w:r>
      <w:r>
        <w:rPr>
          <w:rFonts w:ascii="仿宋" w:hAnsi="仿宋" w:eastAsia="仿宋"/>
          <w:b/>
          <w:sz w:val="24"/>
          <w:highlight w:val="none"/>
        </w:rPr>
        <w:t>.</w:t>
      </w:r>
      <w:r>
        <w:rPr>
          <w:rFonts w:hint="eastAsia" w:ascii="仿宋" w:hAnsi="仿宋" w:eastAsia="仿宋"/>
          <w:b/>
          <w:sz w:val="24"/>
          <w:highlight w:val="none"/>
        </w:rPr>
        <w:t xml:space="preserve">资格证明文件封面格式： </w:t>
      </w:r>
    </w:p>
    <w:p w14:paraId="4F1A14A4">
      <w:pPr>
        <w:snapToGrid w:val="0"/>
        <w:spacing w:before="120" w:beforeLines="50" w:after="50"/>
        <w:rPr>
          <w:rFonts w:hint="eastAsia" w:ascii="仿宋" w:hAnsi="仿宋" w:eastAsia="仿宋"/>
          <w:bCs/>
          <w:sz w:val="32"/>
          <w:szCs w:val="20"/>
          <w:highlight w:val="none"/>
        </w:rPr>
      </w:pPr>
      <w:r>
        <w:rPr>
          <w:rFonts w:hint="eastAsia" w:ascii="仿宋" w:hAnsi="仿宋" w:eastAsia="仿宋"/>
          <w:sz w:val="24"/>
          <w:highlight w:val="none"/>
        </w:rPr>
        <w:t xml:space="preserve">                                                   </w:t>
      </w:r>
    </w:p>
    <w:p w14:paraId="0C3BDAC5">
      <w:pPr>
        <w:snapToGrid w:val="0"/>
        <w:spacing w:before="120" w:beforeLines="50" w:after="50"/>
        <w:rPr>
          <w:rFonts w:hint="eastAsia" w:ascii="仿宋" w:hAnsi="仿宋" w:eastAsia="仿宋"/>
          <w:sz w:val="24"/>
          <w:szCs w:val="20"/>
          <w:highlight w:val="none"/>
        </w:rPr>
      </w:pPr>
    </w:p>
    <w:p w14:paraId="5D494F43">
      <w:pPr>
        <w:snapToGrid w:val="0"/>
        <w:spacing w:before="120" w:beforeLines="50" w:after="50"/>
        <w:rPr>
          <w:rFonts w:hint="eastAsia" w:ascii="仿宋" w:hAnsi="仿宋" w:eastAsia="仿宋"/>
          <w:sz w:val="24"/>
          <w:szCs w:val="20"/>
          <w:highlight w:val="none"/>
        </w:rPr>
      </w:pPr>
    </w:p>
    <w:p w14:paraId="28865C46">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14:paraId="05094C8D">
      <w:pPr>
        <w:snapToGrid w:val="0"/>
        <w:spacing w:before="120" w:beforeLines="50" w:after="50"/>
        <w:rPr>
          <w:rFonts w:hint="eastAsia" w:ascii="仿宋" w:hAnsi="仿宋" w:eastAsia="仿宋"/>
          <w:sz w:val="24"/>
          <w:szCs w:val="20"/>
          <w:highlight w:val="none"/>
        </w:rPr>
      </w:pPr>
    </w:p>
    <w:p w14:paraId="0204ABC9">
      <w:pPr>
        <w:snapToGrid w:val="0"/>
        <w:spacing w:before="120" w:beforeLines="50" w:after="50"/>
        <w:rPr>
          <w:rFonts w:hint="eastAsia" w:ascii="仿宋" w:hAnsi="仿宋" w:eastAsia="仿宋"/>
          <w:sz w:val="24"/>
          <w:szCs w:val="20"/>
          <w:highlight w:val="none"/>
        </w:rPr>
      </w:pPr>
    </w:p>
    <w:p w14:paraId="0FB2CC92">
      <w:pPr>
        <w:snapToGrid w:val="0"/>
        <w:spacing w:before="120" w:beforeLines="50" w:after="50"/>
        <w:jc w:val="center"/>
        <w:rPr>
          <w:rFonts w:hint="eastAsia" w:ascii="仿宋" w:hAnsi="仿宋" w:eastAsia="仿宋"/>
          <w:b/>
          <w:sz w:val="24"/>
          <w:szCs w:val="20"/>
          <w:highlight w:val="none"/>
        </w:rPr>
      </w:pPr>
      <w:r>
        <w:rPr>
          <w:rFonts w:hint="eastAsia" w:ascii="仿宋" w:hAnsi="仿宋" w:eastAsia="仿宋"/>
          <w:b/>
          <w:sz w:val="32"/>
          <w:szCs w:val="32"/>
          <w:highlight w:val="none"/>
        </w:rPr>
        <w:t>资 格 证 明 文 件</w:t>
      </w:r>
    </w:p>
    <w:p w14:paraId="75D3A97A">
      <w:pPr>
        <w:snapToGrid w:val="0"/>
        <w:spacing w:before="120" w:beforeLines="50" w:after="50"/>
        <w:rPr>
          <w:rFonts w:hint="eastAsia" w:ascii="仿宋" w:hAnsi="仿宋" w:eastAsia="仿宋"/>
          <w:bCs/>
          <w:sz w:val="24"/>
          <w:szCs w:val="20"/>
          <w:highlight w:val="none"/>
        </w:rPr>
      </w:pPr>
    </w:p>
    <w:p w14:paraId="5ABEB735">
      <w:pPr>
        <w:snapToGrid w:val="0"/>
        <w:spacing w:before="120" w:beforeLines="50" w:after="50"/>
        <w:rPr>
          <w:rFonts w:hint="eastAsia" w:ascii="仿宋" w:hAnsi="仿宋" w:eastAsia="仿宋"/>
          <w:bCs/>
          <w:sz w:val="24"/>
          <w:szCs w:val="20"/>
          <w:highlight w:val="none"/>
        </w:rPr>
      </w:pPr>
    </w:p>
    <w:p w14:paraId="1DEA9B97">
      <w:pPr>
        <w:snapToGrid w:val="0"/>
        <w:spacing w:before="120" w:beforeLines="50" w:after="50"/>
        <w:rPr>
          <w:rFonts w:hint="eastAsia" w:ascii="仿宋" w:hAnsi="仿宋" w:eastAsia="仿宋"/>
          <w:bCs/>
          <w:sz w:val="24"/>
          <w:szCs w:val="20"/>
          <w:highlight w:val="none"/>
        </w:rPr>
      </w:pPr>
    </w:p>
    <w:p w14:paraId="72A61DF4">
      <w:pPr>
        <w:snapToGrid w:val="0"/>
        <w:spacing w:before="120" w:beforeLines="50" w:after="50"/>
        <w:rPr>
          <w:rFonts w:hint="eastAsia" w:ascii="仿宋" w:hAnsi="仿宋" w:eastAsia="仿宋"/>
          <w:bCs/>
          <w:sz w:val="24"/>
          <w:szCs w:val="20"/>
          <w:highlight w:val="none"/>
        </w:rPr>
      </w:pPr>
    </w:p>
    <w:p w14:paraId="4D36D01E">
      <w:pPr>
        <w:snapToGrid w:val="0"/>
        <w:spacing w:before="120" w:beforeLines="50" w:after="50"/>
        <w:rPr>
          <w:rFonts w:hint="eastAsia" w:ascii="仿宋" w:hAnsi="仿宋" w:eastAsia="仿宋"/>
          <w:bCs/>
          <w:sz w:val="24"/>
          <w:szCs w:val="20"/>
          <w:highlight w:val="none"/>
        </w:rPr>
      </w:pPr>
    </w:p>
    <w:p w14:paraId="3725441E">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项目名称：</w:t>
      </w:r>
    </w:p>
    <w:p w14:paraId="041A667C">
      <w:pPr>
        <w:snapToGrid w:val="0"/>
        <w:spacing w:before="120" w:beforeLines="50" w:after="50"/>
        <w:ind w:firstLine="540" w:firstLineChars="225"/>
        <w:rPr>
          <w:rFonts w:hint="eastAsia" w:ascii="仿宋" w:hAnsi="仿宋" w:eastAsia="仿宋"/>
          <w:bCs/>
          <w:sz w:val="24"/>
          <w:szCs w:val="20"/>
          <w:highlight w:val="none"/>
        </w:rPr>
      </w:pPr>
    </w:p>
    <w:p w14:paraId="2EAE0235">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项目编号：</w:t>
      </w:r>
    </w:p>
    <w:p w14:paraId="423A71A1">
      <w:pPr>
        <w:snapToGrid w:val="0"/>
        <w:spacing w:before="120" w:beforeLines="50" w:after="50"/>
        <w:ind w:firstLine="540" w:firstLineChars="225"/>
        <w:rPr>
          <w:rFonts w:hint="eastAsia" w:ascii="仿宋" w:hAnsi="仿宋" w:eastAsia="仿宋"/>
          <w:bCs/>
          <w:sz w:val="24"/>
          <w:szCs w:val="20"/>
          <w:highlight w:val="none"/>
        </w:rPr>
      </w:pPr>
      <w:r>
        <w:rPr>
          <w:rFonts w:hint="eastAsia" w:ascii="仿宋" w:hAnsi="仿宋" w:eastAsia="仿宋"/>
          <w:bCs/>
          <w:sz w:val="24"/>
          <w:highlight w:val="none"/>
        </w:rPr>
        <w:t xml:space="preserve"> </w:t>
      </w:r>
    </w:p>
    <w:p w14:paraId="597A6EC7">
      <w:pPr>
        <w:snapToGrid w:val="0"/>
        <w:spacing w:before="120" w:beforeLines="50" w:after="50"/>
        <w:ind w:firstLine="540" w:firstLineChars="225"/>
        <w:rPr>
          <w:rFonts w:hint="eastAsia" w:ascii="仿宋" w:hAnsi="仿宋" w:eastAsia="仿宋" w:cs="宋体"/>
          <w:sz w:val="24"/>
          <w:highlight w:val="none"/>
        </w:rPr>
      </w:pPr>
      <w:r>
        <w:rPr>
          <w:rFonts w:hint="eastAsia" w:ascii="仿宋" w:hAnsi="仿宋" w:eastAsia="仿宋" w:cs="宋体"/>
          <w:sz w:val="24"/>
          <w:highlight w:val="none"/>
        </w:rPr>
        <w:t>投标人名称：</w:t>
      </w:r>
    </w:p>
    <w:p w14:paraId="3B6C87A8">
      <w:pPr>
        <w:pStyle w:val="7"/>
        <w:rPr>
          <w:highlight w:val="none"/>
        </w:rPr>
      </w:pPr>
    </w:p>
    <w:p w14:paraId="0966537D">
      <w:pPr>
        <w:pStyle w:val="7"/>
        <w:rPr>
          <w:highlight w:val="none"/>
        </w:rPr>
      </w:pPr>
    </w:p>
    <w:p w14:paraId="27218389">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 xml:space="preserve">年   </w:t>
      </w:r>
      <w:r>
        <w:rPr>
          <w:rFonts w:ascii="仿宋" w:hAnsi="仿宋" w:eastAsia="仿宋"/>
          <w:sz w:val="24"/>
          <w:highlight w:val="none"/>
        </w:rPr>
        <w:t xml:space="preserve"> </w:t>
      </w:r>
      <w:r>
        <w:rPr>
          <w:rFonts w:hint="eastAsia" w:ascii="仿宋" w:hAnsi="仿宋" w:eastAsia="仿宋"/>
          <w:sz w:val="24"/>
          <w:highlight w:val="none"/>
        </w:rPr>
        <w:t xml:space="preserve">月 </w:t>
      </w:r>
      <w:r>
        <w:rPr>
          <w:rFonts w:ascii="仿宋" w:hAnsi="仿宋" w:eastAsia="仿宋"/>
          <w:sz w:val="24"/>
          <w:highlight w:val="none"/>
        </w:rPr>
        <w:t xml:space="preserve"> </w:t>
      </w:r>
      <w:r>
        <w:rPr>
          <w:rFonts w:hint="eastAsia" w:ascii="仿宋" w:hAnsi="仿宋" w:eastAsia="仿宋"/>
          <w:sz w:val="24"/>
          <w:highlight w:val="none"/>
        </w:rPr>
        <w:t xml:space="preserve"> 日</w:t>
      </w:r>
    </w:p>
    <w:p w14:paraId="0126516D">
      <w:pPr>
        <w:snapToGrid w:val="0"/>
        <w:spacing w:before="120" w:beforeLines="50" w:after="50"/>
        <w:rPr>
          <w:rFonts w:hint="eastAsia" w:ascii="仿宋" w:hAnsi="仿宋" w:eastAsia="仿宋"/>
          <w:sz w:val="24"/>
          <w:szCs w:val="20"/>
          <w:highlight w:val="none"/>
        </w:rPr>
      </w:pPr>
      <w:r>
        <w:rPr>
          <w:rFonts w:ascii="仿宋" w:hAnsi="仿宋" w:eastAsia="仿宋"/>
          <w:sz w:val="24"/>
          <w:szCs w:val="20"/>
          <w:highlight w:val="none"/>
        </w:rPr>
        <w:t xml:space="preserve"> </w:t>
      </w:r>
    </w:p>
    <w:p w14:paraId="51C8B2A8">
      <w:pPr>
        <w:snapToGrid w:val="0"/>
        <w:spacing w:before="120" w:beforeLines="50" w:after="50"/>
        <w:rPr>
          <w:rFonts w:hint="eastAsia" w:ascii="仿宋" w:hAnsi="仿宋" w:eastAsia="仿宋"/>
          <w:sz w:val="24"/>
          <w:szCs w:val="20"/>
          <w:highlight w:val="none"/>
        </w:rPr>
      </w:pPr>
    </w:p>
    <w:p w14:paraId="55D23988">
      <w:pPr>
        <w:numPr>
          <w:ilvl w:val="2"/>
          <w:numId w:val="6"/>
        </w:numPr>
        <w:snapToGrid w:val="0"/>
        <w:spacing w:before="120" w:beforeLines="50" w:after="50" w:line="360" w:lineRule="auto"/>
        <w:ind w:left="0" w:firstLine="0"/>
        <w:jc w:val="left"/>
        <w:rPr>
          <w:rFonts w:hint="eastAsia" w:ascii="仿宋" w:hAnsi="仿宋" w:eastAsia="仿宋"/>
          <w:sz w:val="24"/>
          <w:szCs w:val="20"/>
          <w:highlight w:val="none"/>
        </w:rPr>
      </w:pPr>
      <w:r>
        <w:rPr>
          <w:rFonts w:ascii="仿宋" w:hAnsi="仿宋" w:eastAsia="仿宋"/>
          <w:b/>
          <w:bCs/>
          <w:sz w:val="24"/>
          <w:highlight w:val="none"/>
        </w:rPr>
        <w:br w:type="page"/>
      </w:r>
      <w:r>
        <w:rPr>
          <w:rFonts w:hint="eastAsia" w:ascii="仿宋" w:hAnsi="仿宋" w:eastAsia="仿宋"/>
          <w:b/>
          <w:bCs/>
          <w:sz w:val="24"/>
          <w:highlight w:val="none"/>
        </w:rPr>
        <w:t>资格证明文件目录</w:t>
      </w:r>
    </w:p>
    <w:p w14:paraId="5A8527EA">
      <w:pPr>
        <w:snapToGrid w:val="0"/>
        <w:spacing w:line="360" w:lineRule="auto"/>
        <w:ind w:firstLine="420" w:firstLineChars="200"/>
        <w:jc w:val="left"/>
        <w:rPr>
          <w:rFonts w:hint="eastAsia" w:ascii="仿宋" w:hAnsi="仿宋" w:eastAsia="仿宋"/>
          <w:szCs w:val="21"/>
          <w:highlight w:val="none"/>
        </w:rPr>
      </w:pPr>
      <w:r>
        <w:rPr>
          <w:rFonts w:hint="eastAsia" w:ascii="仿宋" w:hAnsi="仿宋" w:eastAsia="仿宋"/>
          <w:szCs w:val="21"/>
          <w:highlight w:val="none"/>
        </w:rPr>
        <w:t>根据招标文件规定及投标人提供的材料自行编写目录。</w:t>
      </w:r>
    </w:p>
    <w:p w14:paraId="3202DD72">
      <w:pPr>
        <w:snapToGrid w:val="0"/>
        <w:spacing w:before="50" w:after="120" w:afterLines="50"/>
        <w:jc w:val="left"/>
        <w:rPr>
          <w:rFonts w:hint="eastAsia" w:ascii="仿宋" w:hAnsi="仿宋" w:eastAsia="仿宋"/>
          <w:sz w:val="24"/>
          <w:highlight w:val="none"/>
        </w:rPr>
      </w:pPr>
    </w:p>
    <w:p w14:paraId="47EFF197">
      <w:pPr>
        <w:snapToGrid w:val="0"/>
        <w:spacing w:before="50" w:after="120" w:afterLines="50"/>
        <w:jc w:val="left"/>
        <w:rPr>
          <w:rFonts w:hint="eastAsia" w:ascii="仿宋" w:hAnsi="仿宋" w:eastAsia="仿宋"/>
          <w:sz w:val="24"/>
          <w:highlight w:val="none"/>
        </w:rPr>
      </w:pPr>
    </w:p>
    <w:p w14:paraId="4D0B8DE0">
      <w:pPr>
        <w:numPr>
          <w:ilvl w:val="2"/>
          <w:numId w:val="6"/>
        </w:numPr>
        <w:snapToGrid w:val="0"/>
        <w:spacing w:before="120" w:beforeLines="50" w:after="50"/>
        <w:ind w:left="0" w:firstLine="0"/>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投标人直接控股、管理关系信息表</w:t>
      </w:r>
    </w:p>
    <w:p w14:paraId="73177E8C">
      <w:pPr>
        <w:snapToGrid w:val="0"/>
        <w:spacing w:before="50" w:after="120" w:afterLines="50"/>
        <w:jc w:val="center"/>
        <w:rPr>
          <w:rFonts w:hint="eastAsia" w:ascii="仿宋" w:hAnsi="仿宋" w:eastAsia="仿宋"/>
          <w:b/>
          <w:sz w:val="28"/>
          <w:szCs w:val="28"/>
          <w:highlight w:val="none"/>
        </w:rPr>
      </w:pPr>
    </w:p>
    <w:p w14:paraId="3C2409E1">
      <w:pPr>
        <w:snapToGrid w:val="0"/>
        <w:spacing w:before="50" w:after="120" w:afterLines="50" w:line="360" w:lineRule="auto"/>
        <w:jc w:val="center"/>
        <w:rPr>
          <w:rFonts w:hint="eastAsia" w:ascii="仿宋" w:hAnsi="仿宋" w:eastAsia="仿宋"/>
          <w:b/>
          <w:sz w:val="32"/>
          <w:szCs w:val="32"/>
          <w:highlight w:val="none"/>
        </w:rPr>
      </w:pPr>
      <w:r>
        <w:rPr>
          <w:rFonts w:hint="eastAsia" w:ascii="仿宋" w:hAnsi="仿宋" w:eastAsia="仿宋"/>
          <w:b/>
          <w:sz w:val="32"/>
          <w:szCs w:val="32"/>
          <w:highlight w:val="none"/>
        </w:rPr>
        <w:t>投标人直接控股股东信息表</w:t>
      </w:r>
    </w:p>
    <w:tbl>
      <w:tblPr>
        <w:tblStyle w:val="49"/>
        <w:tblW w:w="9476" w:type="dxa"/>
        <w:jc w:val="center"/>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3AB2BCAF">
        <w:tblPrEx>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67A3619">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A93F7E2">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33CAE5B">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B38B1A">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84BE72F">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备注</w:t>
            </w:r>
          </w:p>
        </w:tc>
      </w:tr>
      <w:tr w14:paraId="5F3F2460">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F459E6">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06807E">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810125">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7B88B9">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F290EC">
            <w:pPr>
              <w:spacing w:line="360" w:lineRule="auto"/>
              <w:jc w:val="center"/>
              <w:rPr>
                <w:rFonts w:hint="eastAsia" w:ascii="仿宋" w:hAnsi="仿宋" w:eastAsia="仿宋" w:cs="宋体"/>
                <w:kern w:val="0"/>
                <w:sz w:val="24"/>
                <w:highlight w:val="none"/>
              </w:rPr>
            </w:pPr>
          </w:p>
        </w:tc>
      </w:tr>
      <w:tr w14:paraId="74199727">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28DA27">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5042E9">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8C64FF">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1C7D0D">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783570">
            <w:pPr>
              <w:spacing w:line="360" w:lineRule="auto"/>
              <w:jc w:val="center"/>
              <w:rPr>
                <w:rFonts w:hint="eastAsia" w:ascii="仿宋" w:hAnsi="仿宋" w:eastAsia="仿宋" w:cs="宋体"/>
                <w:kern w:val="0"/>
                <w:sz w:val="24"/>
                <w:highlight w:val="none"/>
              </w:rPr>
            </w:pPr>
          </w:p>
        </w:tc>
      </w:tr>
      <w:tr w14:paraId="413E1303">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24722C">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50E124">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3E3385">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D36B34">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083344">
            <w:pPr>
              <w:spacing w:line="360" w:lineRule="auto"/>
              <w:jc w:val="center"/>
              <w:rPr>
                <w:rFonts w:hint="eastAsia" w:ascii="仿宋" w:hAnsi="仿宋" w:eastAsia="仿宋" w:cs="宋体"/>
                <w:kern w:val="0"/>
                <w:sz w:val="24"/>
                <w:highlight w:val="none"/>
              </w:rPr>
            </w:pPr>
          </w:p>
        </w:tc>
      </w:tr>
      <w:tr w14:paraId="40D7B04F">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D5FEE5">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43643B">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33C4D4">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DC2551">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FDFD04">
            <w:pPr>
              <w:spacing w:line="360" w:lineRule="auto"/>
              <w:jc w:val="center"/>
              <w:rPr>
                <w:rFonts w:hint="eastAsia" w:ascii="仿宋" w:hAnsi="仿宋" w:eastAsia="仿宋" w:cs="宋体"/>
                <w:kern w:val="0"/>
                <w:sz w:val="24"/>
                <w:highlight w:val="none"/>
              </w:rPr>
            </w:pPr>
          </w:p>
        </w:tc>
      </w:tr>
    </w:tbl>
    <w:p w14:paraId="1C7D0A7B">
      <w:pPr>
        <w:snapToGrid w:val="0"/>
        <w:spacing w:before="120" w:beforeLines="50" w:line="360" w:lineRule="auto"/>
        <w:jc w:val="left"/>
        <w:rPr>
          <w:rFonts w:hint="eastAsia" w:ascii="仿宋" w:hAnsi="仿宋" w:eastAsia="仿宋"/>
          <w:sz w:val="24"/>
          <w:highlight w:val="none"/>
        </w:rPr>
      </w:pPr>
      <w:r>
        <w:rPr>
          <w:rFonts w:hint="eastAsia" w:ascii="仿宋" w:hAnsi="仿宋" w:eastAsia="仿宋"/>
          <w:sz w:val="24"/>
          <w:highlight w:val="none"/>
        </w:rPr>
        <w:t>注：</w:t>
      </w:r>
    </w:p>
    <w:p w14:paraId="282597CB">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06DA5C8">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2.本表所指的控股关系仅限于直接控股关系，不包括间接的控股关系。公司实际控制人与公司之间的关系不属于本表所指的直接控股关系。</w:t>
      </w:r>
    </w:p>
    <w:p w14:paraId="27BBB9C3">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3.供应商不存在直接控股股东的，则填“无”。</w:t>
      </w:r>
    </w:p>
    <w:p w14:paraId="6647ACA4">
      <w:pPr>
        <w:snapToGrid w:val="0"/>
        <w:spacing w:line="360" w:lineRule="auto"/>
        <w:jc w:val="left"/>
        <w:rPr>
          <w:rFonts w:hint="eastAsia" w:ascii="仿宋" w:hAnsi="仿宋" w:eastAsia="仿宋"/>
          <w:sz w:val="24"/>
          <w:highlight w:val="none"/>
        </w:rPr>
      </w:pPr>
    </w:p>
    <w:p w14:paraId="35BB6050">
      <w:pPr>
        <w:snapToGrid w:val="0"/>
        <w:spacing w:line="360" w:lineRule="auto"/>
        <w:jc w:val="left"/>
        <w:rPr>
          <w:rFonts w:hint="eastAsia" w:ascii="仿宋" w:hAnsi="仿宋" w:eastAsia="仿宋"/>
          <w:sz w:val="24"/>
          <w:highlight w:val="none"/>
        </w:rPr>
      </w:pPr>
    </w:p>
    <w:p w14:paraId="06304CC7">
      <w:pPr>
        <w:snapToGrid w:val="0"/>
        <w:spacing w:before="120" w:beforeLines="50" w:line="360" w:lineRule="auto"/>
        <w:ind w:right="480"/>
        <w:rPr>
          <w:rFonts w:hint="eastAsia" w:ascii="仿宋" w:hAnsi="仿宋" w:eastAsia="仿宋"/>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433C06F2">
      <w:pPr>
        <w:snapToGrid w:val="0"/>
        <w:spacing w:before="120" w:beforeLines="50" w:after="50" w:line="360" w:lineRule="auto"/>
        <w:ind w:right="480"/>
        <w:rPr>
          <w:rFonts w:hint="eastAsia" w:ascii="仿宋" w:hAnsi="仿宋" w:eastAsia="仿宋"/>
          <w:sz w:val="24"/>
          <w:highlight w:val="none"/>
          <w:u w:val="singl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028AE997">
      <w:pPr>
        <w:snapToGrid w:val="0"/>
        <w:spacing w:before="120" w:beforeLines="50" w:after="50" w:line="360" w:lineRule="auto"/>
        <w:ind w:right="480" w:firstLine="480" w:firstLineChars="200"/>
        <w:rPr>
          <w:rFonts w:hint="eastAsia" w:ascii="仿宋" w:hAnsi="仿宋" w:eastAsia="仿宋"/>
          <w:szCs w:val="21"/>
          <w:highlight w:val="none"/>
        </w:rPr>
      </w:pPr>
      <w:r>
        <w:rPr>
          <w:rFonts w:hint="eastAsia" w:ascii="仿宋" w:hAnsi="仿宋" w:eastAsia="仿宋"/>
          <w:sz w:val="24"/>
          <w:highlight w:val="none"/>
        </w:rPr>
        <w:t>年    月    日</w:t>
      </w:r>
    </w:p>
    <w:p w14:paraId="44753F55">
      <w:pPr>
        <w:snapToGrid w:val="0"/>
        <w:spacing w:line="360" w:lineRule="auto"/>
        <w:jc w:val="center"/>
        <w:rPr>
          <w:rFonts w:hint="eastAsia" w:ascii="仿宋" w:hAnsi="仿宋" w:eastAsia="仿宋"/>
          <w:sz w:val="32"/>
          <w:szCs w:val="32"/>
          <w:highlight w:val="none"/>
        </w:rPr>
      </w:pPr>
      <w:r>
        <w:rPr>
          <w:rFonts w:ascii="仿宋" w:hAnsi="仿宋" w:eastAsia="仿宋"/>
          <w:b/>
          <w:sz w:val="32"/>
          <w:szCs w:val="32"/>
          <w:highlight w:val="none"/>
        </w:rPr>
        <w:br w:type="page"/>
      </w:r>
      <w:r>
        <w:rPr>
          <w:rFonts w:hint="eastAsia" w:ascii="仿宋" w:hAnsi="仿宋" w:eastAsia="仿宋"/>
          <w:b/>
          <w:sz w:val="32"/>
          <w:szCs w:val="32"/>
          <w:highlight w:val="none"/>
        </w:rPr>
        <w:t>投标人直接管理关系信息表</w:t>
      </w:r>
    </w:p>
    <w:tbl>
      <w:tblPr>
        <w:tblStyle w:val="49"/>
        <w:tblW w:w="9652" w:type="dxa"/>
        <w:jc w:val="center"/>
        <w:tblLayout w:type="fixed"/>
        <w:tblCellMar>
          <w:top w:w="0" w:type="dxa"/>
          <w:left w:w="0" w:type="dxa"/>
          <w:bottom w:w="0" w:type="dxa"/>
          <w:right w:w="0" w:type="dxa"/>
        </w:tblCellMar>
      </w:tblPr>
      <w:tblGrid>
        <w:gridCol w:w="1005"/>
        <w:gridCol w:w="2659"/>
        <w:gridCol w:w="3924"/>
        <w:gridCol w:w="2064"/>
      </w:tblGrid>
      <w:tr w14:paraId="4AF3EE12">
        <w:tblPrEx>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A323943">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8A86BD7">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01B23E9">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D7EA816">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备注</w:t>
            </w:r>
          </w:p>
        </w:tc>
      </w:tr>
      <w:tr w14:paraId="3454579F">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1EA0FA9">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6A66A40">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3DC17CC">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70C50CF">
            <w:pPr>
              <w:spacing w:line="360" w:lineRule="auto"/>
              <w:jc w:val="center"/>
              <w:rPr>
                <w:rFonts w:hint="eastAsia" w:ascii="仿宋" w:hAnsi="仿宋" w:eastAsia="仿宋" w:cs="宋体"/>
                <w:kern w:val="0"/>
                <w:sz w:val="24"/>
                <w:highlight w:val="none"/>
              </w:rPr>
            </w:pPr>
          </w:p>
        </w:tc>
      </w:tr>
      <w:tr w14:paraId="21E265D0">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0087138">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2F80270">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C3ACE13">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06E6357">
            <w:pPr>
              <w:spacing w:line="360" w:lineRule="auto"/>
              <w:jc w:val="center"/>
              <w:rPr>
                <w:rFonts w:hint="eastAsia" w:ascii="仿宋" w:hAnsi="仿宋" w:eastAsia="仿宋" w:cs="宋体"/>
                <w:kern w:val="0"/>
                <w:sz w:val="24"/>
                <w:highlight w:val="none"/>
              </w:rPr>
            </w:pPr>
          </w:p>
        </w:tc>
      </w:tr>
      <w:tr w14:paraId="4007EB83">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7D9B227">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9B3298E">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EDEEB83">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CAE012F">
            <w:pPr>
              <w:spacing w:line="360" w:lineRule="auto"/>
              <w:jc w:val="center"/>
              <w:rPr>
                <w:rFonts w:hint="eastAsia" w:ascii="仿宋" w:hAnsi="仿宋" w:eastAsia="仿宋" w:cs="宋体"/>
                <w:kern w:val="0"/>
                <w:sz w:val="24"/>
                <w:highlight w:val="none"/>
              </w:rPr>
            </w:pPr>
          </w:p>
        </w:tc>
      </w:tr>
      <w:tr w14:paraId="022DFE4A">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24E4F78">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EFB5194">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C2499A3">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EDA872E">
            <w:pPr>
              <w:spacing w:line="360" w:lineRule="auto"/>
              <w:jc w:val="center"/>
              <w:rPr>
                <w:rFonts w:hint="eastAsia" w:ascii="仿宋" w:hAnsi="仿宋" w:eastAsia="仿宋" w:cs="宋体"/>
                <w:kern w:val="0"/>
                <w:sz w:val="24"/>
                <w:highlight w:val="none"/>
              </w:rPr>
            </w:pPr>
          </w:p>
        </w:tc>
      </w:tr>
    </w:tbl>
    <w:p w14:paraId="137741B6">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注：</w:t>
      </w:r>
    </w:p>
    <w:p w14:paraId="6B35DE5A">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1.管理关系：是指不具有出资持股关系的其他单位之间存在的管理与被管理关系，如一些上下级关系的事业单位和团体组织。</w:t>
      </w:r>
    </w:p>
    <w:p w14:paraId="784E9D77">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2.</w:t>
      </w:r>
      <w:r>
        <w:rPr>
          <w:rFonts w:hint="eastAsia" w:ascii="仿宋" w:hAnsi="仿宋" w:eastAsia="仿宋"/>
          <w:spacing w:val="-6"/>
          <w:sz w:val="24"/>
          <w:highlight w:val="none"/>
        </w:rPr>
        <w:t>本表所指的管理关系仅限于直接管理关系，不包括间接的管理关系。</w:t>
      </w:r>
    </w:p>
    <w:p w14:paraId="7DDDCB39">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3.供应商不存在直接管理关系的，则填“无”。</w:t>
      </w:r>
    </w:p>
    <w:p w14:paraId="53CACBC1">
      <w:pPr>
        <w:snapToGrid w:val="0"/>
        <w:spacing w:line="360" w:lineRule="auto"/>
        <w:jc w:val="left"/>
        <w:rPr>
          <w:rFonts w:hint="eastAsia" w:ascii="仿宋" w:hAnsi="仿宋" w:eastAsia="仿宋"/>
          <w:sz w:val="24"/>
          <w:highlight w:val="none"/>
        </w:rPr>
      </w:pPr>
    </w:p>
    <w:p w14:paraId="711B3890">
      <w:pPr>
        <w:snapToGrid w:val="0"/>
        <w:spacing w:line="360" w:lineRule="auto"/>
        <w:jc w:val="left"/>
        <w:rPr>
          <w:rFonts w:hint="eastAsia" w:ascii="仿宋" w:hAnsi="仿宋" w:eastAsia="仿宋"/>
          <w:sz w:val="24"/>
          <w:highlight w:val="none"/>
        </w:rPr>
      </w:pPr>
    </w:p>
    <w:p w14:paraId="2D9F6588">
      <w:pPr>
        <w:snapToGrid w:val="0"/>
        <w:spacing w:line="360" w:lineRule="auto"/>
        <w:jc w:val="left"/>
        <w:rPr>
          <w:rFonts w:hint="eastAsia" w:ascii="仿宋" w:hAnsi="仿宋" w:eastAsia="仿宋"/>
          <w:sz w:val="24"/>
          <w:highlight w:val="none"/>
        </w:rPr>
      </w:pPr>
    </w:p>
    <w:p w14:paraId="78557F8E">
      <w:pPr>
        <w:snapToGrid w:val="0"/>
        <w:spacing w:line="360" w:lineRule="auto"/>
        <w:jc w:val="left"/>
        <w:rPr>
          <w:rFonts w:hint="eastAsia" w:ascii="仿宋" w:hAnsi="仿宋" w:eastAsia="仿宋"/>
          <w:sz w:val="24"/>
          <w:highlight w:val="none"/>
        </w:rPr>
      </w:pPr>
    </w:p>
    <w:p w14:paraId="6B918DEF">
      <w:pPr>
        <w:snapToGrid w:val="0"/>
        <w:spacing w:line="360" w:lineRule="auto"/>
        <w:jc w:val="left"/>
        <w:rPr>
          <w:rFonts w:hint="eastAsia" w:ascii="仿宋" w:hAnsi="仿宋" w:eastAsia="仿宋"/>
          <w:sz w:val="24"/>
          <w:highlight w:val="none"/>
        </w:rPr>
      </w:pPr>
    </w:p>
    <w:p w14:paraId="26B38F3D">
      <w:pPr>
        <w:snapToGrid w:val="0"/>
        <w:spacing w:line="360" w:lineRule="auto"/>
        <w:jc w:val="left"/>
        <w:rPr>
          <w:rFonts w:hint="eastAsia" w:ascii="仿宋" w:hAnsi="仿宋" w:eastAsia="仿宋"/>
          <w:sz w:val="24"/>
          <w:highlight w:val="none"/>
        </w:rPr>
      </w:pPr>
    </w:p>
    <w:p w14:paraId="497F26C5">
      <w:pPr>
        <w:snapToGrid w:val="0"/>
        <w:spacing w:line="360" w:lineRule="auto"/>
        <w:jc w:val="left"/>
        <w:rPr>
          <w:rFonts w:hint="eastAsia" w:ascii="仿宋" w:hAnsi="仿宋" w:eastAsia="仿宋"/>
          <w:sz w:val="24"/>
          <w:highlight w:val="none"/>
        </w:rPr>
      </w:pPr>
    </w:p>
    <w:p w14:paraId="5B71A7FA">
      <w:pPr>
        <w:snapToGrid w:val="0"/>
        <w:spacing w:before="120" w:beforeLines="50" w:line="360" w:lineRule="auto"/>
        <w:ind w:right="480"/>
        <w:rPr>
          <w:rFonts w:hint="eastAsia" w:ascii="仿宋" w:hAnsi="仿宋" w:eastAsia="仿宋"/>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1F383F02">
      <w:pPr>
        <w:snapToGrid w:val="0"/>
        <w:spacing w:before="120" w:beforeLines="50" w:after="50" w:line="360" w:lineRule="auto"/>
        <w:ind w:right="480"/>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23FE321D">
      <w:pPr>
        <w:snapToGrid w:val="0"/>
        <w:spacing w:before="120" w:beforeLines="50" w:after="50" w:line="360" w:lineRule="auto"/>
        <w:ind w:right="480" w:firstLine="480" w:firstLineChars="200"/>
        <w:jc w:val="both"/>
        <w:rPr>
          <w:rFonts w:hint="eastAsia" w:ascii="仿宋" w:hAnsi="仿宋" w:eastAsia="仿宋"/>
          <w:sz w:val="24"/>
          <w:highlight w:val="none"/>
        </w:rPr>
      </w:pPr>
      <w:r>
        <w:rPr>
          <w:rFonts w:hint="eastAsia" w:ascii="仿宋" w:hAnsi="仿宋" w:eastAsia="仿宋"/>
          <w:sz w:val="24"/>
          <w:highlight w:val="none"/>
        </w:rPr>
        <w:t>年    月    日</w:t>
      </w:r>
    </w:p>
    <w:p w14:paraId="4FF74967">
      <w:pPr>
        <w:snapToGrid w:val="0"/>
        <w:spacing w:before="50" w:after="120" w:afterLines="50"/>
        <w:jc w:val="left"/>
        <w:rPr>
          <w:rFonts w:hint="eastAsia" w:ascii="仿宋" w:hAnsi="仿宋" w:eastAsia="仿宋"/>
          <w:szCs w:val="21"/>
          <w:highlight w:val="none"/>
        </w:rPr>
      </w:pPr>
    </w:p>
    <w:p w14:paraId="0B763FF7">
      <w:pPr>
        <w:numPr>
          <w:ilvl w:val="2"/>
          <w:numId w:val="6"/>
        </w:numPr>
        <w:snapToGrid w:val="0"/>
        <w:spacing w:before="120" w:beforeLines="50" w:after="50"/>
        <w:ind w:left="0" w:firstLine="0"/>
        <w:jc w:val="left"/>
        <w:rPr>
          <w:rFonts w:hint="eastAsia" w:ascii="仿宋" w:hAnsi="仿宋" w:eastAsia="仿宋"/>
          <w:b/>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投标声明格式</w:t>
      </w:r>
    </w:p>
    <w:p w14:paraId="1F118EA7">
      <w:pPr>
        <w:snapToGrid w:val="0"/>
        <w:spacing w:before="50" w:after="120" w:afterLines="50"/>
        <w:jc w:val="left"/>
        <w:rPr>
          <w:rFonts w:hint="eastAsia" w:ascii="仿宋" w:hAnsi="仿宋" w:eastAsia="仿宋"/>
          <w:highlight w:val="none"/>
        </w:rPr>
      </w:pPr>
    </w:p>
    <w:p w14:paraId="3C48CB2F">
      <w:pPr>
        <w:snapToGrid w:val="0"/>
        <w:spacing w:before="50" w:after="120" w:afterLines="50"/>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投标声明</w:t>
      </w:r>
    </w:p>
    <w:p w14:paraId="4175227E">
      <w:pPr>
        <w:snapToGrid w:val="0"/>
        <w:spacing w:before="50" w:after="120" w:afterLines="50"/>
        <w:jc w:val="center"/>
        <w:rPr>
          <w:rFonts w:hint="eastAsia" w:ascii="仿宋" w:hAnsi="仿宋" w:eastAsia="仿宋" w:cs="方正小标宋简体"/>
          <w:bCs/>
          <w:sz w:val="44"/>
          <w:szCs w:val="44"/>
          <w:highlight w:val="none"/>
        </w:rPr>
      </w:pPr>
    </w:p>
    <w:p w14:paraId="7322B9EA">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（采购人名称）：</w:t>
      </w:r>
    </w:p>
    <w:p w14:paraId="139FA814">
      <w:pPr>
        <w:spacing w:line="400" w:lineRule="exact"/>
        <w:ind w:firstLine="523" w:firstLineChars="218"/>
        <w:contextualSpacing/>
        <w:jc w:val="left"/>
        <w:rPr>
          <w:rFonts w:hint="eastAsia" w:ascii="仿宋" w:hAnsi="仿宋" w:eastAsia="仿宋"/>
          <w:sz w:val="24"/>
          <w:highlight w:val="none"/>
        </w:rPr>
      </w:pPr>
      <w:r>
        <w:rPr>
          <w:rFonts w:hint="eastAsia" w:ascii="仿宋" w:hAnsi="仿宋" w:eastAsia="仿宋"/>
          <w:sz w:val="24"/>
          <w:highlight w:val="none"/>
        </w:rPr>
        <w:t>我方参加贵单位组织</w:t>
      </w:r>
      <w:r>
        <w:rPr>
          <w:rFonts w:hint="eastAsia" w:ascii="仿宋" w:hAnsi="仿宋" w:eastAsia="仿宋"/>
          <w:sz w:val="24"/>
          <w:highlight w:val="none"/>
          <w:u w:val="single"/>
        </w:rPr>
        <w:t xml:space="preserve">             </w:t>
      </w:r>
      <w:r>
        <w:rPr>
          <w:rFonts w:hint="eastAsia" w:ascii="仿宋" w:hAnsi="仿宋" w:eastAsia="仿宋"/>
          <w:sz w:val="24"/>
          <w:highlight w:val="none"/>
        </w:rPr>
        <w:t>项目（项目编号：</w:t>
      </w:r>
      <w:r>
        <w:rPr>
          <w:rFonts w:hint="eastAsia" w:ascii="仿宋" w:hAnsi="仿宋" w:eastAsia="仿宋"/>
          <w:sz w:val="24"/>
          <w:highlight w:val="none"/>
          <w:u w:val="single"/>
        </w:rPr>
        <w:t xml:space="preserve">       </w:t>
      </w:r>
      <w:r>
        <w:rPr>
          <w:rFonts w:hint="eastAsia" w:ascii="仿宋" w:hAnsi="仿宋" w:eastAsia="仿宋"/>
          <w:sz w:val="24"/>
          <w:highlight w:val="none"/>
        </w:rPr>
        <w:t>）的政府采购活动。我方在此郑重声明：</w:t>
      </w:r>
    </w:p>
    <w:p w14:paraId="711D4F33">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4CF561C">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2.我方不是为本次采购项目提供整体设计、规范编制或者项目管理、监理、检测等服务的供应商。</w:t>
      </w:r>
    </w:p>
    <w:p w14:paraId="0363B12B">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3. 我方承诺符合《中华人民共和国政府采购法》第二十二条规定：</w:t>
      </w:r>
    </w:p>
    <w:p w14:paraId="1D666971">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（一）具有独立承担民事责任的能力；</w:t>
      </w:r>
    </w:p>
    <w:p w14:paraId="5586A800">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（二）具有良好的商业信誉和健全的财务会计制度；</w:t>
      </w:r>
    </w:p>
    <w:p w14:paraId="76EFC13B">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（三）具有履行合同所必需的设备和专业技术能力；</w:t>
      </w:r>
    </w:p>
    <w:p w14:paraId="338D3DAB">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（四）有依法缴纳税收和社会保障资金的良好记录；</w:t>
      </w:r>
    </w:p>
    <w:p w14:paraId="106E495A">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（五）参加政府采购活动前三年内，在经营活动中没有重大违法记录；</w:t>
      </w:r>
    </w:p>
    <w:p w14:paraId="3E65C488">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（六）法律、行政法规规定的其他条件。</w:t>
      </w:r>
    </w:p>
    <w:p w14:paraId="4382629D">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4.以上事项如有虚假或者隐瞒，我方愿意承担一切后果，并不再寻求任何旨在减轻或者免除法律责任的辩解。</w:t>
      </w:r>
    </w:p>
    <w:p w14:paraId="3153794D">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特此承诺。</w:t>
      </w:r>
    </w:p>
    <w:p w14:paraId="688AEB8D">
      <w:pPr>
        <w:spacing w:line="400" w:lineRule="exact"/>
        <w:ind w:firstLine="495"/>
        <w:contextualSpacing/>
        <w:jc w:val="left"/>
        <w:rPr>
          <w:rFonts w:hint="eastAsia" w:ascii="仿宋" w:hAnsi="仿宋" w:eastAsia="仿宋"/>
          <w:b/>
          <w:sz w:val="24"/>
          <w:highlight w:val="none"/>
        </w:rPr>
      </w:pPr>
    </w:p>
    <w:p w14:paraId="31F123E4">
      <w:pPr>
        <w:spacing w:line="400" w:lineRule="exact"/>
        <w:ind w:firstLine="495"/>
        <w:contextualSpacing/>
        <w:jc w:val="left"/>
        <w:rPr>
          <w:rFonts w:hint="eastAsia" w:ascii="仿宋" w:hAnsi="仿宋" w:eastAsia="仿宋"/>
          <w:b/>
          <w:sz w:val="24"/>
          <w:highlight w:val="none"/>
        </w:rPr>
      </w:pPr>
    </w:p>
    <w:p w14:paraId="688758B6">
      <w:pPr>
        <w:spacing w:line="400" w:lineRule="exact"/>
        <w:ind w:firstLine="495"/>
        <w:contextualSpacing/>
        <w:jc w:val="left"/>
        <w:rPr>
          <w:rFonts w:hint="eastAsia" w:ascii="仿宋" w:hAnsi="仿宋" w:eastAsia="仿宋"/>
          <w:b/>
          <w:sz w:val="24"/>
          <w:highlight w:val="none"/>
        </w:rPr>
      </w:pPr>
    </w:p>
    <w:p w14:paraId="3D7DBA9B">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法定代表人（</w:t>
      </w:r>
      <w:r>
        <w:rPr>
          <w:rFonts w:hint="eastAsia" w:ascii="仿宋" w:hAnsi="仿宋" w:eastAsia="仿宋"/>
          <w:sz w:val="24"/>
          <w:highlight w:val="none"/>
          <w:lang w:eastAsia="zh-CN"/>
        </w:rPr>
        <w:t>签字或者盖CA章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71E74C49">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7CD8CEE2">
      <w:pPr>
        <w:spacing w:line="400" w:lineRule="exact"/>
        <w:contextualSpacing/>
        <w:jc w:val="left"/>
        <w:rPr>
          <w:rFonts w:hint="eastAsia" w:ascii="仿宋" w:hAnsi="仿宋" w:eastAsia="仿宋"/>
          <w:highlight w:val="none"/>
        </w:rPr>
      </w:pPr>
      <w:r>
        <w:rPr>
          <w:rFonts w:hint="eastAsia" w:ascii="仿宋" w:hAnsi="仿宋" w:eastAsia="仿宋"/>
          <w:sz w:val="24"/>
          <w:highlight w:val="none"/>
        </w:rPr>
        <w:t xml:space="preserve">                                                   年    月    日</w:t>
      </w:r>
    </w:p>
    <w:p w14:paraId="75AF62D6">
      <w:pPr>
        <w:rPr>
          <w:rFonts w:hint="eastAsia" w:ascii="仿宋" w:hAnsi="仿宋" w:eastAsia="仿宋"/>
          <w:b/>
          <w:sz w:val="28"/>
          <w:szCs w:val="28"/>
          <w:highlight w:val="none"/>
        </w:rPr>
      </w:pPr>
      <w:bookmarkStart w:id="173" w:name="_Toc19686838"/>
      <w:r>
        <w:rPr>
          <w:rFonts w:ascii="仿宋" w:hAnsi="仿宋" w:eastAsia="仿宋"/>
          <w:b/>
          <w:sz w:val="28"/>
          <w:szCs w:val="28"/>
          <w:highlight w:val="none"/>
        </w:rPr>
        <w:br w:type="page"/>
      </w:r>
      <w:r>
        <w:rPr>
          <w:rFonts w:hint="eastAsia" w:ascii="仿宋" w:hAnsi="仿宋" w:eastAsia="仿宋"/>
          <w:b/>
          <w:sz w:val="28"/>
          <w:szCs w:val="28"/>
          <w:highlight w:val="none"/>
        </w:rPr>
        <w:t>三、商务文件格式</w:t>
      </w:r>
      <w:bookmarkEnd w:id="173"/>
    </w:p>
    <w:p w14:paraId="1406D415">
      <w:pPr>
        <w:snapToGrid w:val="0"/>
        <w:spacing w:before="120" w:beforeLines="50" w:after="50" w:line="360" w:lineRule="auto"/>
        <w:jc w:val="left"/>
        <w:rPr>
          <w:rFonts w:hint="eastAsia" w:ascii="仿宋" w:hAnsi="仿宋" w:eastAsia="仿宋"/>
          <w:b/>
          <w:sz w:val="24"/>
          <w:highlight w:val="none"/>
        </w:rPr>
      </w:pPr>
      <w:r>
        <w:rPr>
          <w:rFonts w:hint="eastAsia" w:ascii="仿宋" w:hAnsi="仿宋" w:eastAsia="仿宋"/>
          <w:b/>
          <w:sz w:val="24"/>
          <w:highlight w:val="none"/>
        </w:rPr>
        <w:t xml:space="preserve">1.商务文件封面格式： </w:t>
      </w:r>
    </w:p>
    <w:p w14:paraId="182A9481">
      <w:pPr>
        <w:snapToGrid w:val="0"/>
        <w:spacing w:before="120" w:beforeLines="50" w:after="50"/>
        <w:rPr>
          <w:rFonts w:hint="eastAsia" w:ascii="仿宋" w:hAnsi="仿宋" w:eastAsia="仿宋"/>
          <w:bCs/>
          <w:sz w:val="32"/>
          <w:szCs w:val="20"/>
          <w:highlight w:val="none"/>
        </w:rPr>
      </w:pPr>
    </w:p>
    <w:p w14:paraId="013FE2A1">
      <w:pPr>
        <w:snapToGrid w:val="0"/>
        <w:spacing w:before="120" w:beforeLines="50" w:after="50"/>
        <w:rPr>
          <w:rFonts w:hint="eastAsia" w:ascii="仿宋" w:hAnsi="仿宋" w:eastAsia="仿宋"/>
          <w:sz w:val="24"/>
          <w:szCs w:val="20"/>
          <w:highlight w:val="none"/>
        </w:rPr>
      </w:pPr>
    </w:p>
    <w:p w14:paraId="6B04FB20">
      <w:pPr>
        <w:snapToGrid w:val="0"/>
        <w:spacing w:before="120" w:beforeLines="50" w:after="50"/>
        <w:rPr>
          <w:rFonts w:hint="eastAsia" w:ascii="仿宋" w:hAnsi="仿宋" w:eastAsia="仿宋"/>
          <w:sz w:val="24"/>
          <w:szCs w:val="20"/>
          <w:highlight w:val="none"/>
        </w:rPr>
      </w:pPr>
    </w:p>
    <w:p w14:paraId="38C2C100">
      <w:pPr>
        <w:snapToGrid w:val="0"/>
        <w:spacing w:before="120" w:beforeLines="50" w:after="50"/>
        <w:rPr>
          <w:rFonts w:hint="eastAsia" w:ascii="仿宋" w:hAnsi="仿宋" w:eastAsia="仿宋"/>
          <w:sz w:val="24"/>
          <w:szCs w:val="20"/>
          <w:highlight w:val="none"/>
        </w:rPr>
      </w:pPr>
    </w:p>
    <w:p w14:paraId="36A4B43A">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14:paraId="271CA6D9">
      <w:pPr>
        <w:snapToGrid w:val="0"/>
        <w:spacing w:before="120" w:beforeLines="50" w:after="50"/>
        <w:rPr>
          <w:rFonts w:hint="eastAsia" w:ascii="仿宋" w:hAnsi="仿宋" w:eastAsia="仿宋"/>
          <w:sz w:val="24"/>
          <w:szCs w:val="20"/>
          <w:highlight w:val="none"/>
        </w:rPr>
      </w:pPr>
    </w:p>
    <w:p w14:paraId="75A0B0FE">
      <w:pPr>
        <w:snapToGrid w:val="0"/>
        <w:spacing w:before="120" w:beforeLines="50" w:after="50"/>
        <w:rPr>
          <w:rFonts w:hint="eastAsia" w:ascii="仿宋" w:hAnsi="仿宋" w:eastAsia="仿宋"/>
          <w:sz w:val="24"/>
          <w:szCs w:val="20"/>
          <w:highlight w:val="none"/>
        </w:rPr>
      </w:pPr>
    </w:p>
    <w:p w14:paraId="3CF57A0A">
      <w:pPr>
        <w:snapToGrid w:val="0"/>
        <w:spacing w:before="120" w:beforeLines="50" w:after="50"/>
        <w:jc w:val="center"/>
        <w:rPr>
          <w:rFonts w:hint="eastAsia" w:ascii="仿宋" w:hAnsi="仿宋" w:eastAsia="仿宋" w:cs="方正小标宋简体"/>
          <w:bCs/>
          <w:sz w:val="32"/>
          <w:szCs w:val="32"/>
          <w:highlight w:val="none"/>
        </w:rPr>
      </w:pPr>
      <w:r>
        <w:rPr>
          <w:rFonts w:hint="eastAsia" w:ascii="仿宋" w:hAnsi="仿宋" w:eastAsia="仿宋" w:cs="方正小标宋简体"/>
          <w:bCs/>
          <w:sz w:val="32"/>
          <w:szCs w:val="32"/>
          <w:highlight w:val="none"/>
        </w:rPr>
        <w:t>商  务  文  件</w:t>
      </w:r>
    </w:p>
    <w:p w14:paraId="3988C3CF">
      <w:pPr>
        <w:snapToGrid w:val="0"/>
        <w:spacing w:before="120" w:beforeLines="50" w:after="50"/>
        <w:rPr>
          <w:rFonts w:hint="eastAsia" w:ascii="仿宋" w:hAnsi="仿宋" w:eastAsia="仿宋"/>
          <w:bCs/>
          <w:sz w:val="24"/>
          <w:szCs w:val="20"/>
          <w:highlight w:val="none"/>
        </w:rPr>
      </w:pPr>
    </w:p>
    <w:p w14:paraId="4066AFAA">
      <w:pPr>
        <w:snapToGrid w:val="0"/>
        <w:spacing w:before="120" w:beforeLines="50" w:after="50"/>
        <w:ind w:firstLine="540" w:firstLineChars="225"/>
        <w:rPr>
          <w:rFonts w:hint="eastAsia" w:ascii="仿宋" w:hAnsi="仿宋" w:eastAsia="仿宋"/>
          <w:bCs/>
          <w:sz w:val="24"/>
          <w:highlight w:val="none"/>
        </w:rPr>
      </w:pPr>
    </w:p>
    <w:p w14:paraId="6FC0DDAE">
      <w:pPr>
        <w:snapToGrid w:val="0"/>
        <w:spacing w:before="120" w:beforeLines="50" w:after="50"/>
        <w:ind w:firstLine="540" w:firstLineChars="225"/>
        <w:rPr>
          <w:rFonts w:hint="eastAsia" w:ascii="仿宋" w:hAnsi="仿宋" w:eastAsia="仿宋"/>
          <w:bCs/>
          <w:sz w:val="24"/>
          <w:highlight w:val="none"/>
        </w:rPr>
      </w:pPr>
    </w:p>
    <w:p w14:paraId="69AFCAE3">
      <w:pPr>
        <w:snapToGrid w:val="0"/>
        <w:spacing w:before="120" w:beforeLines="50" w:after="50"/>
        <w:ind w:firstLine="540" w:firstLineChars="225"/>
        <w:rPr>
          <w:rFonts w:hint="eastAsia" w:ascii="仿宋" w:hAnsi="仿宋" w:eastAsia="仿宋"/>
          <w:bCs/>
          <w:sz w:val="24"/>
          <w:highlight w:val="none"/>
        </w:rPr>
      </w:pPr>
    </w:p>
    <w:p w14:paraId="092BD66F">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项目名称：</w:t>
      </w:r>
    </w:p>
    <w:p w14:paraId="141C315D">
      <w:pPr>
        <w:snapToGrid w:val="0"/>
        <w:spacing w:before="120" w:beforeLines="50" w:after="50"/>
        <w:ind w:firstLine="540" w:firstLineChars="225"/>
        <w:rPr>
          <w:rFonts w:hint="eastAsia" w:ascii="仿宋" w:hAnsi="仿宋" w:eastAsia="仿宋"/>
          <w:bCs/>
          <w:sz w:val="24"/>
          <w:szCs w:val="20"/>
          <w:highlight w:val="none"/>
        </w:rPr>
      </w:pPr>
    </w:p>
    <w:p w14:paraId="1F26624E">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项目编号：</w:t>
      </w:r>
    </w:p>
    <w:p w14:paraId="64552C47">
      <w:pPr>
        <w:snapToGrid w:val="0"/>
        <w:spacing w:before="120" w:beforeLines="50" w:after="50"/>
        <w:ind w:firstLine="540" w:firstLineChars="225"/>
        <w:rPr>
          <w:rFonts w:hint="eastAsia" w:ascii="仿宋" w:hAnsi="仿宋" w:eastAsia="仿宋"/>
          <w:bCs/>
          <w:sz w:val="24"/>
          <w:szCs w:val="20"/>
          <w:highlight w:val="none"/>
        </w:rPr>
      </w:pPr>
      <w:r>
        <w:rPr>
          <w:rFonts w:hint="eastAsia" w:ascii="仿宋" w:hAnsi="仿宋" w:eastAsia="仿宋"/>
          <w:bCs/>
          <w:sz w:val="24"/>
          <w:highlight w:val="none"/>
        </w:rPr>
        <w:t xml:space="preserve"> </w:t>
      </w:r>
    </w:p>
    <w:p w14:paraId="2E86E6ED">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投标人名称：</w:t>
      </w:r>
    </w:p>
    <w:p w14:paraId="5ABF36DB">
      <w:pPr>
        <w:pStyle w:val="7"/>
        <w:rPr>
          <w:highlight w:val="none"/>
        </w:rPr>
      </w:pPr>
    </w:p>
    <w:p w14:paraId="714F9FA5">
      <w:pPr>
        <w:pStyle w:val="7"/>
        <w:rPr>
          <w:highlight w:val="none"/>
        </w:rPr>
      </w:pPr>
    </w:p>
    <w:p w14:paraId="4F48F6C7">
      <w:pPr>
        <w:snapToGrid w:val="0"/>
        <w:spacing w:before="120" w:beforeLines="50" w:after="50"/>
        <w:ind w:firstLine="645"/>
        <w:rPr>
          <w:rFonts w:hint="eastAsia" w:ascii="仿宋" w:hAnsi="仿宋" w:eastAsia="仿宋"/>
          <w:sz w:val="24"/>
          <w:highlight w:val="none"/>
        </w:rPr>
      </w:pPr>
      <w:r>
        <w:rPr>
          <w:rFonts w:hint="eastAsia" w:ascii="仿宋" w:hAnsi="仿宋" w:eastAsia="仿宋"/>
          <w:sz w:val="24"/>
          <w:highlight w:val="none"/>
        </w:rPr>
        <w:t xml:space="preserve">                          年 </w:t>
      </w:r>
      <w:r>
        <w:rPr>
          <w:rFonts w:ascii="仿宋" w:hAnsi="仿宋" w:eastAsia="仿宋"/>
          <w:sz w:val="24"/>
          <w:highlight w:val="non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 xml:space="preserve"> 月    日</w:t>
      </w:r>
    </w:p>
    <w:p w14:paraId="5CD542E1">
      <w:pPr>
        <w:snapToGrid w:val="0"/>
        <w:spacing w:before="120" w:beforeLines="50" w:after="50"/>
        <w:rPr>
          <w:rFonts w:hint="eastAsia" w:ascii="仿宋" w:hAnsi="仿宋" w:eastAsia="仿宋"/>
          <w:sz w:val="24"/>
          <w:szCs w:val="20"/>
          <w:highlight w:val="none"/>
        </w:rPr>
      </w:pPr>
      <w:r>
        <w:rPr>
          <w:rFonts w:ascii="仿宋" w:hAnsi="仿宋" w:eastAsia="仿宋"/>
          <w:sz w:val="24"/>
          <w:szCs w:val="20"/>
          <w:highlight w:val="none"/>
        </w:rPr>
        <w:t xml:space="preserve"> </w:t>
      </w:r>
    </w:p>
    <w:p w14:paraId="75300DAC">
      <w:pPr>
        <w:snapToGrid w:val="0"/>
        <w:spacing w:line="360" w:lineRule="auto"/>
        <w:jc w:val="left"/>
        <w:rPr>
          <w:rFonts w:hint="eastAsia" w:ascii="仿宋" w:hAnsi="仿宋" w:eastAsia="仿宋"/>
          <w:b/>
          <w:bCs/>
          <w:sz w:val="28"/>
          <w:szCs w:val="28"/>
          <w:highlight w:val="none"/>
        </w:rPr>
      </w:pPr>
      <w:r>
        <w:rPr>
          <w:rFonts w:ascii="仿宋" w:hAnsi="仿宋" w:eastAsia="仿宋"/>
          <w:sz w:val="24"/>
          <w:szCs w:val="20"/>
          <w:highlight w:val="none"/>
        </w:rPr>
        <w:br w:type="page"/>
      </w:r>
      <w:r>
        <w:rPr>
          <w:rFonts w:hint="eastAsia" w:ascii="仿宋" w:hAnsi="仿宋" w:eastAsia="仿宋"/>
          <w:b/>
          <w:bCs/>
          <w:sz w:val="24"/>
          <w:highlight w:val="none"/>
        </w:rPr>
        <w:t>2.商务文件目录</w:t>
      </w:r>
    </w:p>
    <w:p w14:paraId="35ED4288">
      <w:pPr>
        <w:snapToGrid w:val="0"/>
        <w:spacing w:before="50" w:after="120" w:afterLines="50" w:line="360" w:lineRule="auto"/>
        <w:ind w:firstLine="480" w:firstLineChars="200"/>
        <w:jc w:val="left"/>
        <w:rPr>
          <w:rFonts w:hint="eastAsia" w:ascii="仿宋" w:hAnsi="仿宋" w:eastAsia="仿宋"/>
          <w:b/>
          <w:bCs/>
          <w:sz w:val="32"/>
          <w:szCs w:val="32"/>
          <w:highlight w:val="none"/>
        </w:rPr>
      </w:pPr>
      <w:r>
        <w:rPr>
          <w:rFonts w:hint="eastAsia" w:ascii="仿宋" w:hAnsi="仿宋" w:eastAsia="仿宋"/>
          <w:sz w:val="24"/>
          <w:highlight w:val="none"/>
        </w:rPr>
        <w:t>根据招标文件规定及投标人提供的材料自行编写目录。</w:t>
      </w:r>
    </w:p>
    <w:p w14:paraId="70BB81BF">
      <w:pPr>
        <w:snapToGrid w:val="0"/>
        <w:spacing w:before="50" w:after="120" w:afterLines="50"/>
        <w:jc w:val="left"/>
        <w:rPr>
          <w:rFonts w:hint="eastAsia" w:ascii="仿宋" w:hAnsi="仿宋" w:eastAsia="仿宋"/>
          <w:highlight w:val="none"/>
        </w:rPr>
      </w:pPr>
    </w:p>
    <w:p w14:paraId="4E56F0C8">
      <w:pPr>
        <w:snapToGrid w:val="0"/>
        <w:spacing w:before="120" w:beforeLines="50" w:after="50"/>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3.投标人参加本项目无围标串标行为的承诺</w:t>
      </w:r>
    </w:p>
    <w:p w14:paraId="0B9A0A5B">
      <w:pPr>
        <w:snapToGrid w:val="0"/>
        <w:spacing w:before="120" w:beforeLines="50" w:after="50"/>
        <w:jc w:val="left"/>
        <w:rPr>
          <w:rFonts w:hint="eastAsia" w:ascii="仿宋" w:hAnsi="仿宋" w:eastAsia="仿宋"/>
          <w:b/>
          <w:sz w:val="24"/>
          <w:highlight w:val="none"/>
        </w:rPr>
      </w:pPr>
    </w:p>
    <w:p w14:paraId="31C7CCD4">
      <w:pPr>
        <w:spacing w:line="360" w:lineRule="auto"/>
        <w:ind w:left="420"/>
        <w:contextualSpacing/>
        <w:jc w:val="center"/>
        <w:rPr>
          <w:rFonts w:hint="eastAsia" w:ascii="仿宋" w:hAnsi="仿宋" w:eastAsia="仿宋"/>
          <w:b/>
          <w:sz w:val="24"/>
          <w:highlight w:val="none"/>
        </w:rPr>
      </w:pPr>
      <w:r>
        <w:rPr>
          <w:rFonts w:hint="eastAsia" w:ascii="仿宋" w:hAnsi="仿宋" w:eastAsia="仿宋" w:cs="方正小标宋简体"/>
          <w:bCs/>
          <w:spacing w:val="-11"/>
          <w:sz w:val="44"/>
          <w:szCs w:val="44"/>
          <w:highlight w:val="none"/>
        </w:rPr>
        <w:t>投标人参加本项目无围标串标行为的承诺函</w:t>
      </w:r>
    </w:p>
    <w:p w14:paraId="3AEF2906">
      <w:pPr>
        <w:spacing w:line="440" w:lineRule="exact"/>
        <w:contextualSpacing/>
        <w:jc w:val="left"/>
        <w:rPr>
          <w:rFonts w:hint="eastAsia" w:ascii="仿宋" w:hAnsi="仿宋" w:eastAsia="仿宋"/>
          <w:b/>
          <w:sz w:val="24"/>
          <w:highlight w:val="none"/>
        </w:rPr>
      </w:pPr>
      <w:r>
        <w:rPr>
          <w:rFonts w:hint="eastAsia" w:ascii="仿宋" w:hAnsi="仿宋" w:eastAsia="仿宋"/>
          <w:b/>
          <w:sz w:val="24"/>
          <w:highlight w:val="none"/>
        </w:rPr>
        <w:t>一、我方承诺无下列相互串通投标的情形：</w:t>
      </w:r>
    </w:p>
    <w:p w14:paraId="10BC317A">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1.不同投标人的投标文件由同一单位或者个人编制；</w:t>
      </w:r>
    </w:p>
    <w:p w14:paraId="016DACA3">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2.不同投标人委托同一单位或者个人办理投标事宜；</w:t>
      </w:r>
    </w:p>
    <w:p w14:paraId="7D299A87">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3.不同的投标人的投标文件载明的项目管理员为同一个人；</w:t>
      </w:r>
    </w:p>
    <w:p w14:paraId="30F33CA8">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4.不同投标人的投标文件异常一致或者投标报价呈规律性差异；</w:t>
      </w:r>
    </w:p>
    <w:p w14:paraId="6C65C8CE">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5.不同投标人的投标文件相互混装；</w:t>
      </w:r>
    </w:p>
    <w:p w14:paraId="2FB33464">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6.不同投标人的投标保证金从同一单位或者个人账户转出。</w:t>
      </w:r>
    </w:p>
    <w:p w14:paraId="3D1BDEA9">
      <w:pPr>
        <w:spacing w:line="440" w:lineRule="exact"/>
        <w:contextualSpacing/>
        <w:jc w:val="left"/>
        <w:rPr>
          <w:rFonts w:hint="eastAsia" w:ascii="仿宋" w:hAnsi="仿宋" w:eastAsia="仿宋"/>
          <w:sz w:val="24"/>
          <w:highlight w:val="none"/>
        </w:rPr>
      </w:pPr>
      <w:r>
        <w:rPr>
          <w:rFonts w:hint="eastAsia" w:ascii="仿宋" w:hAnsi="仿宋" w:eastAsia="仿宋"/>
          <w:b/>
          <w:sz w:val="24"/>
          <w:highlight w:val="none"/>
        </w:rPr>
        <w:t>二、我方承诺无下列恶意串通的情形：</w:t>
      </w:r>
    </w:p>
    <w:p w14:paraId="038B2035">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1.投标人直接或者间接从采购人或者采购代理机构处获得其他投标人的相关信息并修改其投标文件或者响应文件；</w:t>
      </w:r>
    </w:p>
    <w:p w14:paraId="695EA617">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2.投标人按照采购人或者采购代理机构的授意撤换、修改投标文件或者响应文件；</w:t>
      </w:r>
    </w:p>
    <w:p w14:paraId="63BDB177">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3.投标人之间协商报价、技术方案等投标文件或者响应文件的实质性内容；</w:t>
      </w:r>
    </w:p>
    <w:p w14:paraId="578A4399">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4.属于同一集团、协会、商会等组织成员的投标人按照该组织要求协同参加政府采购活动；</w:t>
      </w:r>
    </w:p>
    <w:p w14:paraId="56D5EEC4">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5.投标人之间事先约定一致抬高或者压低投标报价，或者在招标项目中事先约定轮流以高价位或者低价位中标，或者事先约定由某一特定投标人中标，然后再参加投标；</w:t>
      </w:r>
    </w:p>
    <w:p w14:paraId="04F252B1">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6.投标人之间商定部分投标人放弃参加政府采购活动或者放弃中标；</w:t>
      </w:r>
    </w:p>
    <w:p w14:paraId="6EF168A3">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7.投标人与采购人或者采购代理机构之间、投标人相互之间，为谋求特定投标人中标或者排斥其他投标人的其他串通行为。</w:t>
      </w:r>
    </w:p>
    <w:p w14:paraId="26E0BB31">
      <w:pPr>
        <w:spacing w:line="440" w:lineRule="exact"/>
        <w:ind w:firstLine="472" w:firstLineChars="196"/>
        <w:contextualSpacing/>
        <w:jc w:val="left"/>
        <w:rPr>
          <w:rFonts w:hint="eastAsia" w:ascii="仿宋" w:hAnsi="仿宋" w:eastAsia="仿宋"/>
          <w:b/>
          <w:sz w:val="24"/>
          <w:highlight w:val="none"/>
        </w:rPr>
      </w:pPr>
      <w:r>
        <w:rPr>
          <w:rFonts w:hint="eastAsia" w:ascii="仿宋" w:hAnsi="仿宋" w:eastAsia="仿宋"/>
          <w:b/>
          <w:sz w:val="24"/>
          <w:highlight w:val="none"/>
        </w:rPr>
        <w:t>以上情形一经核查属实，我方愿意承担一切后果，并不再寻求任何旨在减轻或者免除法律责任的辩解。</w:t>
      </w:r>
    </w:p>
    <w:p w14:paraId="03D1A0BB">
      <w:pPr>
        <w:pStyle w:val="25"/>
        <w:rPr>
          <w:rFonts w:hint="eastAsia"/>
          <w:highlight w:val="none"/>
        </w:rPr>
      </w:pPr>
    </w:p>
    <w:p w14:paraId="72204BA8">
      <w:pPr>
        <w:pStyle w:val="25"/>
        <w:rPr>
          <w:rFonts w:hint="eastAsia"/>
          <w:b w:val="0"/>
          <w:highlight w:val="none"/>
        </w:rPr>
      </w:pPr>
      <w:r>
        <w:rPr>
          <w:rFonts w:hint="eastAsia"/>
          <w:highlight w:val="none"/>
        </w:rPr>
        <w:t xml:space="preserve"> </w:t>
      </w:r>
      <w:r>
        <w:rPr>
          <w:highlight w:val="none"/>
        </w:rPr>
        <w:t xml:space="preserve">                                </w:t>
      </w:r>
      <w:r>
        <w:rPr>
          <w:b w:val="0"/>
          <w:highlight w:val="none"/>
        </w:rPr>
        <w:t xml:space="preserve">   </w:t>
      </w:r>
      <w:r>
        <w:rPr>
          <w:rFonts w:hint="eastAsia"/>
          <w:b w:val="0"/>
          <w:highlight w:val="none"/>
        </w:rPr>
        <w:t>投标人（</w:t>
      </w:r>
      <w:r>
        <w:rPr>
          <w:rFonts w:hint="eastAsia"/>
          <w:b w:val="0"/>
          <w:highlight w:val="none"/>
          <w:lang w:val="en-US" w:eastAsia="zh-CN"/>
        </w:rPr>
        <w:t>CA</w:t>
      </w:r>
      <w:r>
        <w:rPr>
          <w:rFonts w:hint="eastAsia"/>
          <w:b w:val="0"/>
          <w:highlight w:val="none"/>
        </w:rPr>
        <w:t>公章）：</w:t>
      </w:r>
      <w:r>
        <w:rPr>
          <w:rFonts w:hint="eastAsia"/>
          <w:b w:val="0"/>
          <w:highlight w:val="none"/>
          <w:u w:val="single"/>
        </w:rPr>
        <w:t xml:space="preserve">                      </w:t>
      </w:r>
    </w:p>
    <w:p w14:paraId="63668466">
      <w:pPr>
        <w:pStyle w:val="25"/>
        <w:ind w:firstLine="480"/>
        <w:rPr>
          <w:rFonts w:hint="eastAsia"/>
          <w:b w:val="0"/>
          <w:highlight w:val="none"/>
        </w:rPr>
      </w:pPr>
      <w:r>
        <w:rPr>
          <w:rFonts w:hint="eastAsia"/>
          <w:b w:val="0"/>
          <w:highlight w:val="none"/>
        </w:rPr>
        <w:t xml:space="preserve">                                            </w:t>
      </w:r>
      <w:r>
        <w:rPr>
          <w:b w:val="0"/>
          <w:highlight w:val="none"/>
        </w:rPr>
        <w:t xml:space="preserve">   </w:t>
      </w:r>
      <w:r>
        <w:rPr>
          <w:rFonts w:hint="eastAsia"/>
          <w:b w:val="0"/>
          <w:highlight w:val="none"/>
        </w:rPr>
        <w:t xml:space="preserve">    </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日</w:t>
      </w:r>
    </w:p>
    <w:p w14:paraId="6D18FA73">
      <w:pPr>
        <w:snapToGrid w:val="0"/>
        <w:spacing w:before="120" w:beforeLines="50" w:after="50"/>
        <w:jc w:val="left"/>
        <w:rPr>
          <w:rFonts w:hint="eastAsia" w:ascii="仿宋" w:hAnsi="仿宋" w:eastAsia="仿宋"/>
          <w:b/>
          <w:sz w:val="24"/>
          <w:highlight w:val="none"/>
        </w:rPr>
      </w:pPr>
    </w:p>
    <w:p w14:paraId="5CA93553">
      <w:pPr>
        <w:snapToGrid w:val="0"/>
        <w:spacing w:before="120" w:beforeLines="50" w:after="50"/>
        <w:jc w:val="left"/>
        <w:rPr>
          <w:rFonts w:hint="eastAsia" w:ascii="仿宋" w:hAnsi="仿宋" w:eastAsia="仿宋"/>
          <w:b/>
          <w:sz w:val="24"/>
          <w:highlight w:val="none"/>
        </w:rPr>
      </w:pPr>
    </w:p>
    <w:p w14:paraId="0D5C9F18">
      <w:pPr>
        <w:snapToGrid w:val="0"/>
        <w:spacing w:before="120" w:beforeLines="50" w:after="50"/>
        <w:jc w:val="left"/>
        <w:rPr>
          <w:rFonts w:hint="eastAsia" w:ascii="仿宋" w:hAnsi="仿宋" w:eastAsia="仿宋"/>
          <w:b/>
          <w:sz w:val="24"/>
          <w:highlight w:val="none"/>
        </w:rPr>
      </w:pPr>
    </w:p>
    <w:p w14:paraId="424FFA42">
      <w:pPr>
        <w:snapToGrid w:val="0"/>
        <w:spacing w:before="120" w:beforeLines="50" w:after="50"/>
        <w:jc w:val="left"/>
        <w:rPr>
          <w:rFonts w:hint="eastAsia" w:ascii="仿宋" w:hAnsi="仿宋" w:eastAsia="仿宋"/>
          <w:b/>
          <w:sz w:val="24"/>
          <w:highlight w:val="none"/>
        </w:rPr>
      </w:pPr>
    </w:p>
    <w:p w14:paraId="6B6B9316">
      <w:pPr>
        <w:snapToGrid w:val="0"/>
        <w:spacing w:before="120" w:beforeLines="50" w:after="50"/>
        <w:jc w:val="left"/>
        <w:rPr>
          <w:rFonts w:hint="eastAsia" w:ascii="仿宋" w:hAnsi="仿宋" w:eastAsia="仿宋"/>
          <w:b/>
          <w:sz w:val="24"/>
          <w:highlight w:val="none"/>
        </w:rPr>
      </w:pPr>
    </w:p>
    <w:p w14:paraId="529C45AA">
      <w:pPr>
        <w:snapToGrid w:val="0"/>
        <w:spacing w:before="120" w:beforeLines="50" w:after="50"/>
        <w:jc w:val="left"/>
        <w:rPr>
          <w:rFonts w:hint="eastAsia" w:ascii="仿宋" w:hAnsi="仿宋" w:eastAsia="仿宋"/>
          <w:b/>
          <w:sz w:val="24"/>
          <w:szCs w:val="20"/>
          <w:highlight w:val="none"/>
        </w:rPr>
      </w:pPr>
      <w:r>
        <w:rPr>
          <w:rFonts w:hint="eastAsia" w:ascii="仿宋" w:hAnsi="仿宋" w:eastAsia="仿宋"/>
          <w:b/>
          <w:sz w:val="24"/>
          <w:highlight w:val="none"/>
        </w:rPr>
        <w:t>4.法定代表人身份证明</w:t>
      </w:r>
    </w:p>
    <w:p w14:paraId="4948AAEE">
      <w:pPr>
        <w:spacing w:before="240" w:beforeLines="100" w:after="120" w:afterLines="50"/>
        <w:ind w:left="540"/>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法定代表人身份证明</w:t>
      </w:r>
    </w:p>
    <w:p w14:paraId="5C6CA9BE">
      <w:pPr>
        <w:spacing w:line="500" w:lineRule="exact"/>
        <w:ind w:left="540"/>
        <w:rPr>
          <w:rFonts w:hint="eastAsia" w:ascii="仿宋" w:hAnsi="仿宋" w:eastAsia="仿宋"/>
          <w:sz w:val="24"/>
          <w:highlight w:val="none"/>
        </w:rPr>
      </w:pPr>
      <w:r>
        <w:rPr>
          <w:rFonts w:hint="eastAsia" w:ascii="仿宋" w:hAnsi="仿宋" w:eastAsia="仿宋"/>
          <w:sz w:val="24"/>
          <w:highlight w:val="none"/>
        </w:rPr>
        <w:t>投 标 人：</w:t>
      </w:r>
      <w:r>
        <w:rPr>
          <w:rFonts w:hint="eastAsia" w:ascii="仿宋" w:hAnsi="仿宋" w:eastAsia="仿宋"/>
          <w:sz w:val="24"/>
          <w:highlight w:val="none"/>
          <w:u w:val="single"/>
        </w:rPr>
        <w:t xml:space="preserve">                                                        </w:t>
      </w:r>
    </w:p>
    <w:p w14:paraId="5FA200D5">
      <w:pPr>
        <w:spacing w:line="500" w:lineRule="exact"/>
        <w:ind w:left="540"/>
        <w:rPr>
          <w:rFonts w:hint="eastAsia" w:ascii="仿宋" w:hAnsi="仿宋" w:eastAsia="仿宋"/>
          <w:sz w:val="24"/>
          <w:highlight w:val="none"/>
        </w:rPr>
      </w:pPr>
      <w:r>
        <w:rPr>
          <w:rFonts w:hint="eastAsia" w:ascii="仿宋" w:hAnsi="仿宋" w:eastAsia="仿宋"/>
          <w:sz w:val="24"/>
          <w:highlight w:val="none"/>
        </w:rPr>
        <w:t>地    址：</w:t>
      </w:r>
      <w:r>
        <w:rPr>
          <w:rFonts w:hint="eastAsia" w:ascii="仿宋" w:hAnsi="仿宋" w:eastAsia="仿宋"/>
          <w:sz w:val="24"/>
          <w:highlight w:val="none"/>
          <w:u w:val="single"/>
        </w:rPr>
        <w:t xml:space="preserve">                                                        </w:t>
      </w:r>
    </w:p>
    <w:p w14:paraId="56920CBB">
      <w:pPr>
        <w:spacing w:line="500" w:lineRule="exact"/>
        <w:ind w:left="540"/>
        <w:rPr>
          <w:rFonts w:hint="eastAsia" w:ascii="仿宋" w:hAnsi="仿宋" w:eastAsia="仿宋"/>
          <w:sz w:val="24"/>
          <w:highlight w:val="none"/>
        </w:rPr>
      </w:pPr>
      <w:r>
        <w:rPr>
          <w:rFonts w:hint="eastAsia" w:ascii="仿宋" w:hAnsi="仿宋" w:eastAsia="仿宋"/>
          <w:sz w:val="24"/>
          <w:highlight w:val="none"/>
        </w:rPr>
        <w:t>姓    名：</w:t>
      </w:r>
      <w:r>
        <w:rPr>
          <w:rFonts w:hint="eastAsia" w:ascii="仿宋" w:hAnsi="仿宋" w:eastAsia="仿宋"/>
          <w:sz w:val="24"/>
          <w:highlight w:val="none"/>
          <w:u w:val="single"/>
        </w:rPr>
        <w:t xml:space="preserve">                          </w:t>
      </w:r>
      <w:r>
        <w:rPr>
          <w:rFonts w:hint="eastAsia" w:ascii="仿宋" w:hAnsi="仿宋" w:eastAsia="仿宋"/>
          <w:sz w:val="24"/>
          <w:highlight w:val="none"/>
        </w:rPr>
        <w:t>性      别：</w:t>
      </w:r>
      <w:r>
        <w:rPr>
          <w:rFonts w:hint="eastAsia" w:ascii="仿宋" w:hAnsi="仿宋" w:eastAsia="仿宋"/>
          <w:sz w:val="24"/>
          <w:highlight w:val="none"/>
          <w:u w:val="single"/>
        </w:rPr>
        <w:t xml:space="preserve">                </w:t>
      </w:r>
    </w:p>
    <w:p w14:paraId="387BFC6A">
      <w:pPr>
        <w:spacing w:line="500" w:lineRule="exact"/>
        <w:ind w:left="540"/>
        <w:rPr>
          <w:rFonts w:hint="eastAsia" w:ascii="仿宋" w:hAnsi="仿宋" w:eastAsia="仿宋"/>
          <w:sz w:val="24"/>
          <w:highlight w:val="none"/>
          <w:u w:val="single"/>
        </w:rPr>
      </w:pPr>
      <w:r>
        <w:rPr>
          <w:rFonts w:hint="eastAsia" w:ascii="仿宋" w:hAnsi="仿宋" w:eastAsia="仿宋"/>
          <w:sz w:val="24"/>
          <w:highlight w:val="none"/>
        </w:rPr>
        <w:t>年    龄：</w:t>
      </w:r>
      <w:r>
        <w:rPr>
          <w:rFonts w:hint="eastAsia" w:ascii="仿宋" w:hAnsi="仿宋" w:eastAsia="仿宋"/>
          <w:sz w:val="24"/>
          <w:highlight w:val="none"/>
          <w:u w:val="single"/>
        </w:rPr>
        <w:t xml:space="preserve">                          </w:t>
      </w:r>
      <w:r>
        <w:rPr>
          <w:rFonts w:hint="eastAsia" w:ascii="仿宋" w:hAnsi="仿宋" w:eastAsia="仿宋"/>
          <w:sz w:val="24"/>
          <w:highlight w:val="none"/>
        </w:rPr>
        <w:t>职      务：</w:t>
      </w:r>
      <w:r>
        <w:rPr>
          <w:rFonts w:hint="eastAsia" w:ascii="仿宋" w:hAnsi="仿宋" w:eastAsia="仿宋"/>
          <w:sz w:val="24"/>
          <w:highlight w:val="none"/>
          <w:u w:val="single"/>
        </w:rPr>
        <w:t xml:space="preserve">                </w:t>
      </w:r>
    </w:p>
    <w:p w14:paraId="1711629C">
      <w:pPr>
        <w:spacing w:line="500" w:lineRule="exact"/>
        <w:ind w:left="540"/>
        <w:rPr>
          <w:rFonts w:hint="eastAsia" w:ascii="仿宋" w:hAnsi="仿宋" w:eastAsia="仿宋"/>
          <w:sz w:val="24"/>
          <w:highlight w:val="none"/>
        </w:rPr>
      </w:pPr>
      <w:r>
        <w:rPr>
          <w:rFonts w:hint="eastAsia" w:ascii="仿宋" w:hAnsi="仿宋" w:eastAsia="仿宋"/>
          <w:sz w:val="24"/>
          <w:highlight w:val="none"/>
        </w:rPr>
        <w:t>身份证号码：</w:t>
      </w:r>
      <w:r>
        <w:rPr>
          <w:rFonts w:hint="eastAsia" w:ascii="仿宋" w:hAnsi="仿宋" w:eastAsia="仿宋"/>
          <w:sz w:val="24"/>
          <w:highlight w:val="none"/>
          <w:u w:val="single"/>
        </w:rPr>
        <w:t xml:space="preserve">                                 </w:t>
      </w:r>
    </w:p>
    <w:p w14:paraId="008BEA98">
      <w:pPr>
        <w:spacing w:line="500" w:lineRule="exact"/>
        <w:ind w:left="540"/>
        <w:rPr>
          <w:rFonts w:hint="eastAsia" w:ascii="仿宋" w:hAnsi="仿宋" w:eastAsia="仿宋"/>
          <w:sz w:val="24"/>
          <w:highlight w:val="none"/>
        </w:rPr>
      </w:pPr>
      <w:r>
        <w:rPr>
          <w:rFonts w:hint="eastAsia" w:ascii="仿宋" w:hAnsi="仿宋" w:eastAsia="仿宋"/>
          <w:sz w:val="24"/>
          <w:highlight w:val="none"/>
        </w:rPr>
        <w:t>系</w:t>
      </w:r>
      <w:r>
        <w:rPr>
          <w:rFonts w:hint="eastAsia" w:ascii="仿宋" w:hAnsi="仿宋" w:eastAsia="仿宋"/>
          <w:sz w:val="24"/>
          <w:highlight w:val="none"/>
          <w:u w:val="single"/>
        </w:rPr>
        <w:t xml:space="preserve">            （投标人名称）              </w:t>
      </w:r>
      <w:r>
        <w:rPr>
          <w:rFonts w:hint="eastAsia" w:ascii="仿宋" w:hAnsi="仿宋" w:eastAsia="仿宋"/>
          <w:sz w:val="24"/>
          <w:highlight w:val="none"/>
        </w:rPr>
        <w:t>的法定代表人。</w:t>
      </w:r>
    </w:p>
    <w:p w14:paraId="047C58FB">
      <w:pPr>
        <w:spacing w:line="500" w:lineRule="exact"/>
        <w:ind w:left="540"/>
        <w:rPr>
          <w:rFonts w:hint="eastAsia" w:ascii="仿宋" w:hAnsi="仿宋" w:eastAsia="仿宋"/>
          <w:sz w:val="24"/>
          <w:highlight w:val="none"/>
        </w:rPr>
      </w:pPr>
      <w:r>
        <w:rPr>
          <w:rFonts w:hint="eastAsia" w:ascii="仿宋" w:hAnsi="仿宋" w:eastAsia="仿宋"/>
          <w:sz w:val="24"/>
          <w:highlight w:val="none"/>
        </w:rPr>
        <w:t>特此证明。</w:t>
      </w:r>
    </w:p>
    <w:p w14:paraId="54D12A23">
      <w:pPr>
        <w:spacing w:line="500" w:lineRule="exact"/>
        <w:ind w:left="540"/>
        <w:rPr>
          <w:rFonts w:hint="eastAsia" w:ascii="仿宋" w:hAnsi="仿宋" w:eastAsia="仿宋"/>
          <w:sz w:val="24"/>
          <w:highlight w:val="none"/>
        </w:rPr>
      </w:pPr>
    </w:p>
    <w:p w14:paraId="40822727">
      <w:pPr>
        <w:spacing w:line="500" w:lineRule="exact"/>
        <w:ind w:left="540"/>
        <w:rPr>
          <w:rFonts w:hint="eastAsia" w:ascii="仿宋" w:hAnsi="仿宋" w:eastAsia="仿宋"/>
          <w:sz w:val="24"/>
          <w:highlight w:val="none"/>
        </w:rPr>
      </w:pPr>
    </w:p>
    <w:p w14:paraId="6BDEF9DC">
      <w:pPr>
        <w:spacing w:line="500" w:lineRule="exact"/>
        <w:ind w:left="540"/>
        <w:rPr>
          <w:rFonts w:hint="eastAsia" w:ascii="仿宋" w:hAnsi="仿宋" w:eastAsia="仿宋"/>
          <w:sz w:val="24"/>
          <w:highlight w:val="none"/>
        </w:rPr>
      </w:pPr>
      <w:r>
        <w:rPr>
          <w:rFonts w:hint="eastAsia" w:ascii="仿宋" w:hAnsi="仿宋" w:eastAsia="仿宋"/>
          <w:sz w:val="24"/>
          <w:highlight w:val="none"/>
        </w:rPr>
        <w:t>附件：法定代表人有效身份证正反面复印件</w:t>
      </w:r>
    </w:p>
    <w:p w14:paraId="78C694FA">
      <w:pPr>
        <w:spacing w:line="500" w:lineRule="exact"/>
        <w:ind w:left="540"/>
        <w:rPr>
          <w:rFonts w:hint="eastAsia" w:ascii="仿宋" w:hAnsi="仿宋" w:eastAsia="仿宋"/>
          <w:sz w:val="24"/>
          <w:highlight w:val="none"/>
        </w:rPr>
      </w:pPr>
    </w:p>
    <w:p w14:paraId="52A70D9C">
      <w:pPr>
        <w:spacing w:line="500" w:lineRule="exact"/>
        <w:ind w:left="540" w:firstLine="5520" w:firstLineChars="2300"/>
        <w:jc w:val="left"/>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val="en-US" w:eastAsia="zh-CN"/>
        </w:rPr>
        <w:t>CA</w:t>
      </w:r>
      <w:r>
        <w:rPr>
          <w:rFonts w:hint="eastAsia" w:ascii="仿宋" w:hAnsi="仿宋" w:eastAsia="仿宋"/>
          <w:sz w:val="24"/>
          <w:highlight w:val="none"/>
        </w:rPr>
        <w:t>公章）：</w:t>
      </w:r>
      <w:r>
        <w:rPr>
          <w:rFonts w:hint="eastAsia" w:ascii="仿宋" w:hAnsi="仿宋" w:eastAsia="仿宋"/>
          <w:sz w:val="24"/>
          <w:highlight w:val="none"/>
          <w:u w:val="single"/>
        </w:rPr>
        <w:t xml:space="preserve"> </w:t>
      </w:r>
      <w:r>
        <w:rPr>
          <w:rFonts w:hint="eastAsia"/>
          <w:highlight w:val="none"/>
          <w:u w:val="single"/>
        </w:rPr>
        <w:t xml:space="preserve">                    </w:t>
      </w:r>
    </w:p>
    <w:p w14:paraId="0DA421E7">
      <w:pPr>
        <w:snapToGrid w:val="0"/>
        <w:spacing w:before="120" w:beforeLines="50" w:after="50"/>
        <w:ind w:left="540"/>
        <w:jc w:val="right"/>
        <w:rPr>
          <w:rFonts w:hint="eastAsia" w:ascii="仿宋" w:hAnsi="仿宋" w:eastAsia="仿宋"/>
          <w:sz w:val="24"/>
          <w:highlight w:val="none"/>
        </w:rPr>
      </w:pPr>
      <w:r>
        <w:rPr>
          <w:rFonts w:hint="eastAsia" w:ascii="仿宋" w:hAnsi="仿宋" w:eastAsia="仿宋"/>
          <w:sz w:val="24"/>
          <w:highlight w:val="none"/>
          <w:u w:val="single"/>
        </w:rPr>
        <w:t xml:space="preserve">         </w:t>
      </w:r>
      <w:r>
        <w:rPr>
          <w:rFonts w:hint="eastAsia" w:ascii="仿宋" w:hAnsi="仿宋" w:eastAsia="仿宋"/>
          <w:sz w:val="24"/>
          <w:highlight w:val="none"/>
        </w:rPr>
        <w:t>年</w:t>
      </w:r>
      <w:r>
        <w:rPr>
          <w:rFonts w:hint="eastAsia" w:ascii="仿宋" w:hAnsi="仿宋" w:eastAsia="仿宋"/>
          <w:sz w:val="24"/>
          <w:highlight w:val="none"/>
          <w:u w:val="single"/>
        </w:rPr>
        <w:t xml:space="preserve">        </w:t>
      </w:r>
      <w:r>
        <w:rPr>
          <w:rFonts w:hint="eastAsia" w:ascii="仿宋" w:hAnsi="仿宋" w:eastAsia="仿宋"/>
          <w:sz w:val="24"/>
          <w:highlight w:val="none"/>
        </w:rPr>
        <w:t>月</w:t>
      </w:r>
      <w:r>
        <w:rPr>
          <w:rFonts w:hint="eastAsia" w:ascii="仿宋" w:hAnsi="仿宋" w:eastAsia="仿宋"/>
          <w:sz w:val="24"/>
          <w:highlight w:val="none"/>
          <w:u w:val="single"/>
        </w:rPr>
        <w:t xml:space="preserve">        </w:t>
      </w:r>
      <w:r>
        <w:rPr>
          <w:rFonts w:hint="eastAsia" w:ascii="仿宋" w:hAnsi="仿宋" w:eastAsia="仿宋"/>
          <w:sz w:val="24"/>
          <w:highlight w:val="none"/>
        </w:rPr>
        <w:t>日</w:t>
      </w:r>
    </w:p>
    <w:p w14:paraId="7632ED38">
      <w:pPr>
        <w:snapToGrid w:val="0"/>
        <w:spacing w:before="120" w:beforeLines="50" w:after="50"/>
        <w:jc w:val="center"/>
        <w:rPr>
          <w:rFonts w:hint="eastAsia" w:ascii="仿宋" w:hAnsi="仿宋" w:eastAsia="仿宋"/>
          <w:b/>
          <w:sz w:val="24"/>
          <w:highlight w:val="none"/>
        </w:rPr>
      </w:pPr>
    </w:p>
    <w:p w14:paraId="6F67E93F">
      <w:pPr>
        <w:snapToGrid w:val="0"/>
        <w:spacing w:before="120" w:beforeLines="50" w:after="50"/>
        <w:jc w:val="left"/>
        <w:rPr>
          <w:rFonts w:hint="eastAsia" w:ascii="仿宋" w:hAnsi="仿宋" w:eastAsia="仿宋"/>
          <w:b/>
          <w:sz w:val="24"/>
          <w:szCs w:val="20"/>
          <w:highlight w:val="none"/>
        </w:rPr>
      </w:pPr>
      <w:r>
        <w:rPr>
          <w:rFonts w:hint="eastAsia" w:ascii="仿宋" w:hAnsi="仿宋" w:eastAsia="仿宋"/>
          <w:sz w:val="24"/>
          <w:highlight w:val="none"/>
        </w:rPr>
        <w:t>注：自然人投标的无需提供</w:t>
      </w:r>
    </w:p>
    <w:p w14:paraId="7CF4FFB7">
      <w:pPr>
        <w:snapToGrid w:val="0"/>
        <w:spacing w:before="120" w:beforeLines="50" w:after="50"/>
        <w:jc w:val="left"/>
        <w:rPr>
          <w:rFonts w:hint="eastAsia" w:ascii="仿宋" w:hAnsi="仿宋" w:eastAsia="仿宋"/>
          <w:b/>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5.授权委托书格式</w:t>
      </w:r>
    </w:p>
    <w:p w14:paraId="1EFA1161">
      <w:pPr>
        <w:snapToGrid w:val="0"/>
        <w:spacing w:before="120" w:beforeLines="50" w:after="50"/>
        <w:jc w:val="center"/>
        <w:rPr>
          <w:rFonts w:hint="eastAsia" w:ascii="仿宋" w:hAnsi="仿宋" w:eastAsia="仿宋"/>
          <w:b/>
          <w:sz w:val="44"/>
          <w:szCs w:val="44"/>
          <w:highlight w:val="none"/>
        </w:rPr>
      </w:pPr>
    </w:p>
    <w:p w14:paraId="0B68794D">
      <w:pPr>
        <w:spacing w:line="360" w:lineRule="auto"/>
        <w:contextualSpacing/>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授权委托书</w:t>
      </w:r>
    </w:p>
    <w:p w14:paraId="2261E967">
      <w:pPr>
        <w:spacing w:line="360" w:lineRule="auto"/>
        <w:contextualSpacing/>
        <w:jc w:val="center"/>
        <w:rPr>
          <w:rFonts w:hint="eastAsia" w:ascii="仿宋" w:hAnsi="仿宋" w:eastAsia="仿宋" w:cs="方正小标宋简体"/>
          <w:bCs/>
          <w:sz w:val="24"/>
          <w:highlight w:val="none"/>
        </w:rPr>
      </w:pPr>
      <w:r>
        <w:rPr>
          <w:rFonts w:hint="eastAsia" w:ascii="仿宋" w:hAnsi="仿宋" w:eastAsia="仿宋" w:cs="方正小标宋简体"/>
          <w:bCs/>
          <w:sz w:val="32"/>
          <w:szCs w:val="32"/>
          <w:highlight w:val="none"/>
        </w:rPr>
        <w:t>（如有委托时）</w:t>
      </w:r>
    </w:p>
    <w:p w14:paraId="23CD6559">
      <w:pPr>
        <w:spacing w:line="440" w:lineRule="exact"/>
        <w:contextualSpacing/>
        <w:jc w:val="center"/>
        <w:rPr>
          <w:rFonts w:hint="eastAsia" w:ascii="仿宋" w:hAnsi="仿宋" w:eastAsia="仿宋"/>
          <w:b/>
          <w:sz w:val="24"/>
          <w:highlight w:val="none"/>
        </w:rPr>
      </w:pPr>
    </w:p>
    <w:p w14:paraId="01C595A3">
      <w:pPr>
        <w:spacing w:line="440" w:lineRule="exact"/>
        <w:contextualSpacing/>
        <w:rPr>
          <w:rFonts w:hint="eastAsia" w:ascii="仿宋" w:hAnsi="仿宋" w:eastAsia="仿宋"/>
          <w:b/>
          <w:bCs/>
          <w:sz w:val="24"/>
          <w:highlight w:val="none"/>
        </w:rPr>
      </w:pPr>
      <w:r>
        <w:rPr>
          <w:rFonts w:hint="eastAsia" w:ascii="仿宋" w:hAnsi="仿宋" w:eastAsia="仿宋"/>
          <w:bCs/>
          <w:sz w:val="24"/>
          <w:highlight w:val="none"/>
        </w:rPr>
        <w:t>致：</w:t>
      </w:r>
      <w:r>
        <w:rPr>
          <w:rFonts w:hint="eastAsia" w:ascii="仿宋" w:hAnsi="仿宋" w:eastAsia="仿宋"/>
          <w:sz w:val="24"/>
          <w:highlight w:val="none"/>
          <w:u w:val="single"/>
        </w:rPr>
        <w:t>采购人名称</w:t>
      </w:r>
    </w:p>
    <w:p w14:paraId="4F215D76">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我</w:t>
      </w:r>
      <w:r>
        <w:rPr>
          <w:rFonts w:hint="eastAsia" w:ascii="仿宋" w:hAnsi="仿宋" w:eastAsia="仿宋"/>
          <w:sz w:val="24"/>
          <w:highlight w:val="none"/>
          <w:u w:val="single"/>
        </w:rPr>
        <w:t xml:space="preserve">       </w:t>
      </w:r>
      <w:r>
        <w:rPr>
          <w:rFonts w:hint="eastAsia" w:ascii="仿宋" w:hAnsi="仿宋" w:eastAsia="仿宋"/>
          <w:sz w:val="24"/>
          <w:highlight w:val="none"/>
        </w:rPr>
        <w:t>（姓名）系</w:t>
      </w:r>
      <w:r>
        <w:rPr>
          <w:rFonts w:hint="eastAsia" w:ascii="仿宋" w:hAnsi="仿宋" w:eastAsia="仿宋"/>
          <w:sz w:val="24"/>
          <w:highlight w:val="none"/>
          <w:u w:val="single"/>
        </w:rPr>
        <w:t xml:space="preserve">      </w:t>
      </w:r>
      <w:r>
        <w:rPr>
          <w:rFonts w:hint="eastAsia" w:ascii="仿宋" w:hAnsi="仿宋" w:eastAsia="仿宋"/>
          <w:sz w:val="24"/>
          <w:highlight w:val="none"/>
        </w:rPr>
        <w:t>（投标人名称）的法定代表人，现授权委托</w:t>
      </w:r>
      <w:r>
        <w:rPr>
          <w:rFonts w:hint="eastAsia" w:ascii="仿宋" w:hAnsi="仿宋" w:eastAsia="仿宋"/>
          <w:sz w:val="24"/>
          <w:highlight w:val="none"/>
          <w:u w:val="single"/>
        </w:rPr>
        <w:t xml:space="preserve">              （姓名）</w:t>
      </w:r>
      <w:r>
        <w:rPr>
          <w:rFonts w:hint="eastAsia" w:ascii="仿宋" w:hAnsi="仿宋" w:eastAsia="仿宋"/>
          <w:sz w:val="24"/>
          <w:highlight w:val="none"/>
        </w:rPr>
        <w:t>以我方的名义参加</w:t>
      </w:r>
      <w:r>
        <w:rPr>
          <w:rFonts w:hint="eastAsia" w:ascii="仿宋" w:hAnsi="仿宋" w:eastAsia="仿宋"/>
          <w:sz w:val="24"/>
          <w:highlight w:val="none"/>
          <w:u w:val="single"/>
        </w:rPr>
        <w:t xml:space="preserve">              </w:t>
      </w:r>
      <w:r>
        <w:rPr>
          <w:rFonts w:hint="eastAsia" w:ascii="仿宋" w:hAnsi="仿宋" w:eastAsia="仿宋"/>
          <w:sz w:val="24"/>
          <w:highlight w:val="none"/>
        </w:rPr>
        <w:t>项目的投标活动，并代表我方全权办理针对上述项目的所有采购程序和环节的具体事务和签署相关文件。</w:t>
      </w:r>
    </w:p>
    <w:p w14:paraId="5853BFC3">
      <w:pPr>
        <w:spacing w:line="440" w:lineRule="exact"/>
        <w:contextualSpacing/>
        <w:rPr>
          <w:rFonts w:hint="eastAsia" w:ascii="仿宋" w:hAnsi="仿宋" w:eastAsia="仿宋"/>
          <w:sz w:val="24"/>
          <w:highlight w:val="none"/>
        </w:rPr>
      </w:pPr>
      <w:r>
        <w:rPr>
          <w:rFonts w:hint="eastAsia" w:ascii="仿宋" w:hAnsi="仿宋" w:eastAsia="仿宋"/>
          <w:sz w:val="24"/>
          <w:highlight w:val="none"/>
        </w:rPr>
        <w:t xml:space="preserve">    我方对委托代理人的签字事项负全部责任。</w:t>
      </w:r>
    </w:p>
    <w:p w14:paraId="4F89D7D0">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u w:val="single"/>
        </w:rPr>
        <w:t>本授权书自签署之日起生效，在撤销授权的书面通知以前，本授权书一直有效。委托代理人在授权书有效期内签署的所有文件不因授权的撤销而失效。</w:t>
      </w:r>
    </w:p>
    <w:p w14:paraId="6D8AE704">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委托代理人无转委托权，特此委托。</w:t>
      </w:r>
    </w:p>
    <w:p w14:paraId="59E80DCD">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附：法定代表人身份证明及委托代理人有效身份证正反面复印件</w:t>
      </w:r>
    </w:p>
    <w:p w14:paraId="0DE6786D">
      <w:pPr>
        <w:spacing w:line="440" w:lineRule="exact"/>
        <w:contextualSpacing/>
        <w:rPr>
          <w:rFonts w:hint="eastAsia" w:ascii="仿宋" w:hAnsi="仿宋" w:eastAsia="仿宋"/>
          <w:sz w:val="24"/>
          <w:highlight w:val="none"/>
        </w:rPr>
      </w:pPr>
    </w:p>
    <w:p w14:paraId="6FE2E429">
      <w:pPr>
        <w:spacing w:line="440" w:lineRule="exact"/>
        <w:contextualSpacing/>
        <w:rPr>
          <w:rFonts w:hint="eastAsia" w:ascii="仿宋" w:hAnsi="仿宋" w:eastAsia="仿宋"/>
          <w:sz w:val="24"/>
          <w:highlight w:val="none"/>
          <w:u w:val="single"/>
        </w:rPr>
      </w:pPr>
      <w:r>
        <w:rPr>
          <w:rFonts w:hint="eastAsia" w:ascii="仿宋" w:hAnsi="仿宋" w:eastAsia="仿宋"/>
          <w:sz w:val="24"/>
          <w:highlight w:val="none"/>
        </w:rPr>
        <w:t>委托代理人（签字）：</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法定代表人（</w:t>
      </w:r>
      <w:r>
        <w:rPr>
          <w:rFonts w:hint="eastAsia" w:ascii="仿宋" w:hAnsi="仿宋" w:eastAsia="仿宋"/>
          <w:sz w:val="24"/>
          <w:highlight w:val="none"/>
          <w:lang w:eastAsia="zh-CN"/>
        </w:rPr>
        <w:t>签字或者盖CA章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p>
    <w:p w14:paraId="7F1EFA9F">
      <w:pPr>
        <w:spacing w:line="440" w:lineRule="exact"/>
        <w:contextualSpacing/>
        <w:rPr>
          <w:rFonts w:hint="eastAsia" w:ascii="仿宋" w:hAnsi="仿宋" w:eastAsia="仿宋"/>
          <w:sz w:val="24"/>
          <w:highlight w:val="none"/>
        </w:rPr>
      </w:pPr>
      <w:r>
        <w:rPr>
          <w:rFonts w:hint="eastAsia" w:ascii="仿宋" w:hAnsi="仿宋" w:eastAsia="仿宋"/>
          <w:sz w:val="24"/>
          <w:highlight w:val="none"/>
        </w:rPr>
        <w:t>委托代理人身份证号码：</w:t>
      </w:r>
      <w:r>
        <w:rPr>
          <w:rFonts w:hint="eastAsia" w:ascii="仿宋" w:hAnsi="仿宋" w:eastAsia="仿宋"/>
          <w:sz w:val="24"/>
          <w:highlight w:val="none"/>
          <w:u w:val="single"/>
        </w:rPr>
        <w:t xml:space="preserve">                          </w:t>
      </w:r>
    </w:p>
    <w:p w14:paraId="18C461EC">
      <w:pPr>
        <w:spacing w:line="440" w:lineRule="exact"/>
        <w:contextualSpacing/>
        <w:jc w:val="center"/>
        <w:rPr>
          <w:rFonts w:hint="eastAsia" w:ascii="仿宋" w:hAnsi="仿宋" w:eastAsia="仿宋"/>
          <w:sz w:val="24"/>
          <w:highlight w:val="none"/>
        </w:rPr>
      </w:pPr>
      <w:r>
        <w:rPr>
          <w:rFonts w:hint="eastAsia" w:ascii="仿宋" w:hAnsi="仿宋" w:eastAsia="仿宋"/>
          <w:sz w:val="24"/>
          <w:highlight w:val="none"/>
        </w:rPr>
        <w:t xml:space="preserve">                                   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hint="eastAsia"/>
          <w:highlight w:val="none"/>
          <w:u w:val="single"/>
        </w:rPr>
        <w:t xml:space="preserve">    </w:t>
      </w:r>
      <w:r>
        <w:rPr>
          <w:highlight w:val="none"/>
          <w:u w:val="single"/>
        </w:rPr>
        <w:t xml:space="preserve">      </w:t>
      </w:r>
      <w:r>
        <w:rPr>
          <w:rFonts w:hint="eastAsia"/>
          <w:highlight w:val="none"/>
          <w:u w:val="single"/>
        </w:rPr>
        <w:t xml:space="preserve">      </w:t>
      </w:r>
    </w:p>
    <w:p w14:paraId="3DD303EE">
      <w:pPr>
        <w:spacing w:line="440" w:lineRule="exact"/>
        <w:contextualSpacing/>
        <w:jc w:val="center"/>
        <w:rPr>
          <w:rFonts w:hint="eastAsia" w:ascii="仿宋" w:hAnsi="仿宋" w:eastAsia="仿宋"/>
          <w:sz w:val="24"/>
          <w:highlight w:val="none"/>
        </w:rPr>
      </w:pPr>
      <w:r>
        <w:rPr>
          <w:rFonts w:hint="eastAsia" w:ascii="仿宋" w:hAnsi="仿宋" w:eastAsia="仿宋"/>
          <w:sz w:val="24"/>
          <w:highlight w:val="none"/>
        </w:rPr>
        <w:t xml:space="preserve">                                              年    月    日</w:t>
      </w:r>
    </w:p>
    <w:p w14:paraId="0AB1BF8F">
      <w:pPr>
        <w:spacing w:line="440" w:lineRule="exact"/>
        <w:contextualSpacing/>
        <w:rPr>
          <w:rFonts w:hint="eastAsia" w:ascii="仿宋" w:hAnsi="仿宋" w:eastAsia="仿宋" w:cs="仿宋_GB2312"/>
          <w:sz w:val="24"/>
          <w:highlight w:val="none"/>
        </w:rPr>
      </w:pPr>
      <w:r>
        <w:rPr>
          <w:rFonts w:hint="eastAsia" w:ascii="仿宋" w:hAnsi="仿宋" w:eastAsia="仿宋" w:cs="仿宋_GB2312"/>
          <w:sz w:val="24"/>
          <w:highlight w:val="none"/>
        </w:rPr>
        <w:t>注：1.</w:t>
      </w:r>
      <w:bookmarkStart w:id="174" w:name="_Hlk65851555"/>
      <w:bookmarkStart w:id="175" w:name="_Hlk65851620"/>
      <w:r>
        <w:rPr>
          <w:rFonts w:hint="eastAsia" w:ascii="仿宋" w:hAnsi="仿宋" w:eastAsia="仿宋" w:cs="仿宋_GB2312"/>
          <w:sz w:val="24"/>
          <w:highlight w:val="none"/>
        </w:rPr>
        <w:t>法定代表人必须在授权委托书上亲笔</w:t>
      </w:r>
      <w:r>
        <w:rPr>
          <w:rFonts w:hint="eastAsia" w:ascii="仿宋" w:hAnsi="仿宋" w:eastAsia="仿宋" w:cs="仿宋_GB2312"/>
          <w:sz w:val="24"/>
          <w:highlight w:val="none"/>
          <w:lang w:eastAsia="zh-CN"/>
        </w:rPr>
        <w:t>签字或者盖CA章</w:t>
      </w:r>
      <w:r>
        <w:rPr>
          <w:rFonts w:hint="eastAsia" w:ascii="仿宋" w:hAnsi="仿宋" w:eastAsia="仿宋" w:cs="仿宋_GB2312"/>
          <w:sz w:val="24"/>
          <w:highlight w:val="none"/>
        </w:rPr>
        <w:t>，</w:t>
      </w:r>
      <w:bookmarkEnd w:id="174"/>
      <w:r>
        <w:rPr>
          <w:rFonts w:hint="eastAsia" w:ascii="仿宋" w:hAnsi="仿宋" w:eastAsia="仿宋" w:cs="仿宋_GB2312"/>
          <w:sz w:val="24"/>
          <w:highlight w:val="none"/>
        </w:rPr>
        <w:t>委托代理人必须在授权委托书上亲笔签字，</w:t>
      </w:r>
      <w:r>
        <w:rPr>
          <w:rFonts w:hint="eastAsia" w:ascii="仿宋" w:hAnsi="仿宋" w:eastAsia="仿宋" w:cs="仿宋_GB2312"/>
          <w:b/>
          <w:bCs/>
          <w:sz w:val="24"/>
          <w:highlight w:val="none"/>
        </w:rPr>
        <w:t>否则按无效投标处理</w:t>
      </w:r>
      <w:r>
        <w:rPr>
          <w:rFonts w:hint="eastAsia" w:ascii="仿宋" w:hAnsi="仿宋" w:eastAsia="仿宋" w:cs="仿宋_GB2312"/>
          <w:sz w:val="24"/>
          <w:highlight w:val="none"/>
        </w:rPr>
        <w:t>；</w:t>
      </w:r>
      <w:bookmarkEnd w:id="175"/>
    </w:p>
    <w:p w14:paraId="5FCFC9AD">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cs="仿宋_GB2312"/>
          <w:sz w:val="24"/>
          <w:highlight w:val="none"/>
        </w:rPr>
        <w:t>2.法人、其他组织投标时“我方”是指“我单位”，自然人投标时“我方”是指“本人”。</w:t>
      </w:r>
    </w:p>
    <w:p w14:paraId="0ED598E2">
      <w:pPr>
        <w:snapToGrid w:val="0"/>
        <w:spacing w:before="120" w:beforeLines="50" w:after="50"/>
        <w:jc w:val="center"/>
        <w:rPr>
          <w:rFonts w:hint="eastAsia" w:ascii="仿宋" w:hAnsi="仿宋" w:eastAsia="仿宋" w:cs="方正小标宋简体"/>
          <w:sz w:val="44"/>
          <w:szCs w:val="44"/>
          <w:highlight w:val="none"/>
        </w:rPr>
      </w:pPr>
      <w:r>
        <w:rPr>
          <w:rFonts w:ascii="仿宋" w:hAnsi="仿宋" w:eastAsia="仿宋"/>
          <w:sz w:val="24"/>
          <w:highlight w:val="none"/>
        </w:rPr>
        <w:br w:type="page"/>
      </w:r>
    </w:p>
    <w:p w14:paraId="641C768A">
      <w:pPr>
        <w:rPr>
          <w:rFonts w:hint="eastAsia" w:ascii="仿宋" w:hAnsi="仿宋" w:eastAsia="仿宋"/>
          <w:b/>
          <w:sz w:val="24"/>
          <w:szCs w:val="20"/>
          <w:highlight w:val="none"/>
        </w:rPr>
      </w:pPr>
      <w:r>
        <w:rPr>
          <w:rFonts w:hint="eastAsia" w:ascii="仿宋" w:hAnsi="仿宋" w:eastAsia="仿宋"/>
          <w:b/>
          <w:sz w:val="24"/>
          <w:highlight w:val="none"/>
        </w:rPr>
        <w:t>6.商务要求偏离表格式（注：按第</w:t>
      </w:r>
      <w:r>
        <w:rPr>
          <w:rFonts w:ascii="仿宋" w:hAnsi="仿宋" w:eastAsia="仿宋"/>
          <w:b/>
          <w:sz w:val="24"/>
          <w:highlight w:val="none"/>
        </w:rPr>
        <w:t>二章</w:t>
      </w:r>
      <w:r>
        <w:rPr>
          <w:rFonts w:hint="eastAsia" w:ascii="仿宋" w:hAnsi="仿宋" w:eastAsia="仿宋"/>
          <w:b/>
          <w:sz w:val="24"/>
          <w:highlight w:val="none"/>
        </w:rPr>
        <w:t>“</w:t>
      </w:r>
      <w:r>
        <w:rPr>
          <w:rFonts w:ascii="仿宋" w:hAnsi="仿宋" w:eastAsia="仿宋"/>
          <w:b/>
          <w:sz w:val="24"/>
          <w:highlight w:val="none"/>
        </w:rPr>
        <w:t>采购需求</w:t>
      </w:r>
      <w:r>
        <w:rPr>
          <w:rFonts w:hint="eastAsia" w:ascii="仿宋" w:hAnsi="仿宋" w:eastAsia="仿宋"/>
          <w:b/>
          <w:sz w:val="24"/>
          <w:highlight w:val="none"/>
        </w:rPr>
        <w:t>”</w:t>
      </w:r>
      <w:r>
        <w:rPr>
          <w:rFonts w:ascii="仿宋" w:hAnsi="仿宋" w:eastAsia="仿宋"/>
          <w:b/>
          <w:sz w:val="24"/>
          <w:highlight w:val="none"/>
        </w:rPr>
        <w:t>的</w:t>
      </w:r>
      <w:r>
        <w:rPr>
          <w:rFonts w:hint="eastAsia" w:ascii="仿宋" w:hAnsi="仿宋" w:eastAsia="仿宋"/>
          <w:b/>
          <w:sz w:val="24"/>
          <w:highlight w:val="none"/>
        </w:rPr>
        <w:t>“</w:t>
      </w:r>
      <w:r>
        <w:rPr>
          <w:rFonts w:ascii="仿宋" w:hAnsi="仿宋" w:eastAsia="仿宋"/>
          <w:b/>
          <w:sz w:val="24"/>
          <w:highlight w:val="none"/>
        </w:rPr>
        <w:t>商务</w:t>
      </w:r>
      <w:r>
        <w:rPr>
          <w:rFonts w:hint="eastAsia" w:ascii="仿宋" w:hAnsi="仿宋" w:eastAsia="仿宋"/>
          <w:b/>
          <w:sz w:val="24"/>
          <w:highlight w:val="none"/>
        </w:rPr>
        <w:t>要求”的</w:t>
      </w:r>
      <w:r>
        <w:rPr>
          <w:rFonts w:ascii="仿宋" w:hAnsi="仿宋" w:eastAsia="仿宋"/>
          <w:b/>
          <w:sz w:val="24"/>
          <w:highlight w:val="none"/>
        </w:rPr>
        <w:t>内容</w:t>
      </w:r>
      <w:r>
        <w:rPr>
          <w:rFonts w:hint="eastAsia" w:ascii="仿宋" w:hAnsi="仿宋" w:eastAsia="仿宋"/>
          <w:b/>
          <w:sz w:val="24"/>
          <w:highlight w:val="none"/>
        </w:rPr>
        <w:t>修改）</w:t>
      </w:r>
    </w:p>
    <w:p w14:paraId="08DA0311">
      <w:pPr>
        <w:snapToGrid w:val="0"/>
        <w:spacing w:before="50"/>
        <w:ind w:right="240"/>
        <w:jc w:val="center"/>
        <w:rPr>
          <w:rFonts w:hint="eastAsia" w:ascii="仿宋" w:hAnsi="仿宋" w:eastAsia="仿宋"/>
          <w:b/>
          <w:sz w:val="28"/>
          <w:highlight w:val="none"/>
        </w:rPr>
      </w:pPr>
    </w:p>
    <w:p w14:paraId="1463890E">
      <w:pPr>
        <w:snapToGrid w:val="0"/>
        <w:spacing w:before="50"/>
        <w:ind w:right="240"/>
        <w:jc w:val="center"/>
        <w:rPr>
          <w:rFonts w:hint="eastAsia" w:ascii="仿宋" w:hAnsi="仿宋" w:eastAsia="仿宋" w:cs="宋体"/>
          <w:sz w:val="28"/>
          <w:highlight w:val="none"/>
        </w:rPr>
      </w:pPr>
      <w:r>
        <w:rPr>
          <w:rFonts w:hint="eastAsia" w:ascii="仿宋" w:hAnsi="仿宋" w:eastAsia="仿宋"/>
          <w:b/>
          <w:sz w:val="28"/>
          <w:highlight w:val="none"/>
        </w:rPr>
        <w:t>商务要求偏离表</w:t>
      </w:r>
    </w:p>
    <w:p w14:paraId="645E78AB">
      <w:pPr>
        <w:snapToGrid w:val="0"/>
        <w:spacing w:before="50"/>
        <w:ind w:right="240"/>
        <w:jc w:val="center"/>
        <w:rPr>
          <w:rFonts w:hint="eastAsia" w:ascii="仿宋" w:hAnsi="仿宋" w:eastAsia="仿宋"/>
          <w:sz w:val="24"/>
          <w:highlight w:val="none"/>
          <w:u w:val="single"/>
        </w:rPr>
      </w:pPr>
      <w:r>
        <w:rPr>
          <w:rFonts w:hint="eastAsia" w:ascii="仿宋" w:hAnsi="仿宋" w:eastAsia="仿宋" w:cs="宋体"/>
          <w:sz w:val="24"/>
          <w:highlight w:val="none"/>
        </w:rPr>
        <w:t xml:space="preserve">                                                           </w:t>
      </w:r>
      <w:r>
        <w:rPr>
          <w:rFonts w:ascii="仿宋" w:hAnsi="仿宋" w:eastAsia="仿宋" w:cs="宋体"/>
          <w:sz w:val="24"/>
          <w:highlight w:val="none"/>
        </w:rPr>
        <w:t xml:space="preserve">  </w:t>
      </w:r>
    </w:p>
    <w:tbl>
      <w:tblPr>
        <w:tblStyle w:val="49"/>
        <w:tblW w:w="987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2268"/>
        <w:gridCol w:w="2693"/>
        <w:gridCol w:w="2552"/>
        <w:gridCol w:w="1515"/>
      </w:tblGrid>
      <w:tr w14:paraId="62B328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38368448">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序号</w:t>
            </w:r>
          </w:p>
        </w:tc>
        <w:tc>
          <w:tcPr>
            <w:tcW w:w="2268" w:type="dxa"/>
            <w:tcBorders>
              <w:top w:val="single" w:color="auto" w:sz="4" w:space="0"/>
              <w:left w:val="single" w:color="auto" w:sz="4" w:space="0"/>
              <w:bottom w:val="single" w:color="auto" w:sz="4" w:space="0"/>
              <w:right w:val="single" w:color="auto" w:sz="4" w:space="0"/>
            </w:tcBorders>
            <w:vAlign w:val="center"/>
          </w:tcPr>
          <w:p w14:paraId="2B766159">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条款名称</w:t>
            </w:r>
          </w:p>
        </w:tc>
        <w:tc>
          <w:tcPr>
            <w:tcW w:w="2693" w:type="dxa"/>
            <w:tcBorders>
              <w:top w:val="single" w:color="auto" w:sz="4" w:space="0"/>
              <w:left w:val="single" w:color="auto" w:sz="4" w:space="0"/>
              <w:bottom w:val="single" w:color="auto" w:sz="4" w:space="0"/>
              <w:right w:val="single" w:color="auto" w:sz="4" w:space="0"/>
            </w:tcBorders>
            <w:vAlign w:val="center"/>
          </w:tcPr>
          <w:p w14:paraId="5E88BBB4">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招标文件商务要求</w:t>
            </w:r>
          </w:p>
        </w:tc>
        <w:tc>
          <w:tcPr>
            <w:tcW w:w="2552" w:type="dxa"/>
            <w:tcBorders>
              <w:top w:val="single" w:color="auto" w:sz="4" w:space="0"/>
              <w:left w:val="single" w:color="auto" w:sz="4" w:space="0"/>
              <w:bottom w:val="single" w:color="auto" w:sz="4" w:space="0"/>
              <w:right w:val="single" w:color="auto" w:sz="4" w:space="0"/>
            </w:tcBorders>
            <w:vAlign w:val="center"/>
          </w:tcPr>
          <w:p w14:paraId="761D21AE">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投标人的承诺</w:t>
            </w:r>
          </w:p>
        </w:tc>
        <w:tc>
          <w:tcPr>
            <w:tcW w:w="1515" w:type="dxa"/>
            <w:tcBorders>
              <w:top w:val="single" w:color="auto" w:sz="4" w:space="0"/>
              <w:left w:val="single" w:color="auto" w:sz="4" w:space="0"/>
              <w:bottom w:val="single" w:color="auto" w:sz="4" w:space="0"/>
              <w:right w:val="single" w:color="auto" w:sz="4" w:space="0"/>
            </w:tcBorders>
            <w:vAlign w:val="center"/>
          </w:tcPr>
          <w:p w14:paraId="13C0CA33">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偏离说明</w:t>
            </w:r>
          </w:p>
        </w:tc>
      </w:tr>
      <w:tr w14:paraId="585FB4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7712C6A6">
            <w:pPr>
              <w:jc w:val="center"/>
              <w:rPr>
                <w:rFonts w:hint="eastAsia" w:ascii="仿宋" w:hAnsi="仿宋" w:eastAsia="仿宋"/>
                <w:sz w:val="24"/>
                <w:highlight w:val="none"/>
              </w:rPr>
            </w:pPr>
            <w:r>
              <w:rPr>
                <w:rFonts w:hint="eastAsia" w:ascii="仿宋" w:hAnsi="仿宋" w:eastAsia="仿宋"/>
                <w:sz w:val="24"/>
                <w:highlight w:val="none"/>
              </w:rPr>
              <w:t>1</w:t>
            </w:r>
          </w:p>
        </w:tc>
        <w:tc>
          <w:tcPr>
            <w:tcW w:w="2268" w:type="dxa"/>
            <w:tcBorders>
              <w:top w:val="single" w:color="auto" w:sz="4" w:space="0"/>
              <w:left w:val="single" w:color="auto" w:sz="4" w:space="0"/>
              <w:bottom w:val="single" w:color="auto" w:sz="4" w:space="0"/>
              <w:right w:val="single" w:color="auto" w:sz="4" w:space="0"/>
            </w:tcBorders>
            <w:vAlign w:val="center"/>
          </w:tcPr>
          <w:p w14:paraId="25734393">
            <w:pPr>
              <w:jc w:val="center"/>
              <w:rPr>
                <w:rFonts w:hint="eastAsia" w:ascii="仿宋" w:hAnsi="仿宋" w:eastAsia="仿宋"/>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14:paraId="014DAABD">
            <w:pPr>
              <w:snapToGrid w:val="0"/>
              <w:spacing w:before="120" w:beforeLines="50"/>
              <w:jc w:val="center"/>
              <w:rPr>
                <w:rFonts w:hint="eastAsia" w:ascii="仿宋" w:hAnsi="仿宋" w:eastAsia="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FF10BA9">
            <w:pPr>
              <w:snapToGrid w:val="0"/>
              <w:spacing w:before="120" w:beforeLines="50"/>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14:paraId="5DBFBB3B">
            <w:pPr>
              <w:snapToGrid w:val="0"/>
              <w:spacing w:before="120" w:beforeLines="50"/>
              <w:jc w:val="center"/>
              <w:rPr>
                <w:rFonts w:hint="eastAsia" w:ascii="仿宋" w:hAnsi="仿宋" w:eastAsia="仿宋"/>
                <w:sz w:val="24"/>
                <w:highlight w:val="none"/>
              </w:rPr>
            </w:pPr>
          </w:p>
        </w:tc>
      </w:tr>
      <w:tr w14:paraId="31D0F5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4EF0466C">
            <w:pPr>
              <w:jc w:val="center"/>
              <w:rPr>
                <w:rFonts w:hint="eastAsia" w:ascii="仿宋" w:hAnsi="仿宋" w:eastAsia="仿宋"/>
                <w:sz w:val="24"/>
                <w:highlight w:val="none"/>
              </w:rPr>
            </w:pPr>
            <w:r>
              <w:rPr>
                <w:rFonts w:hint="eastAsia" w:ascii="仿宋" w:hAnsi="仿宋" w:eastAsia="仿宋"/>
                <w:sz w:val="24"/>
                <w:highlight w:val="none"/>
              </w:rPr>
              <w:t>2</w:t>
            </w:r>
          </w:p>
        </w:tc>
        <w:tc>
          <w:tcPr>
            <w:tcW w:w="2268" w:type="dxa"/>
            <w:tcBorders>
              <w:top w:val="single" w:color="auto" w:sz="4" w:space="0"/>
              <w:left w:val="single" w:color="auto" w:sz="4" w:space="0"/>
              <w:bottom w:val="single" w:color="auto" w:sz="4" w:space="0"/>
              <w:right w:val="single" w:color="auto" w:sz="4" w:space="0"/>
            </w:tcBorders>
            <w:vAlign w:val="center"/>
          </w:tcPr>
          <w:p w14:paraId="41B63A9C">
            <w:pPr>
              <w:jc w:val="center"/>
              <w:rPr>
                <w:rFonts w:hint="eastAsia" w:ascii="仿宋" w:hAnsi="仿宋" w:eastAsia="仿宋"/>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14:paraId="50873B61">
            <w:pPr>
              <w:snapToGrid w:val="0"/>
              <w:spacing w:before="120" w:beforeLines="50"/>
              <w:rPr>
                <w:rFonts w:hint="eastAsia" w:ascii="仿宋" w:hAnsi="仿宋" w:eastAsia="仿宋"/>
                <w:sz w:val="24"/>
                <w:highlight w:val="none"/>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14:paraId="3641985F">
            <w:pPr>
              <w:snapToGrid w:val="0"/>
              <w:spacing w:before="120" w:beforeLines="50"/>
              <w:ind w:left="43"/>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14:paraId="3A14F80D">
            <w:pPr>
              <w:snapToGrid w:val="0"/>
              <w:spacing w:before="120" w:beforeLines="50"/>
              <w:ind w:left="43"/>
              <w:jc w:val="center"/>
              <w:rPr>
                <w:rFonts w:hint="eastAsia" w:ascii="仿宋" w:hAnsi="仿宋" w:eastAsia="仿宋"/>
                <w:sz w:val="24"/>
                <w:highlight w:val="none"/>
              </w:rPr>
            </w:pPr>
          </w:p>
        </w:tc>
      </w:tr>
      <w:tr w14:paraId="39F9D8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1B951B7C">
            <w:pPr>
              <w:jc w:val="center"/>
              <w:rPr>
                <w:rFonts w:hint="eastAsia" w:ascii="仿宋" w:hAnsi="仿宋" w:eastAsia="仿宋" w:cs="宋体"/>
                <w:sz w:val="24"/>
                <w:highlight w:val="none"/>
              </w:rPr>
            </w:pPr>
            <w:r>
              <w:rPr>
                <w:rFonts w:hint="eastAsia" w:ascii="仿宋" w:hAnsi="仿宋" w:eastAsia="仿宋" w:cs="宋体"/>
                <w:sz w:val="24"/>
                <w:highlight w:val="none"/>
              </w:rPr>
              <w:t>3</w:t>
            </w:r>
          </w:p>
        </w:tc>
        <w:tc>
          <w:tcPr>
            <w:tcW w:w="2268" w:type="dxa"/>
            <w:tcBorders>
              <w:top w:val="single" w:color="auto" w:sz="4" w:space="0"/>
              <w:left w:val="single" w:color="auto" w:sz="4" w:space="0"/>
              <w:bottom w:val="single" w:color="auto" w:sz="4" w:space="0"/>
              <w:right w:val="single" w:color="auto" w:sz="4" w:space="0"/>
            </w:tcBorders>
            <w:vAlign w:val="center"/>
          </w:tcPr>
          <w:p w14:paraId="67FC1C88">
            <w:pPr>
              <w:jc w:val="center"/>
              <w:rPr>
                <w:rFonts w:hint="eastAsia" w:ascii="仿宋" w:hAnsi="仿宋" w:eastAsia="仿宋" w:cs="宋体"/>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14:paraId="4467309D">
            <w:pPr>
              <w:snapToGrid w:val="0"/>
              <w:spacing w:before="120" w:beforeLines="50"/>
              <w:rPr>
                <w:rFonts w:hint="eastAsia" w:ascii="仿宋" w:hAnsi="仿宋" w:eastAsia="仿宋"/>
                <w:sz w:val="24"/>
                <w:highlight w:val="none"/>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14:paraId="0BF0EDB2">
            <w:pPr>
              <w:snapToGrid w:val="0"/>
              <w:spacing w:before="120" w:beforeLines="50"/>
              <w:ind w:left="43"/>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14:paraId="629EA7F5">
            <w:pPr>
              <w:snapToGrid w:val="0"/>
              <w:spacing w:before="120" w:beforeLines="50"/>
              <w:ind w:left="43"/>
              <w:jc w:val="center"/>
              <w:rPr>
                <w:rFonts w:hint="eastAsia" w:ascii="仿宋" w:hAnsi="仿宋" w:eastAsia="仿宋"/>
                <w:sz w:val="24"/>
                <w:highlight w:val="none"/>
              </w:rPr>
            </w:pPr>
          </w:p>
        </w:tc>
      </w:tr>
      <w:tr w14:paraId="02C20E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9"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1D2CBD3C">
            <w:pPr>
              <w:snapToGrid w:val="0"/>
              <w:spacing w:before="120" w:beforeLines="50"/>
              <w:jc w:val="center"/>
              <w:rPr>
                <w:rFonts w:hint="eastAsia" w:ascii="仿宋" w:hAnsi="仿宋" w:eastAsia="仿宋"/>
                <w:sz w:val="24"/>
                <w:highlight w:val="none"/>
              </w:rPr>
            </w:pPr>
            <w:r>
              <w:rPr>
                <w:rFonts w:ascii="仿宋" w:hAnsi="仿宋" w:eastAsia="仿宋"/>
                <w:sz w:val="24"/>
                <w:highlight w:val="none"/>
              </w:rPr>
              <w:t>…</w:t>
            </w:r>
          </w:p>
        </w:tc>
        <w:tc>
          <w:tcPr>
            <w:tcW w:w="2268" w:type="dxa"/>
            <w:tcBorders>
              <w:top w:val="single" w:color="auto" w:sz="4" w:space="0"/>
              <w:left w:val="single" w:color="auto" w:sz="4" w:space="0"/>
              <w:bottom w:val="single" w:color="auto" w:sz="4" w:space="0"/>
              <w:right w:val="single" w:color="auto" w:sz="4" w:space="0"/>
            </w:tcBorders>
            <w:vAlign w:val="center"/>
          </w:tcPr>
          <w:p w14:paraId="7D261890">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w:t>
            </w:r>
          </w:p>
        </w:tc>
        <w:tc>
          <w:tcPr>
            <w:tcW w:w="2693" w:type="dxa"/>
            <w:tcBorders>
              <w:top w:val="single" w:color="auto" w:sz="4" w:space="0"/>
              <w:left w:val="single" w:color="auto" w:sz="4" w:space="0"/>
              <w:bottom w:val="single" w:color="auto" w:sz="4" w:space="0"/>
              <w:right w:val="single" w:color="auto" w:sz="4" w:space="0"/>
            </w:tcBorders>
            <w:vAlign w:val="center"/>
          </w:tcPr>
          <w:p w14:paraId="67BAC4A0">
            <w:pPr>
              <w:snapToGrid w:val="0"/>
              <w:spacing w:before="120" w:beforeLines="50"/>
              <w:jc w:val="center"/>
              <w:rPr>
                <w:rFonts w:hint="eastAsia" w:ascii="仿宋" w:hAnsi="仿宋" w:eastAsia="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FC27855">
            <w:pPr>
              <w:snapToGrid w:val="0"/>
              <w:spacing w:before="120" w:beforeLines="50"/>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14:paraId="0AF8DE83">
            <w:pPr>
              <w:snapToGrid w:val="0"/>
              <w:spacing w:before="120" w:beforeLines="50"/>
              <w:jc w:val="center"/>
              <w:rPr>
                <w:rFonts w:hint="eastAsia" w:ascii="仿宋" w:hAnsi="仿宋" w:eastAsia="仿宋"/>
                <w:sz w:val="24"/>
                <w:highlight w:val="none"/>
              </w:rPr>
            </w:pPr>
          </w:p>
        </w:tc>
      </w:tr>
    </w:tbl>
    <w:p w14:paraId="10587DD3">
      <w:pPr>
        <w:pStyle w:val="17"/>
        <w:rPr>
          <w:rFonts w:hint="eastAsia" w:ascii="仿宋" w:hAnsi="仿宋" w:eastAsia="仿宋"/>
          <w:highlight w:val="none"/>
        </w:rPr>
      </w:pPr>
      <w:r>
        <w:rPr>
          <w:rFonts w:hint="eastAsia" w:ascii="仿宋" w:hAnsi="仿宋" w:eastAsia="仿宋"/>
          <w:highlight w:val="none"/>
        </w:rPr>
        <w:t>注：</w:t>
      </w:r>
    </w:p>
    <w:p w14:paraId="5BC442A7">
      <w:pPr>
        <w:pStyle w:val="19"/>
        <w:spacing w:line="520" w:lineRule="exact"/>
        <w:ind w:firstLine="0" w:firstLineChars="0"/>
        <w:rPr>
          <w:rFonts w:hint="eastAsia" w:ascii="仿宋" w:hAnsi="仿宋" w:eastAsia="仿宋" w:cs="仿宋_GB2312"/>
          <w:szCs w:val="32"/>
          <w:highlight w:val="none"/>
        </w:rPr>
      </w:pPr>
      <w:r>
        <w:rPr>
          <w:rFonts w:hint="eastAsia" w:ascii="仿宋" w:hAnsi="仿宋" w:eastAsia="仿宋"/>
          <w:sz w:val="24"/>
          <w:szCs w:val="24"/>
          <w:highlight w:val="none"/>
        </w:rPr>
        <w:t>1.</w:t>
      </w:r>
      <w:r>
        <w:rPr>
          <w:rFonts w:hint="eastAsia" w:ascii="仿宋" w:hAnsi="仿宋" w:eastAsia="仿宋"/>
          <w:highlight w:val="none"/>
        </w:rPr>
        <w:t xml:space="preserve"> </w:t>
      </w:r>
      <w:r>
        <w:rPr>
          <w:rFonts w:hint="eastAsia" w:ascii="仿宋" w:hAnsi="仿宋" w:eastAsia="仿宋"/>
          <w:sz w:val="24"/>
          <w:szCs w:val="24"/>
          <w:highlight w:val="none"/>
        </w:rPr>
        <w:t>说明：应对照招标文件“第二章 采购需求”中 “二、商务要求”内容逐条作明确的投标响应，并作出偏离说明。</w:t>
      </w:r>
    </w:p>
    <w:p w14:paraId="0DFBE1C2">
      <w:pPr>
        <w:pStyle w:val="17"/>
        <w:rPr>
          <w:rFonts w:hint="eastAsia" w:ascii="仿宋" w:hAnsi="仿宋" w:eastAsia="仿宋"/>
          <w:b w:val="0"/>
          <w:bCs w:val="0"/>
          <w:highlight w:val="none"/>
        </w:rPr>
      </w:pPr>
      <w:r>
        <w:rPr>
          <w:rFonts w:ascii="仿宋" w:hAnsi="仿宋" w:eastAsia="仿宋"/>
          <w:b w:val="0"/>
          <w:bCs w:val="0"/>
          <w:highlight w:val="none"/>
        </w:rPr>
        <w:t>2.</w:t>
      </w:r>
      <w:r>
        <w:rPr>
          <w:rFonts w:hint="eastAsia" w:ascii="仿宋" w:hAnsi="仿宋" w:eastAsia="仿宋"/>
          <w:b w:val="0"/>
          <w:bCs w:val="0"/>
          <w:highlight w:val="none"/>
        </w:rPr>
        <w:t>投标人应根据自身的承诺，对照招标文件要求在“偏离说明”中注明“</w:t>
      </w:r>
      <w:r>
        <w:rPr>
          <w:rFonts w:hint="eastAsia" w:ascii="仿宋" w:hAnsi="仿宋" w:eastAsia="仿宋"/>
          <w:highlight w:val="none"/>
        </w:rPr>
        <w:t>正偏离</w:t>
      </w:r>
      <w:r>
        <w:rPr>
          <w:rFonts w:hint="eastAsia" w:ascii="仿宋" w:hAnsi="仿宋" w:eastAsia="仿宋"/>
          <w:b w:val="0"/>
          <w:bCs w:val="0"/>
          <w:highlight w:val="none"/>
        </w:rPr>
        <w:t>”、“</w:t>
      </w:r>
      <w:r>
        <w:rPr>
          <w:rFonts w:hint="eastAsia" w:ascii="仿宋" w:hAnsi="仿宋" w:eastAsia="仿宋"/>
          <w:highlight w:val="none"/>
        </w:rPr>
        <w:t>负偏离</w:t>
      </w:r>
      <w:r>
        <w:rPr>
          <w:rFonts w:hint="eastAsia" w:ascii="仿宋" w:hAnsi="仿宋" w:eastAsia="仿宋"/>
          <w:b w:val="0"/>
          <w:bCs w:val="0"/>
          <w:highlight w:val="none"/>
        </w:rPr>
        <w:t>”或者“</w:t>
      </w:r>
      <w:r>
        <w:rPr>
          <w:rFonts w:hint="eastAsia" w:ascii="仿宋" w:hAnsi="仿宋" w:eastAsia="仿宋"/>
          <w:highlight w:val="none"/>
        </w:rPr>
        <w:t>无偏离</w:t>
      </w:r>
      <w:r>
        <w:rPr>
          <w:rFonts w:hint="eastAsia" w:ascii="仿宋" w:hAnsi="仿宋" w:eastAsia="仿宋"/>
          <w:b w:val="0"/>
          <w:bCs w:val="0"/>
          <w:highlight w:val="none"/>
        </w:rPr>
        <w:t>”。既不属于“</w:t>
      </w:r>
      <w:r>
        <w:rPr>
          <w:rFonts w:hint="eastAsia" w:ascii="仿宋" w:hAnsi="仿宋" w:eastAsia="仿宋"/>
          <w:highlight w:val="none"/>
        </w:rPr>
        <w:t>正偏离</w:t>
      </w:r>
      <w:r>
        <w:rPr>
          <w:rFonts w:hint="eastAsia" w:ascii="仿宋" w:hAnsi="仿宋" w:eastAsia="仿宋"/>
          <w:b w:val="0"/>
          <w:bCs w:val="0"/>
          <w:highlight w:val="none"/>
        </w:rPr>
        <w:t>”也不属于“</w:t>
      </w:r>
      <w:r>
        <w:rPr>
          <w:rFonts w:hint="eastAsia" w:ascii="仿宋" w:hAnsi="仿宋" w:eastAsia="仿宋"/>
          <w:highlight w:val="none"/>
        </w:rPr>
        <w:t>负偏离</w:t>
      </w:r>
      <w:r>
        <w:rPr>
          <w:rFonts w:hint="eastAsia" w:ascii="仿宋" w:hAnsi="仿宋" w:eastAsia="仿宋"/>
          <w:b w:val="0"/>
          <w:bCs w:val="0"/>
          <w:highlight w:val="none"/>
        </w:rPr>
        <w:t>”即为“</w:t>
      </w:r>
      <w:r>
        <w:rPr>
          <w:rFonts w:hint="eastAsia" w:ascii="仿宋" w:hAnsi="仿宋" w:eastAsia="仿宋"/>
          <w:highlight w:val="none"/>
        </w:rPr>
        <w:t>无偏离</w:t>
      </w:r>
      <w:r>
        <w:rPr>
          <w:rFonts w:hint="eastAsia" w:ascii="仿宋" w:hAnsi="仿宋" w:eastAsia="仿宋"/>
          <w:b w:val="0"/>
          <w:bCs w:val="0"/>
          <w:highlight w:val="none"/>
        </w:rPr>
        <w:t>”。</w:t>
      </w:r>
    </w:p>
    <w:p w14:paraId="7E783ECA">
      <w:pPr>
        <w:snapToGrid w:val="0"/>
        <w:spacing w:before="50" w:after="50"/>
        <w:rPr>
          <w:rFonts w:hint="eastAsia" w:ascii="仿宋" w:hAnsi="仿宋" w:eastAsia="仿宋"/>
          <w:sz w:val="24"/>
          <w:highlight w:val="none"/>
        </w:rPr>
      </w:pPr>
    </w:p>
    <w:p w14:paraId="2E8F863C">
      <w:pPr>
        <w:snapToGrid w:val="0"/>
        <w:spacing w:before="50" w:after="50"/>
        <w:rPr>
          <w:rFonts w:hint="eastAsia" w:ascii="仿宋" w:hAnsi="仿宋" w:eastAsia="仿宋"/>
          <w:sz w:val="24"/>
          <w:highlight w:val="none"/>
        </w:rPr>
      </w:pPr>
    </w:p>
    <w:p w14:paraId="40D2C41C">
      <w:pPr>
        <w:snapToGrid w:val="0"/>
        <w:spacing w:before="50" w:after="50"/>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pacing w:val="20"/>
          <w:sz w:val="24"/>
          <w:highlight w:val="none"/>
          <w:u w:val="single"/>
        </w:rPr>
        <w:t xml:space="preserve">        </w:t>
      </w:r>
    </w:p>
    <w:p w14:paraId="4695E6C1">
      <w:pPr>
        <w:snapToGrid w:val="0"/>
        <w:spacing w:before="120" w:beforeLines="50"/>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0FD0397D">
      <w:pPr>
        <w:snapToGrid w:val="0"/>
        <w:spacing w:before="120" w:beforeLines="50"/>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r>
        <w:rPr>
          <w:rFonts w:ascii="仿宋" w:hAnsi="仿宋" w:eastAsia="仿宋"/>
          <w:spacing w:val="20"/>
          <w:sz w:val="24"/>
          <w:highlight w:val="none"/>
          <w:u w:val="single"/>
        </w:rPr>
        <w:t xml:space="preserve">   </w:t>
      </w:r>
      <w:r>
        <w:rPr>
          <w:rFonts w:hint="eastAsia" w:ascii="仿宋" w:hAnsi="仿宋" w:eastAsia="仿宋"/>
          <w:spacing w:val="20"/>
          <w:sz w:val="24"/>
          <w:highlight w:val="none"/>
          <w:u w:val="single"/>
        </w:rPr>
        <w:t xml:space="preserve">    </w:t>
      </w:r>
    </w:p>
    <w:p w14:paraId="65D6B734">
      <w:pPr>
        <w:snapToGrid w:val="0"/>
        <w:spacing w:before="120" w:beforeLines="50"/>
        <w:rPr>
          <w:rFonts w:hint="eastAsia" w:ascii="仿宋" w:hAnsi="仿宋" w:eastAsia="仿宋"/>
          <w:sz w:val="24"/>
          <w:szCs w:val="20"/>
          <w:highlight w:val="none"/>
        </w:rPr>
      </w:pPr>
    </w:p>
    <w:p w14:paraId="2ACAF784">
      <w:pPr>
        <w:snapToGrid w:val="0"/>
        <w:spacing w:before="120" w:beforeLines="50" w:after="50"/>
        <w:jc w:val="left"/>
        <w:rPr>
          <w:rFonts w:hint="eastAsia" w:ascii="仿宋" w:hAnsi="仿宋" w:eastAsia="仿宋"/>
          <w:sz w:val="24"/>
          <w:szCs w:val="20"/>
          <w:highlight w:val="none"/>
        </w:rPr>
      </w:pPr>
    </w:p>
    <w:p w14:paraId="39A24BD4">
      <w:pPr>
        <w:snapToGrid w:val="0"/>
        <w:spacing w:before="120" w:beforeLines="50" w:after="50"/>
        <w:jc w:val="left"/>
        <w:rPr>
          <w:rFonts w:hint="eastAsia" w:ascii="仿宋" w:hAnsi="仿宋" w:eastAsia="仿宋"/>
          <w:sz w:val="24"/>
          <w:szCs w:val="20"/>
          <w:highlight w:val="none"/>
        </w:rPr>
      </w:pPr>
    </w:p>
    <w:p w14:paraId="26FD66DB">
      <w:pPr>
        <w:rPr>
          <w:rFonts w:hint="eastAsia" w:ascii="仿宋" w:hAnsi="仿宋" w:eastAsia="仿宋"/>
          <w:sz w:val="24"/>
          <w:szCs w:val="20"/>
          <w:highlight w:val="none"/>
        </w:rPr>
      </w:pPr>
    </w:p>
    <w:p w14:paraId="3CD46C14">
      <w:pPr>
        <w:rPr>
          <w:rFonts w:hint="eastAsia" w:ascii="仿宋" w:hAnsi="仿宋" w:eastAsia="仿宋"/>
          <w:sz w:val="24"/>
          <w:szCs w:val="20"/>
          <w:highlight w:val="none"/>
        </w:rPr>
      </w:pPr>
    </w:p>
    <w:p w14:paraId="038CC59C">
      <w:pPr>
        <w:rPr>
          <w:rFonts w:hint="eastAsia" w:ascii="仿宋" w:hAnsi="仿宋" w:eastAsia="仿宋"/>
          <w:sz w:val="24"/>
          <w:szCs w:val="20"/>
          <w:highlight w:val="none"/>
        </w:rPr>
      </w:pPr>
    </w:p>
    <w:p w14:paraId="6589DD39">
      <w:pPr>
        <w:rPr>
          <w:rFonts w:hint="eastAsia" w:ascii="仿宋" w:hAnsi="仿宋" w:eastAsia="仿宋"/>
          <w:sz w:val="24"/>
          <w:szCs w:val="20"/>
          <w:highlight w:val="none"/>
        </w:rPr>
      </w:pPr>
    </w:p>
    <w:p w14:paraId="5DE8513A">
      <w:pPr>
        <w:snapToGrid w:val="0"/>
        <w:spacing w:before="120" w:beforeLines="50" w:after="50"/>
        <w:jc w:val="left"/>
        <w:rPr>
          <w:rFonts w:hint="eastAsia" w:ascii="仿宋" w:hAnsi="仿宋" w:eastAsia="仿宋"/>
          <w:b/>
          <w:sz w:val="24"/>
          <w:highlight w:val="none"/>
        </w:rPr>
      </w:pPr>
      <w:r>
        <w:rPr>
          <w:rFonts w:ascii="仿宋" w:hAnsi="仿宋" w:eastAsia="仿宋"/>
          <w:sz w:val="24"/>
          <w:szCs w:val="20"/>
          <w:highlight w:val="none"/>
        </w:rPr>
        <w:br w:type="page"/>
      </w:r>
      <w:r>
        <w:rPr>
          <w:rFonts w:hint="eastAsia" w:ascii="仿宋" w:hAnsi="仿宋" w:eastAsia="仿宋"/>
          <w:b/>
          <w:sz w:val="24"/>
          <w:highlight w:val="none"/>
        </w:rPr>
        <w:t>7.投标人业绩证明材料</w:t>
      </w:r>
    </w:p>
    <w:p w14:paraId="186380A0">
      <w:pPr>
        <w:pStyle w:val="35"/>
        <w:snapToGrid w:val="0"/>
        <w:ind w:left="480" w:hanging="480"/>
        <w:rPr>
          <w:rFonts w:hint="eastAsia" w:ascii="仿宋" w:hAnsi="仿宋" w:eastAsia="仿宋"/>
          <w:sz w:val="24"/>
          <w:highlight w:val="none"/>
        </w:rPr>
      </w:pPr>
      <w:r>
        <w:rPr>
          <w:rFonts w:hint="eastAsia" w:ascii="仿宋" w:hAnsi="仿宋" w:eastAsia="仿宋"/>
          <w:sz w:val="24"/>
          <w:highlight w:val="none"/>
        </w:rPr>
        <w:t xml:space="preserve">投标人业绩情况一览表格式： </w:t>
      </w:r>
    </w:p>
    <w:p w14:paraId="6382AF03">
      <w:pPr>
        <w:snapToGrid w:val="0"/>
        <w:spacing w:before="50"/>
        <w:ind w:right="240"/>
        <w:jc w:val="center"/>
        <w:rPr>
          <w:rFonts w:hint="eastAsia" w:ascii="仿宋" w:hAnsi="仿宋" w:eastAsia="仿宋"/>
          <w:sz w:val="24"/>
          <w:highlight w:val="none"/>
        </w:rPr>
      </w:pPr>
      <w:r>
        <w:rPr>
          <w:rFonts w:hint="eastAsia" w:ascii="仿宋" w:hAnsi="仿宋" w:eastAsia="仿宋"/>
          <w:b/>
          <w:sz w:val="28"/>
          <w:highlight w:val="none"/>
        </w:rPr>
        <w:t>业绩情况一览表</w:t>
      </w:r>
    </w:p>
    <w:p w14:paraId="7B9E4F1A">
      <w:pPr>
        <w:snapToGrid w:val="0"/>
        <w:spacing w:before="50"/>
        <w:ind w:right="240" w:firstLine="3840" w:firstLineChars="1600"/>
        <w:jc w:val="center"/>
        <w:rPr>
          <w:rFonts w:hint="eastAsia" w:ascii="仿宋" w:hAnsi="仿宋" w:eastAsia="仿宋"/>
          <w:sz w:val="24"/>
          <w:highlight w:val="none"/>
          <w:u w:val="single"/>
        </w:rPr>
      </w:pPr>
      <w:r>
        <w:rPr>
          <w:rFonts w:hint="eastAsia" w:ascii="仿宋" w:hAnsi="仿宋" w:eastAsia="仿宋" w:cs="宋体"/>
          <w:sz w:val="24"/>
          <w:highlight w:val="none"/>
        </w:rPr>
        <w:t xml:space="preserve">             </w:t>
      </w:r>
      <w:r>
        <w:rPr>
          <w:rFonts w:ascii="仿宋" w:hAnsi="仿宋" w:eastAsia="仿宋" w:cs="宋体"/>
          <w:sz w:val="24"/>
          <w:highlight w:val="none"/>
        </w:rPr>
        <w:t xml:space="preserve">       </w:t>
      </w:r>
      <w:r>
        <w:rPr>
          <w:rFonts w:hint="eastAsia" w:ascii="仿宋" w:hAnsi="仿宋" w:eastAsia="仿宋" w:cs="宋体"/>
          <w:sz w:val="24"/>
          <w:highlight w:val="none"/>
        </w:rPr>
        <w:t xml:space="preserve"> </w:t>
      </w:r>
      <w:r>
        <w:rPr>
          <w:rFonts w:ascii="仿宋" w:hAnsi="仿宋" w:eastAsia="仿宋" w:cs="宋体"/>
          <w:sz w:val="24"/>
          <w:highlight w:val="none"/>
        </w:rPr>
        <w:t xml:space="preserve">  </w:t>
      </w:r>
    </w:p>
    <w:tbl>
      <w:tblPr>
        <w:tblStyle w:val="49"/>
        <w:tblW w:w="950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559"/>
        <w:gridCol w:w="2977"/>
        <w:gridCol w:w="2268"/>
        <w:gridCol w:w="1994"/>
      </w:tblGrid>
      <w:tr w14:paraId="4FEE0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87"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14:paraId="7E178116">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序号</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14:paraId="499D0BEC">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采购人名称</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14:paraId="4E6678BF">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项目名称</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6D56123B">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合同金额</w:t>
            </w:r>
          </w:p>
          <w:p w14:paraId="1D31C580">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（万元）</w:t>
            </w:r>
          </w:p>
        </w:tc>
        <w:tc>
          <w:tcPr>
            <w:tcW w:w="1994" w:type="dxa"/>
            <w:vMerge w:val="restart"/>
            <w:tcBorders>
              <w:top w:val="single" w:color="auto" w:sz="4" w:space="0"/>
              <w:left w:val="single" w:color="auto" w:sz="4" w:space="0"/>
              <w:bottom w:val="single" w:color="auto" w:sz="4" w:space="0"/>
              <w:right w:val="single" w:color="auto" w:sz="4" w:space="0"/>
            </w:tcBorders>
            <w:vAlign w:val="center"/>
          </w:tcPr>
          <w:p w14:paraId="15A258D4">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采购人联系人及</w:t>
            </w:r>
          </w:p>
          <w:p w14:paraId="1C03ADA3">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联系电话</w:t>
            </w:r>
          </w:p>
        </w:tc>
      </w:tr>
      <w:tr w14:paraId="75AB83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3843AA5D">
            <w:pPr>
              <w:jc w:val="left"/>
              <w:rPr>
                <w:rFonts w:hint="eastAsia" w:ascii="仿宋" w:hAnsi="仿宋" w:eastAsia="仿宋"/>
                <w:sz w:val="24"/>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EDFE0F4">
            <w:pPr>
              <w:jc w:val="left"/>
              <w:rPr>
                <w:rFonts w:hint="eastAsia" w:ascii="仿宋" w:hAnsi="仿宋" w:eastAsia="仿宋"/>
                <w:sz w:val="24"/>
                <w:highlight w:val="none"/>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14:paraId="32733D2B">
            <w:pPr>
              <w:jc w:val="left"/>
              <w:rPr>
                <w:rFonts w:hint="eastAsia" w:ascii="仿宋" w:hAnsi="仿宋" w:eastAsia="仿宋"/>
                <w:sz w:val="24"/>
                <w:highlight w:val="none"/>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5F30A1C7">
            <w:pPr>
              <w:jc w:val="left"/>
              <w:rPr>
                <w:rFonts w:hint="eastAsia" w:ascii="仿宋" w:hAnsi="仿宋" w:eastAsia="仿宋"/>
                <w:sz w:val="24"/>
                <w:highlight w:val="none"/>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14:paraId="1E7DD3C7">
            <w:pPr>
              <w:jc w:val="left"/>
              <w:rPr>
                <w:rFonts w:hint="eastAsia" w:ascii="仿宋" w:hAnsi="仿宋" w:eastAsia="仿宋"/>
                <w:sz w:val="24"/>
                <w:highlight w:val="none"/>
              </w:rPr>
            </w:pPr>
          </w:p>
        </w:tc>
      </w:tr>
      <w:tr w14:paraId="7C664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6DCC08A">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1</w:t>
            </w:r>
          </w:p>
        </w:tc>
        <w:tc>
          <w:tcPr>
            <w:tcW w:w="1559" w:type="dxa"/>
            <w:tcBorders>
              <w:top w:val="single" w:color="auto" w:sz="4" w:space="0"/>
              <w:left w:val="single" w:color="auto" w:sz="4" w:space="0"/>
              <w:bottom w:val="single" w:color="auto" w:sz="4" w:space="0"/>
              <w:right w:val="single" w:color="auto" w:sz="4" w:space="0"/>
            </w:tcBorders>
            <w:vAlign w:val="center"/>
          </w:tcPr>
          <w:p w14:paraId="38CF25BF">
            <w:pPr>
              <w:snapToGrid w:val="0"/>
              <w:spacing w:line="24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14FCBCB9">
            <w:pPr>
              <w:snapToGrid w:val="0"/>
              <w:spacing w:line="24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48143AA3">
            <w:pPr>
              <w:snapToGrid w:val="0"/>
              <w:spacing w:line="24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14:paraId="075E2235">
            <w:pPr>
              <w:snapToGrid w:val="0"/>
              <w:spacing w:line="240" w:lineRule="exact"/>
              <w:jc w:val="center"/>
              <w:rPr>
                <w:rFonts w:hint="eastAsia" w:ascii="仿宋" w:hAnsi="仿宋" w:eastAsia="仿宋"/>
                <w:sz w:val="24"/>
                <w:highlight w:val="none"/>
              </w:rPr>
            </w:pPr>
          </w:p>
        </w:tc>
      </w:tr>
      <w:tr w14:paraId="4805C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2FC48F1">
            <w:pPr>
              <w:snapToGrid w:val="0"/>
              <w:spacing w:before="50" w:after="120" w:afterLines="50" w:line="400" w:lineRule="exact"/>
              <w:jc w:val="center"/>
              <w:rPr>
                <w:rFonts w:hint="eastAsia" w:ascii="仿宋" w:hAnsi="仿宋" w:eastAsia="仿宋"/>
                <w:sz w:val="24"/>
                <w:highlight w:val="none"/>
              </w:rPr>
            </w:pPr>
            <w:r>
              <w:rPr>
                <w:rFonts w:hint="eastAsia" w:ascii="仿宋" w:hAnsi="仿宋" w:eastAsia="仿宋"/>
                <w:sz w:val="24"/>
                <w:highlight w:val="none"/>
              </w:rPr>
              <w:t>2</w:t>
            </w:r>
          </w:p>
        </w:tc>
        <w:tc>
          <w:tcPr>
            <w:tcW w:w="1559" w:type="dxa"/>
            <w:tcBorders>
              <w:top w:val="single" w:color="auto" w:sz="4" w:space="0"/>
              <w:left w:val="single" w:color="auto" w:sz="4" w:space="0"/>
              <w:bottom w:val="single" w:color="auto" w:sz="4" w:space="0"/>
              <w:right w:val="single" w:color="auto" w:sz="4" w:space="0"/>
            </w:tcBorders>
            <w:vAlign w:val="center"/>
          </w:tcPr>
          <w:p w14:paraId="64ADFE3A">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01779D86">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1298B66D">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14:paraId="002B2CE1">
            <w:pPr>
              <w:snapToGrid w:val="0"/>
              <w:spacing w:before="50" w:after="120" w:afterLines="50" w:line="400" w:lineRule="exact"/>
              <w:jc w:val="center"/>
              <w:rPr>
                <w:rFonts w:hint="eastAsia" w:ascii="仿宋" w:hAnsi="仿宋" w:eastAsia="仿宋"/>
                <w:sz w:val="24"/>
                <w:highlight w:val="none"/>
              </w:rPr>
            </w:pPr>
          </w:p>
        </w:tc>
      </w:tr>
      <w:tr w14:paraId="6A1C11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B7A1E86">
            <w:pPr>
              <w:snapToGrid w:val="0"/>
              <w:spacing w:before="50" w:after="120" w:afterLines="50" w:line="400" w:lineRule="exact"/>
              <w:jc w:val="center"/>
              <w:rPr>
                <w:rFonts w:hint="eastAsia" w:ascii="仿宋" w:hAnsi="仿宋" w:eastAsia="仿宋"/>
                <w:sz w:val="24"/>
                <w:highlight w:val="none"/>
              </w:rPr>
            </w:pPr>
            <w:r>
              <w:rPr>
                <w:rFonts w:hint="eastAsia" w:ascii="仿宋" w:hAnsi="仿宋" w:eastAsia="仿宋"/>
                <w:sz w:val="24"/>
                <w:highlight w:val="none"/>
              </w:rPr>
              <w:t>3</w:t>
            </w:r>
          </w:p>
        </w:tc>
        <w:tc>
          <w:tcPr>
            <w:tcW w:w="1559" w:type="dxa"/>
            <w:tcBorders>
              <w:top w:val="single" w:color="auto" w:sz="4" w:space="0"/>
              <w:left w:val="single" w:color="auto" w:sz="4" w:space="0"/>
              <w:bottom w:val="single" w:color="auto" w:sz="4" w:space="0"/>
              <w:right w:val="single" w:color="auto" w:sz="4" w:space="0"/>
            </w:tcBorders>
            <w:vAlign w:val="center"/>
          </w:tcPr>
          <w:p w14:paraId="4C4B5989">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6C218BDD">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E360327">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14:paraId="479A64DE">
            <w:pPr>
              <w:snapToGrid w:val="0"/>
              <w:spacing w:before="50" w:after="120" w:afterLines="50" w:line="400" w:lineRule="exact"/>
              <w:jc w:val="center"/>
              <w:rPr>
                <w:rFonts w:hint="eastAsia" w:ascii="仿宋" w:hAnsi="仿宋" w:eastAsia="仿宋"/>
                <w:sz w:val="24"/>
                <w:highlight w:val="none"/>
              </w:rPr>
            </w:pPr>
          </w:p>
        </w:tc>
      </w:tr>
      <w:tr w14:paraId="592FE3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D21B6B0">
            <w:pPr>
              <w:snapToGrid w:val="0"/>
              <w:spacing w:before="50" w:after="120" w:afterLines="50" w:line="400" w:lineRule="exact"/>
              <w:jc w:val="center"/>
              <w:rPr>
                <w:rFonts w:hint="eastAsia" w:ascii="仿宋" w:hAnsi="仿宋" w:eastAsia="仿宋"/>
                <w:sz w:val="24"/>
                <w:highlight w:val="none"/>
              </w:rPr>
            </w:pPr>
            <w:r>
              <w:rPr>
                <w:rFonts w:ascii="仿宋" w:hAnsi="仿宋" w:eastAsia="仿宋"/>
                <w:sz w:val="24"/>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203B32F4">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208E2344">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31C63BBC">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14:paraId="551FE334">
            <w:pPr>
              <w:snapToGrid w:val="0"/>
              <w:spacing w:before="50" w:after="120" w:afterLines="50" w:line="400" w:lineRule="exact"/>
              <w:jc w:val="center"/>
              <w:rPr>
                <w:rFonts w:hint="eastAsia" w:ascii="仿宋" w:hAnsi="仿宋" w:eastAsia="仿宋"/>
                <w:sz w:val="24"/>
                <w:highlight w:val="none"/>
              </w:rPr>
            </w:pPr>
          </w:p>
        </w:tc>
      </w:tr>
    </w:tbl>
    <w:p w14:paraId="3414AAB1">
      <w:pPr>
        <w:pStyle w:val="14"/>
        <w:spacing w:before="0" w:after="0" w:line="360" w:lineRule="auto"/>
        <w:contextualSpacing/>
        <w:rPr>
          <w:rFonts w:hint="eastAsia" w:ascii="仿宋" w:hAnsi="仿宋" w:eastAsia="仿宋"/>
          <w:sz w:val="24"/>
          <w:szCs w:val="24"/>
          <w:highlight w:val="none"/>
        </w:rPr>
      </w:pPr>
    </w:p>
    <w:p w14:paraId="1F9EDA91">
      <w:pPr>
        <w:pStyle w:val="14"/>
        <w:spacing w:before="0" w:after="0" w:line="360" w:lineRule="auto"/>
        <w:contextualSpacing/>
        <w:rPr>
          <w:rFonts w:hint="eastAsia" w:ascii="仿宋" w:hAnsi="仿宋" w:eastAsia="仿宋"/>
          <w:sz w:val="24"/>
          <w:szCs w:val="24"/>
          <w:highlight w:val="none"/>
        </w:rPr>
      </w:pPr>
      <w:r>
        <w:rPr>
          <w:rFonts w:hint="eastAsia" w:ascii="仿宋" w:hAnsi="仿宋" w:eastAsia="仿宋"/>
          <w:sz w:val="24"/>
          <w:szCs w:val="24"/>
          <w:highlight w:val="none"/>
        </w:rPr>
        <w:t>注：</w:t>
      </w:r>
      <w:r>
        <w:rPr>
          <w:rFonts w:hint="eastAsia" w:ascii="仿宋" w:hAnsi="仿宋" w:eastAsia="仿宋"/>
          <w:sz w:val="24"/>
          <w:highlight w:val="none"/>
        </w:rPr>
        <w:t>投标人根据评标标准具体要求附业绩证明材料。</w:t>
      </w:r>
    </w:p>
    <w:p w14:paraId="55E3294D">
      <w:pPr>
        <w:pStyle w:val="14"/>
        <w:spacing w:before="0" w:after="0" w:line="360" w:lineRule="auto"/>
        <w:contextualSpacing/>
        <w:jc w:val="left"/>
        <w:rPr>
          <w:rFonts w:hint="eastAsia" w:ascii="仿宋" w:hAnsi="仿宋" w:eastAsia="仿宋"/>
          <w:sz w:val="24"/>
          <w:szCs w:val="24"/>
          <w:highlight w:val="none"/>
        </w:rPr>
      </w:pPr>
    </w:p>
    <w:p w14:paraId="30ED1627">
      <w:pPr>
        <w:pStyle w:val="14"/>
        <w:spacing w:before="0" w:after="0" w:line="360" w:lineRule="auto"/>
        <w:contextualSpacing/>
        <w:jc w:val="left"/>
        <w:rPr>
          <w:rFonts w:hint="eastAsia" w:ascii="仿宋" w:hAnsi="仿宋" w:eastAsia="仿宋"/>
          <w:sz w:val="24"/>
          <w:szCs w:val="24"/>
          <w:highlight w:val="none"/>
        </w:rPr>
      </w:pPr>
    </w:p>
    <w:p w14:paraId="206F6A1F">
      <w:pPr>
        <w:pStyle w:val="14"/>
        <w:spacing w:before="0" w:after="0" w:line="360" w:lineRule="auto"/>
        <w:contextualSpacing/>
        <w:jc w:val="left"/>
        <w:rPr>
          <w:rFonts w:hint="eastAsia" w:ascii="仿宋" w:hAnsi="仿宋" w:eastAsia="仿宋"/>
          <w:sz w:val="24"/>
          <w:szCs w:val="24"/>
          <w:highlight w:val="none"/>
          <w:u w:val="single"/>
        </w:rPr>
      </w:pPr>
      <w:r>
        <w:rPr>
          <w:rFonts w:hint="eastAsia" w:ascii="仿宋" w:hAnsi="仿宋" w:eastAsia="仿宋"/>
          <w:sz w:val="24"/>
          <w:szCs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z w:val="24"/>
          <w:szCs w:val="24"/>
          <w:highlight w:val="none"/>
        </w:rPr>
        <w:t>：</w:t>
      </w:r>
      <w:r>
        <w:rPr>
          <w:rFonts w:hint="eastAsia" w:ascii="仿宋" w:hAnsi="仿宋" w:eastAsia="仿宋"/>
          <w:sz w:val="24"/>
          <w:szCs w:val="24"/>
          <w:highlight w:val="none"/>
          <w:u w:val="single"/>
        </w:rPr>
        <w:t>　　　　　</w:t>
      </w:r>
    </w:p>
    <w:p w14:paraId="65892C8E">
      <w:pPr>
        <w:spacing w:line="360" w:lineRule="auto"/>
        <w:ind w:left="1200" w:right="480" w:hanging="1200" w:hangingChars="500"/>
        <w:contextualSpacing/>
        <w:jc w:val="left"/>
        <w:rPr>
          <w:rFonts w:hint="eastAsia" w:ascii="仿宋" w:hAnsi="仿宋" w:eastAsia="仿宋"/>
          <w:sz w:val="24"/>
          <w:szCs w:val="20"/>
          <w:highlight w:val="none"/>
        </w:rPr>
      </w:pPr>
      <w:r>
        <w:rPr>
          <w:rFonts w:hint="eastAsia" w:ascii="仿宋" w:hAnsi="仿宋" w:eastAsia="仿宋" w:cs="Arial"/>
          <w:sz w:val="24"/>
          <w:highlight w:val="none"/>
        </w:rPr>
        <w:t>投标人（</w:t>
      </w:r>
      <w:r>
        <w:rPr>
          <w:rFonts w:hint="eastAsia" w:ascii="仿宋" w:hAnsi="仿宋" w:eastAsia="仿宋" w:cs="Arial"/>
          <w:sz w:val="24"/>
          <w:highlight w:val="none"/>
          <w:lang w:eastAsia="zh-CN"/>
        </w:rPr>
        <w:t>盖CA公章</w:t>
      </w:r>
      <w:r>
        <w:rPr>
          <w:rFonts w:hint="eastAsia" w:ascii="仿宋" w:hAnsi="仿宋" w:eastAsia="仿宋" w:cs="Arial"/>
          <w:sz w:val="24"/>
          <w:highlight w:val="non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3ED8E87E">
      <w:pPr>
        <w:snapToGrid w:val="0"/>
        <w:spacing w:before="50"/>
        <w:jc w:val="left"/>
        <w:rPr>
          <w:rFonts w:hint="eastAsia" w:ascii="仿宋" w:hAnsi="仿宋" w:eastAsia="仿宋"/>
          <w:sz w:val="24"/>
          <w:szCs w:val="20"/>
          <w:highlight w:val="none"/>
        </w:rPr>
      </w:pPr>
      <w:r>
        <w:rPr>
          <w:rFonts w:hint="eastAsia" w:ascii="仿宋" w:hAnsi="仿宋" w:eastAsia="仿宋"/>
          <w:sz w:val="24"/>
          <w:szCs w:val="20"/>
          <w:highlight w:val="none"/>
        </w:rPr>
        <w:t>日期：</w:t>
      </w:r>
      <w:r>
        <w:rPr>
          <w:rFonts w:hint="eastAsia" w:ascii="仿宋" w:hAnsi="仿宋" w:eastAsia="仿宋"/>
          <w:sz w:val="24"/>
          <w:highlight w:val="none"/>
          <w:u w:val="single"/>
        </w:rPr>
        <w:t xml:space="preserve">                </w:t>
      </w:r>
    </w:p>
    <w:p w14:paraId="5D1681F2">
      <w:pPr>
        <w:snapToGrid w:val="0"/>
        <w:spacing w:before="50"/>
        <w:jc w:val="left"/>
        <w:rPr>
          <w:rFonts w:hint="eastAsia" w:ascii="仿宋" w:hAnsi="仿宋" w:eastAsia="仿宋"/>
          <w:sz w:val="24"/>
          <w:highlight w:val="none"/>
        </w:rPr>
      </w:pPr>
    </w:p>
    <w:p w14:paraId="4D505F89">
      <w:pPr>
        <w:snapToGrid w:val="0"/>
        <w:spacing w:before="120" w:beforeLines="50"/>
        <w:rPr>
          <w:rFonts w:hint="eastAsia" w:ascii="仿宋" w:hAnsi="仿宋" w:eastAsia="仿宋"/>
          <w:sz w:val="24"/>
          <w:szCs w:val="20"/>
          <w:highlight w:val="none"/>
        </w:rPr>
        <w:sectPr>
          <w:footerReference r:id="rId8" w:type="default"/>
          <w:pgSz w:w="11906" w:h="16838"/>
          <w:pgMar w:top="907" w:right="851" w:bottom="907" w:left="851" w:header="851" w:footer="510" w:gutter="0"/>
          <w:pgNumType w:fmt="numberInDash" w:start="1"/>
          <w:cols w:space="720" w:num="1"/>
          <w:docGrid w:linePitch="312" w:charSpace="0"/>
        </w:sectPr>
      </w:pPr>
    </w:p>
    <w:p w14:paraId="6B41202E">
      <w:pPr>
        <w:rPr>
          <w:rFonts w:hint="eastAsia" w:ascii="仿宋" w:hAnsi="仿宋" w:eastAsia="仿宋"/>
          <w:b/>
          <w:sz w:val="28"/>
          <w:szCs w:val="28"/>
          <w:highlight w:val="none"/>
        </w:rPr>
      </w:pPr>
      <w:r>
        <w:rPr>
          <w:rFonts w:hint="eastAsia" w:ascii="仿宋" w:hAnsi="仿宋" w:eastAsia="仿宋"/>
          <w:b/>
          <w:sz w:val="28"/>
          <w:szCs w:val="28"/>
          <w:highlight w:val="none"/>
        </w:rPr>
        <w:t>四、技术文件格式</w:t>
      </w:r>
    </w:p>
    <w:p w14:paraId="67599A13">
      <w:pPr>
        <w:snapToGrid w:val="0"/>
        <w:spacing w:before="120" w:beforeLines="50" w:after="50"/>
        <w:ind w:left="142"/>
        <w:jc w:val="left"/>
        <w:rPr>
          <w:rFonts w:hint="eastAsia" w:ascii="仿宋" w:hAnsi="仿宋" w:eastAsia="仿宋"/>
          <w:b/>
          <w:sz w:val="24"/>
          <w:highlight w:val="none"/>
        </w:rPr>
      </w:pPr>
      <w:r>
        <w:rPr>
          <w:rFonts w:hint="eastAsia" w:ascii="仿宋" w:hAnsi="仿宋" w:eastAsia="仿宋"/>
          <w:b/>
          <w:sz w:val="24"/>
          <w:highlight w:val="none"/>
        </w:rPr>
        <w:t xml:space="preserve">1. 技术文件封面格式： </w:t>
      </w:r>
    </w:p>
    <w:p w14:paraId="06381074">
      <w:pPr>
        <w:snapToGrid w:val="0"/>
        <w:spacing w:before="120" w:beforeLines="50" w:after="50"/>
        <w:rPr>
          <w:rFonts w:hint="eastAsia" w:ascii="仿宋" w:hAnsi="仿宋" w:eastAsia="仿宋"/>
          <w:b/>
          <w:bCs/>
          <w:sz w:val="32"/>
          <w:szCs w:val="20"/>
          <w:highlight w:val="none"/>
        </w:rPr>
      </w:pPr>
      <w:r>
        <w:rPr>
          <w:rFonts w:hint="eastAsia" w:ascii="仿宋" w:hAnsi="仿宋" w:eastAsia="仿宋"/>
          <w:sz w:val="24"/>
          <w:highlight w:val="none"/>
        </w:rPr>
        <w:t xml:space="preserve">                                                   </w:t>
      </w:r>
    </w:p>
    <w:p w14:paraId="2480E969">
      <w:pPr>
        <w:snapToGrid w:val="0"/>
        <w:spacing w:before="120" w:beforeLines="50" w:after="50"/>
        <w:rPr>
          <w:rFonts w:hint="eastAsia" w:ascii="仿宋" w:hAnsi="仿宋" w:eastAsia="仿宋"/>
          <w:sz w:val="24"/>
          <w:szCs w:val="20"/>
          <w:highlight w:val="none"/>
        </w:rPr>
      </w:pPr>
    </w:p>
    <w:p w14:paraId="60BBE9C4">
      <w:pPr>
        <w:snapToGrid w:val="0"/>
        <w:spacing w:before="120" w:beforeLines="50" w:after="50"/>
        <w:rPr>
          <w:rFonts w:hint="eastAsia" w:ascii="仿宋" w:hAnsi="仿宋" w:eastAsia="仿宋"/>
          <w:sz w:val="24"/>
          <w:szCs w:val="20"/>
          <w:highlight w:val="none"/>
        </w:rPr>
      </w:pPr>
    </w:p>
    <w:p w14:paraId="6E4750D9">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14:paraId="31D11005">
      <w:pPr>
        <w:snapToGrid w:val="0"/>
        <w:spacing w:before="120" w:beforeLines="50" w:after="50"/>
        <w:rPr>
          <w:rFonts w:hint="eastAsia" w:ascii="仿宋" w:hAnsi="仿宋" w:eastAsia="仿宋"/>
          <w:sz w:val="24"/>
          <w:szCs w:val="20"/>
          <w:highlight w:val="none"/>
        </w:rPr>
      </w:pPr>
    </w:p>
    <w:p w14:paraId="44D762B3">
      <w:pPr>
        <w:snapToGrid w:val="0"/>
        <w:spacing w:before="120" w:beforeLines="50" w:after="50"/>
        <w:rPr>
          <w:rFonts w:hint="eastAsia" w:ascii="仿宋" w:hAnsi="仿宋" w:eastAsia="仿宋"/>
          <w:sz w:val="24"/>
          <w:szCs w:val="20"/>
          <w:highlight w:val="none"/>
        </w:rPr>
      </w:pPr>
    </w:p>
    <w:p w14:paraId="5B23C99E">
      <w:pPr>
        <w:snapToGrid w:val="0"/>
        <w:spacing w:before="120" w:beforeLines="50" w:after="50"/>
        <w:jc w:val="center"/>
        <w:rPr>
          <w:rFonts w:hint="eastAsia" w:ascii="仿宋" w:hAnsi="仿宋" w:eastAsia="仿宋"/>
          <w:b/>
          <w:bCs/>
          <w:sz w:val="32"/>
          <w:szCs w:val="32"/>
          <w:highlight w:val="none"/>
        </w:rPr>
      </w:pPr>
      <w:r>
        <w:rPr>
          <w:rFonts w:hint="eastAsia" w:ascii="仿宋" w:hAnsi="仿宋" w:eastAsia="仿宋"/>
          <w:b/>
          <w:bCs/>
          <w:sz w:val="32"/>
          <w:szCs w:val="32"/>
          <w:highlight w:val="none"/>
        </w:rPr>
        <w:t>技  术  文  件</w:t>
      </w:r>
    </w:p>
    <w:p w14:paraId="71007F07">
      <w:pPr>
        <w:snapToGrid w:val="0"/>
        <w:spacing w:before="120" w:beforeLines="50" w:after="50"/>
        <w:rPr>
          <w:rFonts w:hint="eastAsia" w:ascii="仿宋" w:hAnsi="仿宋" w:eastAsia="仿宋"/>
          <w:bCs/>
          <w:sz w:val="24"/>
          <w:szCs w:val="20"/>
          <w:highlight w:val="none"/>
        </w:rPr>
      </w:pPr>
    </w:p>
    <w:p w14:paraId="58EB20D6">
      <w:pPr>
        <w:snapToGrid w:val="0"/>
        <w:spacing w:before="120" w:beforeLines="50" w:after="50"/>
        <w:rPr>
          <w:rFonts w:hint="eastAsia" w:ascii="仿宋" w:hAnsi="仿宋" w:eastAsia="仿宋"/>
          <w:bCs/>
          <w:sz w:val="24"/>
          <w:szCs w:val="20"/>
          <w:highlight w:val="none"/>
        </w:rPr>
      </w:pPr>
    </w:p>
    <w:p w14:paraId="1B0A20E4">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项目名称： </w:t>
      </w:r>
    </w:p>
    <w:p w14:paraId="35CAEFA1">
      <w:pPr>
        <w:snapToGrid w:val="0"/>
        <w:spacing w:before="120" w:beforeLines="50" w:after="50" w:line="400" w:lineRule="exact"/>
        <w:ind w:firstLine="360" w:firstLineChars="150"/>
        <w:rPr>
          <w:rFonts w:hint="eastAsia" w:ascii="仿宋" w:hAnsi="仿宋" w:eastAsia="仿宋"/>
          <w:bCs/>
          <w:sz w:val="24"/>
          <w:szCs w:val="20"/>
          <w:highlight w:val="none"/>
        </w:rPr>
      </w:pPr>
    </w:p>
    <w:p w14:paraId="1448E66B">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项目编号： </w:t>
      </w:r>
    </w:p>
    <w:p w14:paraId="3E0FBA56">
      <w:pPr>
        <w:snapToGrid w:val="0"/>
        <w:spacing w:before="120" w:beforeLines="50" w:after="50" w:line="400" w:lineRule="exact"/>
        <w:ind w:firstLine="360" w:firstLineChars="150"/>
        <w:rPr>
          <w:rFonts w:hint="eastAsia" w:ascii="仿宋" w:hAnsi="仿宋" w:eastAsia="仿宋"/>
          <w:bCs/>
          <w:sz w:val="24"/>
          <w:highlight w:val="none"/>
        </w:rPr>
      </w:pPr>
    </w:p>
    <w:p w14:paraId="61410D11">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投标人名称：</w:t>
      </w:r>
    </w:p>
    <w:p w14:paraId="3C7CAFE5">
      <w:pPr>
        <w:snapToGrid w:val="0"/>
        <w:spacing w:before="120" w:beforeLines="50" w:after="50" w:line="400" w:lineRule="exact"/>
        <w:ind w:firstLine="360" w:firstLineChars="150"/>
        <w:rPr>
          <w:rFonts w:hint="eastAsia" w:ascii="仿宋" w:hAnsi="仿宋" w:eastAsia="仿宋"/>
          <w:bCs/>
          <w:sz w:val="24"/>
          <w:highlight w:val="none"/>
        </w:rPr>
      </w:pPr>
    </w:p>
    <w:p w14:paraId="75C6887B">
      <w:pPr>
        <w:snapToGrid w:val="0"/>
        <w:spacing w:before="120" w:beforeLines="50" w:after="50" w:line="400" w:lineRule="exact"/>
        <w:rPr>
          <w:rFonts w:hint="eastAsia" w:ascii="仿宋" w:hAnsi="仿宋" w:eastAsia="仿宋"/>
          <w:bCs/>
          <w:sz w:val="24"/>
          <w:highlight w:val="none"/>
        </w:rPr>
      </w:pPr>
    </w:p>
    <w:p w14:paraId="76390481">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 xml:space="preserve">               </w:t>
      </w:r>
    </w:p>
    <w:p w14:paraId="4305724A">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年    月    日</w:t>
      </w:r>
    </w:p>
    <w:p w14:paraId="6CF53BCF">
      <w:pPr>
        <w:snapToGrid w:val="0"/>
        <w:spacing w:before="120" w:beforeLines="50" w:after="50"/>
        <w:ind w:firstLine="645"/>
        <w:jc w:val="center"/>
        <w:rPr>
          <w:rFonts w:hint="eastAsia" w:ascii="仿宋" w:hAnsi="仿宋" w:eastAsia="仿宋"/>
          <w:sz w:val="24"/>
          <w:szCs w:val="20"/>
          <w:highlight w:val="none"/>
        </w:rPr>
      </w:pPr>
    </w:p>
    <w:p w14:paraId="59B6F71A">
      <w:pPr>
        <w:snapToGrid w:val="0"/>
        <w:spacing w:before="120" w:beforeLines="50" w:after="50"/>
        <w:ind w:left="142"/>
        <w:jc w:val="left"/>
        <w:rPr>
          <w:rFonts w:hint="eastAsia" w:ascii="仿宋" w:hAnsi="仿宋" w:eastAsia="仿宋"/>
          <w:b/>
          <w:bCs/>
          <w:sz w:val="24"/>
          <w:highlight w:val="none"/>
        </w:rPr>
      </w:pPr>
      <w:r>
        <w:rPr>
          <w:rFonts w:ascii="仿宋" w:hAnsi="仿宋" w:eastAsia="仿宋"/>
          <w:b/>
          <w:bCs/>
          <w:sz w:val="24"/>
          <w:highlight w:val="none"/>
        </w:rPr>
        <w:br w:type="page"/>
      </w:r>
      <w:r>
        <w:rPr>
          <w:rFonts w:hint="eastAsia" w:ascii="仿宋" w:hAnsi="仿宋" w:eastAsia="仿宋"/>
          <w:b/>
          <w:bCs/>
          <w:sz w:val="24"/>
          <w:highlight w:val="none"/>
        </w:rPr>
        <w:t>2.技术文件目录</w:t>
      </w:r>
    </w:p>
    <w:p w14:paraId="4E930264">
      <w:pPr>
        <w:snapToGrid w:val="0"/>
        <w:spacing w:before="50" w:after="120" w:afterLines="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根据招标文件规定及投标人提供的材料自行编写目录。</w:t>
      </w:r>
    </w:p>
    <w:p w14:paraId="714A8DDB">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 技术要求偏离表格式</w:t>
      </w:r>
    </w:p>
    <w:p w14:paraId="22384060">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技术要求偏离表</w:t>
      </w:r>
    </w:p>
    <w:tbl>
      <w:tblPr>
        <w:tblStyle w:val="49"/>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837"/>
        <w:gridCol w:w="2551"/>
        <w:gridCol w:w="2410"/>
        <w:gridCol w:w="1701"/>
      </w:tblGrid>
      <w:tr w14:paraId="36F8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50C84024">
            <w:pPr>
              <w:pStyle w:val="25"/>
              <w:spacing w:before="0" w:after="0" w:line="400" w:lineRule="exact"/>
              <w:ind w:firstLine="0" w:firstLineChars="0"/>
              <w:jc w:val="center"/>
              <w:rPr>
                <w:rFonts w:hint="eastAsia"/>
                <w:b w:val="0"/>
                <w:highlight w:val="none"/>
              </w:rPr>
            </w:pPr>
            <w:r>
              <w:rPr>
                <w:rFonts w:hint="eastAsia"/>
                <w:b w:val="0"/>
                <w:highlight w:val="none"/>
              </w:rPr>
              <w:t>项号</w:t>
            </w:r>
          </w:p>
        </w:tc>
        <w:tc>
          <w:tcPr>
            <w:tcW w:w="1837" w:type="dxa"/>
            <w:vAlign w:val="center"/>
          </w:tcPr>
          <w:p w14:paraId="0D41A034">
            <w:pPr>
              <w:pStyle w:val="25"/>
              <w:spacing w:before="0" w:after="0" w:line="400" w:lineRule="exact"/>
              <w:ind w:firstLine="0" w:firstLineChars="0"/>
              <w:jc w:val="center"/>
              <w:rPr>
                <w:rFonts w:hint="eastAsia"/>
                <w:b w:val="0"/>
                <w:highlight w:val="none"/>
              </w:rPr>
            </w:pPr>
            <w:r>
              <w:rPr>
                <w:rFonts w:hint="eastAsia"/>
                <w:b w:val="0"/>
                <w:highlight w:val="none"/>
              </w:rPr>
              <w:t>标的名称</w:t>
            </w:r>
          </w:p>
        </w:tc>
        <w:tc>
          <w:tcPr>
            <w:tcW w:w="2551" w:type="dxa"/>
            <w:vAlign w:val="center"/>
          </w:tcPr>
          <w:p w14:paraId="0268166A">
            <w:pPr>
              <w:pStyle w:val="25"/>
              <w:spacing w:before="0" w:after="0" w:line="400" w:lineRule="exact"/>
              <w:ind w:firstLine="0" w:firstLineChars="0"/>
              <w:jc w:val="center"/>
              <w:rPr>
                <w:rFonts w:hint="eastAsia"/>
                <w:b w:val="0"/>
                <w:highlight w:val="none"/>
              </w:rPr>
            </w:pPr>
            <w:r>
              <w:rPr>
                <w:rFonts w:hint="eastAsia"/>
                <w:b w:val="0"/>
                <w:highlight w:val="none"/>
              </w:rPr>
              <w:t>招标文件技术要求</w:t>
            </w:r>
          </w:p>
        </w:tc>
        <w:tc>
          <w:tcPr>
            <w:tcW w:w="2410" w:type="dxa"/>
            <w:vAlign w:val="center"/>
          </w:tcPr>
          <w:p w14:paraId="79F2601A">
            <w:pPr>
              <w:pStyle w:val="25"/>
              <w:spacing w:before="0" w:after="0" w:line="400" w:lineRule="exact"/>
              <w:ind w:firstLine="0" w:firstLineChars="0"/>
              <w:jc w:val="center"/>
              <w:rPr>
                <w:rFonts w:hint="eastAsia"/>
                <w:b w:val="0"/>
                <w:highlight w:val="none"/>
              </w:rPr>
            </w:pPr>
            <w:r>
              <w:rPr>
                <w:rFonts w:hint="eastAsia"/>
                <w:b w:val="0"/>
                <w:highlight w:val="none"/>
              </w:rPr>
              <w:t>投标响应内容</w:t>
            </w:r>
          </w:p>
        </w:tc>
        <w:tc>
          <w:tcPr>
            <w:tcW w:w="1701" w:type="dxa"/>
            <w:vAlign w:val="center"/>
          </w:tcPr>
          <w:p w14:paraId="44CED04A">
            <w:pPr>
              <w:pStyle w:val="25"/>
              <w:spacing w:before="0" w:after="0" w:line="400" w:lineRule="exact"/>
              <w:ind w:firstLine="0" w:firstLineChars="0"/>
              <w:jc w:val="center"/>
              <w:rPr>
                <w:rFonts w:hint="eastAsia"/>
                <w:b w:val="0"/>
                <w:highlight w:val="none"/>
              </w:rPr>
            </w:pPr>
            <w:r>
              <w:rPr>
                <w:rFonts w:hint="eastAsia"/>
                <w:b w:val="0"/>
                <w:highlight w:val="none"/>
              </w:rPr>
              <w:t>偏离说明</w:t>
            </w:r>
          </w:p>
        </w:tc>
      </w:tr>
      <w:tr w14:paraId="2F9F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18967EF5">
            <w:pPr>
              <w:pStyle w:val="25"/>
              <w:spacing w:before="0" w:after="0" w:line="400" w:lineRule="exact"/>
              <w:ind w:firstLine="0" w:firstLineChars="0"/>
              <w:jc w:val="center"/>
              <w:rPr>
                <w:rFonts w:hint="eastAsia"/>
                <w:b w:val="0"/>
                <w:highlight w:val="none"/>
              </w:rPr>
            </w:pPr>
            <w:r>
              <w:rPr>
                <w:rFonts w:hint="eastAsia"/>
                <w:b w:val="0"/>
                <w:highlight w:val="none"/>
              </w:rPr>
              <w:t>1</w:t>
            </w:r>
          </w:p>
        </w:tc>
        <w:tc>
          <w:tcPr>
            <w:tcW w:w="1837" w:type="dxa"/>
            <w:vAlign w:val="center"/>
          </w:tcPr>
          <w:p w14:paraId="3609A4A6">
            <w:pPr>
              <w:pStyle w:val="25"/>
              <w:spacing w:before="0" w:after="0" w:line="400" w:lineRule="exact"/>
              <w:ind w:firstLine="0" w:firstLineChars="0"/>
              <w:jc w:val="center"/>
              <w:rPr>
                <w:rFonts w:hint="eastAsia"/>
                <w:b w:val="0"/>
                <w:highlight w:val="none"/>
              </w:rPr>
            </w:pPr>
          </w:p>
        </w:tc>
        <w:tc>
          <w:tcPr>
            <w:tcW w:w="2551" w:type="dxa"/>
            <w:vAlign w:val="center"/>
          </w:tcPr>
          <w:p w14:paraId="628BD54D">
            <w:pPr>
              <w:pStyle w:val="25"/>
              <w:spacing w:before="0" w:after="0" w:line="400" w:lineRule="exact"/>
              <w:ind w:firstLine="0" w:firstLineChars="0"/>
              <w:jc w:val="center"/>
              <w:rPr>
                <w:rFonts w:hint="eastAsia"/>
                <w:b w:val="0"/>
                <w:highlight w:val="none"/>
              </w:rPr>
            </w:pPr>
          </w:p>
        </w:tc>
        <w:tc>
          <w:tcPr>
            <w:tcW w:w="2410" w:type="dxa"/>
            <w:vAlign w:val="center"/>
          </w:tcPr>
          <w:p w14:paraId="0A4F333A">
            <w:pPr>
              <w:pStyle w:val="25"/>
              <w:spacing w:before="0" w:after="0" w:line="400" w:lineRule="exact"/>
              <w:ind w:firstLine="0" w:firstLineChars="0"/>
              <w:jc w:val="center"/>
              <w:rPr>
                <w:rFonts w:hint="eastAsia"/>
                <w:b w:val="0"/>
                <w:highlight w:val="none"/>
              </w:rPr>
            </w:pPr>
          </w:p>
        </w:tc>
        <w:tc>
          <w:tcPr>
            <w:tcW w:w="1701" w:type="dxa"/>
            <w:vAlign w:val="center"/>
          </w:tcPr>
          <w:p w14:paraId="4D14CF53">
            <w:pPr>
              <w:pStyle w:val="25"/>
              <w:spacing w:before="0" w:after="0" w:line="400" w:lineRule="exact"/>
              <w:ind w:firstLine="480"/>
              <w:rPr>
                <w:rFonts w:hint="eastAsia"/>
                <w:b w:val="0"/>
                <w:highlight w:val="none"/>
              </w:rPr>
            </w:pPr>
          </w:p>
        </w:tc>
      </w:tr>
      <w:tr w14:paraId="4CEC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667C7BF7">
            <w:pPr>
              <w:pStyle w:val="25"/>
              <w:spacing w:before="0" w:after="0" w:line="400" w:lineRule="exact"/>
              <w:ind w:firstLine="0" w:firstLineChars="0"/>
              <w:jc w:val="center"/>
              <w:rPr>
                <w:rFonts w:hint="eastAsia"/>
                <w:b w:val="0"/>
                <w:highlight w:val="none"/>
              </w:rPr>
            </w:pPr>
            <w:r>
              <w:rPr>
                <w:rFonts w:hint="eastAsia"/>
                <w:b w:val="0"/>
                <w:highlight w:val="none"/>
              </w:rPr>
              <w:t>2</w:t>
            </w:r>
          </w:p>
        </w:tc>
        <w:tc>
          <w:tcPr>
            <w:tcW w:w="1837" w:type="dxa"/>
            <w:vAlign w:val="center"/>
          </w:tcPr>
          <w:p w14:paraId="084E35FF">
            <w:pPr>
              <w:pStyle w:val="25"/>
              <w:spacing w:before="0" w:after="0" w:line="400" w:lineRule="exact"/>
              <w:ind w:firstLine="0" w:firstLineChars="0"/>
              <w:jc w:val="center"/>
              <w:rPr>
                <w:rFonts w:hint="eastAsia"/>
                <w:b w:val="0"/>
                <w:highlight w:val="none"/>
              </w:rPr>
            </w:pPr>
          </w:p>
        </w:tc>
        <w:tc>
          <w:tcPr>
            <w:tcW w:w="2551" w:type="dxa"/>
            <w:vAlign w:val="center"/>
          </w:tcPr>
          <w:p w14:paraId="306D7BF4">
            <w:pPr>
              <w:pStyle w:val="25"/>
              <w:spacing w:before="0" w:after="0" w:line="400" w:lineRule="exact"/>
              <w:ind w:firstLine="0" w:firstLineChars="0"/>
              <w:jc w:val="center"/>
              <w:rPr>
                <w:rFonts w:hint="eastAsia"/>
                <w:b w:val="0"/>
                <w:highlight w:val="none"/>
              </w:rPr>
            </w:pPr>
          </w:p>
        </w:tc>
        <w:tc>
          <w:tcPr>
            <w:tcW w:w="2410" w:type="dxa"/>
            <w:vAlign w:val="center"/>
          </w:tcPr>
          <w:p w14:paraId="37330C3B">
            <w:pPr>
              <w:pStyle w:val="25"/>
              <w:spacing w:before="0" w:after="0" w:line="400" w:lineRule="exact"/>
              <w:ind w:firstLine="0" w:firstLineChars="0"/>
              <w:jc w:val="center"/>
              <w:rPr>
                <w:rFonts w:hint="eastAsia"/>
                <w:b w:val="0"/>
                <w:highlight w:val="none"/>
              </w:rPr>
            </w:pPr>
          </w:p>
        </w:tc>
        <w:tc>
          <w:tcPr>
            <w:tcW w:w="1701" w:type="dxa"/>
            <w:vAlign w:val="center"/>
          </w:tcPr>
          <w:p w14:paraId="21571B6C">
            <w:pPr>
              <w:pStyle w:val="25"/>
              <w:spacing w:before="0" w:after="0" w:line="400" w:lineRule="exact"/>
              <w:ind w:firstLine="480"/>
              <w:rPr>
                <w:rFonts w:hint="eastAsia"/>
                <w:b w:val="0"/>
                <w:highlight w:val="none"/>
              </w:rPr>
            </w:pPr>
          </w:p>
        </w:tc>
      </w:tr>
      <w:tr w14:paraId="6E55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0366A39F">
            <w:pPr>
              <w:pStyle w:val="25"/>
              <w:spacing w:before="0" w:after="0" w:line="400" w:lineRule="exact"/>
              <w:ind w:firstLine="0" w:firstLineChars="0"/>
              <w:jc w:val="center"/>
              <w:rPr>
                <w:rFonts w:hint="eastAsia"/>
                <w:b w:val="0"/>
                <w:highlight w:val="none"/>
              </w:rPr>
            </w:pPr>
            <w:r>
              <w:rPr>
                <w:b w:val="0"/>
                <w:highlight w:val="none"/>
              </w:rPr>
              <w:t>…</w:t>
            </w:r>
          </w:p>
        </w:tc>
        <w:tc>
          <w:tcPr>
            <w:tcW w:w="1837" w:type="dxa"/>
            <w:vAlign w:val="center"/>
          </w:tcPr>
          <w:p w14:paraId="1671A6FD">
            <w:pPr>
              <w:pStyle w:val="25"/>
              <w:spacing w:before="0" w:after="0" w:line="400" w:lineRule="exact"/>
              <w:ind w:firstLine="0" w:firstLineChars="0"/>
              <w:jc w:val="center"/>
              <w:rPr>
                <w:rFonts w:hint="eastAsia"/>
                <w:b w:val="0"/>
                <w:highlight w:val="none"/>
              </w:rPr>
            </w:pPr>
          </w:p>
        </w:tc>
        <w:tc>
          <w:tcPr>
            <w:tcW w:w="2551" w:type="dxa"/>
            <w:vAlign w:val="center"/>
          </w:tcPr>
          <w:p w14:paraId="56D72879">
            <w:pPr>
              <w:pStyle w:val="25"/>
              <w:spacing w:before="0" w:after="0" w:line="400" w:lineRule="exact"/>
              <w:ind w:firstLine="0" w:firstLineChars="0"/>
              <w:jc w:val="center"/>
              <w:rPr>
                <w:rFonts w:hint="eastAsia"/>
                <w:b w:val="0"/>
                <w:highlight w:val="none"/>
              </w:rPr>
            </w:pPr>
          </w:p>
        </w:tc>
        <w:tc>
          <w:tcPr>
            <w:tcW w:w="2410" w:type="dxa"/>
            <w:vAlign w:val="center"/>
          </w:tcPr>
          <w:p w14:paraId="5E61D469">
            <w:pPr>
              <w:pStyle w:val="25"/>
              <w:spacing w:before="0" w:after="0" w:line="400" w:lineRule="exact"/>
              <w:ind w:firstLine="0" w:firstLineChars="0"/>
              <w:jc w:val="center"/>
              <w:rPr>
                <w:rFonts w:hint="eastAsia"/>
                <w:b w:val="0"/>
                <w:highlight w:val="none"/>
              </w:rPr>
            </w:pPr>
          </w:p>
        </w:tc>
        <w:tc>
          <w:tcPr>
            <w:tcW w:w="1701" w:type="dxa"/>
            <w:vAlign w:val="center"/>
          </w:tcPr>
          <w:p w14:paraId="1923FC60">
            <w:pPr>
              <w:pStyle w:val="25"/>
              <w:spacing w:before="0" w:after="0" w:line="400" w:lineRule="exact"/>
              <w:ind w:firstLine="480"/>
              <w:rPr>
                <w:rFonts w:hint="eastAsia"/>
                <w:b w:val="0"/>
                <w:highlight w:val="none"/>
              </w:rPr>
            </w:pPr>
          </w:p>
        </w:tc>
      </w:tr>
    </w:tbl>
    <w:p w14:paraId="1ECBB99D">
      <w:pPr>
        <w:pStyle w:val="17"/>
        <w:rPr>
          <w:rFonts w:hint="eastAsia" w:ascii="仿宋" w:hAnsi="仿宋" w:eastAsia="仿宋"/>
          <w:highlight w:val="none"/>
        </w:rPr>
      </w:pPr>
      <w:r>
        <w:rPr>
          <w:rFonts w:hint="eastAsia" w:ascii="仿宋" w:hAnsi="仿宋" w:eastAsia="仿宋"/>
          <w:highlight w:val="none"/>
        </w:rPr>
        <w:t>注：</w:t>
      </w:r>
    </w:p>
    <w:p w14:paraId="1EB4D660">
      <w:pPr>
        <w:pStyle w:val="19"/>
        <w:spacing w:line="360" w:lineRule="auto"/>
        <w:ind w:firstLine="0" w:firstLineChars="0"/>
        <w:rPr>
          <w:rFonts w:hint="eastAsia" w:ascii="仿宋" w:hAnsi="仿宋" w:eastAsia="仿宋" w:cs="仿宋_GB2312"/>
          <w:szCs w:val="32"/>
          <w:highlight w:val="none"/>
        </w:rPr>
      </w:pPr>
      <w:r>
        <w:rPr>
          <w:rFonts w:hint="eastAsia" w:ascii="仿宋" w:hAnsi="仿宋" w:eastAsia="仿宋"/>
          <w:sz w:val="24"/>
          <w:szCs w:val="24"/>
          <w:highlight w:val="none"/>
        </w:rPr>
        <w:t>1. 说明：应对照招标文件“第二章 采购需求”中“</w:t>
      </w:r>
      <w:r>
        <w:rPr>
          <w:rFonts w:hint="eastAsia" w:ascii="仿宋" w:hAnsi="仿宋" w:eastAsia="仿宋"/>
          <w:highlight w:val="none"/>
        </w:rPr>
        <w:t xml:space="preserve"> </w:t>
      </w:r>
      <w:r>
        <w:rPr>
          <w:rFonts w:hint="eastAsia" w:ascii="仿宋" w:hAnsi="仿宋" w:eastAsia="仿宋"/>
          <w:sz w:val="24"/>
          <w:szCs w:val="24"/>
          <w:highlight w:val="none"/>
        </w:rPr>
        <w:t>一、技术要求”各</w:t>
      </w:r>
      <w:r>
        <w:rPr>
          <w:rFonts w:ascii="仿宋" w:hAnsi="仿宋" w:eastAsia="仿宋"/>
          <w:sz w:val="24"/>
          <w:szCs w:val="24"/>
          <w:highlight w:val="none"/>
        </w:rPr>
        <w:t>分项标的“</w:t>
      </w:r>
      <w:r>
        <w:rPr>
          <w:rFonts w:hint="eastAsia" w:ascii="仿宋" w:hAnsi="仿宋" w:eastAsia="仿宋"/>
          <w:sz w:val="24"/>
          <w:szCs w:val="24"/>
          <w:highlight w:val="none"/>
        </w:rPr>
        <w:t>技术参数及其性能（配置）要求</w:t>
      </w:r>
      <w:r>
        <w:rPr>
          <w:rFonts w:ascii="仿宋" w:hAnsi="仿宋" w:eastAsia="仿宋"/>
          <w:sz w:val="24"/>
          <w:szCs w:val="24"/>
          <w:highlight w:val="none"/>
        </w:rPr>
        <w:t>”</w:t>
      </w:r>
      <w:r>
        <w:rPr>
          <w:rFonts w:hint="eastAsia" w:ascii="仿宋" w:hAnsi="仿宋" w:eastAsia="仿宋"/>
          <w:sz w:val="24"/>
          <w:szCs w:val="24"/>
          <w:highlight w:val="none"/>
        </w:rPr>
        <w:t>逐条作明确的投标响应，并作出偏离说明。</w:t>
      </w:r>
    </w:p>
    <w:p w14:paraId="7C9EFE35">
      <w:pPr>
        <w:pStyle w:val="17"/>
        <w:spacing w:line="360" w:lineRule="auto"/>
        <w:rPr>
          <w:rFonts w:hint="eastAsia" w:ascii="仿宋" w:hAnsi="仿宋" w:eastAsia="仿宋"/>
          <w:b w:val="0"/>
          <w:bCs w:val="0"/>
          <w:highlight w:val="none"/>
        </w:rPr>
      </w:pPr>
      <w:r>
        <w:rPr>
          <w:rFonts w:ascii="仿宋" w:hAnsi="仿宋" w:eastAsia="仿宋"/>
          <w:b w:val="0"/>
          <w:bCs w:val="0"/>
          <w:highlight w:val="none"/>
        </w:rPr>
        <w:t>2.</w:t>
      </w:r>
      <w:r>
        <w:rPr>
          <w:rFonts w:hint="eastAsia" w:ascii="仿宋" w:hAnsi="仿宋" w:eastAsia="仿宋"/>
          <w:b w:val="0"/>
          <w:bCs w:val="0"/>
          <w:highlight w:val="none"/>
        </w:rPr>
        <w:t>投标人根据投标货物的性能指标，对照招标文件技术要求，在“偏离说明”中注明“</w:t>
      </w:r>
      <w:r>
        <w:rPr>
          <w:rFonts w:hint="eastAsia" w:ascii="仿宋" w:hAnsi="仿宋" w:eastAsia="仿宋"/>
          <w:highlight w:val="none"/>
        </w:rPr>
        <w:t>正偏离</w:t>
      </w:r>
      <w:r>
        <w:rPr>
          <w:rFonts w:hint="eastAsia" w:ascii="仿宋" w:hAnsi="仿宋" w:eastAsia="仿宋"/>
          <w:b w:val="0"/>
          <w:bCs w:val="0"/>
          <w:highlight w:val="none"/>
        </w:rPr>
        <w:t>”、“</w:t>
      </w:r>
      <w:r>
        <w:rPr>
          <w:rFonts w:hint="eastAsia" w:ascii="仿宋" w:hAnsi="仿宋" w:eastAsia="仿宋"/>
          <w:highlight w:val="none"/>
        </w:rPr>
        <w:t>负偏离</w:t>
      </w:r>
      <w:r>
        <w:rPr>
          <w:rFonts w:hint="eastAsia" w:ascii="仿宋" w:hAnsi="仿宋" w:eastAsia="仿宋"/>
          <w:b w:val="0"/>
          <w:bCs w:val="0"/>
          <w:highlight w:val="none"/>
        </w:rPr>
        <w:t>”或者“</w:t>
      </w:r>
      <w:r>
        <w:rPr>
          <w:rFonts w:hint="eastAsia" w:ascii="仿宋" w:hAnsi="仿宋" w:eastAsia="仿宋"/>
          <w:highlight w:val="none"/>
        </w:rPr>
        <w:t>无偏离</w:t>
      </w:r>
      <w:r>
        <w:rPr>
          <w:rFonts w:hint="eastAsia" w:ascii="仿宋" w:hAnsi="仿宋" w:eastAsia="仿宋"/>
          <w:b w:val="0"/>
          <w:bCs w:val="0"/>
          <w:highlight w:val="none"/>
        </w:rPr>
        <w:t>”。既不属于“</w:t>
      </w:r>
      <w:r>
        <w:rPr>
          <w:rFonts w:hint="eastAsia" w:ascii="仿宋" w:hAnsi="仿宋" w:eastAsia="仿宋"/>
          <w:highlight w:val="none"/>
        </w:rPr>
        <w:t>正偏离</w:t>
      </w:r>
      <w:r>
        <w:rPr>
          <w:rFonts w:hint="eastAsia" w:ascii="仿宋" w:hAnsi="仿宋" w:eastAsia="仿宋"/>
          <w:b w:val="0"/>
          <w:bCs w:val="0"/>
          <w:highlight w:val="none"/>
        </w:rPr>
        <w:t>”也不属于“</w:t>
      </w:r>
      <w:r>
        <w:rPr>
          <w:rFonts w:hint="eastAsia" w:ascii="仿宋" w:hAnsi="仿宋" w:eastAsia="仿宋"/>
          <w:highlight w:val="none"/>
        </w:rPr>
        <w:t>负偏离</w:t>
      </w:r>
      <w:r>
        <w:rPr>
          <w:rFonts w:hint="eastAsia" w:ascii="仿宋" w:hAnsi="仿宋" w:eastAsia="仿宋"/>
          <w:b w:val="0"/>
          <w:bCs w:val="0"/>
          <w:highlight w:val="none"/>
        </w:rPr>
        <w:t>”即为“</w:t>
      </w:r>
      <w:r>
        <w:rPr>
          <w:rFonts w:hint="eastAsia" w:ascii="仿宋" w:hAnsi="仿宋" w:eastAsia="仿宋"/>
          <w:highlight w:val="none"/>
        </w:rPr>
        <w:t>无偏离</w:t>
      </w:r>
      <w:r>
        <w:rPr>
          <w:rFonts w:hint="eastAsia" w:ascii="仿宋" w:hAnsi="仿宋" w:eastAsia="仿宋"/>
          <w:b w:val="0"/>
          <w:bCs w:val="0"/>
          <w:highlight w:val="none"/>
        </w:rPr>
        <w:t>”。</w:t>
      </w:r>
    </w:p>
    <w:p w14:paraId="2B958192">
      <w:pPr>
        <w:pStyle w:val="19"/>
        <w:spacing w:line="360" w:lineRule="auto"/>
        <w:ind w:firstLine="0" w:firstLineChars="0"/>
        <w:rPr>
          <w:rFonts w:hint="eastAsia" w:ascii="仿宋" w:hAnsi="仿宋" w:eastAsia="仿宋"/>
          <w:sz w:val="24"/>
          <w:szCs w:val="24"/>
          <w:highlight w:val="none"/>
        </w:rPr>
      </w:pPr>
      <w:r>
        <w:rPr>
          <w:rFonts w:hint="eastAsia" w:ascii="仿宋" w:hAnsi="仿宋" w:eastAsia="仿宋"/>
          <w:sz w:val="24"/>
          <w:szCs w:val="24"/>
          <w:highlight w:val="none"/>
        </w:rPr>
        <w:t>3.投标人认为其投标响应有正偏离的，请在技术要求偏离表中列明，且在投标文件中提供投标产品生产厂家公开发布的彩页或</w:t>
      </w:r>
      <w:r>
        <w:rPr>
          <w:rFonts w:ascii="仿宋" w:hAnsi="仿宋" w:eastAsia="仿宋"/>
          <w:sz w:val="24"/>
          <w:szCs w:val="24"/>
          <w:highlight w:val="none"/>
        </w:rPr>
        <w:t>国家认可的有资质的第三方检测机构出具的检测报告复印件</w:t>
      </w:r>
      <w:r>
        <w:rPr>
          <w:rFonts w:hint="eastAsia" w:ascii="仿宋" w:hAnsi="仿宋" w:eastAsia="仿宋"/>
          <w:sz w:val="24"/>
          <w:szCs w:val="24"/>
          <w:highlight w:val="none"/>
        </w:rPr>
        <w:t>作为佐证，以上佐证材料均需加盖代理商公章。</w:t>
      </w:r>
    </w:p>
    <w:p w14:paraId="526F62C4">
      <w:pPr>
        <w:pStyle w:val="19"/>
        <w:spacing w:line="360" w:lineRule="auto"/>
        <w:ind w:firstLine="0" w:firstLineChars="0"/>
        <w:rPr>
          <w:rFonts w:hint="eastAsia" w:ascii="仿宋" w:hAnsi="仿宋" w:eastAsia="仿宋"/>
          <w:sz w:val="24"/>
          <w:szCs w:val="24"/>
          <w:highlight w:val="none"/>
        </w:rPr>
      </w:pPr>
      <w:r>
        <w:rPr>
          <w:rFonts w:hint="eastAsia" w:ascii="仿宋" w:hAnsi="仿宋" w:eastAsia="仿宋"/>
          <w:sz w:val="24"/>
          <w:szCs w:val="24"/>
          <w:highlight w:val="none"/>
        </w:rPr>
        <w:t>4</w:t>
      </w:r>
      <w:r>
        <w:rPr>
          <w:rFonts w:ascii="仿宋" w:hAnsi="仿宋" w:eastAsia="仿宋"/>
          <w:sz w:val="24"/>
          <w:szCs w:val="24"/>
          <w:highlight w:val="none"/>
        </w:rPr>
        <w:t>.</w:t>
      </w:r>
      <w:r>
        <w:rPr>
          <w:rFonts w:hint="eastAsia" w:ascii="仿宋" w:hAnsi="仿宋" w:eastAsia="仿宋"/>
          <w:sz w:val="24"/>
          <w:szCs w:val="24"/>
          <w:highlight w:val="none"/>
        </w:rPr>
        <w:t xml:space="preserve"> 如技术要求偏离表中的投标响应与佐证材料不一致的，以佐证材料为准。</w:t>
      </w:r>
    </w:p>
    <w:p w14:paraId="15BC4C51">
      <w:pPr>
        <w:snapToGrid w:val="0"/>
        <w:spacing w:before="50" w:after="50" w:line="360" w:lineRule="auto"/>
        <w:rPr>
          <w:rFonts w:hint="eastAsia" w:ascii="仿宋" w:hAnsi="仿宋" w:eastAsia="仿宋"/>
          <w:sz w:val="24"/>
          <w:highlight w:val="none"/>
        </w:rPr>
      </w:pPr>
    </w:p>
    <w:p w14:paraId="15F82AF7">
      <w:pPr>
        <w:snapToGrid w:val="0"/>
        <w:spacing w:before="50" w:after="50" w:line="360" w:lineRule="auto"/>
        <w:rPr>
          <w:rFonts w:hint="eastAsia" w:ascii="仿宋" w:hAnsi="仿宋" w:eastAsia="仿宋"/>
          <w:sz w:val="24"/>
          <w:highlight w:val="none"/>
        </w:rPr>
      </w:pPr>
    </w:p>
    <w:p w14:paraId="6FFDEFA1">
      <w:pPr>
        <w:snapToGrid w:val="0"/>
        <w:spacing w:before="50" w:after="50" w:line="360" w:lineRule="auto"/>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pacing w:val="20"/>
          <w:sz w:val="24"/>
          <w:highlight w:val="none"/>
          <w:u w:val="single"/>
        </w:rPr>
        <w:t xml:space="preserve">        </w:t>
      </w:r>
    </w:p>
    <w:p w14:paraId="1821A837">
      <w:pPr>
        <w:snapToGrid w:val="0"/>
        <w:spacing w:before="50" w:after="50" w:line="360" w:lineRule="auto"/>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004006FF">
      <w:pPr>
        <w:snapToGrid w:val="0"/>
        <w:spacing w:before="50" w:after="50" w:line="360" w:lineRule="auto"/>
        <w:rPr>
          <w:rFonts w:hint="eastAsia" w:ascii="仿宋" w:hAnsi="仿宋" w:eastAsia="仿宋"/>
          <w:spacing w:val="20"/>
          <w:sz w:val="24"/>
          <w:highlight w:val="none"/>
          <w:u w:val="singl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14:paraId="26CC5911">
      <w:pPr>
        <w:snapToGrid w:val="0"/>
        <w:spacing w:before="50" w:after="50" w:line="360" w:lineRule="auto"/>
        <w:rPr>
          <w:rFonts w:hint="eastAsia" w:ascii="仿宋" w:hAnsi="仿宋" w:eastAsia="仿宋"/>
          <w:sz w:val="24"/>
          <w:szCs w:val="20"/>
          <w:highlight w:val="none"/>
        </w:rPr>
      </w:pPr>
    </w:p>
    <w:p w14:paraId="70290EEB">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5. 项目实施人员一览表格式</w:t>
      </w:r>
    </w:p>
    <w:p w14:paraId="1109B5BF">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项目实施人员一览表</w:t>
      </w:r>
    </w:p>
    <w:tbl>
      <w:tblPr>
        <w:tblStyle w:val="49"/>
        <w:tblW w:w="9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806"/>
        <w:gridCol w:w="2301"/>
        <w:gridCol w:w="1248"/>
        <w:gridCol w:w="1931"/>
        <w:gridCol w:w="2096"/>
      </w:tblGrid>
      <w:tr w14:paraId="4321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929" w:type="dxa"/>
            <w:vAlign w:val="center"/>
          </w:tcPr>
          <w:p w14:paraId="62C85828">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姓名</w:t>
            </w:r>
          </w:p>
        </w:tc>
        <w:tc>
          <w:tcPr>
            <w:tcW w:w="806" w:type="dxa"/>
            <w:vAlign w:val="center"/>
          </w:tcPr>
          <w:p w14:paraId="458B459C">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职务</w:t>
            </w:r>
          </w:p>
        </w:tc>
        <w:tc>
          <w:tcPr>
            <w:tcW w:w="2301" w:type="dxa"/>
            <w:vAlign w:val="center"/>
          </w:tcPr>
          <w:p w14:paraId="30C8887A">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专业技术资格（职称）或者职业资格或者执业资格证或者其他证书</w:t>
            </w:r>
          </w:p>
        </w:tc>
        <w:tc>
          <w:tcPr>
            <w:tcW w:w="1248" w:type="dxa"/>
            <w:vAlign w:val="center"/>
          </w:tcPr>
          <w:p w14:paraId="33546332">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证书编号</w:t>
            </w:r>
          </w:p>
        </w:tc>
        <w:tc>
          <w:tcPr>
            <w:tcW w:w="1931" w:type="dxa"/>
            <w:vAlign w:val="center"/>
          </w:tcPr>
          <w:p w14:paraId="1B9B5F89">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参加本单位</w:t>
            </w:r>
          </w:p>
          <w:p w14:paraId="558ECF51">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工作时间</w:t>
            </w:r>
          </w:p>
        </w:tc>
        <w:tc>
          <w:tcPr>
            <w:tcW w:w="2096" w:type="dxa"/>
            <w:vAlign w:val="center"/>
          </w:tcPr>
          <w:p w14:paraId="7CDA408F">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劳动合同编号</w:t>
            </w:r>
          </w:p>
        </w:tc>
      </w:tr>
      <w:tr w14:paraId="0230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9" w:type="dxa"/>
            <w:vAlign w:val="center"/>
          </w:tcPr>
          <w:p w14:paraId="187F4F48">
            <w:pPr>
              <w:snapToGrid w:val="0"/>
              <w:jc w:val="center"/>
              <w:rPr>
                <w:rFonts w:hint="eastAsia" w:ascii="仿宋" w:hAnsi="仿宋" w:eastAsia="仿宋"/>
                <w:sz w:val="24"/>
                <w:szCs w:val="20"/>
                <w:highlight w:val="none"/>
              </w:rPr>
            </w:pPr>
          </w:p>
        </w:tc>
        <w:tc>
          <w:tcPr>
            <w:tcW w:w="806" w:type="dxa"/>
            <w:vAlign w:val="center"/>
          </w:tcPr>
          <w:p w14:paraId="15CAB94B">
            <w:pPr>
              <w:snapToGrid w:val="0"/>
              <w:jc w:val="center"/>
              <w:rPr>
                <w:rFonts w:hint="eastAsia" w:ascii="仿宋" w:hAnsi="仿宋" w:eastAsia="仿宋"/>
                <w:sz w:val="24"/>
                <w:szCs w:val="20"/>
                <w:highlight w:val="none"/>
              </w:rPr>
            </w:pPr>
          </w:p>
        </w:tc>
        <w:tc>
          <w:tcPr>
            <w:tcW w:w="2301" w:type="dxa"/>
            <w:vAlign w:val="center"/>
          </w:tcPr>
          <w:p w14:paraId="28105931">
            <w:pPr>
              <w:snapToGrid w:val="0"/>
              <w:jc w:val="center"/>
              <w:rPr>
                <w:rFonts w:hint="eastAsia" w:ascii="仿宋" w:hAnsi="仿宋" w:eastAsia="仿宋"/>
                <w:sz w:val="24"/>
                <w:szCs w:val="20"/>
                <w:highlight w:val="none"/>
              </w:rPr>
            </w:pPr>
          </w:p>
        </w:tc>
        <w:tc>
          <w:tcPr>
            <w:tcW w:w="1248" w:type="dxa"/>
            <w:vAlign w:val="center"/>
          </w:tcPr>
          <w:p w14:paraId="1162E7CF">
            <w:pPr>
              <w:snapToGrid w:val="0"/>
              <w:jc w:val="center"/>
              <w:rPr>
                <w:rFonts w:hint="eastAsia" w:ascii="仿宋" w:hAnsi="仿宋" w:eastAsia="仿宋"/>
                <w:sz w:val="24"/>
                <w:szCs w:val="20"/>
                <w:highlight w:val="none"/>
              </w:rPr>
            </w:pPr>
          </w:p>
        </w:tc>
        <w:tc>
          <w:tcPr>
            <w:tcW w:w="1931" w:type="dxa"/>
            <w:vAlign w:val="center"/>
          </w:tcPr>
          <w:p w14:paraId="0EB649B9">
            <w:pPr>
              <w:snapToGrid w:val="0"/>
              <w:jc w:val="center"/>
              <w:rPr>
                <w:rFonts w:hint="eastAsia" w:ascii="仿宋" w:hAnsi="仿宋" w:eastAsia="仿宋"/>
                <w:sz w:val="24"/>
                <w:szCs w:val="20"/>
                <w:highlight w:val="none"/>
              </w:rPr>
            </w:pPr>
          </w:p>
        </w:tc>
        <w:tc>
          <w:tcPr>
            <w:tcW w:w="2096" w:type="dxa"/>
            <w:vAlign w:val="center"/>
          </w:tcPr>
          <w:p w14:paraId="118114F4">
            <w:pPr>
              <w:snapToGrid w:val="0"/>
              <w:jc w:val="center"/>
              <w:rPr>
                <w:rFonts w:hint="eastAsia" w:ascii="仿宋" w:hAnsi="仿宋" w:eastAsia="仿宋"/>
                <w:sz w:val="24"/>
                <w:szCs w:val="20"/>
                <w:highlight w:val="none"/>
              </w:rPr>
            </w:pPr>
          </w:p>
        </w:tc>
      </w:tr>
      <w:tr w14:paraId="1A66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9" w:type="dxa"/>
            <w:vAlign w:val="center"/>
          </w:tcPr>
          <w:p w14:paraId="3BB3FDD0">
            <w:pPr>
              <w:snapToGrid w:val="0"/>
              <w:jc w:val="center"/>
              <w:rPr>
                <w:rFonts w:hint="eastAsia" w:ascii="仿宋" w:hAnsi="仿宋" w:eastAsia="仿宋"/>
                <w:sz w:val="24"/>
                <w:szCs w:val="20"/>
                <w:highlight w:val="none"/>
              </w:rPr>
            </w:pPr>
          </w:p>
        </w:tc>
        <w:tc>
          <w:tcPr>
            <w:tcW w:w="806" w:type="dxa"/>
            <w:vAlign w:val="center"/>
          </w:tcPr>
          <w:p w14:paraId="193B51A8">
            <w:pPr>
              <w:snapToGrid w:val="0"/>
              <w:jc w:val="center"/>
              <w:rPr>
                <w:rFonts w:hint="eastAsia" w:ascii="仿宋" w:hAnsi="仿宋" w:eastAsia="仿宋"/>
                <w:sz w:val="24"/>
                <w:szCs w:val="20"/>
                <w:highlight w:val="none"/>
              </w:rPr>
            </w:pPr>
          </w:p>
        </w:tc>
        <w:tc>
          <w:tcPr>
            <w:tcW w:w="2301" w:type="dxa"/>
            <w:vAlign w:val="center"/>
          </w:tcPr>
          <w:p w14:paraId="57C0FBE1">
            <w:pPr>
              <w:snapToGrid w:val="0"/>
              <w:jc w:val="center"/>
              <w:rPr>
                <w:rFonts w:hint="eastAsia" w:ascii="仿宋" w:hAnsi="仿宋" w:eastAsia="仿宋"/>
                <w:sz w:val="24"/>
                <w:szCs w:val="20"/>
                <w:highlight w:val="none"/>
              </w:rPr>
            </w:pPr>
          </w:p>
        </w:tc>
        <w:tc>
          <w:tcPr>
            <w:tcW w:w="1248" w:type="dxa"/>
            <w:vAlign w:val="center"/>
          </w:tcPr>
          <w:p w14:paraId="75C19609">
            <w:pPr>
              <w:snapToGrid w:val="0"/>
              <w:jc w:val="center"/>
              <w:rPr>
                <w:rFonts w:hint="eastAsia" w:ascii="仿宋" w:hAnsi="仿宋" w:eastAsia="仿宋"/>
                <w:sz w:val="24"/>
                <w:szCs w:val="20"/>
                <w:highlight w:val="none"/>
              </w:rPr>
            </w:pPr>
          </w:p>
        </w:tc>
        <w:tc>
          <w:tcPr>
            <w:tcW w:w="1931" w:type="dxa"/>
            <w:vAlign w:val="center"/>
          </w:tcPr>
          <w:p w14:paraId="00ECC626">
            <w:pPr>
              <w:snapToGrid w:val="0"/>
              <w:jc w:val="center"/>
              <w:rPr>
                <w:rFonts w:hint="eastAsia" w:ascii="仿宋" w:hAnsi="仿宋" w:eastAsia="仿宋"/>
                <w:sz w:val="24"/>
                <w:szCs w:val="20"/>
                <w:highlight w:val="none"/>
              </w:rPr>
            </w:pPr>
          </w:p>
        </w:tc>
        <w:tc>
          <w:tcPr>
            <w:tcW w:w="2096" w:type="dxa"/>
            <w:vAlign w:val="center"/>
          </w:tcPr>
          <w:p w14:paraId="58183CD9">
            <w:pPr>
              <w:snapToGrid w:val="0"/>
              <w:jc w:val="center"/>
              <w:rPr>
                <w:rFonts w:hint="eastAsia" w:ascii="仿宋" w:hAnsi="仿宋" w:eastAsia="仿宋"/>
                <w:sz w:val="24"/>
                <w:szCs w:val="20"/>
                <w:highlight w:val="none"/>
              </w:rPr>
            </w:pPr>
          </w:p>
        </w:tc>
      </w:tr>
      <w:tr w14:paraId="686A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9" w:type="dxa"/>
            <w:vAlign w:val="center"/>
          </w:tcPr>
          <w:p w14:paraId="2C4133E2">
            <w:pPr>
              <w:snapToGrid w:val="0"/>
              <w:jc w:val="center"/>
              <w:rPr>
                <w:rFonts w:hint="eastAsia" w:ascii="仿宋" w:hAnsi="仿宋" w:eastAsia="仿宋"/>
                <w:sz w:val="24"/>
                <w:szCs w:val="20"/>
                <w:highlight w:val="none"/>
              </w:rPr>
            </w:pPr>
          </w:p>
        </w:tc>
        <w:tc>
          <w:tcPr>
            <w:tcW w:w="806" w:type="dxa"/>
            <w:vAlign w:val="center"/>
          </w:tcPr>
          <w:p w14:paraId="78D2C16F">
            <w:pPr>
              <w:snapToGrid w:val="0"/>
              <w:jc w:val="center"/>
              <w:rPr>
                <w:rFonts w:hint="eastAsia" w:ascii="仿宋" w:hAnsi="仿宋" w:eastAsia="仿宋"/>
                <w:sz w:val="24"/>
                <w:szCs w:val="20"/>
                <w:highlight w:val="none"/>
              </w:rPr>
            </w:pPr>
          </w:p>
        </w:tc>
        <w:tc>
          <w:tcPr>
            <w:tcW w:w="2301" w:type="dxa"/>
            <w:vAlign w:val="center"/>
          </w:tcPr>
          <w:p w14:paraId="50C92933">
            <w:pPr>
              <w:snapToGrid w:val="0"/>
              <w:jc w:val="center"/>
              <w:rPr>
                <w:rFonts w:hint="eastAsia" w:ascii="仿宋" w:hAnsi="仿宋" w:eastAsia="仿宋"/>
                <w:sz w:val="24"/>
                <w:szCs w:val="20"/>
                <w:highlight w:val="none"/>
              </w:rPr>
            </w:pPr>
          </w:p>
        </w:tc>
        <w:tc>
          <w:tcPr>
            <w:tcW w:w="1248" w:type="dxa"/>
            <w:vAlign w:val="center"/>
          </w:tcPr>
          <w:p w14:paraId="139C7478">
            <w:pPr>
              <w:snapToGrid w:val="0"/>
              <w:jc w:val="center"/>
              <w:rPr>
                <w:rFonts w:hint="eastAsia" w:ascii="仿宋" w:hAnsi="仿宋" w:eastAsia="仿宋"/>
                <w:sz w:val="24"/>
                <w:szCs w:val="20"/>
                <w:highlight w:val="none"/>
              </w:rPr>
            </w:pPr>
          </w:p>
        </w:tc>
        <w:tc>
          <w:tcPr>
            <w:tcW w:w="1931" w:type="dxa"/>
            <w:vAlign w:val="center"/>
          </w:tcPr>
          <w:p w14:paraId="3CB15FFF">
            <w:pPr>
              <w:snapToGrid w:val="0"/>
              <w:jc w:val="center"/>
              <w:rPr>
                <w:rFonts w:hint="eastAsia" w:ascii="仿宋" w:hAnsi="仿宋" w:eastAsia="仿宋"/>
                <w:sz w:val="24"/>
                <w:szCs w:val="20"/>
                <w:highlight w:val="none"/>
              </w:rPr>
            </w:pPr>
          </w:p>
        </w:tc>
        <w:tc>
          <w:tcPr>
            <w:tcW w:w="2096" w:type="dxa"/>
            <w:vAlign w:val="center"/>
          </w:tcPr>
          <w:p w14:paraId="56D4E4AE">
            <w:pPr>
              <w:snapToGrid w:val="0"/>
              <w:jc w:val="center"/>
              <w:rPr>
                <w:rFonts w:hint="eastAsia" w:ascii="仿宋" w:hAnsi="仿宋" w:eastAsia="仿宋"/>
                <w:sz w:val="24"/>
                <w:szCs w:val="20"/>
                <w:highlight w:val="none"/>
              </w:rPr>
            </w:pPr>
          </w:p>
        </w:tc>
      </w:tr>
    </w:tbl>
    <w:p w14:paraId="0C22FF77">
      <w:pPr>
        <w:snapToGrid w:val="0"/>
        <w:spacing w:before="50" w:after="120" w:afterLines="50"/>
        <w:jc w:val="left"/>
        <w:rPr>
          <w:rFonts w:hint="eastAsia" w:ascii="仿宋" w:hAnsi="仿宋" w:eastAsia="仿宋"/>
          <w:sz w:val="24"/>
          <w:szCs w:val="20"/>
          <w:highlight w:val="none"/>
        </w:rPr>
      </w:pPr>
    </w:p>
    <w:p w14:paraId="16BA3DC9">
      <w:pPr>
        <w:spacing w:line="360" w:lineRule="auto"/>
        <w:contextualSpacing/>
        <w:jc w:val="left"/>
        <w:rPr>
          <w:rFonts w:hint="eastAsia" w:ascii="仿宋" w:hAnsi="仿宋" w:eastAsia="仿宋"/>
          <w:sz w:val="24"/>
          <w:szCs w:val="20"/>
          <w:highlight w:val="none"/>
        </w:rPr>
      </w:pPr>
      <w:r>
        <w:rPr>
          <w:rFonts w:hint="eastAsia" w:ascii="仿宋" w:hAnsi="仿宋" w:eastAsia="仿宋"/>
          <w:sz w:val="24"/>
          <w:szCs w:val="20"/>
          <w:highlight w:val="none"/>
        </w:rPr>
        <w:t>注：</w:t>
      </w:r>
    </w:p>
    <w:p w14:paraId="503FD787">
      <w:pPr>
        <w:spacing w:line="360" w:lineRule="auto"/>
        <w:contextualSpacing/>
        <w:jc w:val="left"/>
        <w:rPr>
          <w:rFonts w:hint="eastAsia" w:ascii="仿宋" w:hAnsi="仿宋" w:eastAsia="仿宋"/>
          <w:sz w:val="24"/>
          <w:szCs w:val="20"/>
          <w:highlight w:val="none"/>
        </w:rPr>
      </w:pPr>
      <w:r>
        <w:rPr>
          <w:rFonts w:hint="eastAsia" w:ascii="仿宋" w:hAnsi="仿宋" w:eastAsia="仿宋"/>
          <w:sz w:val="24"/>
          <w:szCs w:val="20"/>
          <w:highlight w:val="none"/>
        </w:rPr>
        <w:t>1</w:t>
      </w:r>
      <w:r>
        <w:rPr>
          <w:rFonts w:ascii="仿宋" w:hAnsi="仿宋" w:eastAsia="仿宋"/>
          <w:sz w:val="24"/>
          <w:szCs w:val="20"/>
          <w:highlight w:val="none"/>
        </w:rPr>
        <w:t>.</w:t>
      </w:r>
      <w:r>
        <w:rPr>
          <w:rFonts w:hint="eastAsia" w:ascii="仿宋" w:hAnsi="仿宋" w:eastAsia="仿宋"/>
          <w:sz w:val="24"/>
          <w:szCs w:val="20"/>
          <w:highlight w:val="none"/>
        </w:rPr>
        <w:t>在填写时，如本表格不适合投标单位的实际情况，可根据本表格式自行制表填写。</w:t>
      </w:r>
    </w:p>
    <w:p w14:paraId="7B4012B7">
      <w:pPr>
        <w:spacing w:line="360" w:lineRule="auto"/>
        <w:contextualSpacing/>
        <w:jc w:val="left"/>
        <w:rPr>
          <w:rFonts w:hint="eastAsia" w:ascii="仿宋" w:hAnsi="仿宋" w:eastAsia="仿宋"/>
          <w:sz w:val="24"/>
          <w:szCs w:val="20"/>
          <w:highlight w:val="none"/>
        </w:rPr>
      </w:pPr>
      <w:r>
        <w:rPr>
          <w:rFonts w:ascii="仿宋" w:hAnsi="仿宋" w:eastAsia="仿宋"/>
          <w:sz w:val="24"/>
          <w:szCs w:val="20"/>
          <w:highlight w:val="none"/>
        </w:rPr>
        <w:t>2.</w:t>
      </w:r>
      <w:r>
        <w:rPr>
          <w:rFonts w:hint="eastAsia" w:ascii="仿宋" w:hAnsi="仿宋" w:eastAsia="仿宋"/>
          <w:sz w:val="24"/>
          <w:szCs w:val="20"/>
          <w:highlight w:val="none"/>
        </w:rPr>
        <w:t>投标人应当附本表所列证书的复印件并加盖投标人公章。</w:t>
      </w:r>
    </w:p>
    <w:p w14:paraId="3BBD5877">
      <w:pPr>
        <w:spacing w:line="360" w:lineRule="auto"/>
        <w:contextualSpacing/>
        <w:rPr>
          <w:rFonts w:hint="eastAsia" w:ascii="仿宋" w:hAnsi="仿宋" w:eastAsia="仿宋"/>
          <w:sz w:val="24"/>
          <w:highlight w:val="none"/>
        </w:rPr>
      </w:pPr>
    </w:p>
    <w:p w14:paraId="7AF7F401">
      <w:pPr>
        <w:spacing w:line="360" w:lineRule="auto"/>
        <w:contextualSpacing/>
        <w:rPr>
          <w:rFonts w:hint="eastAsia" w:ascii="仿宋" w:hAnsi="仿宋" w:eastAsia="仿宋"/>
          <w:sz w:val="24"/>
          <w:highlight w:val="none"/>
        </w:rPr>
      </w:pPr>
    </w:p>
    <w:p w14:paraId="09269677">
      <w:pPr>
        <w:spacing w:line="360" w:lineRule="auto"/>
        <w:contextualSpacing/>
        <w:rPr>
          <w:rFonts w:hint="eastAsia" w:ascii="仿宋" w:hAnsi="仿宋" w:eastAsia="仿宋"/>
          <w:spacing w:val="20"/>
          <w:sz w:val="24"/>
          <w:szCs w:val="20"/>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pacing w:val="20"/>
          <w:sz w:val="24"/>
          <w:highlight w:val="none"/>
          <w:u w:val="single"/>
        </w:rPr>
        <w:t xml:space="preserve">        </w:t>
      </w:r>
    </w:p>
    <w:p w14:paraId="330471EC">
      <w:pPr>
        <w:spacing w:line="360" w:lineRule="auto"/>
        <w:contextualSpacing/>
        <w:jc w:val="left"/>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42F2D693">
      <w:pPr>
        <w:spacing w:line="360" w:lineRule="auto"/>
        <w:contextualSpacing/>
        <w:jc w:val="left"/>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14:paraId="13B4B164">
      <w:pPr>
        <w:snapToGrid w:val="0"/>
        <w:spacing w:before="50" w:after="120" w:afterLines="50"/>
        <w:jc w:val="left"/>
        <w:rPr>
          <w:rFonts w:hint="eastAsia" w:ascii="仿宋" w:hAnsi="仿宋" w:eastAsia="仿宋"/>
          <w:sz w:val="24"/>
          <w:szCs w:val="20"/>
          <w:highlight w:val="none"/>
        </w:rPr>
      </w:pPr>
    </w:p>
    <w:p w14:paraId="1C294FED">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6. 选配件、专用耗材、售后服务优惠表格式（注：按项目需求表具体项目修改）</w:t>
      </w:r>
    </w:p>
    <w:p w14:paraId="011199AD">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配件、专用耗材价格表</w:t>
      </w:r>
    </w:p>
    <w:p w14:paraId="628891F9">
      <w:pPr>
        <w:pStyle w:val="25"/>
        <w:rPr>
          <w:rFonts w:hint="eastAsia"/>
          <w:highlight w:val="none"/>
        </w:rPr>
      </w:pPr>
      <w:r>
        <w:rPr>
          <w:rFonts w:hint="eastAsia"/>
          <w:highlight w:val="none"/>
        </w:rPr>
        <w:t>项目名称（项目编号）：</w:t>
      </w:r>
      <w:r>
        <w:rPr>
          <w:rFonts w:hint="eastAsia"/>
          <w:highlight w:val="none"/>
          <w:u w:val="single"/>
        </w:rPr>
        <w:t xml:space="preserve"> </w:t>
      </w:r>
      <w:r>
        <w:rPr>
          <w:highlight w:val="none"/>
          <w:u w:val="single"/>
        </w:rPr>
        <w:t xml:space="preserve">                                                 </w:t>
      </w:r>
    </w:p>
    <w:tbl>
      <w:tblPr>
        <w:tblStyle w:val="49"/>
        <w:tblW w:w="94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04"/>
        <w:gridCol w:w="2956"/>
        <w:gridCol w:w="1577"/>
        <w:gridCol w:w="1577"/>
        <w:gridCol w:w="2562"/>
      </w:tblGrid>
      <w:tr w14:paraId="1C44A0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5" w:hRule="atLeast"/>
          <w:jc w:val="center"/>
        </w:trPr>
        <w:tc>
          <w:tcPr>
            <w:tcW w:w="8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DBD0D88">
            <w:pPr>
              <w:pStyle w:val="25"/>
              <w:spacing w:before="0" w:after="0" w:line="400" w:lineRule="exact"/>
              <w:ind w:firstLine="0" w:firstLineChars="0"/>
              <w:jc w:val="center"/>
              <w:rPr>
                <w:rFonts w:hint="eastAsia"/>
                <w:highlight w:val="none"/>
              </w:rPr>
            </w:pPr>
            <w:r>
              <w:rPr>
                <w:rFonts w:hint="eastAsia"/>
                <w:highlight w:val="none"/>
              </w:rPr>
              <w:t>序号</w:t>
            </w:r>
          </w:p>
        </w:tc>
        <w:tc>
          <w:tcPr>
            <w:tcW w:w="2956" w:type="dxa"/>
            <w:tcBorders>
              <w:top w:val="single" w:color="auto" w:sz="4" w:space="0"/>
              <w:left w:val="single" w:color="auto" w:sz="4" w:space="0"/>
              <w:bottom w:val="single" w:color="auto" w:sz="2" w:space="0"/>
              <w:right w:val="single" w:color="auto" w:sz="4" w:space="0"/>
            </w:tcBorders>
            <w:vAlign w:val="center"/>
          </w:tcPr>
          <w:p w14:paraId="0620BEBC">
            <w:pPr>
              <w:pStyle w:val="25"/>
              <w:spacing w:before="0" w:after="0" w:line="400" w:lineRule="exact"/>
              <w:ind w:firstLine="0" w:firstLineChars="0"/>
              <w:jc w:val="center"/>
              <w:rPr>
                <w:rFonts w:hint="eastAsia"/>
                <w:highlight w:val="none"/>
              </w:rPr>
            </w:pPr>
            <w:r>
              <w:rPr>
                <w:rFonts w:hint="eastAsia"/>
                <w:highlight w:val="none"/>
              </w:rPr>
              <w:t>优惠内容</w:t>
            </w:r>
          </w:p>
        </w:tc>
        <w:tc>
          <w:tcPr>
            <w:tcW w:w="1577" w:type="dxa"/>
            <w:tcBorders>
              <w:top w:val="single" w:color="auto" w:sz="4" w:space="0"/>
              <w:left w:val="single" w:color="auto" w:sz="4" w:space="0"/>
              <w:bottom w:val="single" w:color="auto" w:sz="2" w:space="0"/>
              <w:right w:val="single" w:color="auto" w:sz="4" w:space="0"/>
            </w:tcBorders>
            <w:vAlign w:val="center"/>
          </w:tcPr>
          <w:p w14:paraId="61A92F39">
            <w:pPr>
              <w:pStyle w:val="25"/>
              <w:spacing w:before="0" w:after="0" w:line="400" w:lineRule="exact"/>
              <w:ind w:firstLine="0" w:firstLineChars="0"/>
              <w:jc w:val="center"/>
              <w:rPr>
                <w:rFonts w:hint="eastAsia"/>
                <w:highlight w:val="none"/>
              </w:rPr>
            </w:pPr>
            <w:r>
              <w:rPr>
                <w:rFonts w:hint="eastAsia"/>
                <w:highlight w:val="none"/>
              </w:rPr>
              <w:t>适用机型</w:t>
            </w:r>
          </w:p>
        </w:tc>
        <w:tc>
          <w:tcPr>
            <w:tcW w:w="1577"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1DED0549">
            <w:pPr>
              <w:pStyle w:val="25"/>
              <w:spacing w:before="0" w:after="0" w:line="400" w:lineRule="exact"/>
              <w:ind w:firstLine="0" w:firstLineChars="0"/>
              <w:jc w:val="center"/>
              <w:rPr>
                <w:rFonts w:hint="eastAsia"/>
                <w:highlight w:val="none"/>
              </w:rPr>
            </w:pPr>
            <w:r>
              <w:rPr>
                <w:rFonts w:hint="eastAsia"/>
                <w:highlight w:val="none"/>
              </w:rPr>
              <w:t>市场单价</w:t>
            </w:r>
          </w:p>
        </w:tc>
        <w:tc>
          <w:tcPr>
            <w:tcW w:w="2562" w:type="dxa"/>
            <w:tcBorders>
              <w:top w:val="single" w:color="auto" w:sz="4" w:space="0"/>
              <w:left w:val="single" w:color="auto" w:sz="4" w:space="0"/>
              <w:bottom w:val="single" w:color="auto" w:sz="2" w:space="0"/>
              <w:right w:val="single" w:color="auto" w:sz="4" w:space="0"/>
            </w:tcBorders>
            <w:vAlign w:val="center"/>
          </w:tcPr>
          <w:p w14:paraId="2E1D7F29">
            <w:pPr>
              <w:pStyle w:val="25"/>
              <w:spacing w:before="0" w:after="0" w:line="400" w:lineRule="exact"/>
              <w:ind w:firstLine="0" w:firstLineChars="0"/>
              <w:jc w:val="center"/>
              <w:rPr>
                <w:rFonts w:hint="eastAsia"/>
                <w:highlight w:val="none"/>
              </w:rPr>
            </w:pPr>
            <w:r>
              <w:rPr>
                <w:rFonts w:hint="eastAsia"/>
                <w:highlight w:val="none"/>
              </w:rPr>
              <w:t>给予本项目的优惠率</w:t>
            </w:r>
          </w:p>
        </w:tc>
      </w:tr>
      <w:tr w14:paraId="0273C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733E43C">
            <w:pPr>
              <w:pStyle w:val="25"/>
              <w:spacing w:before="0" w:after="0" w:line="400" w:lineRule="exact"/>
              <w:ind w:firstLine="0" w:firstLineChars="0"/>
              <w:jc w:val="center"/>
              <w:rPr>
                <w:rFonts w:hint="eastAsia"/>
                <w:b w:val="0"/>
                <w:highlight w:val="none"/>
              </w:rPr>
            </w:pPr>
            <w:r>
              <w:rPr>
                <w:rFonts w:hint="eastAsia"/>
                <w:b w:val="0"/>
                <w:highlight w:val="none"/>
              </w:rPr>
              <w:t>1</w:t>
            </w:r>
          </w:p>
        </w:tc>
        <w:tc>
          <w:tcPr>
            <w:tcW w:w="2956" w:type="dxa"/>
            <w:tcBorders>
              <w:top w:val="single" w:color="auto" w:sz="2" w:space="0"/>
              <w:left w:val="single" w:color="auto" w:sz="2" w:space="0"/>
              <w:bottom w:val="single" w:color="auto" w:sz="6" w:space="0"/>
              <w:right w:val="single" w:color="auto" w:sz="4" w:space="0"/>
            </w:tcBorders>
            <w:vAlign w:val="center"/>
          </w:tcPr>
          <w:p w14:paraId="752F90D2">
            <w:pPr>
              <w:pStyle w:val="25"/>
              <w:spacing w:before="0" w:after="0" w:line="400" w:lineRule="exact"/>
              <w:ind w:firstLine="0" w:firstLineChars="0"/>
              <w:jc w:val="center"/>
              <w:rPr>
                <w:rFonts w:hint="eastAsia"/>
                <w:highlight w:val="none"/>
              </w:rPr>
            </w:pPr>
          </w:p>
        </w:tc>
        <w:tc>
          <w:tcPr>
            <w:tcW w:w="1577" w:type="dxa"/>
            <w:tcBorders>
              <w:top w:val="single" w:color="auto" w:sz="2" w:space="0"/>
              <w:left w:val="single" w:color="auto" w:sz="4" w:space="0"/>
              <w:bottom w:val="single" w:color="auto" w:sz="6" w:space="0"/>
              <w:right w:val="single" w:color="auto" w:sz="6" w:space="0"/>
            </w:tcBorders>
            <w:vAlign w:val="center"/>
          </w:tcPr>
          <w:p w14:paraId="0603DA81">
            <w:pPr>
              <w:pStyle w:val="25"/>
              <w:spacing w:before="0" w:after="0" w:line="400" w:lineRule="exact"/>
              <w:ind w:firstLine="0" w:firstLineChars="0"/>
              <w:jc w:val="center"/>
              <w:rPr>
                <w:rFonts w:hint="eastAsia"/>
                <w:highlight w:val="none"/>
              </w:rPr>
            </w:pPr>
          </w:p>
        </w:tc>
        <w:tc>
          <w:tcPr>
            <w:tcW w:w="1577"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32C94375">
            <w:pPr>
              <w:pStyle w:val="25"/>
              <w:spacing w:before="0" w:after="0" w:line="400" w:lineRule="exact"/>
              <w:ind w:firstLine="0" w:firstLineChars="0"/>
              <w:jc w:val="center"/>
              <w:rPr>
                <w:rFonts w:hint="eastAsia"/>
                <w:highlight w:val="none"/>
              </w:rPr>
            </w:pPr>
          </w:p>
        </w:tc>
        <w:tc>
          <w:tcPr>
            <w:tcW w:w="2562" w:type="dxa"/>
            <w:tcBorders>
              <w:top w:val="single" w:color="auto" w:sz="2" w:space="0"/>
              <w:left w:val="single" w:color="auto" w:sz="6" w:space="0"/>
              <w:bottom w:val="single" w:color="auto" w:sz="6" w:space="0"/>
              <w:right w:val="single" w:color="auto" w:sz="2" w:space="0"/>
            </w:tcBorders>
            <w:vAlign w:val="center"/>
          </w:tcPr>
          <w:p w14:paraId="42DFF5D1">
            <w:pPr>
              <w:pStyle w:val="25"/>
              <w:spacing w:before="0" w:after="0" w:line="400" w:lineRule="exact"/>
              <w:rPr>
                <w:rFonts w:hint="eastAsia"/>
                <w:highlight w:val="none"/>
              </w:rPr>
            </w:pPr>
            <w:r>
              <w:rPr>
                <w:rFonts w:hint="eastAsia"/>
                <w:highlight w:val="none"/>
              </w:rPr>
              <w:t xml:space="preserve">       %</w:t>
            </w:r>
          </w:p>
        </w:tc>
      </w:tr>
      <w:tr w14:paraId="4579F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16A545EA">
            <w:pPr>
              <w:pStyle w:val="25"/>
              <w:spacing w:before="0" w:after="0" w:line="400" w:lineRule="exact"/>
              <w:ind w:firstLine="0" w:firstLineChars="0"/>
              <w:jc w:val="center"/>
              <w:rPr>
                <w:rFonts w:hint="eastAsia"/>
                <w:b w:val="0"/>
                <w:highlight w:val="none"/>
              </w:rPr>
            </w:pPr>
            <w:r>
              <w:rPr>
                <w:rFonts w:hint="eastAsia"/>
                <w:b w:val="0"/>
                <w:highlight w:val="none"/>
              </w:rPr>
              <w:t>2</w:t>
            </w:r>
          </w:p>
        </w:tc>
        <w:tc>
          <w:tcPr>
            <w:tcW w:w="2956" w:type="dxa"/>
            <w:tcBorders>
              <w:top w:val="single" w:color="auto" w:sz="6" w:space="0"/>
              <w:left w:val="single" w:color="auto" w:sz="2" w:space="0"/>
              <w:bottom w:val="single" w:color="auto" w:sz="6" w:space="0"/>
              <w:right w:val="single" w:color="auto" w:sz="4" w:space="0"/>
            </w:tcBorders>
            <w:vAlign w:val="center"/>
          </w:tcPr>
          <w:p w14:paraId="0A7FA7F2">
            <w:pPr>
              <w:pStyle w:val="25"/>
              <w:spacing w:before="0" w:after="0" w:line="400" w:lineRule="exact"/>
              <w:ind w:firstLine="0" w:firstLineChars="0"/>
              <w:jc w:val="center"/>
              <w:rPr>
                <w:rFonts w:hint="eastAsia"/>
                <w:highlight w:val="none"/>
              </w:rPr>
            </w:pPr>
          </w:p>
        </w:tc>
        <w:tc>
          <w:tcPr>
            <w:tcW w:w="1577" w:type="dxa"/>
            <w:tcBorders>
              <w:top w:val="single" w:color="auto" w:sz="6" w:space="0"/>
              <w:left w:val="single" w:color="auto" w:sz="4" w:space="0"/>
              <w:bottom w:val="single" w:color="auto" w:sz="6" w:space="0"/>
              <w:right w:val="single" w:color="auto" w:sz="6" w:space="0"/>
            </w:tcBorders>
            <w:vAlign w:val="center"/>
          </w:tcPr>
          <w:p w14:paraId="4D060B82">
            <w:pPr>
              <w:pStyle w:val="25"/>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3A0703F0">
            <w:pPr>
              <w:pStyle w:val="25"/>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14:paraId="7937D9CB">
            <w:pPr>
              <w:pStyle w:val="25"/>
              <w:spacing w:before="0" w:after="0" w:line="400" w:lineRule="exact"/>
              <w:rPr>
                <w:rFonts w:hint="eastAsia"/>
                <w:highlight w:val="none"/>
              </w:rPr>
            </w:pPr>
            <w:r>
              <w:rPr>
                <w:rFonts w:hint="eastAsia"/>
                <w:highlight w:val="none"/>
              </w:rPr>
              <w:t xml:space="preserve">       %</w:t>
            </w:r>
          </w:p>
        </w:tc>
      </w:tr>
      <w:tr w14:paraId="75EF58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6D183B91">
            <w:pPr>
              <w:pStyle w:val="25"/>
              <w:spacing w:before="0" w:after="0" w:line="400" w:lineRule="exact"/>
              <w:ind w:firstLine="0" w:firstLineChars="0"/>
              <w:jc w:val="center"/>
              <w:rPr>
                <w:rFonts w:hint="eastAsia"/>
                <w:b w:val="0"/>
                <w:highlight w:val="none"/>
              </w:rPr>
            </w:pPr>
            <w:r>
              <w:rPr>
                <w:rFonts w:hint="eastAsia"/>
                <w:b w:val="0"/>
                <w:highlight w:val="none"/>
              </w:rPr>
              <w:t>3</w:t>
            </w:r>
          </w:p>
        </w:tc>
        <w:tc>
          <w:tcPr>
            <w:tcW w:w="2956" w:type="dxa"/>
            <w:tcBorders>
              <w:top w:val="single" w:color="auto" w:sz="6" w:space="0"/>
              <w:left w:val="single" w:color="auto" w:sz="2" w:space="0"/>
              <w:bottom w:val="single" w:color="auto" w:sz="6" w:space="0"/>
              <w:right w:val="single" w:color="auto" w:sz="4" w:space="0"/>
            </w:tcBorders>
            <w:vAlign w:val="center"/>
          </w:tcPr>
          <w:p w14:paraId="0AAAEB79">
            <w:pPr>
              <w:pStyle w:val="25"/>
              <w:spacing w:before="0" w:after="0" w:line="400" w:lineRule="exact"/>
              <w:ind w:firstLine="0" w:firstLineChars="0"/>
              <w:jc w:val="center"/>
              <w:rPr>
                <w:rFonts w:hint="eastAsia"/>
                <w:highlight w:val="none"/>
              </w:rPr>
            </w:pPr>
          </w:p>
        </w:tc>
        <w:tc>
          <w:tcPr>
            <w:tcW w:w="1577" w:type="dxa"/>
            <w:tcBorders>
              <w:top w:val="single" w:color="auto" w:sz="6" w:space="0"/>
              <w:left w:val="single" w:color="auto" w:sz="4" w:space="0"/>
              <w:bottom w:val="single" w:color="auto" w:sz="6" w:space="0"/>
              <w:right w:val="single" w:color="auto" w:sz="6" w:space="0"/>
            </w:tcBorders>
            <w:vAlign w:val="center"/>
          </w:tcPr>
          <w:p w14:paraId="4A42C6DA">
            <w:pPr>
              <w:pStyle w:val="25"/>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51B5F4B5">
            <w:pPr>
              <w:pStyle w:val="25"/>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14:paraId="780415A3">
            <w:pPr>
              <w:pStyle w:val="25"/>
              <w:spacing w:before="0" w:after="0" w:line="400" w:lineRule="exact"/>
              <w:rPr>
                <w:rFonts w:hint="eastAsia"/>
                <w:highlight w:val="none"/>
              </w:rPr>
            </w:pPr>
            <w:r>
              <w:rPr>
                <w:rFonts w:hint="eastAsia"/>
                <w:highlight w:val="none"/>
              </w:rPr>
              <w:t xml:space="preserve">       %</w:t>
            </w:r>
          </w:p>
        </w:tc>
      </w:tr>
      <w:tr w14:paraId="7364E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9B72E4A">
            <w:pPr>
              <w:pStyle w:val="25"/>
              <w:spacing w:before="0" w:after="0" w:line="400" w:lineRule="exact"/>
              <w:ind w:firstLine="0" w:firstLineChars="0"/>
              <w:jc w:val="center"/>
              <w:rPr>
                <w:rFonts w:hint="eastAsia"/>
                <w:b w:val="0"/>
                <w:highlight w:val="none"/>
              </w:rPr>
            </w:pPr>
            <w:r>
              <w:rPr>
                <w:b w:val="0"/>
                <w:highlight w:val="none"/>
              </w:rPr>
              <w:t>…</w:t>
            </w:r>
          </w:p>
        </w:tc>
        <w:tc>
          <w:tcPr>
            <w:tcW w:w="2956" w:type="dxa"/>
            <w:tcBorders>
              <w:top w:val="single" w:color="auto" w:sz="6" w:space="0"/>
              <w:left w:val="single" w:color="auto" w:sz="2" w:space="0"/>
              <w:bottom w:val="single" w:color="auto" w:sz="6" w:space="0"/>
              <w:right w:val="single" w:color="auto" w:sz="4" w:space="0"/>
            </w:tcBorders>
            <w:vAlign w:val="center"/>
          </w:tcPr>
          <w:p w14:paraId="2D3A14A0">
            <w:pPr>
              <w:pStyle w:val="25"/>
              <w:spacing w:before="0" w:after="0" w:line="400" w:lineRule="exact"/>
              <w:ind w:firstLine="0" w:firstLineChars="0"/>
              <w:jc w:val="center"/>
              <w:rPr>
                <w:rFonts w:hint="eastAsia"/>
                <w:highlight w:val="none"/>
              </w:rPr>
            </w:pPr>
            <w:r>
              <w:rPr>
                <w:b w:val="0"/>
                <w:highlight w:val="none"/>
              </w:rPr>
              <w:t>…</w:t>
            </w:r>
          </w:p>
        </w:tc>
        <w:tc>
          <w:tcPr>
            <w:tcW w:w="1577" w:type="dxa"/>
            <w:tcBorders>
              <w:top w:val="single" w:color="auto" w:sz="6" w:space="0"/>
              <w:left w:val="single" w:color="auto" w:sz="4" w:space="0"/>
              <w:bottom w:val="single" w:color="auto" w:sz="6" w:space="0"/>
              <w:right w:val="single" w:color="auto" w:sz="6" w:space="0"/>
            </w:tcBorders>
            <w:vAlign w:val="center"/>
          </w:tcPr>
          <w:p w14:paraId="13E7351D">
            <w:pPr>
              <w:pStyle w:val="25"/>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42B97E66">
            <w:pPr>
              <w:pStyle w:val="25"/>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14:paraId="51263CDA">
            <w:pPr>
              <w:pStyle w:val="25"/>
              <w:spacing w:before="0" w:after="0" w:line="400" w:lineRule="exact"/>
              <w:rPr>
                <w:rFonts w:hint="eastAsia"/>
                <w:highlight w:val="none"/>
              </w:rPr>
            </w:pPr>
            <w:r>
              <w:rPr>
                <w:rFonts w:hint="eastAsia"/>
                <w:highlight w:val="none"/>
              </w:rPr>
              <w:t xml:space="preserve"> </w:t>
            </w:r>
            <w:r>
              <w:rPr>
                <w:highlight w:val="none"/>
              </w:rPr>
              <w:t xml:space="preserve">      </w:t>
            </w:r>
            <w:r>
              <w:rPr>
                <w:rFonts w:hint="eastAsia"/>
                <w:highlight w:val="none"/>
              </w:rPr>
              <w:t>%</w:t>
            </w:r>
          </w:p>
        </w:tc>
      </w:tr>
    </w:tbl>
    <w:p w14:paraId="7D4215C2">
      <w:pPr>
        <w:spacing w:line="360" w:lineRule="auto"/>
        <w:contextualSpacing/>
        <w:rPr>
          <w:rFonts w:hint="eastAsia" w:ascii="仿宋" w:hAnsi="仿宋" w:eastAsia="仿宋"/>
          <w:sz w:val="24"/>
          <w:highlight w:val="none"/>
        </w:rPr>
      </w:pPr>
    </w:p>
    <w:p w14:paraId="581FFBEA">
      <w:pPr>
        <w:spacing w:line="360" w:lineRule="auto"/>
        <w:contextualSpacing/>
        <w:rPr>
          <w:rFonts w:hint="eastAsia" w:ascii="仿宋" w:hAnsi="仿宋" w:eastAsia="仿宋"/>
          <w:sz w:val="24"/>
          <w:highlight w:val="none"/>
        </w:rPr>
      </w:pPr>
    </w:p>
    <w:p w14:paraId="13ECF290">
      <w:pPr>
        <w:spacing w:line="360" w:lineRule="auto"/>
        <w:contextualSpacing/>
        <w:rPr>
          <w:rFonts w:hint="eastAsia" w:ascii="仿宋" w:hAnsi="仿宋" w:eastAsia="仿宋"/>
          <w:sz w:val="24"/>
          <w:highlight w:val="none"/>
        </w:rPr>
      </w:pPr>
    </w:p>
    <w:p w14:paraId="0DB39188">
      <w:pPr>
        <w:spacing w:line="360" w:lineRule="auto"/>
        <w:contextualSpacing/>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pacing w:val="20"/>
          <w:sz w:val="24"/>
          <w:highlight w:val="none"/>
          <w:u w:val="single"/>
        </w:rPr>
        <w:t xml:space="preserve">        </w:t>
      </w:r>
    </w:p>
    <w:p w14:paraId="3B3403B4">
      <w:pPr>
        <w:spacing w:line="360" w:lineRule="auto"/>
        <w:contextualSpacing/>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7B2AEF19">
      <w:pPr>
        <w:spacing w:line="360" w:lineRule="auto"/>
        <w:contextualSpacing/>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14:paraId="3D7DE683">
      <w:pPr>
        <w:snapToGrid w:val="0"/>
        <w:spacing w:before="50" w:after="120" w:afterLines="50"/>
        <w:jc w:val="left"/>
        <w:rPr>
          <w:rFonts w:hint="eastAsia" w:ascii="仿宋" w:hAnsi="仿宋" w:eastAsia="仿宋"/>
          <w:sz w:val="24"/>
          <w:szCs w:val="20"/>
          <w:highlight w:val="none"/>
        </w:rPr>
      </w:pPr>
    </w:p>
    <w:p w14:paraId="3A43098C">
      <w:pPr>
        <w:rPr>
          <w:rFonts w:hint="eastAsia" w:ascii="仿宋" w:hAnsi="仿宋" w:eastAsia="仿宋"/>
          <w:b/>
          <w:sz w:val="28"/>
          <w:szCs w:val="28"/>
          <w:highlight w:val="none"/>
        </w:rPr>
      </w:pPr>
      <w:r>
        <w:rPr>
          <w:rFonts w:ascii="仿宋" w:hAnsi="仿宋" w:eastAsia="仿宋"/>
          <w:b/>
          <w:bCs/>
          <w:sz w:val="24"/>
          <w:highlight w:val="none"/>
        </w:rPr>
        <w:br w:type="page"/>
      </w:r>
      <w:r>
        <w:rPr>
          <w:rFonts w:hint="eastAsia" w:ascii="仿宋" w:hAnsi="仿宋" w:eastAsia="仿宋"/>
          <w:b/>
          <w:sz w:val="28"/>
          <w:szCs w:val="28"/>
          <w:highlight w:val="none"/>
        </w:rPr>
        <w:t>五、其他文书、文件格式</w:t>
      </w:r>
    </w:p>
    <w:p w14:paraId="063DE105">
      <w:pPr>
        <w:snapToGrid w:val="0"/>
        <w:spacing w:before="120" w:beforeLines="50" w:after="50"/>
        <w:jc w:val="left"/>
        <w:rPr>
          <w:rFonts w:hint="eastAsia" w:ascii="仿宋" w:hAnsi="仿宋" w:eastAsia="仿宋"/>
          <w:highlight w:val="none"/>
        </w:rPr>
      </w:pPr>
      <w:r>
        <w:rPr>
          <w:rFonts w:ascii="仿宋" w:hAnsi="仿宋" w:eastAsia="仿宋"/>
          <w:b/>
          <w:sz w:val="24"/>
          <w:highlight w:val="none"/>
        </w:rPr>
        <w:t>1</w:t>
      </w:r>
      <w:r>
        <w:rPr>
          <w:rFonts w:hint="eastAsia" w:ascii="仿宋" w:hAnsi="仿宋" w:eastAsia="仿宋"/>
          <w:b/>
          <w:sz w:val="24"/>
          <w:highlight w:val="none"/>
        </w:rPr>
        <w:t>.中小企业声明函格式</w:t>
      </w:r>
    </w:p>
    <w:p w14:paraId="40A8E2DE">
      <w:pPr>
        <w:rPr>
          <w:rFonts w:hint="eastAsia" w:ascii="仿宋" w:hAnsi="仿宋" w:eastAsia="仿宋"/>
          <w:highlight w:val="none"/>
        </w:rPr>
      </w:pPr>
    </w:p>
    <w:p w14:paraId="044E5E3E">
      <w:pPr>
        <w:jc w:val="center"/>
        <w:rPr>
          <w:rFonts w:hint="eastAsia" w:ascii="仿宋" w:hAnsi="仿宋" w:eastAsia="仿宋" w:cs="方正小标宋简体"/>
          <w:sz w:val="44"/>
          <w:szCs w:val="44"/>
          <w:highlight w:val="none"/>
        </w:rPr>
      </w:pPr>
      <w:r>
        <w:rPr>
          <w:rFonts w:hint="eastAsia" w:ascii="仿宋" w:hAnsi="仿宋" w:eastAsia="仿宋" w:cs="方正小标宋简体"/>
          <w:sz w:val="44"/>
          <w:szCs w:val="44"/>
          <w:highlight w:val="none"/>
        </w:rPr>
        <w:t>中小企业声明函（货物）</w:t>
      </w:r>
    </w:p>
    <w:p w14:paraId="5FC6BC1D">
      <w:pPr>
        <w:spacing w:before="2" w:line="500" w:lineRule="exact"/>
        <w:rPr>
          <w:rFonts w:hint="eastAsia" w:ascii="仿宋" w:hAnsi="仿宋" w:eastAsia="仿宋" w:cs="宋体"/>
          <w:b/>
          <w:bCs/>
          <w:sz w:val="27"/>
          <w:szCs w:val="27"/>
          <w:highlight w:val="none"/>
        </w:rPr>
      </w:pPr>
    </w:p>
    <w:p w14:paraId="0F043E1B">
      <w:pPr>
        <w:pStyle w:val="18"/>
        <w:ind w:firstLine="480" w:firstLineChars="200"/>
        <w:rPr>
          <w:rFonts w:hint="eastAsia"/>
          <w:highlight w:val="none"/>
        </w:rPr>
      </w:pPr>
      <w:r>
        <w:rPr>
          <w:highlight w:val="none"/>
        </w:rPr>
        <w:t>本公司郑重声明，根据《政府采购促进中小企业发展管理办法》（财库﹝2020﹞46号）的规定，本公司参加</w:t>
      </w:r>
      <w:r>
        <w:rPr>
          <w:highlight w:val="none"/>
          <w:u w:val="single"/>
        </w:rPr>
        <w:t>（单位名称）</w:t>
      </w:r>
      <w:r>
        <w:rPr>
          <w:highlight w:val="none"/>
        </w:rPr>
        <w:t>的</w:t>
      </w:r>
      <w:r>
        <w:rPr>
          <w:highlight w:val="none"/>
          <w:u w:val="single"/>
        </w:rPr>
        <w:t>（项目名称）</w:t>
      </w:r>
      <w:r>
        <w:rPr>
          <w:highlight w:val="none"/>
        </w:rPr>
        <w:t>采购活动，提供的货物全部由符合政策要求的中小企业制造。相关企业的具体情况如下：</w:t>
      </w:r>
    </w:p>
    <w:p w14:paraId="437C701E">
      <w:pPr>
        <w:pStyle w:val="18"/>
        <w:rPr>
          <w:rFonts w:hint="eastAsia"/>
          <w:highlight w:val="none"/>
        </w:rPr>
      </w:pPr>
      <w:r>
        <w:rPr>
          <w:highlight w:val="none"/>
        </w:rPr>
        <w:t>1.</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14:paraId="5F0CDAFE">
      <w:pPr>
        <w:pStyle w:val="18"/>
        <w:rPr>
          <w:rFonts w:hint="eastAsia"/>
          <w:highlight w:val="none"/>
        </w:rPr>
      </w:pPr>
      <w:r>
        <w:rPr>
          <w:highlight w:val="none"/>
        </w:rPr>
        <w:t>2.</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14:paraId="4C0EB46B">
      <w:pPr>
        <w:pStyle w:val="18"/>
        <w:rPr>
          <w:rFonts w:hint="eastAsia"/>
          <w:highlight w:val="none"/>
        </w:rPr>
      </w:pPr>
      <w:r>
        <w:rPr>
          <w:highlight w:val="none"/>
        </w:rPr>
        <w:t>3.</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14:paraId="77B618AC">
      <w:pPr>
        <w:pStyle w:val="18"/>
        <w:rPr>
          <w:rFonts w:hint="eastAsia"/>
          <w:highlight w:val="none"/>
        </w:rPr>
      </w:pPr>
      <w:r>
        <w:rPr>
          <w:highlight w:val="none"/>
        </w:rPr>
        <w:t xml:space="preserve">…… </w:t>
      </w:r>
    </w:p>
    <w:p w14:paraId="0288AE9F">
      <w:pPr>
        <w:pStyle w:val="18"/>
        <w:ind w:firstLine="480" w:firstLineChars="200"/>
        <w:rPr>
          <w:rFonts w:hint="eastAsia"/>
          <w:highlight w:val="none"/>
        </w:rPr>
      </w:pPr>
      <w:r>
        <w:rPr>
          <w:highlight w:val="none"/>
        </w:rPr>
        <w:t>以上企业，不属于大企业的分支机构，不存在控股股东为大企业的情形，也不存在与大企业的负责人为同一人的情形。</w:t>
      </w:r>
    </w:p>
    <w:p w14:paraId="59C2D48B">
      <w:pPr>
        <w:pStyle w:val="18"/>
        <w:ind w:firstLine="480" w:firstLineChars="200"/>
        <w:rPr>
          <w:rFonts w:hint="eastAsia"/>
          <w:highlight w:val="none"/>
        </w:rPr>
      </w:pPr>
      <w:r>
        <w:rPr>
          <w:highlight w:val="none"/>
        </w:rPr>
        <w:t>本企业对上述声明内容的真实性负责。如有虚假，将依法承担相应责任。</w:t>
      </w:r>
    </w:p>
    <w:p w14:paraId="12F16B68">
      <w:pPr>
        <w:pStyle w:val="18"/>
        <w:rPr>
          <w:rFonts w:hint="eastAsia"/>
          <w:highlight w:val="none"/>
        </w:rPr>
      </w:pPr>
      <w:r>
        <w:rPr>
          <w:highlight w:val="none"/>
        </w:rPr>
        <w:t>企业名称（</w:t>
      </w:r>
      <w:r>
        <w:rPr>
          <w:rFonts w:hint="eastAsia"/>
          <w:highlight w:val="none"/>
          <w:lang w:val="en-US" w:eastAsia="zh-CN"/>
        </w:rPr>
        <w:t>CA</w:t>
      </w:r>
      <w:r>
        <w:rPr>
          <w:highlight w:val="none"/>
        </w:rPr>
        <w:t xml:space="preserve">章）： </w:t>
      </w:r>
    </w:p>
    <w:p w14:paraId="2C2002E2">
      <w:pPr>
        <w:pStyle w:val="18"/>
        <w:rPr>
          <w:rFonts w:hint="eastAsia"/>
          <w:highlight w:val="none"/>
        </w:rPr>
      </w:pPr>
    </w:p>
    <w:p w14:paraId="1751C2A3">
      <w:pPr>
        <w:pStyle w:val="18"/>
        <w:rPr>
          <w:rFonts w:hint="eastAsia"/>
          <w:highlight w:val="none"/>
        </w:rPr>
      </w:pPr>
      <w:r>
        <w:rPr>
          <w:highlight w:val="none"/>
        </w:rPr>
        <w:t>日</w:t>
      </w:r>
      <w:r>
        <w:rPr>
          <w:rFonts w:hint="eastAsia"/>
          <w:highlight w:val="none"/>
        </w:rPr>
        <w:t xml:space="preserve"> </w:t>
      </w:r>
      <w:r>
        <w:rPr>
          <w:highlight w:val="none"/>
        </w:rPr>
        <w:t>期：</w:t>
      </w:r>
    </w:p>
    <w:p w14:paraId="6BE79A1C">
      <w:pPr>
        <w:pStyle w:val="18"/>
        <w:rPr>
          <w:rFonts w:hint="eastAsia"/>
          <w:highlight w:val="none"/>
        </w:rPr>
      </w:pPr>
      <w:r>
        <w:rPr>
          <w:rFonts w:hint="eastAsia"/>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2BDEA431">
      <w:pPr>
        <w:pStyle w:val="25"/>
        <w:ind w:firstLine="0" w:firstLineChars="0"/>
        <w:rPr>
          <w:rFonts w:hint="eastAsia"/>
          <w:highlight w:val="none"/>
        </w:rPr>
      </w:pPr>
      <w:r>
        <w:rPr>
          <w:rFonts w:cs="Arial Unicode MS"/>
          <w:sz w:val="32"/>
          <w:szCs w:val="32"/>
          <w:highlight w:val="none"/>
        </w:rPr>
        <w:br w:type="page"/>
      </w:r>
      <w:r>
        <w:rPr>
          <w:highlight w:val="none"/>
        </w:rPr>
        <w:t>2</w:t>
      </w:r>
      <w:r>
        <w:rPr>
          <w:rFonts w:hint="eastAsia"/>
          <w:highlight w:val="none"/>
        </w:rPr>
        <w:t>.残疾人福利性单位声明函格式</w:t>
      </w:r>
    </w:p>
    <w:p w14:paraId="550DD49B">
      <w:pPr>
        <w:spacing w:line="588" w:lineRule="exact"/>
        <w:jc w:val="center"/>
        <w:rPr>
          <w:rFonts w:hint="eastAsia" w:ascii="仿宋" w:hAnsi="仿宋" w:eastAsia="仿宋"/>
          <w:b/>
          <w:spacing w:val="6"/>
          <w:sz w:val="32"/>
          <w:szCs w:val="32"/>
          <w:highlight w:val="none"/>
        </w:rPr>
      </w:pPr>
    </w:p>
    <w:p w14:paraId="1769A45A">
      <w:pPr>
        <w:spacing w:line="588" w:lineRule="exact"/>
        <w:jc w:val="center"/>
        <w:rPr>
          <w:rFonts w:hint="eastAsia" w:ascii="仿宋" w:hAnsi="仿宋" w:eastAsia="仿宋" w:cs="方正小标宋简体"/>
          <w:bCs/>
          <w:spacing w:val="6"/>
          <w:sz w:val="44"/>
          <w:szCs w:val="44"/>
          <w:highlight w:val="none"/>
        </w:rPr>
      </w:pPr>
      <w:r>
        <w:rPr>
          <w:rFonts w:hint="eastAsia" w:ascii="仿宋" w:hAnsi="仿宋" w:eastAsia="仿宋" w:cs="方正小标宋简体"/>
          <w:bCs/>
          <w:spacing w:val="6"/>
          <w:sz w:val="44"/>
          <w:szCs w:val="44"/>
          <w:highlight w:val="none"/>
        </w:rPr>
        <w:t>残疾人福利性单位声明函</w:t>
      </w:r>
    </w:p>
    <w:p w14:paraId="3AD67D32">
      <w:pPr>
        <w:spacing w:line="360" w:lineRule="auto"/>
        <w:contextualSpacing/>
        <w:rPr>
          <w:rFonts w:hint="eastAsia" w:ascii="仿宋" w:hAnsi="仿宋" w:eastAsia="仿宋"/>
          <w:bCs/>
          <w:spacing w:val="6"/>
          <w:sz w:val="30"/>
          <w:szCs w:val="30"/>
          <w:highlight w:val="none"/>
        </w:rPr>
      </w:pPr>
    </w:p>
    <w:p w14:paraId="2DAC113D">
      <w:pPr>
        <w:spacing w:line="360" w:lineRule="auto"/>
        <w:ind w:firstLine="504" w:firstLineChars="200"/>
        <w:contextualSpacing/>
        <w:rPr>
          <w:rFonts w:hint="eastAsia" w:ascii="仿宋" w:hAnsi="仿宋" w:eastAsia="仿宋"/>
          <w:spacing w:val="6"/>
          <w:sz w:val="24"/>
          <w:highlight w:val="none"/>
        </w:rPr>
      </w:pPr>
      <w:r>
        <w:rPr>
          <w:rFonts w:hint="eastAsia" w:ascii="仿宋" w:hAnsi="仿宋" w:eastAsia="仿宋"/>
          <w:spacing w:val="6"/>
          <w:sz w:val="24"/>
          <w:highlight w:val="none"/>
        </w:rPr>
        <w:t>本单位郑重声明，根据《财政部 民政部 中国残疾人联合会关于促进残疾人就业政府采购政策的通知》（财库</w:t>
      </w:r>
      <w:r>
        <w:rPr>
          <w:rFonts w:hint="eastAsia" w:ascii="仿宋" w:hAnsi="仿宋" w:eastAsia="仿宋"/>
          <w:sz w:val="24"/>
          <w:highlight w:val="none"/>
        </w:rPr>
        <w:t>〔2017〕 141</w:t>
      </w:r>
      <w:r>
        <w:rPr>
          <w:rFonts w:hint="eastAsia" w:ascii="仿宋" w:hAnsi="仿宋" w:eastAsia="仿宋"/>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仿宋" w:hAnsi="仿宋" w:eastAsia="仿宋"/>
          <w:spacing w:val="-6"/>
          <w:sz w:val="24"/>
          <w:highlight w:val="none"/>
        </w:rPr>
        <w:t>疾人福利性单位制造的货物（不包括使用非残疾人福利性单位注册商标的货物）。</w:t>
      </w:r>
    </w:p>
    <w:p w14:paraId="34A3C853">
      <w:pPr>
        <w:spacing w:line="360" w:lineRule="auto"/>
        <w:ind w:firstLine="504" w:firstLineChars="200"/>
        <w:contextualSpacing/>
        <w:rPr>
          <w:rFonts w:hint="eastAsia" w:ascii="仿宋" w:hAnsi="仿宋" w:eastAsia="仿宋"/>
          <w:spacing w:val="6"/>
          <w:sz w:val="24"/>
          <w:highlight w:val="none"/>
        </w:rPr>
      </w:pPr>
      <w:r>
        <w:rPr>
          <w:rFonts w:hint="eastAsia" w:ascii="仿宋" w:hAnsi="仿宋" w:eastAsia="仿宋"/>
          <w:spacing w:val="6"/>
          <w:sz w:val="24"/>
          <w:highlight w:val="none"/>
        </w:rPr>
        <w:t>本单位对上述声明的真实性负责。如有虚假，将依法承担相应责任。</w:t>
      </w:r>
    </w:p>
    <w:p w14:paraId="028CFB16">
      <w:pPr>
        <w:spacing w:line="360" w:lineRule="auto"/>
        <w:ind w:firstLine="504" w:firstLineChars="200"/>
        <w:contextualSpacing/>
        <w:rPr>
          <w:rFonts w:hint="eastAsia" w:ascii="仿宋" w:hAnsi="仿宋" w:eastAsia="仿宋"/>
          <w:spacing w:val="6"/>
          <w:sz w:val="24"/>
          <w:highlight w:val="none"/>
        </w:rPr>
      </w:pPr>
    </w:p>
    <w:p w14:paraId="691BBE2D">
      <w:pPr>
        <w:spacing w:line="360" w:lineRule="auto"/>
        <w:ind w:firstLine="504" w:firstLineChars="200"/>
        <w:contextualSpacing/>
        <w:rPr>
          <w:rFonts w:hint="eastAsia" w:ascii="仿宋" w:hAnsi="仿宋" w:eastAsia="仿宋"/>
          <w:spacing w:val="6"/>
          <w:sz w:val="24"/>
          <w:highlight w:val="none"/>
        </w:rPr>
      </w:pPr>
    </w:p>
    <w:p w14:paraId="05B87F5A">
      <w:pPr>
        <w:tabs>
          <w:tab w:val="left" w:pos="4860"/>
        </w:tabs>
        <w:spacing w:line="360" w:lineRule="auto"/>
        <w:ind w:right="1560" w:firstLine="504" w:firstLineChars="200"/>
        <w:contextualSpacing/>
        <w:jc w:val="center"/>
        <w:rPr>
          <w:rFonts w:hint="eastAsia" w:ascii="仿宋" w:hAnsi="仿宋" w:eastAsia="仿宋"/>
          <w:spacing w:val="6"/>
          <w:sz w:val="24"/>
          <w:highlight w:val="none"/>
        </w:rPr>
      </w:pPr>
      <w:r>
        <w:rPr>
          <w:rFonts w:hint="eastAsia" w:ascii="仿宋" w:hAnsi="仿宋" w:eastAsia="仿宋"/>
          <w:spacing w:val="6"/>
          <w:sz w:val="24"/>
          <w:highlight w:val="none"/>
        </w:rPr>
        <w:t>单位名称（</w:t>
      </w:r>
      <w:r>
        <w:rPr>
          <w:rFonts w:hint="eastAsia" w:ascii="仿宋" w:hAnsi="仿宋" w:eastAsia="仿宋"/>
          <w:spacing w:val="6"/>
          <w:sz w:val="24"/>
          <w:highlight w:val="none"/>
          <w:lang w:eastAsia="zh-CN"/>
        </w:rPr>
        <w:t>盖CA公章</w:t>
      </w:r>
      <w:r>
        <w:rPr>
          <w:rFonts w:hint="eastAsia" w:ascii="仿宋" w:hAnsi="仿宋" w:eastAsia="仿宋"/>
          <w:spacing w:val="6"/>
          <w:sz w:val="24"/>
          <w:highlight w:val="none"/>
        </w:rPr>
        <w:t>）：</w:t>
      </w:r>
    </w:p>
    <w:p w14:paraId="2FBB6C23">
      <w:pPr>
        <w:tabs>
          <w:tab w:val="left" w:pos="4860"/>
        </w:tabs>
        <w:spacing w:line="360" w:lineRule="auto"/>
        <w:ind w:right="1560" w:firstLine="504" w:firstLineChars="200"/>
        <w:contextualSpacing/>
        <w:jc w:val="center"/>
        <w:rPr>
          <w:rFonts w:hint="eastAsia" w:ascii="仿宋" w:hAnsi="仿宋" w:eastAsia="仿宋"/>
          <w:spacing w:val="6"/>
          <w:sz w:val="24"/>
          <w:highlight w:val="none"/>
        </w:rPr>
      </w:pPr>
      <w:r>
        <w:rPr>
          <w:rFonts w:hint="eastAsia" w:ascii="仿宋" w:hAnsi="仿宋" w:eastAsia="仿宋"/>
          <w:spacing w:val="6"/>
          <w:sz w:val="24"/>
          <w:highlight w:val="none"/>
        </w:rPr>
        <w:t>日  期：</w:t>
      </w:r>
    </w:p>
    <w:p w14:paraId="09A150E9">
      <w:pPr>
        <w:spacing w:line="360" w:lineRule="auto"/>
        <w:contextualSpacing/>
        <w:rPr>
          <w:rFonts w:hint="eastAsia" w:ascii="仿宋" w:hAnsi="仿宋" w:eastAsia="仿宋"/>
          <w:sz w:val="24"/>
          <w:highlight w:val="none"/>
        </w:rPr>
      </w:pPr>
    </w:p>
    <w:p w14:paraId="61D8BD6A">
      <w:pPr>
        <w:spacing w:line="360" w:lineRule="auto"/>
        <w:contextualSpacing/>
        <w:rPr>
          <w:rFonts w:hint="eastAsia" w:ascii="仿宋" w:hAnsi="仿宋" w:eastAsia="仿宋"/>
          <w:sz w:val="24"/>
          <w:highlight w:val="none"/>
        </w:rPr>
      </w:pPr>
    </w:p>
    <w:p w14:paraId="082FDD7A">
      <w:pPr>
        <w:spacing w:line="360" w:lineRule="auto"/>
        <w:contextualSpacing/>
        <w:rPr>
          <w:rFonts w:hint="eastAsia" w:ascii="仿宋" w:hAnsi="仿宋" w:eastAsia="仿宋"/>
          <w:sz w:val="24"/>
          <w:highlight w:val="none"/>
        </w:rPr>
      </w:pPr>
    </w:p>
    <w:p w14:paraId="52E7D21D">
      <w:pPr>
        <w:spacing w:line="360" w:lineRule="auto"/>
        <w:contextualSpacing/>
        <w:rPr>
          <w:rFonts w:hint="eastAsia" w:ascii="仿宋" w:hAnsi="仿宋" w:eastAsia="仿宋"/>
          <w:sz w:val="24"/>
          <w:highlight w:val="none"/>
        </w:rPr>
      </w:pPr>
      <w:r>
        <w:rPr>
          <w:rFonts w:hint="eastAsia" w:ascii="仿宋" w:hAnsi="仿宋" w:eastAsia="仿宋"/>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AC34B71">
      <w:pPr>
        <w:spacing w:line="360" w:lineRule="auto"/>
        <w:jc w:val="left"/>
        <w:rPr>
          <w:rFonts w:hint="eastAsia" w:ascii="仿宋" w:hAnsi="仿宋" w:eastAsia="仿宋"/>
          <w:sz w:val="24"/>
          <w:highlight w:val="none"/>
        </w:rPr>
      </w:pPr>
      <w:r>
        <w:rPr>
          <w:rFonts w:ascii="仿宋" w:hAnsi="仿宋" w:eastAsia="仿宋"/>
          <w:sz w:val="24"/>
          <w:highlight w:val="none"/>
        </w:rPr>
        <w:br w:type="page"/>
      </w:r>
      <w:r>
        <w:rPr>
          <w:rFonts w:ascii="仿宋" w:hAnsi="仿宋" w:eastAsia="仿宋"/>
          <w:b/>
          <w:sz w:val="24"/>
          <w:highlight w:val="none"/>
        </w:rPr>
        <w:t>3</w:t>
      </w:r>
      <w:r>
        <w:rPr>
          <w:rFonts w:hint="eastAsia" w:ascii="仿宋" w:hAnsi="仿宋" w:eastAsia="仿宋"/>
          <w:b/>
          <w:sz w:val="24"/>
          <w:highlight w:val="none"/>
        </w:rPr>
        <w:t>.质疑函格式</w:t>
      </w:r>
    </w:p>
    <w:p w14:paraId="280879F3">
      <w:pPr>
        <w:spacing w:line="500" w:lineRule="exact"/>
        <w:jc w:val="center"/>
        <w:rPr>
          <w:rFonts w:hint="eastAsia" w:ascii="仿宋" w:hAnsi="仿宋" w:eastAsia="仿宋" w:cs="方正小标宋简体"/>
          <w:b/>
          <w:sz w:val="36"/>
          <w:szCs w:val="36"/>
          <w:highlight w:val="none"/>
        </w:rPr>
      </w:pPr>
      <w:r>
        <w:rPr>
          <w:rFonts w:hint="eastAsia" w:ascii="仿宋" w:hAnsi="仿宋" w:eastAsia="仿宋" w:cs="方正小标宋简体"/>
          <w:b/>
          <w:sz w:val="36"/>
          <w:szCs w:val="36"/>
          <w:highlight w:val="none"/>
        </w:rPr>
        <w:t>质疑函</w:t>
      </w:r>
    </w:p>
    <w:p w14:paraId="397132E9">
      <w:pPr>
        <w:pStyle w:val="25"/>
        <w:spacing w:before="0" w:after="0" w:line="360" w:lineRule="exact"/>
        <w:ind w:firstLine="480"/>
        <w:rPr>
          <w:rFonts w:hint="eastAsia"/>
          <w:b w:val="0"/>
          <w:highlight w:val="none"/>
        </w:rPr>
      </w:pPr>
      <w:r>
        <w:rPr>
          <w:rFonts w:hint="eastAsia"/>
          <w:b w:val="0"/>
          <w:highlight w:val="none"/>
        </w:rPr>
        <w:t>一、质疑供应商基本信息：</w:t>
      </w:r>
    </w:p>
    <w:p w14:paraId="6FB8E6FB">
      <w:pPr>
        <w:pStyle w:val="25"/>
        <w:spacing w:before="0" w:after="0" w:line="360" w:lineRule="exact"/>
        <w:ind w:firstLine="480"/>
        <w:rPr>
          <w:rFonts w:hint="eastAsia"/>
          <w:b w:val="0"/>
          <w:highlight w:val="none"/>
        </w:rPr>
      </w:pPr>
      <w:r>
        <w:rPr>
          <w:rFonts w:hint="eastAsia"/>
          <w:b w:val="0"/>
          <w:highlight w:val="none"/>
        </w:rPr>
        <w:t>质疑供应商：</w:t>
      </w:r>
      <w:r>
        <w:rPr>
          <w:rFonts w:hint="eastAsia"/>
          <w:b w:val="0"/>
          <w:highlight w:val="none"/>
          <w:u w:val="single"/>
        </w:rPr>
        <w:t xml:space="preserve">                                                        </w:t>
      </w:r>
    </w:p>
    <w:p w14:paraId="4D153B32">
      <w:pPr>
        <w:pStyle w:val="25"/>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p>
    <w:p w14:paraId="3D8150CB">
      <w:pPr>
        <w:pStyle w:val="25"/>
        <w:spacing w:before="0" w:after="0" w:line="360" w:lineRule="exact"/>
        <w:ind w:firstLine="480"/>
        <w:rPr>
          <w:rFonts w:hint="eastAsia"/>
          <w:b w:val="0"/>
          <w:highlight w:val="none"/>
        </w:rPr>
      </w:pPr>
      <w:r>
        <w:rPr>
          <w:b w:val="0"/>
          <w:highlight w:val="none"/>
        </w:rPr>
        <w:t>联系人</w:t>
      </w:r>
      <w:r>
        <w:rPr>
          <w:rFonts w:hint="eastAsia"/>
          <w:b w:val="0"/>
          <w:highlight w:val="none"/>
        </w:rPr>
        <w:t>：</w:t>
      </w:r>
      <w:r>
        <w:rPr>
          <w:rFonts w:hint="eastAsia"/>
          <w:b w:val="0"/>
          <w:highlight w:val="none"/>
          <w:u w:val="single"/>
        </w:rPr>
        <w:t xml:space="preserve">                   </w:t>
      </w:r>
      <w:r>
        <w:rPr>
          <w:b w:val="0"/>
          <w:highlight w:val="none"/>
        </w:rPr>
        <w:t xml:space="preserve">  联系电话</w:t>
      </w:r>
      <w:r>
        <w:rPr>
          <w:rFonts w:hint="eastAsia"/>
          <w:b w:val="0"/>
          <w:highlight w:val="none"/>
        </w:rPr>
        <w:t>：</w:t>
      </w:r>
      <w:r>
        <w:rPr>
          <w:rFonts w:hint="eastAsia"/>
          <w:b w:val="0"/>
          <w:highlight w:val="none"/>
          <w:u w:val="single"/>
        </w:rPr>
        <w:t xml:space="preserve">                   </w:t>
      </w:r>
    </w:p>
    <w:p w14:paraId="29860D03">
      <w:pPr>
        <w:pStyle w:val="25"/>
        <w:spacing w:before="0" w:after="0" w:line="360" w:lineRule="exact"/>
        <w:ind w:firstLine="480"/>
        <w:rPr>
          <w:rFonts w:hint="eastAsia"/>
          <w:b w:val="0"/>
          <w:highlight w:val="none"/>
        </w:rPr>
      </w:pPr>
      <w:r>
        <w:rPr>
          <w:rFonts w:hint="eastAsia"/>
          <w:b w:val="0"/>
          <w:highlight w:val="none"/>
        </w:rPr>
        <w:t>授权代表：</w:t>
      </w:r>
      <w:r>
        <w:rPr>
          <w:rFonts w:hint="eastAsia"/>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p>
    <w:p w14:paraId="0413C9BE">
      <w:pPr>
        <w:pStyle w:val="25"/>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p>
    <w:p w14:paraId="4180B2C6">
      <w:pPr>
        <w:pStyle w:val="25"/>
        <w:spacing w:before="0" w:after="0" w:line="360" w:lineRule="exact"/>
        <w:ind w:firstLine="480"/>
        <w:rPr>
          <w:rFonts w:hint="eastAsia"/>
          <w:b w:val="0"/>
          <w:highlight w:val="none"/>
        </w:rPr>
      </w:pPr>
      <w:r>
        <w:rPr>
          <w:rFonts w:hint="eastAsia"/>
          <w:b w:val="0"/>
          <w:highlight w:val="none"/>
        </w:rPr>
        <w:t>二、质疑项目基本情况：</w:t>
      </w:r>
    </w:p>
    <w:p w14:paraId="6B5E88E6">
      <w:pPr>
        <w:pStyle w:val="25"/>
        <w:spacing w:before="0" w:after="0" w:line="360" w:lineRule="exact"/>
        <w:ind w:firstLine="480"/>
        <w:rPr>
          <w:rFonts w:hint="eastAsia"/>
          <w:b w:val="0"/>
          <w:highlight w:val="none"/>
        </w:rPr>
      </w:pPr>
      <w:r>
        <w:rPr>
          <w:rFonts w:hint="eastAsia"/>
          <w:b w:val="0"/>
          <w:highlight w:val="none"/>
        </w:rPr>
        <w:t>质疑项目的名称：</w:t>
      </w:r>
      <w:r>
        <w:rPr>
          <w:rFonts w:hint="eastAsia"/>
          <w:b w:val="0"/>
          <w:highlight w:val="none"/>
          <w:u w:val="single"/>
        </w:rPr>
        <w:t xml:space="preserve">                   </w:t>
      </w:r>
    </w:p>
    <w:p w14:paraId="0E707A9B">
      <w:pPr>
        <w:pStyle w:val="25"/>
        <w:spacing w:before="0" w:after="0" w:line="360" w:lineRule="exact"/>
        <w:ind w:firstLine="480"/>
        <w:rPr>
          <w:rFonts w:hint="eastAsia"/>
          <w:b w:val="0"/>
          <w:highlight w:val="none"/>
        </w:rPr>
      </w:pPr>
      <w:r>
        <w:rPr>
          <w:rFonts w:hint="eastAsia"/>
          <w:b w:val="0"/>
          <w:highlight w:val="none"/>
        </w:rPr>
        <w:t>质疑项目的编号：</w:t>
      </w:r>
      <w:r>
        <w:rPr>
          <w:rFonts w:hint="eastAsia"/>
          <w:b w:val="0"/>
          <w:highlight w:val="none"/>
          <w:u w:val="single"/>
        </w:rPr>
        <w:t xml:space="preserve">                   </w:t>
      </w:r>
    </w:p>
    <w:p w14:paraId="6FB62AAB">
      <w:pPr>
        <w:pStyle w:val="25"/>
        <w:spacing w:before="0" w:after="0" w:line="360" w:lineRule="exact"/>
        <w:ind w:firstLine="480"/>
        <w:rPr>
          <w:rFonts w:hint="eastAsia"/>
          <w:b w:val="0"/>
          <w:highlight w:val="none"/>
        </w:rPr>
      </w:pPr>
      <w:r>
        <w:rPr>
          <w:rFonts w:hint="eastAsia"/>
          <w:b w:val="0"/>
          <w:highlight w:val="none"/>
        </w:rPr>
        <w:t>采购人名称：</w:t>
      </w:r>
      <w:r>
        <w:rPr>
          <w:rFonts w:hint="eastAsia"/>
          <w:b w:val="0"/>
          <w:highlight w:val="none"/>
          <w:u w:val="single"/>
        </w:rPr>
        <w:t xml:space="preserve">                   </w:t>
      </w:r>
    </w:p>
    <w:p w14:paraId="0E777B52">
      <w:pPr>
        <w:pStyle w:val="25"/>
        <w:spacing w:before="0" w:after="0" w:line="360" w:lineRule="exact"/>
        <w:ind w:firstLine="480"/>
        <w:rPr>
          <w:rFonts w:hint="eastAsia"/>
          <w:b w:val="0"/>
          <w:highlight w:val="none"/>
        </w:rPr>
      </w:pPr>
      <w:r>
        <w:rPr>
          <w:rFonts w:hint="eastAsia"/>
          <w:b w:val="0"/>
          <w:highlight w:val="none"/>
        </w:rPr>
        <w:t>质疑事项：</w:t>
      </w:r>
    </w:p>
    <w:p w14:paraId="7E0EDC8A">
      <w:pPr>
        <w:pStyle w:val="25"/>
        <w:spacing w:before="0" w:after="0" w:line="360" w:lineRule="exact"/>
        <w:ind w:firstLine="480"/>
        <w:rPr>
          <w:rFonts w:hint="eastAsia"/>
          <w:b w:val="0"/>
          <w:highlight w:val="none"/>
        </w:rPr>
      </w:pPr>
      <w:r>
        <w:rPr>
          <w:rFonts w:hint="eastAsia"/>
          <w:b w:val="0"/>
          <w:highlight w:val="none"/>
        </w:rPr>
        <w:t xml:space="preserve">□招标文件   招标文件获取日期： </w:t>
      </w:r>
      <w:r>
        <w:rPr>
          <w:rFonts w:hint="eastAsia"/>
          <w:b w:val="0"/>
          <w:highlight w:val="none"/>
          <w:u w:val="single"/>
        </w:rPr>
        <w:t xml:space="preserve">                   </w:t>
      </w:r>
    </w:p>
    <w:p w14:paraId="3E1002F6">
      <w:pPr>
        <w:pStyle w:val="25"/>
        <w:spacing w:before="0" w:after="0" w:line="360" w:lineRule="exact"/>
        <w:ind w:firstLine="480"/>
        <w:rPr>
          <w:rFonts w:hint="eastAsia"/>
          <w:b w:val="0"/>
          <w:highlight w:val="none"/>
        </w:rPr>
      </w:pPr>
      <w:r>
        <w:rPr>
          <w:rFonts w:hint="eastAsia"/>
          <w:b w:val="0"/>
          <w:highlight w:val="none"/>
        </w:rPr>
        <w:t xml:space="preserve">□采购过程   </w:t>
      </w:r>
    </w:p>
    <w:p w14:paraId="04A1375E">
      <w:pPr>
        <w:pStyle w:val="25"/>
        <w:spacing w:before="0" w:after="0" w:line="360" w:lineRule="exact"/>
        <w:ind w:firstLine="480"/>
        <w:rPr>
          <w:rFonts w:hint="eastAsia"/>
          <w:b w:val="0"/>
          <w:bCs/>
          <w:highlight w:val="none"/>
          <w:u w:val="single"/>
        </w:rPr>
      </w:pPr>
      <w:r>
        <w:rPr>
          <w:rFonts w:hint="eastAsia"/>
          <w:b w:val="0"/>
          <w:highlight w:val="none"/>
        </w:rPr>
        <w:t xml:space="preserve">□中标结果   </w:t>
      </w:r>
    </w:p>
    <w:p w14:paraId="63F9ACE3">
      <w:pPr>
        <w:pStyle w:val="25"/>
        <w:spacing w:before="0" w:after="0" w:line="360" w:lineRule="exact"/>
        <w:ind w:firstLine="480"/>
        <w:rPr>
          <w:rFonts w:hint="eastAsia"/>
          <w:b w:val="0"/>
          <w:highlight w:val="none"/>
        </w:rPr>
      </w:pPr>
      <w:r>
        <w:rPr>
          <w:rFonts w:hint="eastAsia"/>
          <w:b w:val="0"/>
          <w:highlight w:val="none"/>
        </w:rPr>
        <w:t>三、质疑事项具体内容</w:t>
      </w:r>
    </w:p>
    <w:p w14:paraId="3D27DA3D">
      <w:pPr>
        <w:pStyle w:val="25"/>
        <w:spacing w:before="0" w:after="0" w:line="360" w:lineRule="exact"/>
        <w:ind w:firstLine="480"/>
        <w:rPr>
          <w:rFonts w:hint="eastAsia"/>
          <w:b w:val="0"/>
          <w:highlight w:val="none"/>
        </w:rPr>
      </w:pPr>
      <w:r>
        <w:rPr>
          <w:rFonts w:hint="eastAsia"/>
          <w:b w:val="0"/>
          <w:highlight w:val="none"/>
        </w:rPr>
        <w:t>质疑事项1：</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p>
    <w:p w14:paraId="248207AE">
      <w:pPr>
        <w:pStyle w:val="25"/>
        <w:spacing w:before="0" w:after="0" w:line="360" w:lineRule="exact"/>
        <w:ind w:firstLine="480"/>
        <w:rPr>
          <w:rFonts w:hint="eastAsia"/>
          <w:b w:val="0"/>
          <w:highlight w:val="none"/>
        </w:rPr>
      </w:pPr>
      <w:r>
        <w:rPr>
          <w:rFonts w:hint="eastAsia"/>
          <w:b w:val="0"/>
          <w:highlight w:val="none"/>
        </w:rPr>
        <w:t>事实依据：</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14:paraId="618F4D52">
      <w:pPr>
        <w:pStyle w:val="25"/>
        <w:spacing w:before="0" w:after="0" w:line="360" w:lineRule="exact"/>
        <w:ind w:firstLine="480"/>
        <w:rPr>
          <w:rFonts w:hint="eastAsia"/>
          <w:b w:val="0"/>
          <w:highlight w:val="none"/>
        </w:rPr>
      </w:pPr>
      <w:r>
        <w:rPr>
          <w:rFonts w:hint="eastAsia"/>
          <w:b w:val="0"/>
          <w:highlight w:val="none"/>
        </w:rPr>
        <w:t>法律依据：</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14:paraId="6C38EA45">
      <w:pPr>
        <w:pStyle w:val="25"/>
        <w:spacing w:before="0" w:after="0" w:line="360" w:lineRule="exact"/>
        <w:ind w:firstLine="480"/>
        <w:rPr>
          <w:rFonts w:hint="eastAsia"/>
          <w:b w:val="0"/>
          <w:highlight w:val="none"/>
        </w:rPr>
      </w:pPr>
    </w:p>
    <w:p w14:paraId="37899D84">
      <w:pPr>
        <w:pStyle w:val="25"/>
        <w:spacing w:before="0" w:after="0" w:line="360" w:lineRule="exact"/>
        <w:ind w:firstLine="480"/>
        <w:rPr>
          <w:rFonts w:hint="eastAsia"/>
          <w:b w:val="0"/>
          <w:highlight w:val="none"/>
        </w:rPr>
      </w:pPr>
      <w:r>
        <w:rPr>
          <w:rFonts w:hint="eastAsia"/>
          <w:b w:val="0"/>
          <w:highlight w:val="none"/>
        </w:rPr>
        <w:t>质疑事项2</w:t>
      </w:r>
    </w:p>
    <w:p w14:paraId="6A3E792D">
      <w:pPr>
        <w:pStyle w:val="25"/>
        <w:spacing w:before="0" w:after="0" w:line="360" w:lineRule="exact"/>
        <w:ind w:firstLine="480"/>
        <w:rPr>
          <w:rFonts w:hint="eastAsia"/>
          <w:b w:val="0"/>
          <w:highlight w:val="none"/>
        </w:rPr>
      </w:pPr>
      <w:r>
        <w:rPr>
          <w:b w:val="0"/>
          <w:highlight w:val="none"/>
        </w:rPr>
        <w:t>……</w:t>
      </w:r>
    </w:p>
    <w:p w14:paraId="15095D98">
      <w:pPr>
        <w:pStyle w:val="25"/>
        <w:spacing w:before="0" w:after="0" w:line="360" w:lineRule="exact"/>
        <w:ind w:firstLine="480"/>
        <w:rPr>
          <w:rFonts w:hint="eastAsia"/>
          <w:b w:val="0"/>
          <w:highlight w:val="none"/>
        </w:rPr>
      </w:pPr>
      <w:r>
        <w:rPr>
          <w:rFonts w:hint="eastAsia"/>
          <w:b w:val="0"/>
          <w:highlight w:val="none"/>
        </w:rPr>
        <w:t>四、与质疑事项相关的质疑请求：</w:t>
      </w:r>
    </w:p>
    <w:p w14:paraId="35D127B4">
      <w:pPr>
        <w:pStyle w:val="25"/>
        <w:spacing w:before="0" w:after="0" w:line="360" w:lineRule="exact"/>
        <w:ind w:firstLine="480"/>
        <w:rPr>
          <w:rFonts w:hint="eastAsia"/>
          <w:b w:val="0"/>
          <w:highlight w:val="none"/>
        </w:rPr>
      </w:pPr>
      <w:r>
        <w:rPr>
          <w:rFonts w:hint="eastAsia"/>
          <w:b w:val="0"/>
          <w:highlight w:val="none"/>
        </w:rPr>
        <w:t>请求：</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14:paraId="35DD0997">
      <w:pPr>
        <w:pStyle w:val="25"/>
        <w:spacing w:before="0" w:after="0" w:line="360" w:lineRule="exact"/>
        <w:ind w:firstLine="480"/>
        <w:rPr>
          <w:rFonts w:hint="eastAsia"/>
          <w:b w:val="0"/>
          <w:highlight w:val="none"/>
        </w:rPr>
      </w:pPr>
    </w:p>
    <w:p w14:paraId="55225F19">
      <w:pPr>
        <w:pStyle w:val="25"/>
        <w:spacing w:before="0" w:after="0" w:line="360" w:lineRule="exact"/>
        <w:ind w:firstLine="480"/>
        <w:rPr>
          <w:rFonts w:hint="eastAsia"/>
          <w:b w:val="0"/>
          <w:highlight w:val="none"/>
        </w:rPr>
      </w:pPr>
      <w:r>
        <w:rPr>
          <w:rFonts w:hint="eastAsia"/>
          <w:b w:val="0"/>
          <w:highlight w:val="none"/>
        </w:rPr>
        <w:t>签字（签章）：</w:t>
      </w:r>
      <w:r>
        <w:rPr>
          <w:b w:val="0"/>
          <w:highlight w:val="none"/>
          <w:u w:val="singl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14:paraId="28218391">
      <w:pPr>
        <w:pStyle w:val="25"/>
        <w:spacing w:before="0" w:after="0" w:line="360" w:lineRule="exact"/>
        <w:ind w:firstLine="480"/>
        <w:rPr>
          <w:rFonts w:hint="eastAsia"/>
          <w:b w:val="0"/>
          <w:highlight w:val="none"/>
        </w:rPr>
      </w:pPr>
      <w:r>
        <w:rPr>
          <w:rFonts w:hint="eastAsia"/>
          <w:b w:val="0"/>
          <w:highlight w:val="none"/>
        </w:rPr>
        <w:t>公章：</w:t>
      </w:r>
      <w:r>
        <w:rPr>
          <w:rFonts w:hint="eastAsia"/>
          <w:b w:val="0"/>
          <w:highlight w:val="none"/>
          <w:u w:val="single"/>
        </w:rPr>
        <w:t xml:space="preserve">             </w:t>
      </w:r>
      <w:r>
        <w:rPr>
          <w:b w:val="0"/>
          <w:highlight w:val="none"/>
          <w:u w:val="single"/>
        </w:rPr>
        <w:t xml:space="preserve">                     </w:t>
      </w:r>
    </w:p>
    <w:p w14:paraId="74669760">
      <w:pPr>
        <w:pStyle w:val="25"/>
        <w:spacing w:before="0" w:after="0" w:line="360" w:lineRule="exact"/>
        <w:ind w:firstLine="480"/>
        <w:rPr>
          <w:rFonts w:hint="eastAsia"/>
          <w:b w:val="0"/>
          <w:highlight w:val="none"/>
        </w:rPr>
      </w:pPr>
      <w:r>
        <w:rPr>
          <w:rFonts w:hint="eastAsia"/>
          <w:b w:val="0"/>
          <w:highlight w:val="none"/>
        </w:rPr>
        <w:t>日期：</w:t>
      </w:r>
      <w:r>
        <w:rPr>
          <w:rFonts w:hint="eastAsia"/>
          <w:b w:val="0"/>
          <w:highlight w:val="none"/>
          <w:u w:val="single"/>
        </w:rPr>
        <w:t xml:space="preserve">             </w:t>
      </w:r>
    </w:p>
    <w:p w14:paraId="5C72FC0B">
      <w:pPr>
        <w:pStyle w:val="25"/>
        <w:spacing w:before="0" w:after="0" w:line="340" w:lineRule="exact"/>
        <w:ind w:firstLine="480"/>
        <w:rPr>
          <w:rFonts w:hint="eastAsia"/>
          <w:b w:val="0"/>
          <w:highlight w:val="none"/>
        </w:rPr>
      </w:pPr>
      <w:r>
        <w:rPr>
          <w:rFonts w:hint="eastAsia"/>
          <w:b w:val="0"/>
          <w:highlight w:val="none"/>
        </w:rPr>
        <w:t>说明：</w:t>
      </w:r>
    </w:p>
    <w:p w14:paraId="082F4278">
      <w:pPr>
        <w:pStyle w:val="25"/>
        <w:spacing w:before="0" w:after="0" w:line="340" w:lineRule="exact"/>
        <w:ind w:firstLine="480"/>
        <w:rPr>
          <w:rFonts w:hint="eastAsia"/>
          <w:b w:val="0"/>
          <w:bCs/>
          <w:highlight w:val="none"/>
        </w:rPr>
      </w:pPr>
      <w:r>
        <w:rPr>
          <w:rFonts w:hint="eastAsia"/>
          <w:b w:val="0"/>
          <w:highlight w:val="none"/>
        </w:rPr>
        <w:t>1.供应商提出质疑时，应提交质疑函和必要的证明材料</w:t>
      </w:r>
      <w:r>
        <w:rPr>
          <w:rFonts w:hint="eastAsia"/>
          <w:b w:val="0"/>
          <w:bCs/>
          <w:highlight w:val="none"/>
        </w:rPr>
        <w:t>。</w:t>
      </w:r>
    </w:p>
    <w:p w14:paraId="2B263A09">
      <w:pPr>
        <w:pStyle w:val="25"/>
        <w:spacing w:before="0" w:after="0" w:line="340" w:lineRule="exact"/>
        <w:ind w:firstLine="480"/>
        <w:rPr>
          <w:rFonts w:hint="eastAsia"/>
          <w:b w:val="0"/>
          <w:highlight w:val="none"/>
        </w:rPr>
      </w:pPr>
      <w:r>
        <w:rPr>
          <w:rFonts w:hint="eastAsia"/>
          <w:b w:val="0"/>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220A39B">
      <w:pPr>
        <w:pStyle w:val="25"/>
        <w:spacing w:before="0" w:after="0" w:line="340" w:lineRule="exact"/>
        <w:ind w:firstLine="480"/>
        <w:rPr>
          <w:rFonts w:hint="eastAsia"/>
          <w:b w:val="0"/>
          <w:highlight w:val="none"/>
        </w:rPr>
      </w:pPr>
      <w:r>
        <w:rPr>
          <w:rFonts w:hint="eastAsia"/>
          <w:b w:val="0"/>
          <w:highlight w:val="none"/>
        </w:rPr>
        <w:t>3.质疑函的质疑事项应具体、明确，并有必要的事实依据和法律依据。</w:t>
      </w:r>
    </w:p>
    <w:p w14:paraId="773D9318">
      <w:pPr>
        <w:pStyle w:val="25"/>
        <w:spacing w:before="0" w:after="0" w:line="340" w:lineRule="exact"/>
        <w:ind w:firstLine="480"/>
        <w:rPr>
          <w:rFonts w:hint="eastAsia"/>
          <w:b w:val="0"/>
          <w:highlight w:val="none"/>
        </w:rPr>
      </w:pPr>
      <w:r>
        <w:rPr>
          <w:rFonts w:hint="eastAsia"/>
          <w:b w:val="0"/>
          <w:highlight w:val="none"/>
        </w:rPr>
        <w:t>4.质疑函的质疑请求应与质疑事项相关。</w:t>
      </w:r>
    </w:p>
    <w:p w14:paraId="0F72B75E">
      <w:pPr>
        <w:pStyle w:val="25"/>
        <w:spacing w:before="0" w:after="0" w:line="340" w:lineRule="exact"/>
        <w:ind w:firstLine="480"/>
        <w:rPr>
          <w:rFonts w:hint="eastAsia"/>
          <w:b w:val="0"/>
          <w:bCs/>
          <w:highlight w:val="none"/>
        </w:rPr>
      </w:pPr>
      <w:r>
        <w:rPr>
          <w:rFonts w:hint="eastAsia"/>
          <w:b w:val="0"/>
          <w:highlight w:val="none"/>
        </w:rPr>
        <w:t>5.质疑供应商为法人或者其他组织的，质疑函应由法定代表人、主要负责人，或者其授权代表</w:t>
      </w:r>
      <w:r>
        <w:rPr>
          <w:rFonts w:hint="eastAsia"/>
          <w:b w:val="0"/>
          <w:highlight w:val="none"/>
          <w:lang w:eastAsia="zh-CN"/>
        </w:rPr>
        <w:t>签字或者盖章</w:t>
      </w:r>
      <w:r>
        <w:rPr>
          <w:rFonts w:hint="eastAsia"/>
          <w:b w:val="0"/>
          <w:highlight w:val="none"/>
        </w:rPr>
        <w:t>，并加</w:t>
      </w:r>
      <w:r>
        <w:rPr>
          <w:rFonts w:hint="eastAsia"/>
          <w:b w:val="0"/>
          <w:highlight w:val="none"/>
          <w:lang w:eastAsia="zh-CN"/>
        </w:rPr>
        <w:t>盖公章</w:t>
      </w:r>
      <w:r>
        <w:rPr>
          <w:rFonts w:hint="eastAsia"/>
          <w:b w:val="0"/>
          <w:highlight w:val="none"/>
        </w:rPr>
        <w:t>。</w:t>
      </w:r>
    </w:p>
    <w:p w14:paraId="2E8C7AAD">
      <w:pPr>
        <w:spacing w:line="360" w:lineRule="auto"/>
        <w:jc w:val="left"/>
        <w:rPr>
          <w:rFonts w:hint="eastAsia" w:ascii="仿宋" w:hAnsi="仿宋" w:eastAsia="仿宋"/>
          <w:b/>
          <w:bCs/>
          <w:sz w:val="32"/>
          <w:szCs w:val="32"/>
          <w:highlight w:val="none"/>
        </w:rPr>
      </w:pPr>
      <w:r>
        <w:rPr>
          <w:rFonts w:ascii="仿宋" w:hAnsi="仿宋" w:eastAsia="仿宋"/>
          <w:sz w:val="44"/>
          <w:highlight w:val="none"/>
        </w:rPr>
        <w:br w:type="page"/>
      </w:r>
      <w:r>
        <w:rPr>
          <w:rFonts w:ascii="仿宋" w:hAnsi="仿宋" w:eastAsia="仿宋"/>
          <w:b/>
          <w:sz w:val="24"/>
          <w:highlight w:val="none"/>
        </w:rPr>
        <w:t>4</w:t>
      </w:r>
      <w:r>
        <w:rPr>
          <w:rFonts w:hint="eastAsia" w:ascii="仿宋" w:hAnsi="仿宋" w:eastAsia="仿宋"/>
          <w:b/>
          <w:sz w:val="24"/>
          <w:highlight w:val="none"/>
        </w:rPr>
        <w:t>.投诉书格式</w:t>
      </w:r>
    </w:p>
    <w:p w14:paraId="084AC19E">
      <w:pPr>
        <w:spacing w:line="500" w:lineRule="exact"/>
        <w:jc w:val="center"/>
        <w:rPr>
          <w:rFonts w:hint="eastAsia" w:ascii="仿宋" w:hAnsi="仿宋" w:eastAsia="仿宋" w:cs="方正小标宋简体"/>
          <w:b/>
          <w:sz w:val="36"/>
          <w:szCs w:val="36"/>
          <w:highlight w:val="none"/>
        </w:rPr>
      </w:pPr>
      <w:r>
        <w:rPr>
          <w:rFonts w:hint="eastAsia" w:ascii="仿宋" w:hAnsi="仿宋" w:eastAsia="仿宋" w:cs="方正小标宋简体"/>
          <w:b/>
          <w:sz w:val="36"/>
          <w:szCs w:val="36"/>
          <w:highlight w:val="none"/>
        </w:rPr>
        <w:t>投诉书</w:t>
      </w:r>
    </w:p>
    <w:p w14:paraId="4D053A0C">
      <w:pPr>
        <w:pStyle w:val="25"/>
        <w:spacing w:before="0" w:after="0" w:line="360" w:lineRule="exact"/>
        <w:ind w:firstLine="480"/>
        <w:rPr>
          <w:rFonts w:hint="eastAsia"/>
          <w:b w:val="0"/>
          <w:highlight w:val="none"/>
        </w:rPr>
      </w:pPr>
      <w:r>
        <w:rPr>
          <w:rFonts w:hint="eastAsia"/>
          <w:b w:val="0"/>
          <w:highlight w:val="none"/>
        </w:rPr>
        <w:t>一、投诉相关主体基本情况：</w:t>
      </w:r>
    </w:p>
    <w:p w14:paraId="0F7DAFC1">
      <w:pPr>
        <w:pStyle w:val="25"/>
        <w:spacing w:before="0" w:after="0" w:line="360" w:lineRule="exact"/>
        <w:ind w:firstLine="480"/>
        <w:rPr>
          <w:rFonts w:hint="eastAsia"/>
          <w:b w:val="0"/>
          <w:highlight w:val="none"/>
        </w:rPr>
      </w:pPr>
      <w:r>
        <w:rPr>
          <w:rFonts w:hint="eastAsia"/>
          <w:b w:val="0"/>
          <w:highlight w:val="none"/>
        </w:rPr>
        <w:t>投标人：</w:t>
      </w:r>
      <w:r>
        <w:rPr>
          <w:rFonts w:hint="eastAsia"/>
          <w:b w:val="0"/>
          <w:highlight w:val="none"/>
          <w:u w:val="single"/>
        </w:rPr>
        <w:t xml:space="preserve">             </w:t>
      </w:r>
      <w:r>
        <w:rPr>
          <w:b w:val="0"/>
          <w:highlight w:val="none"/>
          <w:u w:val="single"/>
        </w:rPr>
        <w:t xml:space="preserve">                     </w:t>
      </w:r>
    </w:p>
    <w:p w14:paraId="31607A22">
      <w:pPr>
        <w:pStyle w:val="25"/>
        <w:spacing w:before="0" w:after="0" w:line="360" w:lineRule="exact"/>
        <w:ind w:firstLine="480"/>
        <w:rPr>
          <w:rFonts w:hint="eastAsia"/>
          <w:b w:val="0"/>
          <w:highlight w:val="none"/>
          <w:u w:val="single"/>
        </w:rPr>
      </w:pPr>
      <w:r>
        <w:rPr>
          <w:b w:val="0"/>
          <w:highlight w:val="none"/>
        </w:rPr>
        <w:t>地址</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p>
    <w:p w14:paraId="78595601">
      <w:pPr>
        <w:pStyle w:val="25"/>
        <w:spacing w:before="0" w:after="0" w:line="360" w:lineRule="exact"/>
        <w:ind w:firstLine="480"/>
        <w:rPr>
          <w:rFonts w:hint="eastAsia"/>
          <w:b w:val="0"/>
          <w:highlight w:val="none"/>
        </w:rPr>
      </w:pPr>
      <w:r>
        <w:rPr>
          <w:rFonts w:hint="eastAsia"/>
          <w:b w:val="0"/>
          <w:highlight w:val="none"/>
        </w:rPr>
        <w:t xml:space="preserve">法定代表人/主要负责人： </w:t>
      </w:r>
      <w:r>
        <w:rPr>
          <w:rFonts w:hint="eastAsia"/>
          <w:b w:val="0"/>
          <w:highlight w:val="none"/>
          <w:u w:val="single"/>
        </w:rPr>
        <w:t xml:space="preserve">             </w:t>
      </w:r>
      <w:r>
        <w:rPr>
          <w:b w:val="0"/>
          <w:highlight w:val="none"/>
          <w:u w:val="single"/>
        </w:rPr>
        <w:t xml:space="preserve">                     </w:t>
      </w:r>
    </w:p>
    <w:p w14:paraId="37DB0502">
      <w:pPr>
        <w:pStyle w:val="25"/>
        <w:spacing w:before="0" w:after="0" w:line="360" w:lineRule="exact"/>
        <w:ind w:firstLine="480"/>
        <w:rPr>
          <w:rFonts w:hint="eastAsia"/>
          <w:b w:val="0"/>
          <w:highlight w:val="none"/>
        </w:rPr>
      </w:pPr>
      <w:r>
        <w:rPr>
          <w:b w:val="0"/>
          <w:highlight w:val="none"/>
        </w:rPr>
        <w:t>联系电话</w:t>
      </w:r>
      <w:r>
        <w:rPr>
          <w:rFonts w:hint="eastAsia"/>
          <w:b w:val="0"/>
          <w:highlight w:val="none"/>
        </w:rPr>
        <w:t>：</w:t>
      </w:r>
      <w:r>
        <w:rPr>
          <w:rFonts w:hint="eastAsia"/>
          <w:b w:val="0"/>
          <w:highlight w:val="none"/>
          <w:u w:val="single"/>
        </w:rPr>
        <w:t xml:space="preserve">             </w:t>
      </w:r>
      <w:r>
        <w:rPr>
          <w:b w:val="0"/>
          <w:highlight w:val="none"/>
          <w:u w:val="single"/>
        </w:rPr>
        <w:t xml:space="preserve">                     </w:t>
      </w:r>
    </w:p>
    <w:p w14:paraId="7E9CF58F">
      <w:pPr>
        <w:pStyle w:val="25"/>
        <w:spacing w:before="0" w:after="0" w:line="360" w:lineRule="exact"/>
        <w:ind w:firstLine="480"/>
        <w:rPr>
          <w:rFonts w:hint="eastAsia"/>
          <w:b w:val="0"/>
          <w:highlight w:val="none"/>
        </w:rPr>
      </w:pPr>
      <w:r>
        <w:rPr>
          <w:rFonts w:hint="eastAsia"/>
          <w:b w:val="0"/>
          <w:highlight w:val="none"/>
        </w:rPr>
        <w:t>授权代表：</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14:paraId="2CF25885">
      <w:pPr>
        <w:pStyle w:val="25"/>
        <w:spacing w:before="0" w:after="0" w:line="360" w:lineRule="exact"/>
        <w:ind w:firstLine="480"/>
        <w:rPr>
          <w:rFonts w:hint="eastAsia"/>
          <w:b w:val="0"/>
          <w:highlight w:val="none"/>
        </w:rPr>
      </w:pPr>
      <w:r>
        <w:rPr>
          <w:b w:val="0"/>
          <w:highlight w:val="none"/>
        </w:rPr>
        <w:t>地址</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14:paraId="01642528">
      <w:pPr>
        <w:pStyle w:val="25"/>
        <w:spacing w:before="0" w:after="0" w:line="360" w:lineRule="exact"/>
        <w:ind w:firstLine="480"/>
        <w:rPr>
          <w:rFonts w:hint="eastAsia"/>
          <w:b w:val="0"/>
          <w:highlight w:val="none"/>
        </w:rPr>
      </w:pPr>
      <w:r>
        <w:rPr>
          <w:b w:val="0"/>
          <w:highlight w:val="none"/>
        </w:rPr>
        <w:t>邮编</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p>
    <w:p w14:paraId="29DC2A96">
      <w:pPr>
        <w:pStyle w:val="25"/>
        <w:spacing w:before="0" w:after="0" w:line="360" w:lineRule="exact"/>
        <w:ind w:firstLine="480"/>
        <w:rPr>
          <w:rFonts w:hint="eastAsia"/>
          <w:b w:val="0"/>
          <w:highlight w:val="none"/>
        </w:rPr>
      </w:pPr>
      <w:r>
        <w:rPr>
          <w:rFonts w:hint="eastAsia"/>
          <w:b w:val="0"/>
          <w:highlight w:val="none"/>
        </w:rPr>
        <w:t>被投诉人1：</w:t>
      </w:r>
      <w:r>
        <w:rPr>
          <w:rFonts w:hint="eastAsia"/>
          <w:b w:val="0"/>
          <w:highlight w:val="none"/>
          <w:u w:val="single"/>
        </w:rPr>
        <w:t xml:space="preserve">             </w:t>
      </w:r>
      <w:r>
        <w:rPr>
          <w:b w:val="0"/>
          <w:highlight w:val="none"/>
          <w:u w:val="single"/>
        </w:rPr>
        <w:t xml:space="preserve">                     </w:t>
      </w:r>
    </w:p>
    <w:p w14:paraId="44382D70">
      <w:pPr>
        <w:pStyle w:val="25"/>
        <w:spacing w:before="0" w:after="0" w:line="360" w:lineRule="exact"/>
        <w:ind w:firstLine="480"/>
        <w:rPr>
          <w:rFonts w:hint="eastAsia"/>
          <w:b w:val="0"/>
          <w:highlight w:val="none"/>
        </w:rPr>
      </w:pPr>
      <w:r>
        <w:rPr>
          <w:rFonts w:hint="eastAsia"/>
          <w:b w:val="0"/>
          <w:highlight w:val="none"/>
        </w:rPr>
        <w:t>地址：</w:t>
      </w:r>
      <w:r>
        <w:rPr>
          <w:rFonts w:hint="eastAsia"/>
          <w:b w:val="0"/>
          <w:highlight w:val="none"/>
          <w:u w:val="single"/>
        </w:rPr>
        <w:t xml:space="preserve">             </w:t>
      </w:r>
      <w:r>
        <w:rPr>
          <w:b w:val="0"/>
          <w:highlight w:val="none"/>
          <w:u w:val="single"/>
        </w:rPr>
        <w:t xml:space="preserve">                     </w:t>
      </w:r>
    </w:p>
    <w:p w14:paraId="47B4188E">
      <w:pPr>
        <w:pStyle w:val="25"/>
        <w:spacing w:before="0" w:after="0" w:line="360" w:lineRule="exact"/>
        <w:ind w:firstLine="480"/>
        <w:rPr>
          <w:rFonts w:hint="eastAsia"/>
          <w:b w:val="0"/>
          <w:highlight w:val="none"/>
        </w:rPr>
      </w:pPr>
      <w:r>
        <w:rPr>
          <w:b w:val="0"/>
          <w:highlight w:val="none"/>
        </w:rPr>
        <w:t>邮编</w:t>
      </w:r>
      <w:r>
        <w:rPr>
          <w:rFonts w:hint="eastAsia"/>
          <w:b w:val="0"/>
          <w:highlight w:val="none"/>
        </w:rPr>
        <w:t>：</w:t>
      </w:r>
      <w:r>
        <w:rPr>
          <w:rFonts w:hint="eastAsia"/>
          <w:b w:val="0"/>
          <w:highlight w:val="none"/>
          <w:u w:val="single"/>
        </w:rPr>
        <w:t xml:space="preserve">             </w:t>
      </w:r>
      <w:r>
        <w:rPr>
          <w:b w:val="0"/>
          <w:highlight w:val="none"/>
          <w:u w:val="single"/>
        </w:rPr>
        <w:t xml:space="preserve">                     </w:t>
      </w:r>
    </w:p>
    <w:p w14:paraId="7C174194">
      <w:pPr>
        <w:pStyle w:val="25"/>
        <w:spacing w:before="0" w:after="0" w:line="360" w:lineRule="exact"/>
        <w:ind w:firstLine="480"/>
        <w:rPr>
          <w:rFonts w:hint="eastAsia"/>
          <w:b w:val="0"/>
          <w:highlight w:val="none"/>
          <w:u w:val="single"/>
        </w:rPr>
      </w:pPr>
      <w:r>
        <w:rPr>
          <w:rFonts w:hint="eastAsia"/>
          <w:b w:val="0"/>
          <w:highlight w:val="none"/>
        </w:rPr>
        <w:t>联系人：</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14:paraId="432EBBBF">
      <w:pPr>
        <w:pStyle w:val="25"/>
        <w:spacing w:before="0" w:after="0" w:line="360" w:lineRule="exact"/>
        <w:ind w:firstLine="480"/>
        <w:rPr>
          <w:rFonts w:hint="eastAsia"/>
          <w:b w:val="0"/>
          <w:highlight w:val="none"/>
        </w:rPr>
      </w:pPr>
      <w:r>
        <w:rPr>
          <w:rFonts w:hint="eastAsia"/>
          <w:b w:val="0"/>
          <w:highlight w:val="none"/>
        </w:rPr>
        <w:t>被投诉人2：</w:t>
      </w:r>
      <w:r>
        <w:rPr>
          <w:rFonts w:hint="eastAsia"/>
          <w:b w:val="0"/>
          <w:highlight w:val="none"/>
          <w:u w:val="single"/>
        </w:rPr>
        <w:t xml:space="preserve">             </w:t>
      </w:r>
      <w:r>
        <w:rPr>
          <w:b w:val="0"/>
          <w:highlight w:val="none"/>
          <w:u w:val="single"/>
        </w:rPr>
        <w:t xml:space="preserve">                     </w:t>
      </w:r>
    </w:p>
    <w:p w14:paraId="0D3A74E8">
      <w:pPr>
        <w:pStyle w:val="25"/>
        <w:spacing w:before="0" w:after="0" w:line="360" w:lineRule="exact"/>
        <w:ind w:firstLine="480"/>
        <w:rPr>
          <w:rFonts w:hint="eastAsia"/>
          <w:b w:val="0"/>
          <w:highlight w:val="none"/>
        </w:rPr>
      </w:pPr>
      <w:r>
        <w:rPr>
          <w:b w:val="0"/>
          <w:highlight w:val="none"/>
        </w:rPr>
        <w:t>……</w:t>
      </w:r>
    </w:p>
    <w:p w14:paraId="17A60AE1">
      <w:pPr>
        <w:pStyle w:val="25"/>
        <w:spacing w:before="0" w:after="0" w:line="360" w:lineRule="exact"/>
        <w:ind w:firstLine="480"/>
        <w:rPr>
          <w:rFonts w:hint="eastAsia"/>
          <w:b w:val="0"/>
          <w:highlight w:val="none"/>
        </w:rPr>
      </w:pPr>
      <w:r>
        <w:rPr>
          <w:rFonts w:hint="eastAsia"/>
          <w:b w:val="0"/>
          <w:highlight w:val="none"/>
        </w:rPr>
        <w:t>相关供应商：</w:t>
      </w:r>
      <w:r>
        <w:rPr>
          <w:rFonts w:hint="eastAsia"/>
          <w:b w:val="0"/>
          <w:highlight w:val="none"/>
          <w:u w:val="single"/>
        </w:rPr>
        <w:t xml:space="preserve">             </w:t>
      </w:r>
      <w:r>
        <w:rPr>
          <w:b w:val="0"/>
          <w:highlight w:val="none"/>
          <w:u w:val="single"/>
        </w:rPr>
        <w:t xml:space="preserve">                     </w:t>
      </w:r>
    </w:p>
    <w:p w14:paraId="0F1D4861">
      <w:pPr>
        <w:pStyle w:val="25"/>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r>
        <w:rPr>
          <w:b w:val="0"/>
          <w:highlight w:val="none"/>
          <w:u w:val="single"/>
        </w:rPr>
        <w:t xml:space="preserve">         </w:t>
      </w:r>
    </w:p>
    <w:p w14:paraId="3252A87D">
      <w:pPr>
        <w:pStyle w:val="25"/>
        <w:spacing w:before="0" w:after="0" w:line="360" w:lineRule="exact"/>
        <w:ind w:firstLine="480"/>
        <w:rPr>
          <w:rFonts w:hint="eastAsia"/>
          <w:b w:val="0"/>
          <w:highlight w:val="none"/>
        </w:rPr>
      </w:pPr>
      <w:r>
        <w:rPr>
          <w:rFonts w:hint="eastAsia"/>
          <w:b w:val="0"/>
          <w:highlight w:val="none"/>
        </w:rPr>
        <w:t>联系人：</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14:paraId="56423A53">
      <w:pPr>
        <w:pStyle w:val="25"/>
        <w:spacing w:before="0" w:after="0" w:line="360" w:lineRule="exact"/>
        <w:ind w:firstLine="480"/>
        <w:rPr>
          <w:rFonts w:hint="eastAsia"/>
          <w:b w:val="0"/>
          <w:highlight w:val="none"/>
        </w:rPr>
      </w:pPr>
      <w:r>
        <w:rPr>
          <w:rFonts w:hint="eastAsia"/>
          <w:b w:val="0"/>
          <w:highlight w:val="none"/>
        </w:rPr>
        <w:t>二、投诉项目基本情况：</w:t>
      </w:r>
    </w:p>
    <w:p w14:paraId="3FA3F1F6">
      <w:pPr>
        <w:pStyle w:val="25"/>
        <w:spacing w:before="0" w:after="0" w:line="360" w:lineRule="exact"/>
        <w:ind w:firstLine="480"/>
        <w:rPr>
          <w:rFonts w:hint="eastAsia"/>
          <w:b w:val="0"/>
          <w:highlight w:val="none"/>
        </w:rPr>
      </w:pPr>
      <w:r>
        <w:rPr>
          <w:rFonts w:hint="eastAsia"/>
          <w:b w:val="0"/>
          <w:highlight w:val="none"/>
        </w:rPr>
        <w:t xml:space="preserve">采购项目的名称： </w:t>
      </w:r>
      <w:r>
        <w:rPr>
          <w:rFonts w:hint="eastAsia"/>
          <w:b w:val="0"/>
          <w:highlight w:val="none"/>
          <w:u w:val="single"/>
        </w:rPr>
        <w:t xml:space="preserve">             </w:t>
      </w:r>
      <w:r>
        <w:rPr>
          <w:b w:val="0"/>
          <w:highlight w:val="none"/>
          <w:u w:val="single"/>
        </w:rPr>
        <w:t xml:space="preserve">                     </w:t>
      </w:r>
    </w:p>
    <w:p w14:paraId="0DCE22DF">
      <w:pPr>
        <w:pStyle w:val="25"/>
        <w:spacing w:before="0" w:after="0" w:line="360" w:lineRule="exact"/>
        <w:ind w:firstLine="480"/>
        <w:rPr>
          <w:rFonts w:hint="eastAsia"/>
          <w:b w:val="0"/>
          <w:highlight w:val="none"/>
        </w:rPr>
      </w:pPr>
      <w:r>
        <w:rPr>
          <w:rFonts w:hint="eastAsia"/>
          <w:b w:val="0"/>
          <w:highlight w:val="none"/>
        </w:rPr>
        <w:t xml:space="preserve">采购项目的编号：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14:paraId="3ABE57C7">
      <w:pPr>
        <w:pStyle w:val="25"/>
        <w:spacing w:before="0" w:after="0" w:line="360" w:lineRule="exact"/>
        <w:ind w:firstLine="480"/>
        <w:rPr>
          <w:rFonts w:hint="eastAsia"/>
          <w:b w:val="0"/>
          <w:highlight w:val="none"/>
        </w:rPr>
      </w:pPr>
      <w:r>
        <w:rPr>
          <w:rFonts w:hint="eastAsia"/>
          <w:b w:val="0"/>
          <w:highlight w:val="none"/>
        </w:rPr>
        <w:t>采购人名称：</w:t>
      </w:r>
      <w:r>
        <w:rPr>
          <w:rFonts w:hint="eastAsia"/>
          <w:b w:val="0"/>
          <w:highlight w:val="none"/>
          <w:u w:val="single"/>
        </w:rPr>
        <w:t xml:space="preserve">             </w:t>
      </w:r>
      <w:r>
        <w:rPr>
          <w:b w:val="0"/>
          <w:highlight w:val="none"/>
          <w:u w:val="single"/>
        </w:rPr>
        <w:t xml:space="preserve">                     </w:t>
      </w:r>
    </w:p>
    <w:p w14:paraId="3E5DF820">
      <w:pPr>
        <w:pStyle w:val="25"/>
        <w:spacing w:before="0" w:after="0" w:line="360" w:lineRule="exact"/>
        <w:ind w:firstLine="480"/>
        <w:rPr>
          <w:rFonts w:hint="eastAsia"/>
          <w:b w:val="0"/>
          <w:highlight w:val="none"/>
        </w:rPr>
      </w:pPr>
      <w:r>
        <w:rPr>
          <w:rFonts w:hint="eastAsia"/>
          <w:b w:val="0"/>
          <w:highlight w:val="none"/>
        </w:rPr>
        <w:t>代理机构名称：</w:t>
      </w:r>
      <w:r>
        <w:rPr>
          <w:rFonts w:hint="eastAsia"/>
          <w:b w:val="0"/>
          <w:highlight w:val="none"/>
          <w:u w:val="single"/>
        </w:rPr>
        <w:t xml:space="preserve">             </w:t>
      </w:r>
      <w:r>
        <w:rPr>
          <w:b w:val="0"/>
          <w:highlight w:val="none"/>
          <w:u w:val="single"/>
        </w:rPr>
        <w:t xml:space="preserve">                     </w:t>
      </w:r>
    </w:p>
    <w:p w14:paraId="0349E9BC">
      <w:pPr>
        <w:pStyle w:val="25"/>
        <w:spacing w:before="0" w:after="0" w:line="360" w:lineRule="exact"/>
        <w:ind w:firstLine="480"/>
        <w:rPr>
          <w:rFonts w:hint="eastAsia"/>
          <w:b w:val="0"/>
          <w:highlight w:val="none"/>
        </w:rPr>
      </w:pPr>
      <w:r>
        <w:rPr>
          <w:rFonts w:hint="eastAsia"/>
          <w:b w:val="0"/>
          <w:highlight w:val="none"/>
        </w:rPr>
        <w:t>招标文件公告：是/否公告期限：</w:t>
      </w:r>
      <w:r>
        <w:rPr>
          <w:rFonts w:hint="eastAsia"/>
          <w:b w:val="0"/>
          <w:highlight w:val="none"/>
          <w:u w:val="single"/>
        </w:rPr>
        <w:t xml:space="preserve">             </w:t>
      </w:r>
      <w:r>
        <w:rPr>
          <w:b w:val="0"/>
          <w:highlight w:val="none"/>
          <w:u w:val="single"/>
        </w:rPr>
        <w:t xml:space="preserve">                     </w:t>
      </w:r>
    </w:p>
    <w:p w14:paraId="5F5E1938">
      <w:pPr>
        <w:pStyle w:val="25"/>
        <w:spacing w:before="0" w:after="0" w:line="360" w:lineRule="exact"/>
        <w:ind w:firstLine="480"/>
        <w:rPr>
          <w:rFonts w:hint="eastAsia"/>
          <w:b w:val="0"/>
          <w:highlight w:val="none"/>
        </w:rPr>
      </w:pPr>
      <w:r>
        <w:rPr>
          <w:rFonts w:hint="eastAsia"/>
          <w:b w:val="0"/>
          <w:highlight w:val="none"/>
        </w:rPr>
        <w:t>采购结果公告：是/否公告期限：</w:t>
      </w:r>
      <w:r>
        <w:rPr>
          <w:rFonts w:hint="eastAsia"/>
          <w:b w:val="0"/>
          <w:highlight w:val="none"/>
          <w:u w:val="single"/>
        </w:rPr>
        <w:t xml:space="preserve">             </w:t>
      </w:r>
      <w:r>
        <w:rPr>
          <w:b w:val="0"/>
          <w:highlight w:val="none"/>
          <w:u w:val="single"/>
        </w:rPr>
        <w:t xml:space="preserve">                     </w:t>
      </w:r>
    </w:p>
    <w:p w14:paraId="606FF936">
      <w:pPr>
        <w:pStyle w:val="25"/>
        <w:spacing w:before="0" w:after="0" w:line="360" w:lineRule="exact"/>
        <w:ind w:firstLine="480"/>
        <w:rPr>
          <w:rFonts w:hint="eastAsia"/>
          <w:b w:val="0"/>
          <w:highlight w:val="none"/>
        </w:rPr>
      </w:pPr>
      <w:r>
        <w:rPr>
          <w:rFonts w:hint="eastAsia"/>
          <w:b w:val="0"/>
          <w:highlight w:val="none"/>
        </w:rPr>
        <w:t>三、质疑基本情况</w:t>
      </w:r>
    </w:p>
    <w:p w14:paraId="650805D3">
      <w:pPr>
        <w:pStyle w:val="25"/>
        <w:spacing w:before="0" w:after="0" w:line="360" w:lineRule="exact"/>
        <w:ind w:firstLine="480"/>
        <w:rPr>
          <w:rFonts w:hint="eastAsia"/>
          <w:b w:val="0"/>
          <w:highlight w:val="none"/>
          <w:u w:val="single"/>
        </w:rPr>
      </w:pPr>
      <w:r>
        <w:rPr>
          <w:rFonts w:hint="eastAsia"/>
          <w:b w:val="0"/>
          <w:highlight w:val="none"/>
        </w:rPr>
        <w:t>投诉人于</w:t>
      </w:r>
      <w:r>
        <w:rPr>
          <w:b w:val="0"/>
          <w:highlight w:val="none"/>
          <w:u w:val="single"/>
        </w:rPr>
        <w:t xml:space="preserve">     </w:t>
      </w:r>
      <w:r>
        <w:rPr>
          <w:rFonts w:hint="eastAsia"/>
          <w:b w:val="0"/>
          <w:highlight w:val="none"/>
        </w:rPr>
        <w:t>年</w:t>
      </w:r>
      <w:r>
        <w:rPr>
          <w:b w:val="0"/>
          <w:highlight w:val="none"/>
          <w:u w:val="single"/>
        </w:rPr>
        <w:t xml:space="preserve">    </w:t>
      </w:r>
      <w:r>
        <w:rPr>
          <w:rFonts w:hint="eastAsia"/>
          <w:b w:val="0"/>
          <w:highlight w:val="none"/>
        </w:rPr>
        <w:t>月</w:t>
      </w:r>
      <w:r>
        <w:rPr>
          <w:b w:val="0"/>
          <w:highlight w:val="none"/>
          <w:u w:val="single"/>
        </w:rPr>
        <w:t xml:space="preserve">   </w:t>
      </w:r>
      <w:r>
        <w:rPr>
          <w:rFonts w:hint="eastAsia"/>
          <w:b w:val="0"/>
          <w:highlight w:val="none"/>
        </w:rPr>
        <w:t>日，向</w:t>
      </w:r>
      <w:r>
        <w:rPr>
          <w:b w:val="0"/>
          <w:highlight w:val="none"/>
          <w:u w:val="single"/>
        </w:rPr>
        <w:t xml:space="preserve">         </w:t>
      </w:r>
      <w:r>
        <w:rPr>
          <w:rFonts w:hint="eastAsia"/>
          <w:b w:val="0"/>
          <w:highlight w:val="none"/>
        </w:rPr>
        <w:t>提出质疑，质疑事项为：</w:t>
      </w:r>
      <w:r>
        <w:rPr>
          <w:b w:val="0"/>
          <w:highlight w:val="none"/>
          <w:u w:val="single"/>
        </w:rPr>
        <w:t xml:space="preserve">                </w:t>
      </w:r>
    </w:p>
    <w:p w14:paraId="31F5DFEC">
      <w:pPr>
        <w:pStyle w:val="25"/>
        <w:spacing w:before="0" w:after="0" w:line="360" w:lineRule="exact"/>
        <w:ind w:firstLine="0" w:firstLineChars="0"/>
        <w:jc w:val="left"/>
        <w:rPr>
          <w:rFonts w:hint="eastAsia"/>
          <w:b w:val="0"/>
          <w:highlight w:val="none"/>
          <w:u w:val="single"/>
        </w:rPr>
      </w:pPr>
      <w:r>
        <w:rPr>
          <w:b w:val="0"/>
          <w:highlight w:val="none"/>
          <w:u w:val="single"/>
        </w:rPr>
        <w:t xml:space="preserve">                                                                                 </w:t>
      </w:r>
    </w:p>
    <w:p w14:paraId="4D61FA38">
      <w:pPr>
        <w:spacing w:line="360" w:lineRule="exact"/>
        <w:rPr>
          <w:highlight w:val="none"/>
        </w:rPr>
      </w:pPr>
      <w:r>
        <w:rPr>
          <w:b/>
          <w:highlight w:val="none"/>
          <w:u w:val="single"/>
        </w:rPr>
        <w:t xml:space="preserve">                                                                                            </w:t>
      </w:r>
    </w:p>
    <w:p w14:paraId="40348A69">
      <w:pPr>
        <w:pStyle w:val="25"/>
        <w:spacing w:before="0" w:after="0" w:line="360" w:lineRule="exact"/>
        <w:ind w:firstLine="480"/>
        <w:rPr>
          <w:rFonts w:hint="eastAsia"/>
          <w:b w:val="0"/>
          <w:highlight w:val="none"/>
        </w:rPr>
      </w:pPr>
      <w:r>
        <w:rPr>
          <w:rFonts w:hint="eastAsia"/>
          <w:b w:val="0"/>
          <w:highlight w:val="none"/>
          <w:u w:val="single"/>
        </w:rPr>
        <w:t>采购人/代理机构</w:t>
      </w:r>
      <w:r>
        <w:rPr>
          <w:rFonts w:hint="eastAsia"/>
          <w:b w:val="0"/>
          <w:highlight w:val="none"/>
        </w:rPr>
        <w:t>于</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 xml:space="preserve">日，就质疑事项作出了答复/没有在法定期限内作出答复。                                                                                             </w:t>
      </w:r>
    </w:p>
    <w:p w14:paraId="0E98662D">
      <w:pPr>
        <w:pStyle w:val="25"/>
        <w:spacing w:before="0" w:after="0" w:line="360" w:lineRule="exact"/>
        <w:ind w:firstLine="480"/>
        <w:rPr>
          <w:rFonts w:hint="eastAsia"/>
          <w:b w:val="0"/>
          <w:highlight w:val="none"/>
        </w:rPr>
      </w:pPr>
      <w:r>
        <w:rPr>
          <w:rFonts w:hint="eastAsia"/>
          <w:b w:val="0"/>
          <w:highlight w:val="none"/>
        </w:rPr>
        <w:t>四、投诉事项具体内容</w:t>
      </w:r>
    </w:p>
    <w:p w14:paraId="75618B5E">
      <w:pPr>
        <w:pStyle w:val="25"/>
        <w:spacing w:before="0" w:after="0" w:line="360" w:lineRule="exact"/>
        <w:ind w:firstLine="480"/>
        <w:rPr>
          <w:rFonts w:hint="eastAsia"/>
          <w:b w:val="0"/>
          <w:highlight w:val="none"/>
        </w:rPr>
      </w:pPr>
      <w:r>
        <w:rPr>
          <w:rFonts w:hint="eastAsia"/>
          <w:b w:val="0"/>
          <w:highlight w:val="none"/>
        </w:rPr>
        <w:t>投诉事项1：</w:t>
      </w:r>
      <w:r>
        <w:rPr>
          <w:b w:val="0"/>
          <w:highlight w:val="none"/>
          <w:u w:val="single"/>
        </w:rPr>
        <w:t xml:space="preserve">                                                          </w:t>
      </w:r>
    </w:p>
    <w:p w14:paraId="76A692BA">
      <w:pPr>
        <w:pStyle w:val="25"/>
        <w:spacing w:before="0" w:after="0" w:line="360" w:lineRule="exact"/>
        <w:ind w:firstLine="480"/>
        <w:rPr>
          <w:rFonts w:hint="eastAsia"/>
          <w:b w:val="0"/>
          <w:highlight w:val="none"/>
        </w:rPr>
      </w:pPr>
      <w:r>
        <w:rPr>
          <w:rFonts w:hint="eastAsia"/>
          <w:b w:val="0"/>
          <w:highlight w:val="none"/>
        </w:rPr>
        <w:t>事实依据：</w:t>
      </w:r>
      <w:r>
        <w:rPr>
          <w:b w:val="0"/>
          <w:highlight w:val="none"/>
          <w:u w:val="single"/>
        </w:rPr>
        <w:t xml:space="preserve">                                                          </w:t>
      </w:r>
    </w:p>
    <w:p w14:paraId="038DA51C">
      <w:pPr>
        <w:pStyle w:val="25"/>
        <w:spacing w:before="0" w:after="0" w:line="360" w:lineRule="exact"/>
        <w:ind w:firstLine="480"/>
        <w:rPr>
          <w:rFonts w:hint="eastAsia"/>
          <w:b w:val="0"/>
          <w:highlight w:val="none"/>
        </w:rPr>
      </w:pPr>
      <w:r>
        <w:rPr>
          <w:rFonts w:hint="eastAsia"/>
          <w:b w:val="0"/>
          <w:highlight w:val="none"/>
        </w:rPr>
        <w:t>法律依据：</w:t>
      </w:r>
      <w:r>
        <w:rPr>
          <w:b w:val="0"/>
          <w:highlight w:val="none"/>
          <w:u w:val="single"/>
        </w:rPr>
        <w:t xml:space="preserve">                                                          </w:t>
      </w:r>
    </w:p>
    <w:p w14:paraId="6C128765">
      <w:pPr>
        <w:pStyle w:val="25"/>
        <w:spacing w:before="0" w:after="0" w:line="360" w:lineRule="exact"/>
        <w:ind w:firstLine="480"/>
        <w:rPr>
          <w:rFonts w:hint="eastAsia"/>
          <w:b w:val="0"/>
          <w:bCs/>
          <w:highlight w:val="none"/>
        </w:rPr>
      </w:pPr>
      <w:r>
        <w:rPr>
          <w:rFonts w:hint="eastAsia"/>
          <w:b w:val="0"/>
          <w:highlight w:val="none"/>
        </w:rPr>
        <w:t xml:space="preserve">投诉事项2  </w:t>
      </w:r>
      <w:r>
        <w:rPr>
          <w:rFonts w:hint="eastAsia"/>
          <w:b w:val="0"/>
          <w:bCs/>
          <w:highlight w:val="none"/>
        </w:rPr>
        <w:t xml:space="preserve"> </w:t>
      </w:r>
    </w:p>
    <w:p w14:paraId="7F9D4B0D">
      <w:pPr>
        <w:pStyle w:val="25"/>
        <w:spacing w:before="0" w:after="0" w:line="360" w:lineRule="exact"/>
        <w:ind w:firstLine="480"/>
        <w:rPr>
          <w:rFonts w:hint="eastAsia"/>
          <w:b w:val="0"/>
          <w:highlight w:val="none"/>
        </w:rPr>
      </w:pPr>
      <w:r>
        <w:rPr>
          <w:b w:val="0"/>
          <w:highlight w:val="none"/>
        </w:rPr>
        <w:t>……</w:t>
      </w:r>
    </w:p>
    <w:p w14:paraId="2EDC03BF">
      <w:pPr>
        <w:pStyle w:val="25"/>
        <w:spacing w:before="0" w:after="0" w:line="360" w:lineRule="exact"/>
        <w:ind w:firstLine="480"/>
        <w:rPr>
          <w:rFonts w:hint="eastAsia"/>
          <w:b w:val="0"/>
          <w:highlight w:val="none"/>
        </w:rPr>
      </w:pPr>
      <w:r>
        <w:rPr>
          <w:rFonts w:hint="eastAsia"/>
          <w:b w:val="0"/>
          <w:highlight w:val="none"/>
        </w:rPr>
        <w:t>五、与投诉事项相关的投诉请求：</w:t>
      </w:r>
    </w:p>
    <w:p w14:paraId="720D9DC2">
      <w:pPr>
        <w:pStyle w:val="25"/>
        <w:spacing w:before="0" w:after="0" w:line="360" w:lineRule="exact"/>
        <w:ind w:firstLine="480"/>
        <w:rPr>
          <w:rFonts w:hint="eastAsia"/>
          <w:b w:val="0"/>
          <w:highlight w:val="none"/>
        </w:rPr>
      </w:pPr>
      <w:r>
        <w:rPr>
          <w:rFonts w:hint="eastAsia"/>
          <w:b w:val="0"/>
          <w:highlight w:val="none"/>
        </w:rPr>
        <w:t>请求：</w:t>
      </w:r>
      <w:r>
        <w:rPr>
          <w:b w:val="0"/>
          <w:highlight w:val="none"/>
          <w:u w:val="single"/>
        </w:rPr>
        <w:t xml:space="preserve">                                                          </w:t>
      </w:r>
    </w:p>
    <w:p w14:paraId="662FA5B1">
      <w:pPr>
        <w:pStyle w:val="25"/>
        <w:spacing w:before="0" w:after="0" w:line="360" w:lineRule="exact"/>
        <w:ind w:firstLine="480"/>
        <w:rPr>
          <w:rFonts w:hint="eastAsia"/>
          <w:b w:val="0"/>
          <w:highlight w:val="none"/>
        </w:rPr>
      </w:pPr>
    </w:p>
    <w:p w14:paraId="77C36F51">
      <w:pPr>
        <w:pStyle w:val="25"/>
        <w:spacing w:before="0" w:after="0" w:line="360" w:lineRule="exact"/>
        <w:ind w:firstLine="480"/>
        <w:rPr>
          <w:rFonts w:hint="eastAsia"/>
          <w:b w:val="0"/>
          <w:highlight w:val="none"/>
        </w:rPr>
      </w:pPr>
      <w:r>
        <w:rPr>
          <w:rFonts w:hint="eastAsia"/>
          <w:b w:val="0"/>
          <w:highlight w:val="none"/>
        </w:rPr>
        <w:t>签字（签章）：</w:t>
      </w:r>
      <w:r>
        <w:rPr>
          <w:b w:val="0"/>
          <w:highlight w:val="none"/>
          <w:u w:val="single"/>
        </w:rPr>
        <w:t xml:space="preserve">            </w:t>
      </w:r>
      <w:r>
        <w:rPr>
          <w:rFonts w:hint="eastAsia"/>
          <w:b w:val="0"/>
          <w:highlight w:val="none"/>
        </w:rPr>
        <w:t xml:space="preserve">  </w:t>
      </w:r>
    </w:p>
    <w:p w14:paraId="4B5B4760">
      <w:pPr>
        <w:pStyle w:val="25"/>
        <w:spacing w:before="0" w:after="0" w:line="360" w:lineRule="exact"/>
        <w:ind w:firstLine="480"/>
        <w:rPr>
          <w:rFonts w:hint="eastAsia"/>
          <w:b w:val="0"/>
          <w:highlight w:val="none"/>
        </w:rPr>
      </w:pPr>
      <w:r>
        <w:rPr>
          <w:rFonts w:hint="eastAsia"/>
          <w:b w:val="0"/>
          <w:highlight w:val="none"/>
        </w:rPr>
        <w:t>公章：</w:t>
      </w:r>
      <w:r>
        <w:rPr>
          <w:b w:val="0"/>
          <w:highlight w:val="none"/>
          <w:u w:val="single"/>
        </w:rPr>
        <w:t xml:space="preserve">                  </w:t>
      </w:r>
    </w:p>
    <w:p w14:paraId="6C119D46">
      <w:pPr>
        <w:pStyle w:val="25"/>
        <w:spacing w:before="0" w:after="0" w:line="360" w:lineRule="exact"/>
        <w:ind w:firstLine="480"/>
        <w:rPr>
          <w:rFonts w:hint="eastAsia"/>
          <w:b w:val="0"/>
          <w:highlight w:val="none"/>
        </w:rPr>
      </w:pPr>
      <w:r>
        <w:rPr>
          <w:rFonts w:hint="eastAsia"/>
          <w:b w:val="0"/>
          <w:highlight w:val="none"/>
        </w:rPr>
        <w:t>日期：</w:t>
      </w:r>
      <w:r>
        <w:rPr>
          <w:b w:val="0"/>
          <w:highlight w:val="none"/>
          <w:u w:val="single"/>
        </w:rPr>
        <w:t xml:space="preserve">                  </w:t>
      </w:r>
    </w:p>
    <w:p w14:paraId="4936F940">
      <w:pPr>
        <w:pStyle w:val="25"/>
        <w:spacing w:before="0" w:after="0" w:line="320" w:lineRule="exact"/>
        <w:ind w:firstLine="480"/>
        <w:rPr>
          <w:rFonts w:hint="eastAsia"/>
          <w:b w:val="0"/>
          <w:highlight w:val="none"/>
        </w:rPr>
      </w:pPr>
    </w:p>
    <w:p w14:paraId="2D620709">
      <w:pPr>
        <w:pStyle w:val="25"/>
        <w:spacing w:before="0" w:after="0" w:line="320" w:lineRule="exact"/>
        <w:ind w:firstLine="480"/>
        <w:rPr>
          <w:rFonts w:hint="eastAsia"/>
          <w:b w:val="0"/>
          <w:highlight w:val="none"/>
        </w:rPr>
      </w:pPr>
      <w:r>
        <w:rPr>
          <w:rFonts w:hint="eastAsia"/>
          <w:b w:val="0"/>
          <w:highlight w:val="none"/>
        </w:rPr>
        <w:t>说明：</w:t>
      </w:r>
    </w:p>
    <w:p w14:paraId="3E7E600E">
      <w:pPr>
        <w:pStyle w:val="25"/>
        <w:spacing w:before="0" w:after="0" w:line="320" w:lineRule="exact"/>
        <w:ind w:firstLine="480"/>
        <w:rPr>
          <w:rFonts w:hint="eastAsia"/>
          <w:b w:val="0"/>
          <w:bCs/>
          <w:highlight w:val="none"/>
        </w:rPr>
      </w:pPr>
      <w:r>
        <w:rPr>
          <w:rFonts w:hint="eastAsia"/>
          <w:b w:val="0"/>
          <w:highlight w:val="none"/>
        </w:rPr>
        <w:t>1.投诉人提起投诉时，应当提交投诉书和必要的证明材料，并按照被投诉人和与投诉事项有关的供应商数量提供投诉书副本</w:t>
      </w:r>
      <w:r>
        <w:rPr>
          <w:rFonts w:hint="eastAsia"/>
          <w:b w:val="0"/>
          <w:bCs/>
          <w:highlight w:val="none"/>
        </w:rPr>
        <w:t>。</w:t>
      </w:r>
    </w:p>
    <w:p w14:paraId="7926A92F">
      <w:pPr>
        <w:pStyle w:val="25"/>
        <w:spacing w:before="0" w:after="0" w:line="320" w:lineRule="exact"/>
        <w:ind w:firstLine="480"/>
        <w:rPr>
          <w:rFonts w:hint="eastAsia"/>
          <w:b w:val="0"/>
          <w:highlight w:val="none"/>
        </w:rPr>
      </w:pPr>
      <w:r>
        <w:rPr>
          <w:rFonts w:hint="eastAsia"/>
          <w:b w:val="0"/>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3730DEC">
      <w:pPr>
        <w:pStyle w:val="25"/>
        <w:spacing w:before="0" w:after="0" w:line="320" w:lineRule="exact"/>
        <w:ind w:firstLine="480"/>
        <w:rPr>
          <w:rFonts w:hint="eastAsia"/>
          <w:b w:val="0"/>
          <w:highlight w:val="none"/>
        </w:rPr>
      </w:pPr>
      <w:r>
        <w:rPr>
          <w:rFonts w:hint="eastAsia"/>
          <w:b w:val="0"/>
          <w:highlight w:val="none"/>
        </w:rPr>
        <w:t>3.投诉书应简要列明质疑事项，质疑函、质疑答复等作为附件材料提供。</w:t>
      </w:r>
    </w:p>
    <w:p w14:paraId="6301F69B">
      <w:pPr>
        <w:pStyle w:val="25"/>
        <w:spacing w:before="0" w:after="0" w:line="320" w:lineRule="exact"/>
        <w:ind w:firstLine="480"/>
        <w:rPr>
          <w:rFonts w:hint="eastAsia"/>
          <w:b w:val="0"/>
          <w:highlight w:val="none"/>
        </w:rPr>
      </w:pPr>
      <w:r>
        <w:rPr>
          <w:rFonts w:hint="eastAsia"/>
          <w:b w:val="0"/>
          <w:highlight w:val="none"/>
        </w:rPr>
        <w:t>4.投诉书的投诉事项应具体、明确，并有必要的事实依据和法律依据。</w:t>
      </w:r>
    </w:p>
    <w:p w14:paraId="3925D9B6">
      <w:pPr>
        <w:pStyle w:val="25"/>
        <w:spacing w:before="0" w:after="0" w:line="320" w:lineRule="exact"/>
        <w:ind w:firstLine="480"/>
        <w:rPr>
          <w:rFonts w:hint="eastAsia"/>
          <w:b w:val="0"/>
          <w:highlight w:val="none"/>
        </w:rPr>
      </w:pPr>
      <w:r>
        <w:rPr>
          <w:rFonts w:hint="eastAsia"/>
          <w:b w:val="0"/>
          <w:highlight w:val="none"/>
        </w:rPr>
        <w:t>5.投诉书的投诉请求应与投诉事项相关。</w:t>
      </w:r>
    </w:p>
    <w:p w14:paraId="67076934">
      <w:pPr>
        <w:pStyle w:val="25"/>
        <w:spacing w:before="0" w:after="0" w:line="320" w:lineRule="exact"/>
        <w:ind w:firstLine="480"/>
        <w:rPr>
          <w:rFonts w:hint="eastAsia"/>
          <w:b w:val="0"/>
          <w:highlight w:val="none"/>
        </w:rPr>
      </w:pPr>
      <w:r>
        <w:rPr>
          <w:rFonts w:hint="eastAsia"/>
          <w:b w:val="0"/>
          <w:highlight w:val="none"/>
        </w:rPr>
        <w:t>6.投诉人为法人或者其他组织的，投诉书应由法定代表人、主要负责人，或者其授权代表</w:t>
      </w:r>
      <w:r>
        <w:rPr>
          <w:rFonts w:hint="eastAsia"/>
          <w:b w:val="0"/>
          <w:highlight w:val="none"/>
          <w:lang w:eastAsia="zh-CN"/>
        </w:rPr>
        <w:t>签字或者盖章</w:t>
      </w:r>
      <w:r>
        <w:rPr>
          <w:rFonts w:hint="eastAsia"/>
          <w:b w:val="0"/>
          <w:highlight w:val="none"/>
        </w:rPr>
        <w:t>，并加</w:t>
      </w:r>
      <w:r>
        <w:rPr>
          <w:rFonts w:hint="eastAsia"/>
          <w:b w:val="0"/>
          <w:highlight w:val="none"/>
          <w:lang w:eastAsia="zh-CN"/>
        </w:rPr>
        <w:t>盖公章</w:t>
      </w:r>
      <w:r>
        <w:rPr>
          <w:rFonts w:hint="eastAsia"/>
          <w:b w:val="0"/>
          <w:highlight w:val="none"/>
        </w:rPr>
        <w:t>。</w:t>
      </w:r>
    </w:p>
    <w:sectPr>
      <w:footerReference r:id="rId12" w:type="first"/>
      <w:headerReference r:id="rId9" w:type="default"/>
      <w:footerReference r:id="rId10" w:type="default"/>
      <w:footerReference r:id="rId11" w:type="even"/>
      <w:pgSz w:w="11906" w:h="16838"/>
      <w:pgMar w:top="993" w:right="1080" w:bottom="993" w:left="1080" w:header="851" w:footer="510"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12600AB-FDFA-4C9F-8F9D-73E13149CB2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CCB8018D-D93D-4728-AAD5-C99C453789A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5F1ACCD-9C66-4EED-85B0-7E58D92D6CD7}"/>
  </w:font>
  <w:font w:name="仿宋">
    <w:panose1 w:val="02010609060101010101"/>
    <w:charset w:val="86"/>
    <w:family w:val="modern"/>
    <w:pitch w:val="default"/>
    <w:sig w:usb0="800002BF" w:usb1="38CF7CFA" w:usb2="00000016" w:usb3="00000000" w:csb0="00040001" w:csb1="00000000"/>
    <w:embedRegular r:id="rId4" w:fontKey="{1B594A1B-DDC7-4F9F-84CC-5BCA2FF2B997}"/>
  </w:font>
  <w:font w:name="仿宋_GB2312">
    <w:panose1 w:val="02010609030101010101"/>
    <w:charset w:val="86"/>
    <w:family w:val="modern"/>
    <w:pitch w:val="default"/>
    <w:sig w:usb0="00000001" w:usb1="080E0000" w:usb2="00000000" w:usb3="00000000" w:csb0="00040000" w:csb1="00000000"/>
    <w:embedRegular r:id="rId5" w:fontKey="{50DCB3AE-C44B-4F3D-A3DC-6B23FB73C555}"/>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2000009F" w:csb1="DFD70000"/>
  </w:font>
  <w:font w:name="Arial Unicode MS">
    <w:altName w:val="Arial"/>
    <w:panose1 w:val="020B0604020202020204"/>
    <w:charset w:val="80"/>
    <w:family w:val="swiss"/>
    <w:pitch w:val="default"/>
    <w:sig w:usb0="00000000" w:usb1="00000000" w:usb2="0000003F" w:usb3="00000000" w:csb0="603F01FF" w:csb1="FFFF0000"/>
    <w:embedRegular r:id="rId6" w:fontKey="{3C299D90-A6FC-4972-B71B-60473987F334}"/>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7" w:fontKey="{A5EDC25D-C384-4CC3-BED5-1988C9B55F03}"/>
  </w:font>
  <w:font w:name="Helvetica">
    <w:altName w:val="Arial"/>
    <w:panose1 w:val="020B0604020202020204"/>
    <w:charset w:val="00"/>
    <w:family w:val="swiss"/>
    <w:pitch w:val="default"/>
    <w:sig w:usb0="00000000" w:usb1="00000000" w:usb2="00000009" w:usb3="00000000" w:csb0="000001FF" w:csb1="00000000"/>
    <w:embedRegular r:id="rId8" w:fontKey="{AB090725-363B-45A3-8F92-F71D46284D8B}"/>
  </w:font>
  <w:font w:name="Segoe UI Symbol">
    <w:panose1 w:val="020B0502040204020203"/>
    <w:charset w:val="00"/>
    <w:family w:val="swiss"/>
    <w:pitch w:val="default"/>
    <w:sig w:usb0="800001E3" w:usb1="1200FFEF" w:usb2="00040000" w:usb3="04000000" w:csb0="00000001" w:csb1="40000000"/>
    <w:embedRegular r:id="rId9" w:fontKey="{2296A576-9BEA-4E9F-A125-052A1A102B5A}"/>
  </w:font>
  <w:font w:name="方正小标宋简体">
    <w:panose1 w:val="03000509000000000000"/>
    <w:charset w:val="86"/>
    <w:family w:val="script"/>
    <w:pitch w:val="default"/>
    <w:sig w:usb0="00000001" w:usb1="080E0000" w:usb2="00000000" w:usb3="00000000" w:csb0="00040000" w:csb1="00000000"/>
    <w:embedRegular r:id="rId10" w:fontKey="{6264A68B-8869-4FA8-B057-71D1753C400A}"/>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9DBF8">
    <w:pPr>
      <w:pStyle w:val="31"/>
      <w:framePr w:wrap="around" w:vAnchor="text" w:hAnchor="margin" w:xAlign="center" w:y="1"/>
      <w:rPr>
        <w:rStyle w:val="53"/>
      </w:rPr>
    </w:pPr>
    <w:r>
      <w:fldChar w:fldCharType="begin"/>
    </w:r>
    <w:r>
      <w:rPr>
        <w:rStyle w:val="53"/>
      </w:rPr>
      <w:instrText xml:space="preserve">PAGE  </w:instrText>
    </w:r>
    <w:r>
      <w:fldChar w:fldCharType="end"/>
    </w:r>
  </w:p>
  <w:p w14:paraId="6F10A73B">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4EFF7">
    <w:pPr>
      <w:pStyle w:val="31"/>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00DA0">
    <w:pPr>
      <w:pStyle w:val="31"/>
      <w:rPr>
        <w:rFonts w:hint="eastAsia" w:ascii="仿宋" w:hAnsi="仿宋" w:eastAsia="仿宋"/>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1A8D1">
                          <w:pPr>
                            <w:pStyle w:val="3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B71A8D1">
                    <w:pPr>
                      <w:pStyle w:val="3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FCCB9">
    <w:pPr>
      <w:pStyle w:val="3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938F0">
                          <w:pPr>
                            <w:pStyle w:val="31"/>
                          </w:pPr>
                          <w:r>
                            <w:fldChar w:fldCharType="begin"/>
                          </w:r>
                          <w:r>
                            <w:instrText xml:space="preserve"> PAGE  \* MERGEFORMAT </w:instrText>
                          </w:r>
                          <w:r>
                            <w:fldChar w:fldCharType="separate"/>
                          </w:r>
                          <w:r>
                            <w:t>- 92 -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41938F0">
                    <w:pPr>
                      <w:pStyle w:val="31"/>
                    </w:pPr>
                    <w:r>
                      <w:fldChar w:fldCharType="begin"/>
                    </w:r>
                    <w:r>
                      <w:instrText xml:space="preserve"> PAGE  \* MERGEFORMAT </w:instrText>
                    </w:r>
                    <w:r>
                      <w:fldChar w:fldCharType="separate"/>
                    </w:r>
                    <w:r>
                      <w:t>- 92 -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AFE4A">
    <w:pPr>
      <w:pStyle w:val="31"/>
      <w:framePr w:wrap="around" w:vAnchor="text" w:hAnchor="margin" w:xAlign="center" w:y="1"/>
      <w:rPr>
        <w:rStyle w:val="53"/>
      </w:rPr>
    </w:pPr>
    <w:r>
      <w:fldChar w:fldCharType="begin"/>
    </w:r>
    <w:r>
      <w:rPr>
        <w:rStyle w:val="53"/>
      </w:rPr>
      <w:instrText xml:space="preserve">PAGE  </w:instrText>
    </w:r>
    <w:r>
      <w:fldChar w:fldCharType="end"/>
    </w:r>
  </w:p>
  <w:p w14:paraId="7BEC87C5">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9673C">
    <w:pPr>
      <w:pStyle w:val="31"/>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F9A36">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C25EA">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1"/>
      <w:lvlText w:val="%1."/>
      <w:lvlJc w:val="left"/>
      <w:pPr>
        <w:tabs>
          <w:tab w:val="left" w:pos="1200"/>
        </w:tabs>
        <w:ind w:left="1200" w:hanging="360"/>
      </w:pPr>
    </w:lvl>
  </w:abstractNum>
  <w:abstractNum w:abstractNumId="1">
    <w:nsid w:val="0BBBCFE3"/>
    <w:multiLevelType w:val="multilevel"/>
    <w:tmpl w:val="0BBBCFE3"/>
    <w:lvl w:ilvl="0" w:tentative="0">
      <w:start w:val="1"/>
      <w:numFmt w:val="chineseCounting"/>
      <w:suff w:val="nothing"/>
      <w:lvlText w:val="        第%1章  "/>
      <w:lvlJc w:val="left"/>
      <w:pPr>
        <w:tabs>
          <w:tab w:val="left" w:pos="0"/>
        </w:tabs>
        <w:ind w:left="0" w:firstLine="0"/>
      </w:pPr>
      <w:rPr>
        <w:rFonts w:hint="eastAsia" w:ascii="仿宋" w:hAnsi="仿宋" w:eastAsia="仿宋" w:cs="仿宋"/>
        <w:b/>
        <w:sz w:val="32"/>
        <w:szCs w:val="32"/>
      </w:rPr>
    </w:lvl>
    <w:lvl w:ilvl="1" w:tentative="0">
      <w:start w:val="1"/>
      <w:numFmt w:val="decimal"/>
      <w:isLgl/>
      <w:lvlText w:val="%1.%2 "/>
      <w:lvlJc w:val="left"/>
      <w:pPr>
        <w:tabs>
          <w:tab w:val="left" w:pos="420"/>
        </w:tabs>
        <w:ind w:left="575" w:hanging="575"/>
      </w:pPr>
      <w:rPr>
        <w:rFonts w:hint="eastAsia" w:ascii="宋体" w:hAnsi="宋体" w:eastAsia="宋体" w:cs="宋体"/>
        <w:sz w:val="24"/>
      </w:rPr>
    </w:lvl>
    <w:lvl w:ilvl="2" w:tentative="0">
      <w:start w:val="1"/>
      <w:numFmt w:val="decimal"/>
      <w:isLgl/>
      <w:lvlText w:val="%1.%2.%3"/>
      <w:lvlJc w:val="left"/>
      <w:pPr>
        <w:ind w:left="720" w:hanging="720"/>
      </w:pPr>
      <w:rPr>
        <w:rFonts w:hint="eastAsia" w:ascii="宋体" w:hAnsi="宋体" w:eastAsia="宋体" w:cs="宋体"/>
      </w:rPr>
    </w:lvl>
    <w:lvl w:ilvl="3" w:tentative="0">
      <w:start w:val="1"/>
      <w:numFmt w:val="decimal"/>
      <w:pStyle w:val="5"/>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3">
    <w:nsid w:val="4C601917"/>
    <w:multiLevelType w:val="singleLevel"/>
    <w:tmpl w:val="4C601917"/>
    <w:lvl w:ilvl="0" w:tentative="0">
      <w:start w:val="1"/>
      <w:numFmt w:val="decimal"/>
      <w:suff w:val="nothing"/>
      <w:lvlText w:val="（%1）"/>
      <w:lvlJc w:val="left"/>
      <w:pPr>
        <w:ind w:left="-2"/>
      </w:pPr>
    </w:lvl>
  </w:abstractNum>
  <w:abstractNum w:abstractNumId="4">
    <w:nsid w:val="5FABD14B"/>
    <w:multiLevelType w:val="singleLevel"/>
    <w:tmpl w:val="5FABD14B"/>
    <w:lvl w:ilvl="0" w:tentative="0">
      <w:start w:val="1"/>
      <w:numFmt w:val="decimal"/>
      <w:suff w:val="nothing"/>
      <w:lvlText w:val="（%1）"/>
      <w:lvlJc w:val="left"/>
    </w:lvl>
  </w:abstractNum>
  <w:abstractNum w:abstractNumId="5">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1"/>
  </w:num>
  <w:num w:numId="2">
    <w:abstractNumId w:val="2"/>
  </w:num>
  <w:num w:numId="3">
    <w:abstractNumId w:val="0"/>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hideSpellingErrors/>
  <w:hideGrammatical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mNTY2MTJjMDRkYzdhZTA3ZTViOGRlNjk0Y2NmNzgifQ=="/>
  </w:docVars>
  <w:rsids>
    <w:rsidRoot w:val="00F9008B"/>
    <w:rsid w:val="0000010C"/>
    <w:rsid w:val="000004FE"/>
    <w:rsid w:val="00000FE0"/>
    <w:rsid w:val="00001068"/>
    <w:rsid w:val="0000114A"/>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369"/>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83A"/>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1A4"/>
    <w:rsid w:val="0001720C"/>
    <w:rsid w:val="0001767E"/>
    <w:rsid w:val="0001776D"/>
    <w:rsid w:val="00017F31"/>
    <w:rsid w:val="00020252"/>
    <w:rsid w:val="00020607"/>
    <w:rsid w:val="00020CBB"/>
    <w:rsid w:val="0002103A"/>
    <w:rsid w:val="000217E4"/>
    <w:rsid w:val="00021852"/>
    <w:rsid w:val="00021A12"/>
    <w:rsid w:val="000223BF"/>
    <w:rsid w:val="00022622"/>
    <w:rsid w:val="00023363"/>
    <w:rsid w:val="000235F3"/>
    <w:rsid w:val="00023644"/>
    <w:rsid w:val="00023712"/>
    <w:rsid w:val="00023856"/>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16"/>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6ED3"/>
    <w:rsid w:val="00037F87"/>
    <w:rsid w:val="00037FA2"/>
    <w:rsid w:val="000400D0"/>
    <w:rsid w:val="000402BE"/>
    <w:rsid w:val="00040343"/>
    <w:rsid w:val="000425AC"/>
    <w:rsid w:val="000427B8"/>
    <w:rsid w:val="000429F6"/>
    <w:rsid w:val="00042F4A"/>
    <w:rsid w:val="00043AC8"/>
    <w:rsid w:val="00043BE5"/>
    <w:rsid w:val="00044003"/>
    <w:rsid w:val="00044527"/>
    <w:rsid w:val="000447E8"/>
    <w:rsid w:val="00044897"/>
    <w:rsid w:val="00044ACF"/>
    <w:rsid w:val="00045465"/>
    <w:rsid w:val="000454F4"/>
    <w:rsid w:val="00045789"/>
    <w:rsid w:val="00045D1E"/>
    <w:rsid w:val="00045E69"/>
    <w:rsid w:val="00045E97"/>
    <w:rsid w:val="00045EF4"/>
    <w:rsid w:val="00046547"/>
    <w:rsid w:val="000466D7"/>
    <w:rsid w:val="00046753"/>
    <w:rsid w:val="00047103"/>
    <w:rsid w:val="00047254"/>
    <w:rsid w:val="00047E41"/>
    <w:rsid w:val="0005022B"/>
    <w:rsid w:val="00050450"/>
    <w:rsid w:val="00050771"/>
    <w:rsid w:val="000509BA"/>
    <w:rsid w:val="0005137A"/>
    <w:rsid w:val="000513F3"/>
    <w:rsid w:val="00052287"/>
    <w:rsid w:val="000522E0"/>
    <w:rsid w:val="00052FED"/>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7F"/>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5EB1"/>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8C"/>
    <w:rsid w:val="0007315D"/>
    <w:rsid w:val="00073549"/>
    <w:rsid w:val="000737BE"/>
    <w:rsid w:val="0007483E"/>
    <w:rsid w:val="000751DB"/>
    <w:rsid w:val="0007542D"/>
    <w:rsid w:val="0007578F"/>
    <w:rsid w:val="000758C2"/>
    <w:rsid w:val="00075E43"/>
    <w:rsid w:val="00077706"/>
    <w:rsid w:val="00077878"/>
    <w:rsid w:val="00077E81"/>
    <w:rsid w:val="000804EF"/>
    <w:rsid w:val="00080558"/>
    <w:rsid w:val="0008069D"/>
    <w:rsid w:val="00080DCC"/>
    <w:rsid w:val="00081230"/>
    <w:rsid w:val="000812A8"/>
    <w:rsid w:val="000814E2"/>
    <w:rsid w:val="000818C9"/>
    <w:rsid w:val="00081CBB"/>
    <w:rsid w:val="00081D42"/>
    <w:rsid w:val="000822EF"/>
    <w:rsid w:val="0008241E"/>
    <w:rsid w:val="000826F5"/>
    <w:rsid w:val="000829B1"/>
    <w:rsid w:val="00082AAB"/>
    <w:rsid w:val="0008307D"/>
    <w:rsid w:val="000831E9"/>
    <w:rsid w:val="000833BB"/>
    <w:rsid w:val="000839FD"/>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18F5"/>
    <w:rsid w:val="000919B5"/>
    <w:rsid w:val="00091C1D"/>
    <w:rsid w:val="00091E08"/>
    <w:rsid w:val="00092100"/>
    <w:rsid w:val="000922D8"/>
    <w:rsid w:val="000932E7"/>
    <w:rsid w:val="0009333A"/>
    <w:rsid w:val="000933C3"/>
    <w:rsid w:val="00093459"/>
    <w:rsid w:val="00093A93"/>
    <w:rsid w:val="00093B4E"/>
    <w:rsid w:val="00093B8B"/>
    <w:rsid w:val="000944C3"/>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B88"/>
    <w:rsid w:val="000A3DE5"/>
    <w:rsid w:val="000A4011"/>
    <w:rsid w:val="000A45D5"/>
    <w:rsid w:val="000A46CD"/>
    <w:rsid w:val="000A490E"/>
    <w:rsid w:val="000A4B64"/>
    <w:rsid w:val="000A529E"/>
    <w:rsid w:val="000A57C9"/>
    <w:rsid w:val="000A5B49"/>
    <w:rsid w:val="000A5FE5"/>
    <w:rsid w:val="000A62C4"/>
    <w:rsid w:val="000A6684"/>
    <w:rsid w:val="000A7194"/>
    <w:rsid w:val="000A7218"/>
    <w:rsid w:val="000A740A"/>
    <w:rsid w:val="000A7446"/>
    <w:rsid w:val="000A7E7F"/>
    <w:rsid w:val="000A7ECD"/>
    <w:rsid w:val="000B04DD"/>
    <w:rsid w:val="000B09EE"/>
    <w:rsid w:val="000B0F01"/>
    <w:rsid w:val="000B1346"/>
    <w:rsid w:val="000B1914"/>
    <w:rsid w:val="000B19DC"/>
    <w:rsid w:val="000B1B44"/>
    <w:rsid w:val="000B1CA2"/>
    <w:rsid w:val="000B202E"/>
    <w:rsid w:val="000B2293"/>
    <w:rsid w:val="000B24A4"/>
    <w:rsid w:val="000B255C"/>
    <w:rsid w:val="000B395E"/>
    <w:rsid w:val="000B39C3"/>
    <w:rsid w:val="000B3A00"/>
    <w:rsid w:val="000B3A65"/>
    <w:rsid w:val="000B3D8D"/>
    <w:rsid w:val="000B4840"/>
    <w:rsid w:val="000B4D79"/>
    <w:rsid w:val="000B53E8"/>
    <w:rsid w:val="000B5627"/>
    <w:rsid w:val="000B5671"/>
    <w:rsid w:val="000B5A2F"/>
    <w:rsid w:val="000B6BF0"/>
    <w:rsid w:val="000B6CE8"/>
    <w:rsid w:val="000B7DAF"/>
    <w:rsid w:val="000C005F"/>
    <w:rsid w:val="000C006F"/>
    <w:rsid w:val="000C071C"/>
    <w:rsid w:val="000C0931"/>
    <w:rsid w:val="000C0BB4"/>
    <w:rsid w:val="000C0BEE"/>
    <w:rsid w:val="000C11BE"/>
    <w:rsid w:val="000C1CB9"/>
    <w:rsid w:val="000C2159"/>
    <w:rsid w:val="000C21BB"/>
    <w:rsid w:val="000C289B"/>
    <w:rsid w:val="000C2EB4"/>
    <w:rsid w:val="000C352F"/>
    <w:rsid w:val="000C3895"/>
    <w:rsid w:val="000C3F01"/>
    <w:rsid w:val="000C410D"/>
    <w:rsid w:val="000C420D"/>
    <w:rsid w:val="000C4773"/>
    <w:rsid w:val="000C4944"/>
    <w:rsid w:val="000C4E24"/>
    <w:rsid w:val="000C52D0"/>
    <w:rsid w:val="000C5851"/>
    <w:rsid w:val="000C591E"/>
    <w:rsid w:val="000C5C4A"/>
    <w:rsid w:val="000C5F01"/>
    <w:rsid w:val="000C63C4"/>
    <w:rsid w:val="000C66C1"/>
    <w:rsid w:val="000C69CE"/>
    <w:rsid w:val="000C6F0B"/>
    <w:rsid w:val="000C6F32"/>
    <w:rsid w:val="000C6FEF"/>
    <w:rsid w:val="000C7084"/>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9DF"/>
    <w:rsid w:val="000D6CE7"/>
    <w:rsid w:val="000D6E38"/>
    <w:rsid w:val="000D6E63"/>
    <w:rsid w:val="000D711C"/>
    <w:rsid w:val="000D7B6E"/>
    <w:rsid w:val="000E0644"/>
    <w:rsid w:val="000E076D"/>
    <w:rsid w:val="000E087C"/>
    <w:rsid w:val="000E1300"/>
    <w:rsid w:val="000E187C"/>
    <w:rsid w:val="000E1AF6"/>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A32"/>
    <w:rsid w:val="000F1CC2"/>
    <w:rsid w:val="000F1D15"/>
    <w:rsid w:val="000F270A"/>
    <w:rsid w:val="000F2FA3"/>
    <w:rsid w:val="000F34C8"/>
    <w:rsid w:val="000F38BC"/>
    <w:rsid w:val="000F3BF8"/>
    <w:rsid w:val="000F3E2A"/>
    <w:rsid w:val="000F46AF"/>
    <w:rsid w:val="000F4D26"/>
    <w:rsid w:val="000F5639"/>
    <w:rsid w:val="000F5645"/>
    <w:rsid w:val="000F58A4"/>
    <w:rsid w:val="000F5CD6"/>
    <w:rsid w:val="000F5F99"/>
    <w:rsid w:val="000F6833"/>
    <w:rsid w:val="000F6A24"/>
    <w:rsid w:val="000F7502"/>
    <w:rsid w:val="000F7616"/>
    <w:rsid w:val="000F767F"/>
    <w:rsid w:val="000F7DE9"/>
    <w:rsid w:val="000F7F7A"/>
    <w:rsid w:val="001002F4"/>
    <w:rsid w:val="001004C7"/>
    <w:rsid w:val="0010050C"/>
    <w:rsid w:val="001006CB"/>
    <w:rsid w:val="001011FC"/>
    <w:rsid w:val="0010165F"/>
    <w:rsid w:val="00101E3C"/>
    <w:rsid w:val="00101E7C"/>
    <w:rsid w:val="001023DC"/>
    <w:rsid w:val="001024A7"/>
    <w:rsid w:val="00102572"/>
    <w:rsid w:val="00102946"/>
    <w:rsid w:val="001029A0"/>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E9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53EF"/>
    <w:rsid w:val="00115AEE"/>
    <w:rsid w:val="00115D55"/>
    <w:rsid w:val="00115E45"/>
    <w:rsid w:val="00115F85"/>
    <w:rsid w:val="0011688E"/>
    <w:rsid w:val="00116A8B"/>
    <w:rsid w:val="00116ACD"/>
    <w:rsid w:val="00116AF0"/>
    <w:rsid w:val="00116E19"/>
    <w:rsid w:val="0011718F"/>
    <w:rsid w:val="00117B7D"/>
    <w:rsid w:val="00117D52"/>
    <w:rsid w:val="00117EC7"/>
    <w:rsid w:val="00117EFC"/>
    <w:rsid w:val="00120023"/>
    <w:rsid w:val="001205A8"/>
    <w:rsid w:val="00120792"/>
    <w:rsid w:val="00120D46"/>
    <w:rsid w:val="00121766"/>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0D8"/>
    <w:rsid w:val="0013013C"/>
    <w:rsid w:val="0013085D"/>
    <w:rsid w:val="0013089C"/>
    <w:rsid w:val="00130A2D"/>
    <w:rsid w:val="00130CEA"/>
    <w:rsid w:val="00130F54"/>
    <w:rsid w:val="00131888"/>
    <w:rsid w:val="00131B07"/>
    <w:rsid w:val="00131F17"/>
    <w:rsid w:val="0013212F"/>
    <w:rsid w:val="00132284"/>
    <w:rsid w:val="001323F9"/>
    <w:rsid w:val="0013251F"/>
    <w:rsid w:val="001328AD"/>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5EF"/>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A9"/>
    <w:rsid w:val="001652D7"/>
    <w:rsid w:val="00165A5F"/>
    <w:rsid w:val="00166223"/>
    <w:rsid w:val="0016793E"/>
    <w:rsid w:val="00167D4D"/>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0CC5"/>
    <w:rsid w:val="00181178"/>
    <w:rsid w:val="0018119E"/>
    <w:rsid w:val="0018152C"/>
    <w:rsid w:val="00181DBA"/>
    <w:rsid w:val="00181EEF"/>
    <w:rsid w:val="00181F3E"/>
    <w:rsid w:val="00182456"/>
    <w:rsid w:val="00182AA4"/>
    <w:rsid w:val="00182FE0"/>
    <w:rsid w:val="00183911"/>
    <w:rsid w:val="00184418"/>
    <w:rsid w:val="001845FB"/>
    <w:rsid w:val="00184B61"/>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D98"/>
    <w:rsid w:val="001916BE"/>
    <w:rsid w:val="001922CF"/>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8D1"/>
    <w:rsid w:val="001979F9"/>
    <w:rsid w:val="00197FFE"/>
    <w:rsid w:val="001A0D25"/>
    <w:rsid w:val="001A0E14"/>
    <w:rsid w:val="001A1570"/>
    <w:rsid w:val="001A1917"/>
    <w:rsid w:val="001A1C64"/>
    <w:rsid w:val="001A1DFB"/>
    <w:rsid w:val="001A1E7F"/>
    <w:rsid w:val="001A2466"/>
    <w:rsid w:val="001A2918"/>
    <w:rsid w:val="001A2D02"/>
    <w:rsid w:val="001A2DF0"/>
    <w:rsid w:val="001A2FD7"/>
    <w:rsid w:val="001A3076"/>
    <w:rsid w:val="001A3163"/>
    <w:rsid w:val="001A31A5"/>
    <w:rsid w:val="001A389C"/>
    <w:rsid w:val="001A3B75"/>
    <w:rsid w:val="001A403E"/>
    <w:rsid w:val="001A42A3"/>
    <w:rsid w:val="001A46FB"/>
    <w:rsid w:val="001A4EC9"/>
    <w:rsid w:val="001A5482"/>
    <w:rsid w:val="001A5944"/>
    <w:rsid w:val="001A5FB1"/>
    <w:rsid w:val="001A5FD2"/>
    <w:rsid w:val="001A618F"/>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2104"/>
    <w:rsid w:val="001B2279"/>
    <w:rsid w:val="001B2729"/>
    <w:rsid w:val="001B2866"/>
    <w:rsid w:val="001B2881"/>
    <w:rsid w:val="001B2B73"/>
    <w:rsid w:val="001B3282"/>
    <w:rsid w:val="001B3675"/>
    <w:rsid w:val="001B37C8"/>
    <w:rsid w:val="001B3B29"/>
    <w:rsid w:val="001B48BA"/>
    <w:rsid w:val="001B4B2C"/>
    <w:rsid w:val="001B4F10"/>
    <w:rsid w:val="001B5154"/>
    <w:rsid w:val="001B5323"/>
    <w:rsid w:val="001B592B"/>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05"/>
    <w:rsid w:val="001C4834"/>
    <w:rsid w:val="001C4A38"/>
    <w:rsid w:val="001C4A9E"/>
    <w:rsid w:val="001C5001"/>
    <w:rsid w:val="001C5103"/>
    <w:rsid w:val="001C52A8"/>
    <w:rsid w:val="001C5ADF"/>
    <w:rsid w:val="001C5E8E"/>
    <w:rsid w:val="001C6120"/>
    <w:rsid w:val="001C6248"/>
    <w:rsid w:val="001C6516"/>
    <w:rsid w:val="001C6B5C"/>
    <w:rsid w:val="001C7155"/>
    <w:rsid w:val="001C7E48"/>
    <w:rsid w:val="001D0190"/>
    <w:rsid w:val="001D039B"/>
    <w:rsid w:val="001D0425"/>
    <w:rsid w:val="001D05A3"/>
    <w:rsid w:val="001D0849"/>
    <w:rsid w:val="001D1258"/>
    <w:rsid w:val="001D18BA"/>
    <w:rsid w:val="001D1AB8"/>
    <w:rsid w:val="001D26F5"/>
    <w:rsid w:val="001D286F"/>
    <w:rsid w:val="001D2C94"/>
    <w:rsid w:val="001D33D9"/>
    <w:rsid w:val="001D36F6"/>
    <w:rsid w:val="001D3C75"/>
    <w:rsid w:val="001D4303"/>
    <w:rsid w:val="001D45E5"/>
    <w:rsid w:val="001D461A"/>
    <w:rsid w:val="001D4A9D"/>
    <w:rsid w:val="001D4AAD"/>
    <w:rsid w:val="001D4E16"/>
    <w:rsid w:val="001D5AFA"/>
    <w:rsid w:val="001D652D"/>
    <w:rsid w:val="001D72D9"/>
    <w:rsid w:val="001D7421"/>
    <w:rsid w:val="001D757E"/>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978"/>
    <w:rsid w:val="001E4C01"/>
    <w:rsid w:val="001E4F08"/>
    <w:rsid w:val="001E5366"/>
    <w:rsid w:val="001E5490"/>
    <w:rsid w:val="001E5730"/>
    <w:rsid w:val="001E5D2B"/>
    <w:rsid w:val="001E5E2E"/>
    <w:rsid w:val="001E6352"/>
    <w:rsid w:val="001E6EA5"/>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695"/>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197"/>
    <w:rsid w:val="0021265F"/>
    <w:rsid w:val="00213232"/>
    <w:rsid w:val="00213817"/>
    <w:rsid w:val="00214428"/>
    <w:rsid w:val="002145A8"/>
    <w:rsid w:val="002145EB"/>
    <w:rsid w:val="00214F82"/>
    <w:rsid w:val="00214FE7"/>
    <w:rsid w:val="00215033"/>
    <w:rsid w:val="00215834"/>
    <w:rsid w:val="002158AA"/>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18EC"/>
    <w:rsid w:val="00231927"/>
    <w:rsid w:val="00231D05"/>
    <w:rsid w:val="0023241A"/>
    <w:rsid w:val="002336E2"/>
    <w:rsid w:val="00233AC2"/>
    <w:rsid w:val="00233BAF"/>
    <w:rsid w:val="00233CD8"/>
    <w:rsid w:val="00233E1B"/>
    <w:rsid w:val="00233F80"/>
    <w:rsid w:val="0023423A"/>
    <w:rsid w:val="0023430F"/>
    <w:rsid w:val="00235420"/>
    <w:rsid w:val="00235700"/>
    <w:rsid w:val="00236DA1"/>
    <w:rsid w:val="0023788D"/>
    <w:rsid w:val="00237E96"/>
    <w:rsid w:val="00240422"/>
    <w:rsid w:val="0024065B"/>
    <w:rsid w:val="002409A6"/>
    <w:rsid w:val="00240C63"/>
    <w:rsid w:val="00240D91"/>
    <w:rsid w:val="00240EA5"/>
    <w:rsid w:val="00241132"/>
    <w:rsid w:val="002411BB"/>
    <w:rsid w:val="00241205"/>
    <w:rsid w:val="002418C5"/>
    <w:rsid w:val="002419CC"/>
    <w:rsid w:val="00241D9D"/>
    <w:rsid w:val="002424CA"/>
    <w:rsid w:val="0024261D"/>
    <w:rsid w:val="00242712"/>
    <w:rsid w:val="00242DFB"/>
    <w:rsid w:val="00243807"/>
    <w:rsid w:val="002440AC"/>
    <w:rsid w:val="00244365"/>
    <w:rsid w:val="00244535"/>
    <w:rsid w:val="0024459A"/>
    <w:rsid w:val="0024459B"/>
    <w:rsid w:val="002446A3"/>
    <w:rsid w:val="00244771"/>
    <w:rsid w:val="00244903"/>
    <w:rsid w:val="00244AFB"/>
    <w:rsid w:val="002453DF"/>
    <w:rsid w:val="0024545D"/>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6F93"/>
    <w:rsid w:val="00257059"/>
    <w:rsid w:val="002570EF"/>
    <w:rsid w:val="0025712F"/>
    <w:rsid w:val="00257395"/>
    <w:rsid w:val="00257857"/>
    <w:rsid w:val="002578DA"/>
    <w:rsid w:val="00257CBC"/>
    <w:rsid w:val="002602C2"/>
    <w:rsid w:val="002602DA"/>
    <w:rsid w:val="0026040B"/>
    <w:rsid w:val="002604F2"/>
    <w:rsid w:val="00260802"/>
    <w:rsid w:val="002609BB"/>
    <w:rsid w:val="002609E3"/>
    <w:rsid w:val="002611AA"/>
    <w:rsid w:val="00261223"/>
    <w:rsid w:val="00261421"/>
    <w:rsid w:val="002616E6"/>
    <w:rsid w:val="002617AB"/>
    <w:rsid w:val="00261D08"/>
    <w:rsid w:val="00261DCC"/>
    <w:rsid w:val="002624D0"/>
    <w:rsid w:val="002630CE"/>
    <w:rsid w:val="00263CF7"/>
    <w:rsid w:val="00263EC7"/>
    <w:rsid w:val="0026491B"/>
    <w:rsid w:val="00264A36"/>
    <w:rsid w:val="00264B06"/>
    <w:rsid w:val="00264C1B"/>
    <w:rsid w:val="002657FB"/>
    <w:rsid w:val="00265D10"/>
    <w:rsid w:val="00265E2E"/>
    <w:rsid w:val="002661AB"/>
    <w:rsid w:val="0026742B"/>
    <w:rsid w:val="002674FE"/>
    <w:rsid w:val="00267A82"/>
    <w:rsid w:val="00267E59"/>
    <w:rsid w:val="002702F6"/>
    <w:rsid w:val="00270748"/>
    <w:rsid w:val="00270CAB"/>
    <w:rsid w:val="0027117F"/>
    <w:rsid w:val="00271264"/>
    <w:rsid w:val="002712DC"/>
    <w:rsid w:val="00271875"/>
    <w:rsid w:val="002718FF"/>
    <w:rsid w:val="00271955"/>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3C3"/>
    <w:rsid w:val="0027550D"/>
    <w:rsid w:val="002755A8"/>
    <w:rsid w:val="00275C21"/>
    <w:rsid w:val="00275FCE"/>
    <w:rsid w:val="0027617B"/>
    <w:rsid w:val="002766B8"/>
    <w:rsid w:val="0027680F"/>
    <w:rsid w:val="00276C2E"/>
    <w:rsid w:val="002777C0"/>
    <w:rsid w:val="0028076D"/>
    <w:rsid w:val="00280C16"/>
    <w:rsid w:val="00280F7D"/>
    <w:rsid w:val="00281006"/>
    <w:rsid w:val="002815B1"/>
    <w:rsid w:val="00281893"/>
    <w:rsid w:val="00281C1F"/>
    <w:rsid w:val="00281EEA"/>
    <w:rsid w:val="00281F88"/>
    <w:rsid w:val="00282250"/>
    <w:rsid w:val="0028240D"/>
    <w:rsid w:val="0028288D"/>
    <w:rsid w:val="00282967"/>
    <w:rsid w:val="002829B7"/>
    <w:rsid w:val="00282B82"/>
    <w:rsid w:val="00282BFB"/>
    <w:rsid w:val="00282C74"/>
    <w:rsid w:val="00282E5B"/>
    <w:rsid w:val="00283995"/>
    <w:rsid w:val="00283B11"/>
    <w:rsid w:val="002841A9"/>
    <w:rsid w:val="00284313"/>
    <w:rsid w:val="00284554"/>
    <w:rsid w:val="002848AD"/>
    <w:rsid w:val="00284DE4"/>
    <w:rsid w:val="00285099"/>
    <w:rsid w:val="00285154"/>
    <w:rsid w:val="00285BF2"/>
    <w:rsid w:val="00285C78"/>
    <w:rsid w:val="002863CE"/>
    <w:rsid w:val="00287E20"/>
    <w:rsid w:val="0029041D"/>
    <w:rsid w:val="0029061D"/>
    <w:rsid w:val="00290AEB"/>
    <w:rsid w:val="0029110F"/>
    <w:rsid w:val="00291492"/>
    <w:rsid w:val="00291527"/>
    <w:rsid w:val="00291574"/>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9C7"/>
    <w:rsid w:val="00296AF7"/>
    <w:rsid w:val="00297021"/>
    <w:rsid w:val="002970F3"/>
    <w:rsid w:val="002972F9"/>
    <w:rsid w:val="00297612"/>
    <w:rsid w:val="002977CA"/>
    <w:rsid w:val="00297ED7"/>
    <w:rsid w:val="002A0007"/>
    <w:rsid w:val="002A03AA"/>
    <w:rsid w:val="002A056D"/>
    <w:rsid w:val="002A07FE"/>
    <w:rsid w:val="002A094D"/>
    <w:rsid w:val="002A0CAF"/>
    <w:rsid w:val="002A0DDB"/>
    <w:rsid w:val="002A1316"/>
    <w:rsid w:val="002A1565"/>
    <w:rsid w:val="002A16A9"/>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F1B"/>
    <w:rsid w:val="002B3332"/>
    <w:rsid w:val="002B34C7"/>
    <w:rsid w:val="002B3F25"/>
    <w:rsid w:val="002B5918"/>
    <w:rsid w:val="002B5AFB"/>
    <w:rsid w:val="002B62DA"/>
    <w:rsid w:val="002B6320"/>
    <w:rsid w:val="002B66AC"/>
    <w:rsid w:val="002B6852"/>
    <w:rsid w:val="002B6923"/>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78E"/>
    <w:rsid w:val="002D4799"/>
    <w:rsid w:val="002D47AE"/>
    <w:rsid w:val="002D4A94"/>
    <w:rsid w:val="002D4AFE"/>
    <w:rsid w:val="002D55BB"/>
    <w:rsid w:val="002D5D85"/>
    <w:rsid w:val="002D65FF"/>
    <w:rsid w:val="002D6C1F"/>
    <w:rsid w:val="002D6D10"/>
    <w:rsid w:val="002D71E2"/>
    <w:rsid w:val="002D79C9"/>
    <w:rsid w:val="002D7B6A"/>
    <w:rsid w:val="002E0026"/>
    <w:rsid w:val="002E08E8"/>
    <w:rsid w:val="002E0918"/>
    <w:rsid w:val="002E0BAA"/>
    <w:rsid w:val="002E0D96"/>
    <w:rsid w:val="002E0EA5"/>
    <w:rsid w:val="002E0F1C"/>
    <w:rsid w:val="002E16BE"/>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F"/>
    <w:rsid w:val="002E57B9"/>
    <w:rsid w:val="002E5A56"/>
    <w:rsid w:val="002E6127"/>
    <w:rsid w:val="002E6885"/>
    <w:rsid w:val="002E6E86"/>
    <w:rsid w:val="002E72E4"/>
    <w:rsid w:val="002E739D"/>
    <w:rsid w:val="002F0F36"/>
    <w:rsid w:val="002F1276"/>
    <w:rsid w:val="002F1986"/>
    <w:rsid w:val="002F1E5F"/>
    <w:rsid w:val="002F2A49"/>
    <w:rsid w:val="002F3550"/>
    <w:rsid w:val="002F3A5A"/>
    <w:rsid w:val="002F3B63"/>
    <w:rsid w:val="002F3C0E"/>
    <w:rsid w:val="002F3C56"/>
    <w:rsid w:val="002F4271"/>
    <w:rsid w:val="002F46B0"/>
    <w:rsid w:val="002F477E"/>
    <w:rsid w:val="002F4B17"/>
    <w:rsid w:val="002F5086"/>
    <w:rsid w:val="002F5150"/>
    <w:rsid w:val="002F5463"/>
    <w:rsid w:val="002F58C2"/>
    <w:rsid w:val="002F5932"/>
    <w:rsid w:val="002F5C85"/>
    <w:rsid w:val="002F603B"/>
    <w:rsid w:val="002F61A3"/>
    <w:rsid w:val="002F61D4"/>
    <w:rsid w:val="002F6201"/>
    <w:rsid w:val="002F6493"/>
    <w:rsid w:val="002F724B"/>
    <w:rsid w:val="002F72BA"/>
    <w:rsid w:val="002F7F79"/>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07ABE"/>
    <w:rsid w:val="003103A9"/>
    <w:rsid w:val="003108E8"/>
    <w:rsid w:val="00310A50"/>
    <w:rsid w:val="00310D51"/>
    <w:rsid w:val="00310FFF"/>
    <w:rsid w:val="0031118F"/>
    <w:rsid w:val="00311B36"/>
    <w:rsid w:val="00311C92"/>
    <w:rsid w:val="00313321"/>
    <w:rsid w:val="003133AE"/>
    <w:rsid w:val="0031371B"/>
    <w:rsid w:val="00313E5C"/>
    <w:rsid w:val="00314156"/>
    <w:rsid w:val="00314CF8"/>
    <w:rsid w:val="0031535B"/>
    <w:rsid w:val="003154DD"/>
    <w:rsid w:val="00315FCF"/>
    <w:rsid w:val="003161A6"/>
    <w:rsid w:val="00316B42"/>
    <w:rsid w:val="00316F76"/>
    <w:rsid w:val="003170D7"/>
    <w:rsid w:val="003170F4"/>
    <w:rsid w:val="00317552"/>
    <w:rsid w:val="0031755B"/>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2C5"/>
    <w:rsid w:val="00330411"/>
    <w:rsid w:val="003310AB"/>
    <w:rsid w:val="00331415"/>
    <w:rsid w:val="003314D2"/>
    <w:rsid w:val="00331712"/>
    <w:rsid w:val="00331A3F"/>
    <w:rsid w:val="00331D94"/>
    <w:rsid w:val="00332191"/>
    <w:rsid w:val="00332720"/>
    <w:rsid w:val="00332EBD"/>
    <w:rsid w:val="00332EED"/>
    <w:rsid w:val="00333195"/>
    <w:rsid w:val="003334A7"/>
    <w:rsid w:val="003336E8"/>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8EC"/>
    <w:rsid w:val="00337D75"/>
    <w:rsid w:val="00340020"/>
    <w:rsid w:val="00340AFD"/>
    <w:rsid w:val="00341162"/>
    <w:rsid w:val="00341181"/>
    <w:rsid w:val="00341866"/>
    <w:rsid w:val="00341DAF"/>
    <w:rsid w:val="003420F2"/>
    <w:rsid w:val="00342181"/>
    <w:rsid w:val="00342B37"/>
    <w:rsid w:val="00343560"/>
    <w:rsid w:val="00343A20"/>
    <w:rsid w:val="0034402B"/>
    <w:rsid w:val="0034449E"/>
    <w:rsid w:val="003449F4"/>
    <w:rsid w:val="00344D46"/>
    <w:rsid w:val="00344E22"/>
    <w:rsid w:val="00345337"/>
    <w:rsid w:val="003465A5"/>
    <w:rsid w:val="00346817"/>
    <w:rsid w:val="00347440"/>
    <w:rsid w:val="003475EA"/>
    <w:rsid w:val="00347A27"/>
    <w:rsid w:val="00347CD4"/>
    <w:rsid w:val="00347E2E"/>
    <w:rsid w:val="00350A55"/>
    <w:rsid w:val="00350DF8"/>
    <w:rsid w:val="0035189D"/>
    <w:rsid w:val="00351A8A"/>
    <w:rsid w:val="003523FD"/>
    <w:rsid w:val="003524B2"/>
    <w:rsid w:val="0035266A"/>
    <w:rsid w:val="0035279C"/>
    <w:rsid w:val="003535D2"/>
    <w:rsid w:val="0035384D"/>
    <w:rsid w:val="0035396D"/>
    <w:rsid w:val="00353C0B"/>
    <w:rsid w:val="00353EE5"/>
    <w:rsid w:val="00354472"/>
    <w:rsid w:val="00354AE4"/>
    <w:rsid w:val="00354B0A"/>
    <w:rsid w:val="00355350"/>
    <w:rsid w:val="0035551B"/>
    <w:rsid w:val="003555ED"/>
    <w:rsid w:val="00355756"/>
    <w:rsid w:val="00355911"/>
    <w:rsid w:val="00355BFC"/>
    <w:rsid w:val="00355FE2"/>
    <w:rsid w:val="0035636B"/>
    <w:rsid w:val="003564CC"/>
    <w:rsid w:val="003568D7"/>
    <w:rsid w:val="0035690F"/>
    <w:rsid w:val="00356D16"/>
    <w:rsid w:val="00357424"/>
    <w:rsid w:val="00357BE9"/>
    <w:rsid w:val="003601A2"/>
    <w:rsid w:val="00360D1B"/>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3EC"/>
    <w:rsid w:val="0036572E"/>
    <w:rsid w:val="00366168"/>
    <w:rsid w:val="003663D9"/>
    <w:rsid w:val="003666BF"/>
    <w:rsid w:val="00366707"/>
    <w:rsid w:val="00366BD3"/>
    <w:rsid w:val="00366FA9"/>
    <w:rsid w:val="00367B19"/>
    <w:rsid w:val="00367E49"/>
    <w:rsid w:val="003700E6"/>
    <w:rsid w:val="0037017C"/>
    <w:rsid w:val="00370490"/>
    <w:rsid w:val="003712A9"/>
    <w:rsid w:val="00371C86"/>
    <w:rsid w:val="0037236C"/>
    <w:rsid w:val="003729DE"/>
    <w:rsid w:val="00372EA2"/>
    <w:rsid w:val="003735D3"/>
    <w:rsid w:val="0037386D"/>
    <w:rsid w:val="00373956"/>
    <w:rsid w:val="00373BE1"/>
    <w:rsid w:val="00374153"/>
    <w:rsid w:val="003741BC"/>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579"/>
    <w:rsid w:val="00382657"/>
    <w:rsid w:val="00382708"/>
    <w:rsid w:val="00382B82"/>
    <w:rsid w:val="00382C37"/>
    <w:rsid w:val="00383446"/>
    <w:rsid w:val="003844BF"/>
    <w:rsid w:val="003854D5"/>
    <w:rsid w:val="0038552A"/>
    <w:rsid w:val="003859EA"/>
    <w:rsid w:val="0038709E"/>
    <w:rsid w:val="00387623"/>
    <w:rsid w:val="00387D30"/>
    <w:rsid w:val="003909BE"/>
    <w:rsid w:val="00391753"/>
    <w:rsid w:val="00391C7F"/>
    <w:rsid w:val="00392454"/>
    <w:rsid w:val="00392C85"/>
    <w:rsid w:val="00392FD8"/>
    <w:rsid w:val="00393923"/>
    <w:rsid w:val="00393E11"/>
    <w:rsid w:val="00393FE3"/>
    <w:rsid w:val="00394475"/>
    <w:rsid w:val="00394514"/>
    <w:rsid w:val="0039517A"/>
    <w:rsid w:val="003954FE"/>
    <w:rsid w:val="00395B51"/>
    <w:rsid w:val="003961D4"/>
    <w:rsid w:val="00396796"/>
    <w:rsid w:val="00396EC6"/>
    <w:rsid w:val="003970BA"/>
    <w:rsid w:val="0039746C"/>
    <w:rsid w:val="00397C31"/>
    <w:rsid w:val="00397DC6"/>
    <w:rsid w:val="003A0E82"/>
    <w:rsid w:val="003A0FAC"/>
    <w:rsid w:val="003A184D"/>
    <w:rsid w:val="003A1FB7"/>
    <w:rsid w:val="003A2773"/>
    <w:rsid w:val="003A371E"/>
    <w:rsid w:val="003A3957"/>
    <w:rsid w:val="003A3E29"/>
    <w:rsid w:val="003A439B"/>
    <w:rsid w:val="003A462A"/>
    <w:rsid w:val="003A595F"/>
    <w:rsid w:val="003A5EEC"/>
    <w:rsid w:val="003A6AB9"/>
    <w:rsid w:val="003A6B7A"/>
    <w:rsid w:val="003A748F"/>
    <w:rsid w:val="003A79AE"/>
    <w:rsid w:val="003A7BB0"/>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E21"/>
    <w:rsid w:val="003B5F6A"/>
    <w:rsid w:val="003B6049"/>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2B82"/>
    <w:rsid w:val="003D2DF6"/>
    <w:rsid w:val="003D2F93"/>
    <w:rsid w:val="003D3414"/>
    <w:rsid w:val="003D3426"/>
    <w:rsid w:val="003D3654"/>
    <w:rsid w:val="003D3721"/>
    <w:rsid w:val="003D413A"/>
    <w:rsid w:val="003D643B"/>
    <w:rsid w:val="003D6722"/>
    <w:rsid w:val="003D7428"/>
    <w:rsid w:val="003D77F2"/>
    <w:rsid w:val="003D78CC"/>
    <w:rsid w:val="003D7D01"/>
    <w:rsid w:val="003D7ED8"/>
    <w:rsid w:val="003E0003"/>
    <w:rsid w:val="003E0099"/>
    <w:rsid w:val="003E08C7"/>
    <w:rsid w:val="003E122B"/>
    <w:rsid w:val="003E1427"/>
    <w:rsid w:val="003E1A72"/>
    <w:rsid w:val="003E1DDC"/>
    <w:rsid w:val="003E27B8"/>
    <w:rsid w:val="003E283C"/>
    <w:rsid w:val="003E2880"/>
    <w:rsid w:val="003E28FB"/>
    <w:rsid w:val="003E2A00"/>
    <w:rsid w:val="003E2ECC"/>
    <w:rsid w:val="003E334A"/>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0F83"/>
    <w:rsid w:val="003F1359"/>
    <w:rsid w:val="003F144A"/>
    <w:rsid w:val="003F1B02"/>
    <w:rsid w:val="003F1EFE"/>
    <w:rsid w:val="003F221B"/>
    <w:rsid w:val="003F2240"/>
    <w:rsid w:val="003F2460"/>
    <w:rsid w:val="003F2E7B"/>
    <w:rsid w:val="003F3CD5"/>
    <w:rsid w:val="003F3E0C"/>
    <w:rsid w:val="003F3ED4"/>
    <w:rsid w:val="003F4473"/>
    <w:rsid w:val="003F4CF5"/>
    <w:rsid w:val="003F4E31"/>
    <w:rsid w:val="003F51EE"/>
    <w:rsid w:val="003F574E"/>
    <w:rsid w:val="003F60D6"/>
    <w:rsid w:val="003F6244"/>
    <w:rsid w:val="003F68E9"/>
    <w:rsid w:val="003F728C"/>
    <w:rsid w:val="003F7704"/>
    <w:rsid w:val="003F7E15"/>
    <w:rsid w:val="003F7FDA"/>
    <w:rsid w:val="004008BC"/>
    <w:rsid w:val="00400B19"/>
    <w:rsid w:val="00400E65"/>
    <w:rsid w:val="00400EED"/>
    <w:rsid w:val="004013AD"/>
    <w:rsid w:val="00401E20"/>
    <w:rsid w:val="00401E9C"/>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08F"/>
    <w:rsid w:val="00411237"/>
    <w:rsid w:val="0041152F"/>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02F"/>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4E"/>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046"/>
    <w:rsid w:val="00434B9D"/>
    <w:rsid w:val="00435121"/>
    <w:rsid w:val="00435715"/>
    <w:rsid w:val="0043571B"/>
    <w:rsid w:val="00435EE0"/>
    <w:rsid w:val="00435F29"/>
    <w:rsid w:val="0043610C"/>
    <w:rsid w:val="004366AA"/>
    <w:rsid w:val="004366FF"/>
    <w:rsid w:val="00437D83"/>
    <w:rsid w:val="004401DD"/>
    <w:rsid w:val="00440344"/>
    <w:rsid w:val="00440790"/>
    <w:rsid w:val="0044083D"/>
    <w:rsid w:val="00441264"/>
    <w:rsid w:val="00441B0F"/>
    <w:rsid w:val="00441F06"/>
    <w:rsid w:val="004425C6"/>
    <w:rsid w:val="0044395E"/>
    <w:rsid w:val="00443D5D"/>
    <w:rsid w:val="004445C6"/>
    <w:rsid w:val="00445CBA"/>
    <w:rsid w:val="004463CB"/>
    <w:rsid w:val="004466F7"/>
    <w:rsid w:val="00446858"/>
    <w:rsid w:val="00447304"/>
    <w:rsid w:val="004476F6"/>
    <w:rsid w:val="00447CDD"/>
    <w:rsid w:val="00450127"/>
    <w:rsid w:val="0045075F"/>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D6A"/>
    <w:rsid w:val="00460E4C"/>
    <w:rsid w:val="00460EB8"/>
    <w:rsid w:val="00461090"/>
    <w:rsid w:val="0046112B"/>
    <w:rsid w:val="00461952"/>
    <w:rsid w:val="00461991"/>
    <w:rsid w:val="00461ACB"/>
    <w:rsid w:val="00461C43"/>
    <w:rsid w:val="00461FF2"/>
    <w:rsid w:val="00462125"/>
    <w:rsid w:val="00463216"/>
    <w:rsid w:val="0046334D"/>
    <w:rsid w:val="00463911"/>
    <w:rsid w:val="00463C95"/>
    <w:rsid w:val="00463E1C"/>
    <w:rsid w:val="00464052"/>
    <w:rsid w:val="00465153"/>
    <w:rsid w:val="00465602"/>
    <w:rsid w:val="004656A4"/>
    <w:rsid w:val="0046616F"/>
    <w:rsid w:val="00466A4A"/>
    <w:rsid w:val="00466AFD"/>
    <w:rsid w:val="00466D18"/>
    <w:rsid w:val="004704DE"/>
    <w:rsid w:val="00470696"/>
    <w:rsid w:val="004713A5"/>
    <w:rsid w:val="0047162F"/>
    <w:rsid w:val="00471B47"/>
    <w:rsid w:val="00472177"/>
    <w:rsid w:val="00472234"/>
    <w:rsid w:val="004724C9"/>
    <w:rsid w:val="00472515"/>
    <w:rsid w:val="00472585"/>
    <w:rsid w:val="00473036"/>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7CA"/>
    <w:rsid w:val="00480C45"/>
    <w:rsid w:val="00480E47"/>
    <w:rsid w:val="00481666"/>
    <w:rsid w:val="0048180C"/>
    <w:rsid w:val="0048181B"/>
    <w:rsid w:val="00481F2B"/>
    <w:rsid w:val="004820C5"/>
    <w:rsid w:val="00482198"/>
    <w:rsid w:val="004823D8"/>
    <w:rsid w:val="0048252D"/>
    <w:rsid w:val="00482F20"/>
    <w:rsid w:val="00483086"/>
    <w:rsid w:val="00483196"/>
    <w:rsid w:val="0048340F"/>
    <w:rsid w:val="0048423C"/>
    <w:rsid w:val="00484449"/>
    <w:rsid w:val="0048500B"/>
    <w:rsid w:val="004850BD"/>
    <w:rsid w:val="004852CE"/>
    <w:rsid w:val="0048540C"/>
    <w:rsid w:val="00485F92"/>
    <w:rsid w:val="004860BD"/>
    <w:rsid w:val="004866E1"/>
    <w:rsid w:val="00486C72"/>
    <w:rsid w:val="00486F9C"/>
    <w:rsid w:val="00487639"/>
    <w:rsid w:val="00487D3A"/>
    <w:rsid w:val="00487F7F"/>
    <w:rsid w:val="00490954"/>
    <w:rsid w:val="00490F94"/>
    <w:rsid w:val="0049102F"/>
    <w:rsid w:val="00491754"/>
    <w:rsid w:val="00491A90"/>
    <w:rsid w:val="0049277A"/>
    <w:rsid w:val="00492B38"/>
    <w:rsid w:val="00492FE4"/>
    <w:rsid w:val="00493035"/>
    <w:rsid w:val="0049330F"/>
    <w:rsid w:val="00493321"/>
    <w:rsid w:val="004936DE"/>
    <w:rsid w:val="004949B0"/>
    <w:rsid w:val="00494A50"/>
    <w:rsid w:val="00494E6C"/>
    <w:rsid w:val="00494F03"/>
    <w:rsid w:val="0049544E"/>
    <w:rsid w:val="00495670"/>
    <w:rsid w:val="0049567B"/>
    <w:rsid w:val="0049604B"/>
    <w:rsid w:val="00496666"/>
    <w:rsid w:val="00496AC9"/>
    <w:rsid w:val="00496B28"/>
    <w:rsid w:val="00496D27"/>
    <w:rsid w:val="004A040E"/>
    <w:rsid w:val="004A042D"/>
    <w:rsid w:val="004A0ECB"/>
    <w:rsid w:val="004A11E0"/>
    <w:rsid w:val="004A18B3"/>
    <w:rsid w:val="004A1953"/>
    <w:rsid w:val="004A1FC5"/>
    <w:rsid w:val="004A2158"/>
    <w:rsid w:val="004A29A5"/>
    <w:rsid w:val="004A3225"/>
    <w:rsid w:val="004A374A"/>
    <w:rsid w:val="004A395B"/>
    <w:rsid w:val="004A3C59"/>
    <w:rsid w:val="004A3F68"/>
    <w:rsid w:val="004A3FE2"/>
    <w:rsid w:val="004A4195"/>
    <w:rsid w:val="004A480D"/>
    <w:rsid w:val="004A48F4"/>
    <w:rsid w:val="004A4D76"/>
    <w:rsid w:val="004A5851"/>
    <w:rsid w:val="004A5A91"/>
    <w:rsid w:val="004A5B0F"/>
    <w:rsid w:val="004A5CF1"/>
    <w:rsid w:val="004A66E0"/>
    <w:rsid w:val="004A7045"/>
    <w:rsid w:val="004A7A9F"/>
    <w:rsid w:val="004A7AAE"/>
    <w:rsid w:val="004A7D49"/>
    <w:rsid w:val="004A7E52"/>
    <w:rsid w:val="004A7F21"/>
    <w:rsid w:val="004B08DB"/>
    <w:rsid w:val="004B0D73"/>
    <w:rsid w:val="004B1422"/>
    <w:rsid w:val="004B15C5"/>
    <w:rsid w:val="004B176D"/>
    <w:rsid w:val="004B1DF2"/>
    <w:rsid w:val="004B24EB"/>
    <w:rsid w:val="004B29AC"/>
    <w:rsid w:val="004B322B"/>
    <w:rsid w:val="004B3C8B"/>
    <w:rsid w:val="004B44A9"/>
    <w:rsid w:val="004B4509"/>
    <w:rsid w:val="004B452A"/>
    <w:rsid w:val="004B4871"/>
    <w:rsid w:val="004B4ADF"/>
    <w:rsid w:val="004B4C00"/>
    <w:rsid w:val="004B4E06"/>
    <w:rsid w:val="004B5493"/>
    <w:rsid w:val="004B5914"/>
    <w:rsid w:val="004B6C77"/>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8B7"/>
    <w:rsid w:val="004D0C9F"/>
    <w:rsid w:val="004D15FD"/>
    <w:rsid w:val="004D1A0A"/>
    <w:rsid w:val="004D2369"/>
    <w:rsid w:val="004D2485"/>
    <w:rsid w:val="004D25D5"/>
    <w:rsid w:val="004D2C9C"/>
    <w:rsid w:val="004D3A57"/>
    <w:rsid w:val="004D3AED"/>
    <w:rsid w:val="004D47FF"/>
    <w:rsid w:val="004D4D35"/>
    <w:rsid w:val="004D518F"/>
    <w:rsid w:val="004D54D7"/>
    <w:rsid w:val="004D5BB7"/>
    <w:rsid w:val="004D6053"/>
    <w:rsid w:val="004D68FE"/>
    <w:rsid w:val="004D6FA4"/>
    <w:rsid w:val="004D715B"/>
    <w:rsid w:val="004D7C23"/>
    <w:rsid w:val="004E01C6"/>
    <w:rsid w:val="004E0212"/>
    <w:rsid w:val="004E0ADC"/>
    <w:rsid w:val="004E0C4E"/>
    <w:rsid w:val="004E0FB1"/>
    <w:rsid w:val="004E1043"/>
    <w:rsid w:val="004E14C8"/>
    <w:rsid w:val="004E1DCA"/>
    <w:rsid w:val="004E1E38"/>
    <w:rsid w:val="004E21B4"/>
    <w:rsid w:val="004E22AE"/>
    <w:rsid w:val="004E252B"/>
    <w:rsid w:val="004E2861"/>
    <w:rsid w:val="004E2A85"/>
    <w:rsid w:val="004E2CE4"/>
    <w:rsid w:val="004E3F72"/>
    <w:rsid w:val="004E4A78"/>
    <w:rsid w:val="004E551E"/>
    <w:rsid w:val="004E584D"/>
    <w:rsid w:val="004E58F6"/>
    <w:rsid w:val="004E5E37"/>
    <w:rsid w:val="004E5E4C"/>
    <w:rsid w:val="004E5F79"/>
    <w:rsid w:val="004E623E"/>
    <w:rsid w:val="004E6589"/>
    <w:rsid w:val="004E6A74"/>
    <w:rsid w:val="004E6CF9"/>
    <w:rsid w:val="004E7152"/>
    <w:rsid w:val="004E734E"/>
    <w:rsid w:val="004E7EC0"/>
    <w:rsid w:val="004E7F48"/>
    <w:rsid w:val="004F014E"/>
    <w:rsid w:val="004F01EA"/>
    <w:rsid w:val="004F023B"/>
    <w:rsid w:val="004F042D"/>
    <w:rsid w:val="004F0BC6"/>
    <w:rsid w:val="004F1123"/>
    <w:rsid w:val="004F12D3"/>
    <w:rsid w:val="004F1715"/>
    <w:rsid w:val="004F17DA"/>
    <w:rsid w:val="004F2F17"/>
    <w:rsid w:val="004F355B"/>
    <w:rsid w:val="004F39D2"/>
    <w:rsid w:val="004F3BD2"/>
    <w:rsid w:val="004F4372"/>
    <w:rsid w:val="004F43E0"/>
    <w:rsid w:val="004F45EB"/>
    <w:rsid w:val="004F5079"/>
    <w:rsid w:val="004F50F4"/>
    <w:rsid w:val="004F521B"/>
    <w:rsid w:val="004F52BB"/>
    <w:rsid w:val="004F5582"/>
    <w:rsid w:val="004F56B1"/>
    <w:rsid w:val="004F59B8"/>
    <w:rsid w:val="004F62A7"/>
    <w:rsid w:val="004F62F9"/>
    <w:rsid w:val="004F66B3"/>
    <w:rsid w:val="004F696B"/>
    <w:rsid w:val="004F6A72"/>
    <w:rsid w:val="004F6AC3"/>
    <w:rsid w:val="004F6FA7"/>
    <w:rsid w:val="004F71EF"/>
    <w:rsid w:val="004F72DA"/>
    <w:rsid w:val="004F7352"/>
    <w:rsid w:val="004F7889"/>
    <w:rsid w:val="0050015C"/>
    <w:rsid w:val="00500418"/>
    <w:rsid w:val="0050042C"/>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0FE1"/>
    <w:rsid w:val="0051160A"/>
    <w:rsid w:val="005118BA"/>
    <w:rsid w:val="00511C56"/>
    <w:rsid w:val="00512385"/>
    <w:rsid w:val="005128B7"/>
    <w:rsid w:val="00512A4D"/>
    <w:rsid w:val="00512D87"/>
    <w:rsid w:val="005130DA"/>
    <w:rsid w:val="00513DDA"/>
    <w:rsid w:val="00513E19"/>
    <w:rsid w:val="005148B4"/>
    <w:rsid w:val="00514B29"/>
    <w:rsid w:val="00514E8C"/>
    <w:rsid w:val="00514F52"/>
    <w:rsid w:val="005152B1"/>
    <w:rsid w:val="005152F0"/>
    <w:rsid w:val="0051532D"/>
    <w:rsid w:val="00515856"/>
    <w:rsid w:val="00515CD7"/>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41C4"/>
    <w:rsid w:val="005242F0"/>
    <w:rsid w:val="005245D5"/>
    <w:rsid w:val="005247FE"/>
    <w:rsid w:val="00524889"/>
    <w:rsid w:val="00524E6D"/>
    <w:rsid w:val="0052575D"/>
    <w:rsid w:val="00525773"/>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1F7B"/>
    <w:rsid w:val="00532064"/>
    <w:rsid w:val="0053268A"/>
    <w:rsid w:val="0053309E"/>
    <w:rsid w:val="00533169"/>
    <w:rsid w:val="00533194"/>
    <w:rsid w:val="005332C8"/>
    <w:rsid w:val="00534021"/>
    <w:rsid w:val="0053464E"/>
    <w:rsid w:val="00534CBD"/>
    <w:rsid w:val="00534EA3"/>
    <w:rsid w:val="005352C8"/>
    <w:rsid w:val="005354C1"/>
    <w:rsid w:val="00535CAE"/>
    <w:rsid w:val="00535F99"/>
    <w:rsid w:val="005361DE"/>
    <w:rsid w:val="005362E9"/>
    <w:rsid w:val="00536356"/>
    <w:rsid w:val="00536C03"/>
    <w:rsid w:val="00536CBB"/>
    <w:rsid w:val="00536DDD"/>
    <w:rsid w:val="00537033"/>
    <w:rsid w:val="00540847"/>
    <w:rsid w:val="00540A37"/>
    <w:rsid w:val="00540B49"/>
    <w:rsid w:val="005418DB"/>
    <w:rsid w:val="0054230B"/>
    <w:rsid w:val="005426B9"/>
    <w:rsid w:val="005434EA"/>
    <w:rsid w:val="00544ABA"/>
    <w:rsid w:val="00544C06"/>
    <w:rsid w:val="00545D55"/>
    <w:rsid w:val="005461AB"/>
    <w:rsid w:val="00546C6A"/>
    <w:rsid w:val="00546FBA"/>
    <w:rsid w:val="0054753B"/>
    <w:rsid w:val="00547F04"/>
    <w:rsid w:val="00550924"/>
    <w:rsid w:val="00550D63"/>
    <w:rsid w:val="00550EF1"/>
    <w:rsid w:val="00551075"/>
    <w:rsid w:val="005513C8"/>
    <w:rsid w:val="00551846"/>
    <w:rsid w:val="00551D0E"/>
    <w:rsid w:val="0055236E"/>
    <w:rsid w:val="0055352C"/>
    <w:rsid w:val="005538A6"/>
    <w:rsid w:val="00554536"/>
    <w:rsid w:val="00554F94"/>
    <w:rsid w:val="00555016"/>
    <w:rsid w:val="00555161"/>
    <w:rsid w:val="005551D2"/>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1A8B"/>
    <w:rsid w:val="00562629"/>
    <w:rsid w:val="005628FE"/>
    <w:rsid w:val="005629C4"/>
    <w:rsid w:val="0056364B"/>
    <w:rsid w:val="00563D49"/>
    <w:rsid w:val="00564191"/>
    <w:rsid w:val="00564557"/>
    <w:rsid w:val="0056458C"/>
    <w:rsid w:val="00564628"/>
    <w:rsid w:val="0056465D"/>
    <w:rsid w:val="005648B9"/>
    <w:rsid w:val="00564A3C"/>
    <w:rsid w:val="00564F82"/>
    <w:rsid w:val="00564FF6"/>
    <w:rsid w:val="0056538E"/>
    <w:rsid w:val="005653AE"/>
    <w:rsid w:val="005653AF"/>
    <w:rsid w:val="00565501"/>
    <w:rsid w:val="00565755"/>
    <w:rsid w:val="00565FB7"/>
    <w:rsid w:val="0056601E"/>
    <w:rsid w:val="00566406"/>
    <w:rsid w:val="005664A6"/>
    <w:rsid w:val="00566538"/>
    <w:rsid w:val="005667CE"/>
    <w:rsid w:val="00566C9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E16"/>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2D5C"/>
    <w:rsid w:val="00583908"/>
    <w:rsid w:val="00583C9C"/>
    <w:rsid w:val="00584757"/>
    <w:rsid w:val="00584E21"/>
    <w:rsid w:val="0058608B"/>
    <w:rsid w:val="005863C1"/>
    <w:rsid w:val="0058654D"/>
    <w:rsid w:val="00586786"/>
    <w:rsid w:val="0058759C"/>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3E3F"/>
    <w:rsid w:val="005941E1"/>
    <w:rsid w:val="005943E2"/>
    <w:rsid w:val="005946E1"/>
    <w:rsid w:val="00594B8A"/>
    <w:rsid w:val="00595009"/>
    <w:rsid w:val="005954B7"/>
    <w:rsid w:val="00595A05"/>
    <w:rsid w:val="00595AA4"/>
    <w:rsid w:val="00595CBC"/>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C9"/>
    <w:rsid w:val="005A5A96"/>
    <w:rsid w:val="005A5D7F"/>
    <w:rsid w:val="005A5DC0"/>
    <w:rsid w:val="005A643E"/>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937"/>
    <w:rsid w:val="005B3EBD"/>
    <w:rsid w:val="005B3F0C"/>
    <w:rsid w:val="005B3F56"/>
    <w:rsid w:val="005B48E8"/>
    <w:rsid w:val="005B4E38"/>
    <w:rsid w:val="005B564F"/>
    <w:rsid w:val="005B56D9"/>
    <w:rsid w:val="005B5BA3"/>
    <w:rsid w:val="005B5E62"/>
    <w:rsid w:val="005B6BE5"/>
    <w:rsid w:val="005B6DBE"/>
    <w:rsid w:val="005B787D"/>
    <w:rsid w:val="005B7E97"/>
    <w:rsid w:val="005B7F46"/>
    <w:rsid w:val="005C059E"/>
    <w:rsid w:val="005C060F"/>
    <w:rsid w:val="005C07D2"/>
    <w:rsid w:val="005C09A7"/>
    <w:rsid w:val="005C0EA8"/>
    <w:rsid w:val="005C102D"/>
    <w:rsid w:val="005C106A"/>
    <w:rsid w:val="005C132C"/>
    <w:rsid w:val="005C17FB"/>
    <w:rsid w:val="005C1833"/>
    <w:rsid w:val="005C1838"/>
    <w:rsid w:val="005C18C2"/>
    <w:rsid w:val="005C1E72"/>
    <w:rsid w:val="005C2063"/>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802"/>
    <w:rsid w:val="005C7B50"/>
    <w:rsid w:val="005C7F44"/>
    <w:rsid w:val="005D029E"/>
    <w:rsid w:val="005D0427"/>
    <w:rsid w:val="005D0776"/>
    <w:rsid w:val="005D07AE"/>
    <w:rsid w:val="005D08FD"/>
    <w:rsid w:val="005D0C83"/>
    <w:rsid w:val="005D113B"/>
    <w:rsid w:val="005D1732"/>
    <w:rsid w:val="005D19C7"/>
    <w:rsid w:val="005D2856"/>
    <w:rsid w:val="005D2D9A"/>
    <w:rsid w:val="005D3A6E"/>
    <w:rsid w:val="005D3B21"/>
    <w:rsid w:val="005D4019"/>
    <w:rsid w:val="005D4050"/>
    <w:rsid w:val="005D41DC"/>
    <w:rsid w:val="005D460F"/>
    <w:rsid w:val="005D4DC5"/>
    <w:rsid w:val="005D5442"/>
    <w:rsid w:val="005D5C22"/>
    <w:rsid w:val="005D5E6C"/>
    <w:rsid w:val="005D63A9"/>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42B2"/>
    <w:rsid w:val="005F47C1"/>
    <w:rsid w:val="005F4926"/>
    <w:rsid w:val="005F4B6F"/>
    <w:rsid w:val="005F5009"/>
    <w:rsid w:val="005F5054"/>
    <w:rsid w:val="005F530F"/>
    <w:rsid w:val="005F5D2A"/>
    <w:rsid w:val="005F5FE6"/>
    <w:rsid w:val="005F65D9"/>
    <w:rsid w:val="005F6768"/>
    <w:rsid w:val="005F69CF"/>
    <w:rsid w:val="005F6E39"/>
    <w:rsid w:val="005F6E58"/>
    <w:rsid w:val="005F7031"/>
    <w:rsid w:val="005F704C"/>
    <w:rsid w:val="005F7A22"/>
    <w:rsid w:val="005F7B9D"/>
    <w:rsid w:val="00600501"/>
    <w:rsid w:val="00600B0C"/>
    <w:rsid w:val="00602440"/>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BAD"/>
    <w:rsid w:val="00607EC7"/>
    <w:rsid w:val="006102BC"/>
    <w:rsid w:val="0061048A"/>
    <w:rsid w:val="00610AE7"/>
    <w:rsid w:val="00611178"/>
    <w:rsid w:val="0061148D"/>
    <w:rsid w:val="00611CFC"/>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2F"/>
    <w:rsid w:val="006165A4"/>
    <w:rsid w:val="00616A60"/>
    <w:rsid w:val="00616D0C"/>
    <w:rsid w:val="00616D43"/>
    <w:rsid w:val="00616EE6"/>
    <w:rsid w:val="006171FB"/>
    <w:rsid w:val="00617283"/>
    <w:rsid w:val="0061747F"/>
    <w:rsid w:val="00617488"/>
    <w:rsid w:val="00617A2A"/>
    <w:rsid w:val="006206F3"/>
    <w:rsid w:val="006207F4"/>
    <w:rsid w:val="00620C67"/>
    <w:rsid w:val="00620CD9"/>
    <w:rsid w:val="00621451"/>
    <w:rsid w:val="006214E3"/>
    <w:rsid w:val="00621646"/>
    <w:rsid w:val="00621803"/>
    <w:rsid w:val="00621A34"/>
    <w:rsid w:val="006220F1"/>
    <w:rsid w:val="006222C3"/>
    <w:rsid w:val="00623E46"/>
    <w:rsid w:val="00624604"/>
    <w:rsid w:val="00624A9E"/>
    <w:rsid w:val="00624D2C"/>
    <w:rsid w:val="00624F7F"/>
    <w:rsid w:val="00625142"/>
    <w:rsid w:val="00625145"/>
    <w:rsid w:val="00625FC9"/>
    <w:rsid w:val="00626768"/>
    <w:rsid w:val="00626F9D"/>
    <w:rsid w:val="00627402"/>
    <w:rsid w:val="00627403"/>
    <w:rsid w:val="00627474"/>
    <w:rsid w:val="0062759B"/>
    <w:rsid w:val="00627AE2"/>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669"/>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DF5"/>
    <w:rsid w:val="0064304A"/>
    <w:rsid w:val="0064380B"/>
    <w:rsid w:val="00643A4F"/>
    <w:rsid w:val="00643F2A"/>
    <w:rsid w:val="00643FF5"/>
    <w:rsid w:val="006441FD"/>
    <w:rsid w:val="00644E5A"/>
    <w:rsid w:val="00644F2C"/>
    <w:rsid w:val="00645065"/>
    <w:rsid w:val="006450DD"/>
    <w:rsid w:val="00645107"/>
    <w:rsid w:val="00645141"/>
    <w:rsid w:val="00645AEE"/>
    <w:rsid w:val="00645F2F"/>
    <w:rsid w:val="00646428"/>
    <w:rsid w:val="00646AFD"/>
    <w:rsid w:val="0064707F"/>
    <w:rsid w:val="006471E8"/>
    <w:rsid w:val="00647E90"/>
    <w:rsid w:val="00647FA3"/>
    <w:rsid w:val="006500F7"/>
    <w:rsid w:val="00650769"/>
    <w:rsid w:val="0065106D"/>
    <w:rsid w:val="00651555"/>
    <w:rsid w:val="006516B7"/>
    <w:rsid w:val="006518E4"/>
    <w:rsid w:val="006519F4"/>
    <w:rsid w:val="00651FB8"/>
    <w:rsid w:val="00652036"/>
    <w:rsid w:val="0065203F"/>
    <w:rsid w:val="006520D5"/>
    <w:rsid w:val="0065239B"/>
    <w:rsid w:val="006527DD"/>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5ED0"/>
    <w:rsid w:val="00656044"/>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254"/>
    <w:rsid w:val="0066263D"/>
    <w:rsid w:val="0066288A"/>
    <w:rsid w:val="0066318A"/>
    <w:rsid w:val="006631D3"/>
    <w:rsid w:val="00663D0F"/>
    <w:rsid w:val="00664525"/>
    <w:rsid w:val="0066465B"/>
    <w:rsid w:val="00664C81"/>
    <w:rsid w:val="0066521A"/>
    <w:rsid w:val="0066540C"/>
    <w:rsid w:val="006656E2"/>
    <w:rsid w:val="00665EAE"/>
    <w:rsid w:val="00666123"/>
    <w:rsid w:val="006661EA"/>
    <w:rsid w:val="0066655C"/>
    <w:rsid w:val="00666909"/>
    <w:rsid w:val="00666EBC"/>
    <w:rsid w:val="00667189"/>
    <w:rsid w:val="0066749E"/>
    <w:rsid w:val="00667CCB"/>
    <w:rsid w:val="00667EFD"/>
    <w:rsid w:val="00670475"/>
    <w:rsid w:val="00670725"/>
    <w:rsid w:val="00670B8C"/>
    <w:rsid w:val="00670C4A"/>
    <w:rsid w:val="006712FE"/>
    <w:rsid w:val="00671F3E"/>
    <w:rsid w:val="00672482"/>
    <w:rsid w:val="00672A18"/>
    <w:rsid w:val="006735D0"/>
    <w:rsid w:val="00673954"/>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2B8F"/>
    <w:rsid w:val="0068379B"/>
    <w:rsid w:val="00683C54"/>
    <w:rsid w:val="00683D98"/>
    <w:rsid w:val="00683D99"/>
    <w:rsid w:val="00684079"/>
    <w:rsid w:val="006848EE"/>
    <w:rsid w:val="00685336"/>
    <w:rsid w:val="006860E2"/>
    <w:rsid w:val="0068629B"/>
    <w:rsid w:val="00686425"/>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532F"/>
    <w:rsid w:val="0069561C"/>
    <w:rsid w:val="00695634"/>
    <w:rsid w:val="00695768"/>
    <w:rsid w:val="0069600D"/>
    <w:rsid w:val="00696016"/>
    <w:rsid w:val="006963AE"/>
    <w:rsid w:val="006965AC"/>
    <w:rsid w:val="0069689C"/>
    <w:rsid w:val="00697053"/>
    <w:rsid w:val="006A066A"/>
    <w:rsid w:val="006A06CA"/>
    <w:rsid w:val="006A083E"/>
    <w:rsid w:val="006A0FFD"/>
    <w:rsid w:val="006A1170"/>
    <w:rsid w:val="006A12CA"/>
    <w:rsid w:val="006A14A3"/>
    <w:rsid w:val="006A159D"/>
    <w:rsid w:val="006A1819"/>
    <w:rsid w:val="006A18BF"/>
    <w:rsid w:val="006A1F58"/>
    <w:rsid w:val="006A242E"/>
    <w:rsid w:val="006A26AB"/>
    <w:rsid w:val="006A298D"/>
    <w:rsid w:val="006A2F80"/>
    <w:rsid w:val="006A347A"/>
    <w:rsid w:val="006A3809"/>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06"/>
    <w:rsid w:val="006B53DC"/>
    <w:rsid w:val="006B5423"/>
    <w:rsid w:val="006B5855"/>
    <w:rsid w:val="006B5AB2"/>
    <w:rsid w:val="006B5C67"/>
    <w:rsid w:val="006B6B5D"/>
    <w:rsid w:val="006B6BF6"/>
    <w:rsid w:val="006B6C0D"/>
    <w:rsid w:val="006B7657"/>
    <w:rsid w:val="006C04BD"/>
    <w:rsid w:val="006C0B49"/>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7EF"/>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464"/>
    <w:rsid w:val="006D5F98"/>
    <w:rsid w:val="006D6665"/>
    <w:rsid w:val="006D7098"/>
    <w:rsid w:val="006D740E"/>
    <w:rsid w:val="006D767A"/>
    <w:rsid w:val="006D7AA0"/>
    <w:rsid w:val="006D7F72"/>
    <w:rsid w:val="006E00B7"/>
    <w:rsid w:val="006E0767"/>
    <w:rsid w:val="006E0E5B"/>
    <w:rsid w:val="006E228A"/>
    <w:rsid w:val="006E2562"/>
    <w:rsid w:val="006E2F3F"/>
    <w:rsid w:val="006E3023"/>
    <w:rsid w:val="006E31AB"/>
    <w:rsid w:val="006E3369"/>
    <w:rsid w:val="006E3C34"/>
    <w:rsid w:val="006E3D00"/>
    <w:rsid w:val="006E3D12"/>
    <w:rsid w:val="006E449C"/>
    <w:rsid w:val="006E4726"/>
    <w:rsid w:val="006E4E72"/>
    <w:rsid w:val="006E50D0"/>
    <w:rsid w:val="006E5976"/>
    <w:rsid w:val="006E5EDA"/>
    <w:rsid w:val="006E663E"/>
    <w:rsid w:val="006E6994"/>
    <w:rsid w:val="006E6EDF"/>
    <w:rsid w:val="006E7A77"/>
    <w:rsid w:val="006E7BA5"/>
    <w:rsid w:val="006E7E85"/>
    <w:rsid w:val="006F01E8"/>
    <w:rsid w:val="006F02D7"/>
    <w:rsid w:val="006F03EC"/>
    <w:rsid w:val="006F059F"/>
    <w:rsid w:val="006F0EBB"/>
    <w:rsid w:val="006F1E96"/>
    <w:rsid w:val="006F1F7D"/>
    <w:rsid w:val="006F2D24"/>
    <w:rsid w:val="006F3117"/>
    <w:rsid w:val="006F352A"/>
    <w:rsid w:val="006F37F7"/>
    <w:rsid w:val="006F3909"/>
    <w:rsid w:val="006F4036"/>
    <w:rsid w:val="006F428E"/>
    <w:rsid w:val="006F48E1"/>
    <w:rsid w:val="006F4FA0"/>
    <w:rsid w:val="006F5096"/>
    <w:rsid w:val="006F5160"/>
    <w:rsid w:val="006F5374"/>
    <w:rsid w:val="006F553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128"/>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14B"/>
    <w:rsid w:val="0071122A"/>
    <w:rsid w:val="0071154B"/>
    <w:rsid w:val="0071174F"/>
    <w:rsid w:val="0071196A"/>
    <w:rsid w:val="00711B11"/>
    <w:rsid w:val="0071219C"/>
    <w:rsid w:val="00712385"/>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91C"/>
    <w:rsid w:val="00717CA8"/>
    <w:rsid w:val="007202CB"/>
    <w:rsid w:val="007205E7"/>
    <w:rsid w:val="007209C4"/>
    <w:rsid w:val="00720A9F"/>
    <w:rsid w:val="00721E9E"/>
    <w:rsid w:val="007227FE"/>
    <w:rsid w:val="00722CD6"/>
    <w:rsid w:val="007233C3"/>
    <w:rsid w:val="00723C95"/>
    <w:rsid w:val="00723E9E"/>
    <w:rsid w:val="007244E7"/>
    <w:rsid w:val="00724F31"/>
    <w:rsid w:val="0072505F"/>
    <w:rsid w:val="00725B00"/>
    <w:rsid w:val="0072680C"/>
    <w:rsid w:val="00726B3D"/>
    <w:rsid w:val="00726C64"/>
    <w:rsid w:val="0072733B"/>
    <w:rsid w:val="00730E71"/>
    <w:rsid w:val="0073108F"/>
    <w:rsid w:val="007310B7"/>
    <w:rsid w:val="00731237"/>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882"/>
    <w:rsid w:val="00745A04"/>
    <w:rsid w:val="00745A0F"/>
    <w:rsid w:val="00745DFD"/>
    <w:rsid w:val="00745F2E"/>
    <w:rsid w:val="00745F88"/>
    <w:rsid w:val="00746197"/>
    <w:rsid w:val="0074689C"/>
    <w:rsid w:val="00746AC3"/>
    <w:rsid w:val="00746B3F"/>
    <w:rsid w:val="00747117"/>
    <w:rsid w:val="007479C2"/>
    <w:rsid w:val="00747B0D"/>
    <w:rsid w:val="0075001A"/>
    <w:rsid w:val="00751452"/>
    <w:rsid w:val="007521A5"/>
    <w:rsid w:val="007525CB"/>
    <w:rsid w:val="00752B03"/>
    <w:rsid w:val="00752E99"/>
    <w:rsid w:val="00753959"/>
    <w:rsid w:val="00753DD6"/>
    <w:rsid w:val="00754A4A"/>
    <w:rsid w:val="00755BCF"/>
    <w:rsid w:val="00755F9F"/>
    <w:rsid w:val="007566FB"/>
    <w:rsid w:val="007567A8"/>
    <w:rsid w:val="00756D6A"/>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998"/>
    <w:rsid w:val="00765AC2"/>
    <w:rsid w:val="0076614D"/>
    <w:rsid w:val="0076624C"/>
    <w:rsid w:val="0076627D"/>
    <w:rsid w:val="00766304"/>
    <w:rsid w:val="0076691C"/>
    <w:rsid w:val="00766A02"/>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67"/>
    <w:rsid w:val="00775E0D"/>
    <w:rsid w:val="00776343"/>
    <w:rsid w:val="00776416"/>
    <w:rsid w:val="00776C7B"/>
    <w:rsid w:val="00776CEF"/>
    <w:rsid w:val="00776E9C"/>
    <w:rsid w:val="007774AE"/>
    <w:rsid w:val="00777E7E"/>
    <w:rsid w:val="00777EFA"/>
    <w:rsid w:val="007804DD"/>
    <w:rsid w:val="00780EC1"/>
    <w:rsid w:val="00780F3B"/>
    <w:rsid w:val="0078115B"/>
    <w:rsid w:val="007816EE"/>
    <w:rsid w:val="0078180C"/>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5F85"/>
    <w:rsid w:val="0078609C"/>
    <w:rsid w:val="00786355"/>
    <w:rsid w:val="00786932"/>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AA3"/>
    <w:rsid w:val="00793F28"/>
    <w:rsid w:val="007944D2"/>
    <w:rsid w:val="00794B19"/>
    <w:rsid w:val="00794FFA"/>
    <w:rsid w:val="00795ABD"/>
    <w:rsid w:val="00795B8D"/>
    <w:rsid w:val="00795E34"/>
    <w:rsid w:val="00795F0E"/>
    <w:rsid w:val="00796168"/>
    <w:rsid w:val="00796495"/>
    <w:rsid w:val="00797063"/>
    <w:rsid w:val="00797D8F"/>
    <w:rsid w:val="007A0C00"/>
    <w:rsid w:val="007A0E15"/>
    <w:rsid w:val="007A176E"/>
    <w:rsid w:val="007A19BF"/>
    <w:rsid w:val="007A2A69"/>
    <w:rsid w:val="007A2CF1"/>
    <w:rsid w:val="007A355F"/>
    <w:rsid w:val="007A384E"/>
    <w:rsid w:val="007A41B5"/>
    <w:rsid w:val="007A4486"/>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32"/>
    <w:rsid w:val="007B1DBB"/>
    <w:rsid w:val="007B2319"/>
    <w:rsid w:val="007B2FBF"/>
    <w:rsid w:val="007B3E13"/>
    <w:rsid w:val="007B4044"/>
    <w:rsid w:val="007B4046"/>
    <w:rsid w:val="007B4300"/>
    <w:rsid w:val="007B565C"/>
    <w:rsid w:val="007B595F"/>
    <w:rsid w:val="007B5B7E"/>
    <w:rsid w:val="007B5D75"/>
    <w:rsid w:val="007B5EA7"/>
    <w:rsid w:val="007B6D5E"/>
    <w:rsid w:val="007B7115"/>
    <w:rsid w:val="007B736B"/>
    <w:rsid w:val="007B78AD"/>
    <w:rsid w:val="007B79BE"/>
    <w:rsid w:val="007B7AE1"/>
    <w:rsid w:val="007C012E"/>
    <w:rsid w:val="007C055A"/>
    <w:rsid w:val="007C0853"/>
    <w:rsid w:val="007C0C90"/>
    <w:rsid w:val="007C0E07"/>
    <w:rsid w:val="007C0E86"/>
    <w:rsid w:val="007C192C"/>
    <w:rsid w:val="007C249E"/>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BBB"/>
    <w:rsid w:val="007D3EC8"/>
    <w:rsid w:val="007D40AC"/>
    <w:rsid w:val="007D4317"/>
    <w:rsid w:val="007D4C12"/>
    <w:rsid w:val="007D555C"/>
    <w:rsid w:val="007D57E0"/>
    <w:rsid w:val="007D5946"/>
    <w:rsid w:val="007D5962"/>
    <w:rsid w:val="007D5A2B"/>
    <w:rsid w:val="007D5E79"/>
    <w:rsid w:val="007D6213"/>
    <w:rsid w:val="007D63B2"/>
    <w:rsid w:val="007D651D"/>
    <w:rsid w:val="007D69E5"/>
    <w:rsid w:val="007D6F49"/>
    <w:rsid w:val="007D71B7"/>
    <w:rsid w:val="007D7C66"/>
    <w:rsid w:val="007D7CF3"/>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E48"/>
    <w:rsid w:val="00806E84"/>
    <w:rsid w:val="00807ADD"/>
    <w:rsid w:val="00810BC2"/>
    <w:rsid w:val="00811683"/>
    <w:rsid w:val="00811AFF"/>
    <w:rsid w:val="00812024"/>
    <w:rsid w:val="00812373"/>
    <w:rsid w:val="00812D30"/>
    <w:rsid w:val="00813F3A"/>
    <w:rsid w:val="008140E8"/>
    <w:rsid w:val="008146D8"/>
    <w:rsid w:val="008148D4"/>
    <w:rsid w:val="0081491F"/>
    <w:rsid w:val="00814941"/>
    <w:rsid w:val="00814A65"/>
    <w:rsid w:val="00814BD9"/>
    <w:rsid w:val="00814D72"/>
    <w:rsid w:val="008158AC"/>
    <w:rsid w:val="00815E41"/>
    <w:rsid w:val="008160DF"/>
    <w:rsid w:val="0081612D"/>
    <w:rsid w:val="00816805"/>
    <w:rsid w:val="00816BE8"/>
    <w:rsid w:val="00816CD5"/>
    <w:rsid w:val="00816DBD"/>
    <w:rsid w:val="00816FE2"/>
    <w:rsid w:val="0081700C"/>
    <w:rsid w:val="00817062"/>
    <w:rsid w:val="00817991"/>
    <w:rsid w:val="00817F58"/>
    <w:rsid w:val="008203C5"/>
    <w:rsid w:val="0082045D"/>
    <w:rsid w:val="0082046A"/>
    <w:rsid w:val="00820B20"/>
    <w:rsid w:val="00820B84"/>
    <w:rsid w:val="0082199B"/>
    <w:rsid w:val="00821C2A"/>
    <w:rsid w:val="008227B7"/>
    <w:rsid w:val="008232F6"/>
    <w:rsid w:val="00823440"/>
    <w:rsid w:val="00823D9C"/>
    <w:rsid w:val="0082403A"/>
    <w:rsid w:val="008243A8"/>
    <w:rsid w:val="00824925"/>
    <w:rsid w:val="00824C8B"/>
    <w:rsid w:val="008252E8"/>
    <w:rsid w:val="00825BA8"/>
    <w:rsid w:val="00825C14"/>
    <w:rsid w:val="0082641D"/>
    <w:rsid w:val="008266D7"/>
    <w:rsid w:val="008267CA"/>
    <w:rsid w:val="00826E45"/>
    <w:rsid w:val="008270EE"/>
    <w:rsid w:val="0082711C"/>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7D3"/>
    <w:rsid w:val="00833852"/>
    <w:rsid w:val="00833AB9"/>
    <w:rsid w:val="00833B62"/>
    <w:rsid w:val="00833C9D"/>
    <w:rsid w:val="00834820"/>
    <w:rsid w:val="00834C82"/>
    <w:rsid w:val="00834DB6"/>
    <w:rsid w:val="00834F93"/>
    <w:rsid w:val="00834FA5"/>
    <w:rsid w:val="00835F6D"/>
    <w:rsid w:val="00836C50"/>
    <w:rsid w:val="008375DA"/>
    <w:rsid w:val="0084023A"/>
    <w:rsid w:val="00840C4A"/>
    <w:rsid w:val="008411B9"/>
    <w:rsid w:val="0084122F"/>
    <w:rsid w:val="00841325"/>
    <w:rsid w:val="00841573"/>
    <w:rsid w:val="00841D08"/>
    <w:rsid w:val="00842D43"/>
    <w:rsid w:val="00842F64"/>
    <w:rsid w:val="00843108"/>
    <w:rsid w:val="0084323E"/>
    <w:rsid w:val="008432A5"/>
    <w:rsid w:val="0084399E"/>
    <w:rsid w:val="00843ACF"/>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4F"/>
    <w:rsid w:val="00854965"/>
    <w:rsid w:val="00855298"/>
    <w:rsid w:val="008554D1"/>
    <w:rsid w:val="00855770"/>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72F"/>
    <w:rsid w:val="00864A6C"/>
    <w:rsid w:val="00864BB1"/>
    <w:rsid w:val="00864DF7"/>
    <w:rsid w:val="00865278"/>
    <w:rsid w:val="008654F9"/>
    <w:rsid w:val="008658C0"/>
    <w:rsid w:val="0086597A"/>
    <w:rsid w:val="00865B6E"/>
    <w:rsid w:val="00865E91"/>
    <w:rsid w:val="008660F7"/>
    <w:rsid w:val="00866388"/>
    <w:rsid w:val="0086644B"/>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6EF"/>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48E9"/>
    <w:rsid w:val="00884FD8"/>
    <w:rsid w:val="0088515A"/>
    <w:rsid w:val="00885209"/>
    <w:rsid w:val="00885244"/>
    <w:rsid w:val="00885282"/>
    <w:rsid w:val="008857C7"/>
    <w:rsid w:val="008858B3"/>
    <w:rsid w:val="00885BF6"/>
    <w:rsid w:val="008866CF"/>
    <w:rsid w:val="00886782"/>
    <w:rsid w:val="008869A1"/>
    <w:rsid w:val="00886B3F"/>
    <w:rsid w:val="0088727A"/>
    <w:rsid w:val="00887964"/>
    <w:rsid w:val="00887A09"/>
    <w:rsid w:val="00887B10"/>
    <w:rsid w:val="00887D76"/>
    <w:rsid w:val="00887D7A"/>
    <w:rsid w:val="0089015D"/>
    <w:rsid w:val="0089021A"/>
    <w:rsid w:val="0089022E"/>
    <w:rsid w:val="00890475"/>
    <w:rsid w:val="00890A7C"/>
    <w:rsid w:val="00890D11"/>
    <w:rsid w:val="008910EE"/>
    <w:rsid w:val="00891A26"/>
    <w:rsid w:val="008923F8"/>
    <w:rsid w:val="008928F1"/>
    <w:rsid w:val="00892BBF"/>
    <w:rsid w:val="00892DB5"/>
    <w:rsid w:val="008930AF"/>
    <w:rsid w:val="0089398A"/>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16F"/>
    <w:rsid w:val="008A02FA"/>
    <w:rsid w:val="008A06A8"/>
    <w:rsid w:val="008A0E81"/>
    <w:rsid w:val="008A1AAC"/>
    <w:rsid w:val="008A20CA"/>
    <w:rsid w:val="008A239B"/>
    <w:rsid w:val="008A2505"/>
    <w:rsid w:val="008A28CC"/>
    <w:rsid w:val="008A2956"/>
    <w:rsid w:val="008A2EA1"/>
    <w:rsid w:val="008A2EF6"/>
    <w:rsid w:val="008A3480"/>
    <w:rsid w:val="008A3642"/>
    <w:rsid w:val="008A4E5B"/>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AD0"/>
    <w:rsid w:val="008B0DCF"/>
    <w:rsid w:val="008B0E93"/>
    <w:rsid w:val="008B0F8D"/>
    <w:rsid w:val="008B198D"/>
    <w:rsid w:val="008B1D01"/>
    <w:rsid w:val="008B2269"/>
    <w:rsid w:val="008B23A8"/>
    <w:rsid w:val="008B29A4"/>
    <w:rsid w:val="008B2BB4"/>
    <w:rsid w:val="008B2C30"/>
    <w:rsid w:val="008B3A74"/>
    <w:rsid w:val="008B3C2B"/>
    <w:rsid w:val="008B4679"/>
    <w:rsid w:val="008B4D00"/>
    <w:rsid w:val="008B4D13"/>
    <w:rsid w:val="008B4E78"/>
    <w:rsid w:val="008B4FE2"/>
    <w:rsid w:val="008B503D"/>
    <w:rsid w:val="008B61A1"/>
    <w:rsid w:val="008B66D8"/>
    <w:rsid w:val="008B66EE"/>
    <w:rsid w:val="008B6793"/>
    <w:rsid w:val="008B6E62"/>
    <w:rsid w:val="008B6E87"/>
    <w:rsid w:val="008B75C2"/>
    <w:rsid w:val="008B787A"/>
    <w:rsid w:val="008C0029"/>
    <w:rsid w:val="008C0A89"/>
    <w:rsid w:val="008C0AA9"/>
    <w:rsid w:val="008C0E71"/>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A17"/>
    <w:rsid w:val="008C7F4F"/>
    <w:rsid w:val="008D00F3"/>
    <w:rsid w:val="008D0241"/>
    <w:rsid w:val="008D0B34"/>
    <w:rsid w:val="008D0F27"/>
    <w:rsid w:val="008D11F0"/>
    <w:rsid w:val="008D15A2"/>
    <w:rsid w:val="008D18CD"/>
    <w:rsid w:val="008D1A16"/>
    <w:rsid w:val="008D1E7C"/>
    <w:rsid w:val="008D1F86"/>
    <w:rsid w:val="008D20E0"/>
    <w:rsid w:val="008D2B6E"/>
    <w:rsid w:val="008D31EC"/>
    <w:rsid w:val="008D335C"/>
    <w:rsid w:val="008D35B7"/>
    <w:rsid w:val="008D3F12"/>
    <w:rsid w:val="008D4007"/>
    <w:rsid w:val="008D436A"/>
    <w:rsid w:val="008D49AB"/>
    <w:rsid w:val="008D4C72"/>
    <w:rsid w:val="008D4CF8"/>
    <w:rsid w:val="008D4D6B"/>
    <w:rsid w:val="008D5246"/>
    <w:rsid w:val="008D5291"/>
    <w:rsid w:val="008D5368"/>
    <w:rsid w:val="008D561B"/>
    <w:rsid w:val="008D577B"/>
    <w:rsid w:val="008D582B"/>
    <w:rsid w:val="008D5CF9"/>
    <w:rsid w:val="008D5D0A"/>
    <w:rsid w:val="008D6199"/>
    <w:rsid w:val="008D64B9"/>
    <w:rsid w:val="008D6794"/>
    <w:rsid w:val="008D77A6"/>
    <w:rsid w:val="008D7F65"/>
    <w:rsid w:val="008E0178"/>
    <w:rsid w:val="008E02F8"/>
    <w:rsid w:val="008E0557"/>
    <w:rsid w:val="008E07AE"/>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A0B"/>
    <w:rsid w:val="008E3A90"/>
    <w:rsid w:val="008E3AAB"/>
    <w:rsid w:val="008E3BE5"/>
    <w:rsid w:val="008E3F34"/>
    <w:rsid w:val="008E4003"/>
    <w:rsid w:val="008E4043"/>
    <w:rsid w:val="008E4520"/>
    <w:rsid w:val="008E4D3D"/>
    <w:rsid w:val="008E54E8"/>
    <w:rsid w:val="008E55AA"/>
    <w:rsid w:val="008E5740"/>
    <w:rsid w:val="008E5868"/>
    <w:rsid w:val="008E5ADB"/>
    <w:rsid w:val="008E5DC8"/>
    <w:rsid w:val="008E5EAD"/>
    <w:rsid w:val="008E6465"/>
    <w:rsid w:val="008E6C57"/>
    <w:rsid w:val="008E7082"/>
    <w:rsid w:val="008E72AF"/>
    <w:rsid w:val="008F0952"/>
    <w:rsid w:val="008F0EC4"/>
    <w:rsid w:val="008F1154"/>
    <w:rsid w:val="008F1B84"/>
    <w:rsid w:val="008F1B9D"/>
    <w:rsid w:val="008F1DB6"/>
    <w:rsid w:val="008F289E"/>
    <w:rsid w:val="008F337C"/>
    <w:rsid w:val="008F33FB"/>
    <w:rsid w:val="008F39C0"/>
    <w:rsid w:val="008F39E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49"/>
    <w:rsid w:val="008F7E68"/>
    <w:rsid w:val="009013C5"/>
    <w:rsid w:val="0090147B"/>
    <w:rsid w:val="00901649"/>
    <w:rsid w:val="00901CBA"/>
    <w:rsid w:val="00901CF1"/>
    <w:rsid w:val="00901DC6"/>
    <w:rsid w:val="009021DC"/>
    <w:rsid w:val="009025E1"/>
    <w:rsid w:val="00902EFD"/>
    <w:rsid w:val="00903026"/>
    <w:rsid w:val="0090357B"/>
    <w:rsid w:val="00903832"/>
    <w:rsid w:val="00903905"/>
    <w:rsid w:val="009042D0"/>
    <w:rsid w:val="009044BE"/>
    <w:rsid w:val="009048EB"/>
    <w:rsid w:val="00904905"/>
    <w:rsid w:val="00904913"/>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D2F"/>
    <w:rsid w:val="00912F38"/>
    <w:rsid w:val="0091338E"/>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445"/>
    <w:rsid w:val="0091670A"/>
    <w:rsid w:val="0091671A"/>
    <w:rsid w:val="009169F6"/>
    <w:rsid w:val="0091719D"/>
    <w:rsid w:val="00917903"/>
    <w:rsid w:val="00917BEA"/>
    <w:rsid w:val="00920189"/>
    <w:rsid w:val="00920203"/>
    <w:rsid w:val="00920997"/>
    <w:rsid w:val="00920B1E"/>
    <w:rsid w:val="00920DD5"/>
    <w:rsid w:val="00921161"/>
    <w:rsid w:val="00921228"/>
    <w:rsid w:val="00921B3D"/>
    <w:rsid w:val="00922492"/>
    <w:rsid w:val="009224EB"/>
    <w:rsid w:val="0092272F"/>
    <w:rsid w:val="00922BE2"/>
    <w:rsid w:val="00922EDE"/>
    <w:rsid w:val="009237D9"/>
    <w:rsid w:val="00923C5D"/>
    <w:rsid w:val="0092406C"/>
    <w:rsid w:val="00924096"/>
    <w:rsid w:val="009242B9"/>
    <w:rsid w:val="009243BC"/>
    <w:rsid w:val="009244D5"/>
    <w:rsid w:val="00924503"/>
    <w:rsid w:val="009248E8"/>
    <w:rsid w:val="0092523A"/>
    <w:rsid w:val="009252F1"/>
    <w:rsid w:val="00925588"/>
    <w:rsid w:val="00925733"/>
    <w:rsid w:val="00925AF5"/>
    <w:rsid w:val="00926268"/>
    <w:rsid w:val="009264A2"/>
    <w:rsid w:val="0092715D"/>
    <w:rsid w:val="00927299"/>
    <w:rsid w:val="0092755B"/>
    <w:rsid w:val="009276F3"/>
    <w:rsid w:val="009302E9"/>
    <w:rsid w:val="00930632"/>
    <w:rsid w:val="00930850"/>
    <w:rsid w:val="00930AD7"/>
    <w:rsid w:val="00930CBF"/>
    <w:rsid w:val="009310BC"/>
    <w:rsid w:val="009313CA"/>
    <w:rsid w:val="00931AB7"/>
    <w:rsid w:val="00931AB8"/>
    <w:rsid w:val="00931D3F"/>
    <w:rsid w:val="00931FEE"/>
    <w:rsid w:val="009324C4"/>
    <w:rsid w:val="00932671"/>
    <w:rsid w:val="00932A7A"/>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6EC"/>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489"/>
    <w:rsid w:val="009448F2"/>
    <w:rsid w:val="00945141"/>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5CA"/>
    <w:rsid w:val="00951691"/>
    <w:rsid w:val="00951ABF"/>
    <w:rsid w:val="00951FCE"/>
    <w:rsid w:val="009521CC"/>
    <w:rsid w:val="0095226C"/>
    <w:rsid w:val="0095269B"/>
    <w:rsid w:val="00952C05"/>
    <w:rsid w:val="00952D52"/>
    <w:rsid w:val="00954000"/>
    <w:rsid w:val="009540B7"/>
    <w:rsid w:val="009543D0"/>
    <w:rsid w:val="00954AF9"/>
    <w:rsid w:val="00954DAE"/>
    <w:rsid w:val="00955304"/>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1AF"/>
    <w:rsid w:val="0096023A"/>
    <w:rsid w:val="009607AB"/>
    <w:rsid w:val="00961154"/>
    <w:rsid w:val="009615DB"/>
    <w:rsid w:val="0096163F"/>
    <w:rsid w:val="00962683"/>
    <w:rsid w:val="00962ADC"/>
    <w:rsid w:val="00962E23"/>
    <w:rsid w:val="009644A8"/>
    <w:rsid w:val="0096487C"/>
    <w:rsid w:val="00964BC2"/>
    <w:rsid w:val="00964D4A"/>
    <w:rsid w:val="00964EAE"/>
    <w:rsid w:val="00964F88"/>
    <w:rsid w:val="00965023"/>
    <w:rsid w:val="009650B7"/>
    <w:rsid w:val="0096515D"/>
    <w:rsid w:val="0096554B"/>
    <w:rsid w:val="00965841"/>
    <w:rsid w:val="00966623"/>
    <w:rsid w:val="00966E78"/>
    <w:rsid w:val="00967182"/>
    <w:rsid w:val="009678DB"/>
    <w:rsid w:val="00967D5F"/>
    <w:rsid w:val="00967E6C"/>
    <w:rsid w:val="00970728"/>
    <w:rsid w:val="009707C9"/>
    <w:rsid w:val="00971303"/>
    <w:rsid w:val="00971CCB"/>
    <w:rsid w:val="00971E0B"/>
    <w:rsid w:val="00972101"/>
    <w:rsid w:val="00972285"/>
    <w:rsid w:val="00972796"/>
    <w:rsid w:val="00972FB5"/>
    <w:rsid w:val="00973607"/>
    <w:rsid w:val="009736FE"/>
    <w:rsid w:val="00973988"/>
    <w:rsid w:val="00973B96"/>
    <w:rsid w:val="00973E3C"/>
    <w:rsid w:val="0097401A"/>
    <w:rsid w:val="0097411A"/>
    <w:rsid w:val="00974763"/>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6EC"/>
    <w:rsid w:val="009838FF"/>
    <w:rsid w:val="00983999"/>
    <w:rsid w:val="00984149"/>
    <w:rsid w:val="00984788"/>
    <w:rsid w:val="00984909"/>
    <w:rsid w:val="00984C4E"/>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57B"/>
    <w:rsid w:val="0099177B"/>
    <w:rsid w:val="00991B8C"/>
    <w:rsid w:val="0099367E"/>
    <w:rsid w:val="00993DDA"/>
    <w:rsid w:val="00993FE4"/>
    <w:rsid w:val="0099423E"/>
    <w:rsid w:val="0099425E"/>
    <w:rsid w:val="00994CDC"/>
    <w:rsid w:val="00995A48"/>
    <w:rsid w:val="009969CD"/>
    <w:rsid w:val="009976A7"/>
    <w:rsid w:val="0099770A"/>
    <w:rsid w:val="00997769"/>
    <w:rsid w:val="00997A15"/>
    <w:rsid w:val="00997A2E"/>
    <w:rsid w:val="009A048E"/>
    <w:rsid w:val="009A0D54"/>
    <w:rsid w:val="009A119F"/>
    <w:rsid w:val="009A1609"/>
    <w:rsid w:val="009A16A3"/>
    <w:rsid w:val="009A18E7"/>
    <w:rsid w:val="009A1A7E"/>
    <w:rsid w:val="009A1D8A"/>
    <w:rsid w:val="009A1EB5"/>
    <w:rsid w:val="009A3480"/>
    <w:rsid w:val="009A3DB8"/>
    <w:rsid w:val="009A3DCC"/>
    <w:rsid w:val="009A43B3"/>
    <w:rsid w:val="009A464D"/>
    <w:rsid w:val="009A496F"/>
    <w:rsid w:val="009A4AE9"/>
    <w:rsid w:val="009A4B78"/>
    <w:rsid w:val="009A4D28"/>
    <w:rsid w:val="009A4D73"/>
    <w:rsid w:val="009A4E41"/>
    <w:rsid w:val="009A51FD"/>
    <w:rsid w:val="009A5297"/>
    <w:rsid w:val="009A5851"/>
    <w:rsid w:val="009A5C0C"/>
    <w:rsid w:val="009A5D40"/>
    <w:rsid w:val="009A5E10"/>
    <w:rsid w:val="009A5FB8"/>
    <w:rsid w:val="009A6665"/>
    <w:rsid w:val="009A743F"/>
    <w:rsid w:val="009A74F7"/>
    <w:rsid w:val="009B00F2"/>
    <w:rsid w:val="009B0E67"/>
    <w:rsid w:val="009B0FB2"/>
    <w:rsid w:val="009B1113"/>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6FFC"/>
    <w:rsid w:val="009B70C8"/>
    <w:rsid w:val="009B737C"/>
    <w:rsid w:val="009B742E"/>
    <w:rsid w:val="009C0AC6"/>
    <w:rsid w:val="009C11B2"/>
    <w:rsid w:val="009C1456"/>
    <w:rsid w:val="009C1577"/>
    <w:rsid w:val="009C164F"/>
    <w:rsid w:val="009C1C30"/>
    <w:rsid w:val="009C22DD"/>
    <w:rsid w:val="009C272A"/>
    <w:rsid w:val="009C29D5"/>
    <w:rsid w:val="009C3005"/>
    <w:rsid w:val="009C30A0"/>
    <w:rsid w:val="009C3182"/>
    <w:rsid w:val="009C359E"/>
    <w:rsid w:val="009C37FE"/>
    <w:rsid w:val="009C3EDC"/>
    <w:rsid w:val="009C4082"/>
    <w:rsid w:val="009C4A38"/>
    <w:rsid w:val="009C4A72"/>
    <w:rsid w:val="009C4AD8"/>
    <w:rsid w:val="009C4C29"/>
    <w:rsid w:val="009C4C8B"/>
    <w:rsid w:val="009C4D3D"/>
    <w:rsid w:val="009C5111"/>
    <w:rsid w:val="009C55E2"/>
    <w:rsid w:val="009C5918"/>
    <w:rsid w:val="009C5A4E"/>
    <w:rsid w:val="009C5EE5"/>
    <w:rsid w:val="009C605A"/>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2FF8"/>
    <w:rsid w:val="009D3562"/>
    <w:rsid w:val="009D3A1A"/>
    <w:rsid w:val="009D3E31"/>
    <w:rsid w:val="009D426A"/>
    <w:rsid w:val="009D5B2E"/>
    <w:rsid w:val="009D5BDB"/>
    <w:rsid w:val="009D6B03"/>
    <w:rsid w:val="009D6B3D"/>
    <w:rsid w:val="009D7422"/>
    <w:rsid w:val="009D78E7"/>
    <w:rsid w:val="009E0742"/>
    <w:rsid w:val="009E0B29"/>
    <w:rsid w:val="009E1291"/>
    <w:rsid w:val="009E12BC"/>
    <w:rsid w:val="009E139D"/>
    <w:rsid w:val="009E1549"/>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C40"/>
    <w:rsid w:val="009E7E98"/>
    <w:rsid w:val="009F00EE"/>
    <w:rsid w:val="009F0827"/>
    <w:rsid w:val="009F0BED"/>
    <w:rsid w:val="009F1673"/>
    <w:rsid w:val="009F23E6"/>
    <w:rsid w:val="009F3255"/>
    <w:rsid w:val="009F341D"/>
    <w:rsid w:val="009F34AA"/>
    <w:rsid w:val="009F3942"/>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D3"/>
    <w:rsid w:val="00A15F4F"/>
    <w:rsid w:val="00A160AB"/>
    <w:rsid w:val="00A16419"/>
    <w:rsid w:val="00A16745"/>
    <w:rsid w:val="00A16747"/>
    <w:rsid w:val="00A17E93"/>
    <w:rsid w:val="00A20013"/>
    <w:rsid w:val="00A2056F"/>
    <w:rsid w:val="00A20582"/>
    <w:rsid w:val="00A20C65"/>
    <w:rsid w:val="00A212A6"/>
    <w:rsid w:val="00A21767"/>
    <w:rsid w:val="00A21826"/>
    <w:rsid w:val="00A21FD5"/>
    <w:rsid w:val="00A22729"/>
    <w:rsid w:val="00A22751"/>
    <w:rsid w:val="00A22940"/>
    <w:rsid w:val="00A23102"/>
    <w:rsid w:val="00A233D8"/>
    <w:rsid w:val="00A2343F"/>
    <w:rsid w:val="00A23505"/>
    <w:rsid w:val="00A2428B"/>
    <w:rsid w:val="00A247E5"/>
    <w:rsid w:val="00A248BD"/>
    <w:rsid w:val="00A24D81"/>
    <w:rsid w:val="00A24EA5"/>
    <w:rsid w:val="00A25173"/>
    <w:rsid w:val="00A25253"/>
    <w:rsid w:val="00A252F0"/>
    <w:rsid w:val="00A2530C"/>
    <w:rsid w:val="00A259F2"/>
    <w:rsid w:val="00A26463"/>
    <w:rsid w:val="00A2660E"/>
    <w:rsid w:val="00A26916"/>
    <w:rsid w:val="00A26B47"/>
    <w:rsid w:val="00A26B5D"/>
    <w:rsid w:val="00A26FF1"/>
    <w:rsid w:val="00A27547"/>
    <w:rsid w:val="00A2770B"/>
    <w:rsid w:val="00A27806"/>
    <w:rsid w:val="00A302A9"/>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25E"/>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D2F"/>
    <w:rsid w:val="00A4224E"/>
    <w:rsid w:val="00A4229F"/>
    <w:rsid w:val="00A4244B"/>
    <w:rsid w:val="00A428A9"/>
    <w:rsid w:val="00A42ACA"/>
    <w:rsid w:val="00A4327C"/>
    <w:rsid w:val="00A4332A"/>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E40"/>
    <w:rsid w:val="00A51462"/>
    <w:rsid w:val="00A51946"/>
    <w:rsid w:val="00A5197B"/>
    <w:rsid w:val="00A51FF7"/>
    <w:rsid w:val="00A52079"/>
    <w:rsid w:val="00A52143"/>
    <w:rsid w:val="00A521E9"/>
    <w:rsid w:val="00A5298E"/>
    <w:rsid w:val="00A52B3E"/>
    <w:rsid w:val="00A5313B"/>
    <w:rsid w:val="00A5320E"/>
    <w:rsid w:val="00A53F7B"/>
    <w:rsid w:val="00A54090"/>
    <w:rsid w:val="00A541F3"/>
    <w:rsid w:val="00A54282"/>
    <w:rsid w:val="00A549D3"/>
    <w:rsid w:val="00A54C5D"/>
    <w:rsid w:val="00A54C76"/>
    <w:rsid w:val="00A54DF0"/>
    <w:rsid w:val="00A5504C"/>
    <w:rsid w:val="00A556BE"/>
    <w:rsid w:val="00A55C36"/>
    <w:rsid w:val="00A55E02"/>
    <w:rsid w:val="00A57E98"/>
    <w:rsid w:val="00A60017"/>
    <w:rsid w:val="00A60849"/>
    <w:rsid w:val="00A6105B"/>
    <w:rsid w:val="00A61355"/>
    <w:rsid w:val="00A61668"/>
    <w:rsid w:val="00A621D3"/>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E38"/>
    <w:rsid w:val="00A703E4"/>
    <w:rsid w:val="00A704C9"/>
    <w:rsid w:val="00A707AF"/>
    <w:rsid w:val="00A70DC6"/>
    <w:rsid w:val="00A71080"/>
    <w:rsid w:val="00A71986"/>
    <w:rsid w:val="00A71E3D"/>
    <w:rsid w:val="00A71E73"/>
    <w:rsid w:val="00A720BB"/>
    <w:rsid w:val="00A72740"/>
    <w:rsid w:val="00A73581"/>
    <w:rsid w:val="00A73A64"/>
    <w:rsid w:val="00A73C0E"/>
    <w:rsid w:val="00A741AA"/>
    <w:rsid w:val="00A742AD"/>
    <w:rsid w:val="00A74354"/>
    <w:rsid w:val="00A74425"/>
    <w:rsid w:val="00A746D7"/>
    <w:rsid w:val="00A74AB2"/>
    <w:rsid w:val="00A751E1"/>
    <w:rsid w:val="00A75A27"/>
    <w:rsid w:val="00A75A46"/>
    <w:rsid w:val="00A75B36"/>
    <w:rsid w:val="00A7623B"/>
    <w:rsid w:val="00A7660A"/>
    <w:rsid w:val="00A7663A"/>
    <w:rsid w:val="00A7696B"/>
    <w:rsid w:val="00A769D4"/>
    <w:rsid w:val="00A77945"/>
    <w:rsid w:val="00A8008F"/>
    <w:rsid w:val="00A804C7"/>
    <w:rsid w:val="00A80857"/>
    <w:rsid w:val="00A80A39"/>
    <w:rsid w:val="00A80AF2"/>
    <w:rsid w:val="00A80DF0"/>
    <w:rsid w:val="00A80E64"/>
    <w:rsid w:val="00A81A15"/>
    <w:rsid w:val="00A81A16"/>
    <w:rsid w:val="00A823A7"/>
    <w:rsid w:val="00A823B8"/>
    <w:rsid w:val="00A824D4"/>
    <w:rsid w:val="00A825C8"/>
    <w:rsid w:val="00A82742"/>
    <w:rsid w:val="00A82A29"/>
    <w:rsid w:val="00A83340"/>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138A"/>
    <w:rsid w:val="00A916AB"/>
    <w:rsid w:val="00A920E1"/>
    <w:rsid w:val="00A92998"/>
    <w:rsid w:val="00A933AE"/>
    <w:rsid w:val="00A93863"/>
    <w:rsid w:val="00A93928"/>
    <w:rsid w:val="00A93A14"/>
    <w:rsid w:val="00A93ACD"/>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74F"/>
    <w:rsid w:val="00AA2803"/>
    <w:rsid w:val="00AA2BF2"/>
    <w:rsid w:val="00AA2D68"/>
    <w:rsid w:val="00AA2D6F"/>
    <w:rsid w:val="00AA2E92"/>
    <w:rsid w:val="00AA3987"/>
    <w:rsid w:val="00AA3B68"/>
    <w:rsid w:val="00AA3E79"/>
    <w:rsid w:val="00AA4918"/>
    <w:rsid w:val="00AA4FB4"/>
    <w:rsid w:val="00AA51C3"/>
    <w:rsid w:val="00AA5C0B"/>
    <w:rsid w:val="00AA5E3B"/>
    <w:rsid w:val="00AA63AD"/>
    <w:rsid w:val="00AA65B4"/>
    <w:rsid w:val="00AA6604"/>
    <w:rsid w:val="00AA6A75"/>
    <w:rsid w:val="00AA745E"/>
    <w:rsid w:val="00AB04AB"/>
    <w:rsid w:val="00AB05A3"/>
    <w:rsid w:val="00AB0636"/>
    <w:rsid w:val="00AB0733"/>
    <w:rsid w:val="00AB09D2"/>
    <w:rsid w:val="00AB0B64"/>
    <w:rsid w:val="00AB0C30"/>
    <w:rsid w:val="00AB176B"/>
    <w:rsid w:val="00AB210F"/>
    <w:rsid w:val="00AB2C5F"/>
    <w:rsid w:val="00AB37E6"/>
    <w:rsid w:val="00AB3DBA"/>
    <w:rsid w:val="00AB431C"/>
    <w:rsid w:val="00AB470E"/>
    <w:rsid w:val="00AB4C80"/>
    <w:rsid w:val="00AB506B"/>
    <w:rsid w:val="00AB5467"/>
    <w:rsid w:val="00AB5720"/>
    <w:rsid w:val="00AB5883"/>
    <w:rsid w:val="00AB5A7E"/>
    <w:rsid w:val="00AB7538"/>
    <w:rsid w:val="00AB77F3"/>
    <w:rsid w:val="00AC0256"/>
    <w:rsid w:val="00AC0630"/>
    <w:rsid w:val="00AC0AAD"/>
    <w:rsid w:val="00AC1231"/>
    <w:rsid w:val="00AC1992"/>
    <w:rsid w:val="00AC1E14"/>
    <w:rsid w:val="00AC2CFA"/>
    <w:rsid w:val="00AC3263"/>
    <w:rsid w:val="00AC337E"/>
    <w:rsid w:val="00AC3A13"/>
    <w:rsid w:val="00AC3CB7"/>
    <w:rsid w:val="00AC3E12"/>
    <w:rsid w:val="00AC406E"/>
    <w:rsid w:val="00AC417C"/>
    <w:rsid w:val="00AC430C"/>
    <w:rsid w:val="00AC43DF"/>
    <w:rsid w:val="00AC4951"/>
    <w:rsid w:val="00AC49C9"/>
    <w:rsid w:val="00AC4A6B"/>
    <w:rsid w:val="00AC50A1"/>
    <w:rsid w:val="00AC5BAA"/>
    <w:rsid w:val="00AC5C19"/>
    <w:rsid w:val="00AC60F0"/>
    <w:rsid w:val="00AC63C7"/>
    <w:rsid w:val="00AC6657"/>
    <w:rsid w:val="00AC6D7A"/>
    <w:rsid w:val="00AC7363"/>
    <w:rsid w:val="00AC7401"/>
    <w:rsid w:val="00AC78B4"/>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6F5"/>
    <w:rsid w:val="00AD490A"/>
    <w:rsid w:val="00AD504C"/>
    <w:rsid w:val="00AD51A3"/>
    <w:rsid w:val="00AD5502"/>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4D55"/>
    <w:rsid w:val="00AE5058"/>
    <w:rsid w:val="00AE51CD"/>
    <w:rsid w:val="00AE5268"/>
    <w:rsid w:val="00AE5471"/>
    <w:rsid w:val="00AE54AA"/>
    <w:rsid w:val="00AE5CA5"/>
    <w:rsid w:val="00AE60E4"/>
    <w:rsid w:val="00AE6872"/>
    <w:rsid w:val="00AE6C58"/>
    <w:rsid w:val="00AE72C4"/>
    <w:rsid w:val="00AE75AB"/>
    <w:rsid w:val="00AE7F05"/>
    <w:rsid w:val="00AE7F38"/>
    <w:rsid w:val="00AF054D"/>
    <w:rsid w:val="00AF0939"/>
    <w:rsid w:val="00AF0981"/>
    <w:rsid w:val="00AF0F9C"/>
    <w:rsid w:val="00AF10F0"/>
    <w:rsid w:val="00AF1779"/>
    <w:rsid w:val="00AF18E2"/>
    <w:rsid w:val="00AF24E7"/>
    <w:rsid w:val="00AF272B"/>
    <w:rsid w:val="00AF291B"/>
    <w:rsid w:val="00AF2DAA"/>
    <w:rsid w:val="00AF2EBD"/>
    <w:rsid w:val="00AF33AE"/>
    <w:rsid w:val="00AF3CDC"/>
    <w:rsid w:val="00AF44B1"/>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DA4"/>
    <w:rsid w:val="00B05F1A"/>
    <w:rsid w:val="00B073CB"/>
    <w:rsid w:val="00B07B33"/>
    <w:rsid w:val="00B07FA2"/>
    <w:rsid w:val="00B100CF"/>
    <w:rsid w:val="00B1074F"/>
    <w:rsid w:val="00B10999"/>
    <w:rsid w:val="00B10E82"/>
    <w:rsid w:val="00B111A6"/>
    <w:rsid w:val="00B113A4"/>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30"/>
    <w:rsid w:val="00B17C2F"/>
    <w:rsid w:val="00B20CA8"/>
    <w:rsid w:val="00B2130E"/>
    <w:rsid w:val="00B2153E"/>
    <w:rsid w:val="00B218CB"/>
    <w:rsid w:val="00B21FA7"/>
    <w:rsid w:val="00B22022"/>
    <w:rsid w:val="00B225E4"/>
    <w:rsid w:val="00B22C88"/>
    <w:rsid w:val="00B23223"/>
    <w:rsid w:val="00B2373E"/>
    <w:rsid w:val="00B23F7A"/>
    <w:rsid w:val="00B240B1"/>
    <w:rsid w:val="00B24208"/>
    <w:rsid w:val="00B24374"/>
    <w:rsid w:val="00B24728"/>
    <w:rsid w:val="00B248A9"/>
    <w:rsid w:val="00B2490A"/>
    <w:rsid w:val="00B24BE3"/>
    <w:rsid w:val="00B24D28"/>
    <w:rsid w:val="00B24F1C"/>
    <w:rsid w:val="00B25B7A"/>
    <w:rsid w:val="00B25D76"/>
    <w:rsid w:val="00B27032"/>
    <w:rsid w:val="00B27085"/>
    <w:rsid w:val="00B27583"/>
    <w:rsid w:val="00B30003"/>
    <w:rsid w:val="00B3015C"/>
    <w:rsid w:val="00B30642"/>
    <w:rsid w:val="00B31201"/>
    <w:rsid w:val="00B31B4B"/>
    <w:rsid w:val="00B31E36"/>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B76"/>
    <w:rsid w:val="00B37D00"/>
    <w:rsid w:val="00B40B30"/>
    <w:rsid w:val="00B40E47"/>
    <w:rsid w:val="00B412FD"/>
    <w:rsid w:val="00B41E1C"/>
    <w:rsid w:val="00B422BE"/>
    <w:rsid w:val="00B4241D"/>
    <w:rsid w:val="00B426BB"/>
    <w:rsid w:val="00B42EB9"/>
    <w:rsid w:val="00B430B5"/>
    <w:rsid w:val="00B436F0"/>
    <w:rsid w:val="00B441FE"/>
    <w:rsid w:val="00B44821"/>
    <w:rsid w:val="00B44AD3"/>
    <w:rsid w:val="00B450EB"/>
    <w:rsid w:val="00B45152"/>
    <w:rsid w:val="00B454DD"/>
    <w:rsid w:val="00B45E54"/>
    <w:rsid w:val="00B460B8"/>
    <w:rsid w:val="00B464E4"/>
    <w:rsid w:val="00B4689A"/>
    <w:rsid w:val="00B46D5F"/>
    <w:rsid w:val="00B46E7B"/>
    <w:rsid w:val="00B477B2"/>
    <w:rsid w:val="00B47DC5"/>
    <w:rsid w:val="00B50395"/>
    <w:rsid w:val="00B505B3"/>
    <w:rsid w:val="00B50882"/>
    <w:rsid w:val="00B50A74"/>
    <w:rsid w:val="00B5199C"/>
    <w:rsid w:val="00B520A0"/>
    <w:rsid w:val="00B5257E"/>
    <w:rsid w:val="00B525CE"/>
    <w:rsid w:val="00B52CFD"/>
    <w:rsid w:val="00B545A8"/>
    <w:rsid w:val="00B56527"/>
    <w:rsid w:val="00B56706"/>
    <w:rsid w:val="00B57019"/>
    <w:rsid w:val="00B576DA"/>
    <w:rsid w:val="00B57710"/>
    <w:rsid w:val="00B601C9"/>
    <w:rsid w:val="00B60D04"/>
    <w:rsid w:val="00B612FB"/>
    <w:rsid w:val="00B6158F"/>
    <w:rsid w:val="00B61EE8"/>
    <w:rsid w:val="00B633A3"/>
    <w:rsid w:val="00B634A6"/>
    <w:rsid w:val="00B63533"/>
    <w:rsid w:val="00B638BB"/>
    <w:rsid w:val="00B63BDB"/>
    <w:rsid w:val="00B6480A"/>
    <w:rsid w:val="00B64A0E"/>
    <w:rsid w:val="00B64DDF"/>
    <w:rsid w:val="00B65633"/>
    <w:rsid w:val="00B6601E"/>
    <w:rsid w:val="00B663AA"/>
    <w:rsid w:val="00B66DD5"/>
    <w:rsid w:val="00B67722"/>
    <w:rsid w:val="00B67A6C"/>
    <w:rsid w:val="00B67B97"/>
    <w:rsid w:val="00B67F01"/>
    <w:rsid w:val="00B70166"/>
    <w:rsid w:val="00B70329"/>
    <w:rsid w:val="00B70A02"/>
    <w:rsid w:val="00B710E9"/>
    <w:rsid w:val="00B711AB"/>
    <w:rsid w:val="00B714F0"/>
    <w:rsid w:val="00B71A40"/>
    <w:rsid w:val="00B71BCA"/>
    <w:rsid w:val="00B71C8C"/>
    <w:rsid w:val="00B71CB4"/>
    <w:rsid w:val="00B71FD7"/>
    <w:rsid w:val="00B725E7"/>
    <w:rsid w:val="00B7278D"/>
    <w:rsid w:val="00B72C07"/>
    <w:rsid w:val="00B72DF7"/>
    <w:rsid w:val="00B72F42"/>
    <w:rsid w:val="00B73E44"/>
    <w:rsid w:val="00B74290"/>
    <w:rsid w:val="00B74510"/>
    <w:rsid w:val="00B74BD4"/>
    <w:rsid w:val="00B74BF7"/>
    <w:rsid w:val="00B760FD"/>
    <w:rsid w:val="00B76185"/>
    <w:rsid w:val="00B766EB"/>
    <w:rsid w:val="00B76BCD"/>
    <w:rsid w:val="00B76D04"/>
    <w:rsid w:val="00B7780D"/>
    <w:rsid w:val="00B779E6"/>
    <w:rsid w:val="00B804E2"/>
    <w:rsid w:val="00B80A54"/>
    <w:rsid w:val="00B811B2"/>
    <w:rsid w:val="00B81213"/>
    <w:rsid w:val="00B81700"/>
    <w:rsid w:val="00B81BA3"/>
    <w:rsid w:val="00B82213"/>
    <w:rsid w:val="00B8276E"/>
    <w:rsid w:val="00B82912"/>
    <w:rsid w:val="00B82FF3"/>
    <w:rsid w:val="00B839A9"/>
    <w:rsid w:val="00B83A62"/>
    <w:rsid w:val="00B83B59"/>
    <w:rsid w:val="00B84252"/>
    <w:rsid w:val="00B8468F"/>
    <w:rsid w:val="00B849F1"/>
    <w:rsid w:val="00B84FC6"/>
    <w:rsid w:val="00B857F5"/>
    <w:rsid w:val="00B862EF"/>
    <w:rsid w:val="00B86D6C"/>
    <w:rsid w:val="00B86EB5"/>
    <w:rsid w:val="00B86F47"/>
    <w:rsid w:val="00B874B4"/>
    <w:rsid w:val="00B876E8"/>
    <w:rsid w:val="00B8787A"/>
    <w:rsid w:val="00B87887"/>
    <w:rsid w:val="00B90123"/>
    <w:rsid w:val="00B90196"/>
    <w:rsid w:val="00B911C1"/>
    <w:rsid w:val="00B91374"/>
    <w:rsid w:val="00B9216A"/>
    <w:rsid w:val="00B922C3"/>
    <w:rsid w:val="00B9272E"/>
    <w:rsid w:val="00B927A7"/>
    <w:rsid w:val="00B92B9E"/>
    <w:rsid w:val="00B93315"/>
    <w:rsid w:val="00B93519"/>
    <w:rsid w:val="00B9372A"/>
    <w:rsid w:val="00B9425C"/>
    <w:rsid w:val="00B94AAF"/>
    <w:rsid w:val="00B953FF"/>
    <w:rsid w:val="00B956EA"/>
    <w:rsid w:val="00B9622D"/>
    <w:rsid w:val="00B96263"/>
    <w:rsid w:val="00B96716"/>
    <w:rsid w:val="00B968A5"/>
    <w:rsid w:val="00B97188"/>
    <w:rsid w:val="00B972CD"/>
    <w:rsid w:val="00B97D02"/>
    <w:rsid w:val="00BA0296"/>
    <w:rsid w:val="00BA0304"/>
    <w:rsid w:val="00BA0557"/>
    <w:rsid w:val="00BA079E"/>
    <w:rsid w:val="00BA19C4"/>
    <w:rsid w:val="00BA3038"/>
    <w:rsid w:val="00BA3248"/>
    <w:rsid w:val="00BA3443"/>
    <w:rsid w:val="00BA370A"/>
    <w:rsid w:val="00BA48BC"/>
    <w:rsid w:val="00BA4A29"/>
    <w:rsid w:val="00BA4BE7"/>
    <w:rsid w:val="00BA5F20"/>
    <w:rsid w:val="00BA5F44"/>
    <w:rsid w:val="00BA676C"/>
    <w:rsid w:val="00BA68D9"/>
    <w:rsid w:val="00BA695F"/>
    <w:rsid w:val="00BA6FD8"/>
    <w:rsid w:val="00BA7172"/>
    <w:rsid w:val="00BA7B01"/>
    <w:rsid w:val="00BB02D7"/>
    <w:rsid w:val="00BB0D9F"/>
    <w:rsid w:val="00BB0DEE"/>
    <w:rsid w:val="00BB0F93"/>
    <w:rsid w:val="00BB1031"/>
    <w:rsid w:val="00BB1B33"/>
    <w:rsid w:val="00BB2480"/>
    <w:rsid w:val="00BB27FD"/>
    <w:rsid w:val="00BB2857"/>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6A45"/>
    <w:rsid w:val="00BB6A83"/>
    <w:rsid w:val="00BB6E26"/>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3120"/>
    <w:rsid w:val="00BD3354"/>
    <w:rsid w:val="00BD384E"/>
    <w:rsid w:val="00BD3BC1"/>
    <w:rsid w:val="00BD3E76"/>
    <w:rsid w:val="00BD3EE2"/>
    <w:rsid w:val="00BD3FCF"/>
    <w:rsid w:val="00BD42D2"/>
    <w:rsid w:val="00BD47D7"/>
    <w:rsid w:val="00BD4EFB"/>
    <w:rsid w:val="00BD5076"/>
    <w:rsid w:val="00BD5551"/>
    <w:rsid w:val="00BD55AE"/>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0F2"/>
    <w:rsid w:val="00BE660B"/>
    <w:rsid w:val="00BE67F3"/>
    <w:rsid w:val="00BE6AFE"/>
    <w:rsid w:val="00BE6BBE"/>
    <w:rsid w:val="00BE7021"/>
    <w:rsid w:val="00BE7300"/>
    <w:rsid w:val="00BE76F7"/>
    <w:rsid w:val="00BE784F"/>
    <w:rsid w:val="00BE79C6"/>
    <w:rsid w:val="00BF01AF"/>
    <w:rsid w:val="00BF0238"/>
    <w:rsid w:val="00BF0717"/>
    <w:rsid w:val="00BF1750"/>
    <w:rsid w:val="00BF178E"/>
    <w:rsid w:val="00BF189F"/>
    <w:rsid w:val="00BF1AFA"/>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4CB"/>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B3F"/>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6F3A"/>
    <w:rsid w:val="00C1706B"/>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8E8"/>
    <w:rsid w:val="00C22FAA"/>
    <w:rsid w:val="00C23A4C"/>
    <w:rsid w:val="00C24068"/>
    <w:rsid w:val="00C2419D"/>
    <w:rsid w:val="00C243A4"/>
    <w:rsid w:val="00C243D4"/>
    <w:rsid w:val="00C24416"/>
    <w:rsid w:val="00C24511"/>
    <w:rsid w:val="00C248DB"/>
    <w:rsid w:val="00C26170"/>
    <w:rsid w:val="00C26B5A"/>
    <w:rsid w:val="00C26BB1"/>
    <w:rsid w:val="00C26D52"/>
    <w:rsid w:val="00C27A41"/>
    <w:rsid w:val="00C303E4"/>
    <w:rsid w:val="00C30775"/>
    <w:rsid w:val="00C30B8D"/>
    <w:rsid w:val="00C30DBE"/>
    <w:rsid w:val="00C3134E"/>
    <w:rsid w:val="00C315D8"/>
    <w:rsid w:val="00C31C4A"/>
    <w:rsid w:val="00C31D2D"/>
    <w:rsid w:val="00C3209A"/>
    <w:rsid w:val="00C32639"/>
    <w:rsid w:val="00C32808"/>
    <w:rsid w:val="00C32AD2"/>
    <w:rsid w:val="00C32B3F"/>
    <w:rsid w:val="00C33114"/>
    <w:rsid w:val="00C332EF"/>
    <w:rsid w:val="00C33E5C"/>
    <w:rsid w:val="00C3415E"/>
    <w:rsid w:val="00C34193"/>
    <w:rsid w:val="00C347FD"/>
    <w:rsid w:val="00C34DAD"/>
    <w:rsid w:val="00C34DAE"/>
    <w:rsid w:val="00C34E1E"/>
    <w:rsid w:val="00C34E5A"/>
    <w:rsid w:val="00C35553"/>
    <w:rsid w:val="00C35D9C"/>
    <w:rsid w:val="00C35E13"/>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BD1"/>
    <w:rsid w:val="00C51D73"/>
    <w:rsid w:val="00C52076"/>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42"/>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5765"/>
    <w:rsid w:val="00C75EEE"/>
    <w:rsid w:val="00C76028"/>
    <w:rsid w:val="00C76184"/>
    <w:rsid w:val="00C76462"/>
    <w:rsid w:val="00C7673D"/>
    <w:rsid w:val="00C76A80"/>
    <w:rsid w:val="00C76C27"/>
    <w:rsid w:val="00C76E09"/>
    <w:rsid w:val="00C76F07"/>
    <w:rsid w:val="00C77324"/>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A69"/>
    <w:rsid w:val="00C84B74"/>
    <w:rsid w:val="00C8512A"/>
    <w:rsid w:val="00C85378"/>
    <w:rsid w:val="00C85970"/>
    <w:rsid w:val="00C85E9B"/>
    <w:rsid w:val="00C86BDC"/>
    <w:rsid w:val="00C86BE9"/>
    <w:rsid w:val="00C874C8"/>
    <w:rsid w:val="00C90165"/>
    <w:rsid w:val="00C902DA"/>
    <w:rsid w:val="00C90733"/>
    <w:rsid w:val="00C921C4"/>
    <w:rsid w:val="00C9235F"/>
    <w:rsid w:val="00C9257F"/>
    <w:rsid w:val="00C9319C"/>
    <w:rsid w:val="00C9330C"/>
    <w:rsid w:val="00C934F6"/>
    <w:rsid w:val="00C93874"/>
    <w:rsid w:val="00C93A4C"/>
    <w:rsid w:val="00C944EB"/>
    <w:rsid w:val="00C94DE5"/>
    <w:rsid w:val="00C94FD2"/>
    <w:rsid w:val="00C95341"/>
    <w:rsid w:val="00C954F0"/>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9B5"/>
    <w:rsid w:val="00CA3EEE"/>
    <w:rsid w:val="00CA4223"/>
    <w:rsid w:val="00CA5098"/>
    <w:rsid w:val="00CA50DF"/>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C7E7D"/>
    <w:rsid w:val="00CD00DB"/>
    <w:rsid w:val="00CD0119"/>
    <w:rsid w:val="00CD02C5"/>
    <w:rsid w:val="00CD07FD"/>
    <w:rsid w:val="00CD0866"/>
    <w:rsid w:val="00CD1169"/>
    <w:rsid w:val="00CD15F1"/>
    <w:rsid w:val="00CD16C7"/>
    <w:rsid w:val="00CD1788"/>
    <w:rsid w:val="00CD1A40"/>
    <w:rsid w:val="00CD1AA8"/>
    <w:rsid w:val="00CD1B33"/>
    <w:rsid w:val="00CD24A8"/>
    <w:rsid w:val="00CD25F3"/>
    <w:rsid w:val="00CD2628"/>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E05BD"/>
    <w:rsid w:val="00CE07C1"/>
    <w:rsid w:val="00CE1567"/>
    <w:rsid w:val="00CE1859"/>
    <w:rsid w:val="00CE186F"/>
    <w:rsid w:val="00CE20E3"/>
    <w:rsid w:val="00CE273A"/>
    <w:rsid w:val="00CE2C37"/>
    <w:rsid w:val="00CE321C"/>
    <w:rsid w:val="00CE32E8"/>
    <w:rsid w:val="00CE353C"/>
    <w:rsid w:val="00CE3700"/>
    <w:rsid w:val="00CE3B69"/>
    <w:rsid w:val="00CE4559"/>
    <w:rsid w:val="00CE4B49"/>
    <w:rsid w:val="00CE5118"/>
    <w:rsid w:val="00CE5487"/>
    <w:rsid w:val="00CE59B5"/>
    <w:rsid w:val="00CE59DB"/>
    <w:rsid w:val="00CE5D3A"/>
    <w:rsid w:val="00CE67D8"/>
    <w:rsid w:val="00CE68EA"/>
    <w:rsid w:val="00CE7381"/>
    <w:rsid w:val="00CE7447"/>
    <w:rsid w:val="00CE74CE"/>
    <w:rsid w:val="00CE7510"/>
    <w:rsid w:val="00CE7AB0"/>
    <w:rsid w:val="00CF07CB"/>
    <w:rsid w:val="00CF0829"/>
    <w:rsid w:val="00CF0E74"/>
    <w:rsid w:val="00CF1833"/>
    <w:rsid w:val="00CF1AEA"/>
    <w:rsid w:val="00CF1E3B"/>
    <w:rsid w:val="00CF1FF2"/>
    <w:rsid w:val="00CF2091"/>
    <w:rsid w:val="00CF21F6"/>
    <w:rsid w:val="00CF2278"/>
    <w:rsid w:val="00CF267C"/>
    <w:rsid w:val="00CF2C62"/>
    <w:rsid w:val="00CF2F66"/>
    <w:rsid w:val="00CF3345"/>
    <w:rsid w:val="00CF337B"/>
    <w:rsid w:val="00CF3FE7"/>
    <w:rsid w:val="00CF40BE"/>
    <w:rsid w:val="00CF4416"/>
    <w:rsid w:val="00CF4740"/>
    <w:rsid w:val="00CF5221"/>
    <w:rsid w:val="00CF5762"/>
    <w:rsid w:val="00CF65B4"/>
    <w:rsid w:val="00CF6806"/>
    <w:rsid w:val="00CF69B0"/>
    <w:rsid w:val="00CF6C05"/>
    <w:rsid w:val="00CF709F"/>
    <w:rsid w:val="00CF7485"/>
    <w:rsid w:val="00CF7787"/>
    <w:rsid w:val="00CF7E56"/>
    <w:rsid w:val="00D0115E"/>
    <w:rsid w:val="00D01744"/>
    <w:rsid w:val="00D01C03"/>
    <w:rsid w:val="00D020B5"/>
    <w:rsid w:val="00D0250B"/>
    <w:rsid w:val="00D025CE"/>
    <w:rsid w:val="00D026A3"/>
    <w:rsid w:val="00D02A0F"/>
    <w:rsid w:val="00D02CA6"/>
    <w:rsid w:val="00D02DF3"/>
    <w:rsid w:val="00D03181"/>
    <w:rsid w:val="00D037DC"/>
    <w:rsid w:val="00D0383B"/>
    <w:rsid w:val="00D03A8A"/>
    <w:rsid w:val="00D03DA5"/>
    <w:rsid w:val="00D03F27"/>
    <w:rsid w:val="00D043EE"/>
    <w:rsid w:val="00D0470D"/>
    <w:rsid w:val="00D04EB6"/>
    <w:rsid w:val="00D05130"/>
    <w:rsid w:val="00D05249"/>
    <w:rsid w:val="00D05332"/>
    <w:rsid w:val="00D055CA"/>
    <w:rsid w:val="00D059FC"/>
    <w:rsid w:val="00D05DEF"/>
    <w:rsid w:val="00D0681E"/>
    <w:rsid w:val="00D06861"/>
    <w:rsid w:val="00D0688A"/>
    <w:rsid w:val="00D06F22"/>
    <w:rsid w:val="00D07A9C"/>
    <w:rsid w:val="00D07B44"/>
    <w:rsid w:val="00D10076"/>
    <w:rsid w:val="00D1033B"/>
    <w:rsid w:val="00D10477"/>
    <w:rsid w:val="00D107E2"/>
    <w:rsid w:val="00D119E2"/>
    <w:rsid w:val="00D11D76"/>
    <w:rsid w:val="00D121F5"/>
    <w:rsid w:val="00D126E4"/>
    <w:rsid w:val="00D12ACB"/>
    <w:rsid w:val="00D12C29"/>
    <w:rsid w:val="00D131BF"/>
    <w:rsid w:val="00D13A90"/>
    <w:rsid w:val="00D1404F"/>
    <w:rsid w:val="00D140E6"/>
    <w:rsid w:val="00D147E0"/>
    <w:rsid w:val="00D14AD2"/>
    <w:rsid w:val="00D14C7E"/>
    <w:rsid w:val="00D1505E"/>
    <w:rsid w:val="00D1529E"/>
    <w:rsid w:val="00D158E6"/>
    <w:rsid w:val="00D158EF"/>
    <w:rsid w:val="00D15C14"/>
    <w:rsid w:val="00D15E74"/>
    <w:rsid w:val="00D15FAA"/>
    <w:rsid w:val="00D16A14"/>
    <w:rsid w:val="00D16ECB"/>
    <w:rsid w:val="00D16EEE"/>
    <w:rsid w:val="00D17167"/>
    <w:rsid w:val="00D17BA5"/>
    <w:rsid w:val="00D2058D"/>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51AB"/>
    <w:rsid w:val="00D25240"/>
    <w:rsid w:val="00D25AC6"/>
    <w:rsid w:val="00D25BF1"/>
    <w:rsid w:val="00D261D3"/>
    <w:rsid w:val="00D2693B"/>
    <w:rsid w:val="00D27086"/>
    <w:rsid w:val="00D276D0"/>
    <w:rsid w:val="00D27D4F"/>
    <w:rsid w:val="00D27FDD"/>
    <w:rsid w:val="00D305BE"/>
    <w:rsid w:val="00D31048"/>
    <w:rsid w:val="00D319DF"/>
    <w:rsid w:val="00D31C02"/>
    <w:rsid w:val="00D3225E"/>
    <w:rsid w:val="00D324BC"/>
    <w:rsid w:val="00D32B9F"/>
    <w:rsid w:val="00D331A5"/>
    <w:rsid w:val="00D33565"/>
    <w:rsid w:val="00D33761"/>
    <w:rsid w:val="00D33762"/>
    <w:rsid w:val="00D3451C"/>
    <w:rsid w:val="00D34BD1"/>
    <w:rsid w:val="00D35177"/>
    <w:rsid w:val="00D356E1"/>
    <w:rsid w:val="00D364FD"/>
    <w:rsid w:val="00D40609"/>
    <w:rsid w:val="00D40983"/>
    <w:rsid w:val="00D40B3B"/>
    <w:rsid w:val="00D40DD8"/>
    <w:rsid w:val="00D40E43"/>
    <w:rsid w:val="00D41188"/>
    <w:rsid w:val="00D41228"/>
    <w:rsid w:val="00D41576"/>
    <w:rsid w:val="00D417D3"/>
    <w:rsid w:val="00D418D5"/>
    <w:rsid w:val="00D41DB1"/>
    <w:rsid w:val="00D4276D"/>
    <w:rsid w:val="00D42798"/>
    <w:rsid w:val="00D42970"/>
    <w:rsid w:val="00D42A21"/>
    <w:rsid w:val="00D43047"/>
    <w:rsid w:val="00D43468"/>
    <w:rsid w:val="00D43AED"/>
    <w:rsid w:val="00D44916"/>
    <w:rsid w:val="00D458BD"/>
    <w:rsid w:val="00D45AE4"/>
    <w:rsid w:val="00D45CA4"/>
    <w:rsid w:val="00D45EA7"/>
    <w:rsid w:val="00D45F22"/>
    <w:rsid w:val="00D47178"/>
    <w:rsid w:val="00D4752E"/>
    <w:rsid w:val="00D47842"/>
    <w:rsid w:val="00D47BEF"/>
    <w:rsid w:val="00D47C0D"/>
    <w:rsid w:val="00D47E67"/>
    <w:rsid w:val="00D50826"/>
    <w:rsid w:val="00D5150A"/>
    <w:rsid w:val="00D51675"/>
    <w:rsid w:val="00D51F73"/>
    <w:rsid w:val="00D52827"/>
    <w:rsid w:val="00D529BE"/>
    <w:rsid w:val="00D52CF6"/>
    <w:rsid w:val="00D53D3E"/>
    <w:rsid w:val="00D54457"/>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065"/>
    <w:rsid w:val="00D62111"/>
    <w:rsid w:val="00D62229"/>
    <w:rsid w:val="00D625B8"/>
    <w:rsid w:val="00D626F8"/>
    <w:rsid w:val="00D63458"/>
    <w:rsid w:val="00D636C2"/>
    <w:rsid w:val="00D636DC"/>
    <w:rsid w:val="00D63CC7"/>
    <w:rsid w:val="00D63F4C"/>
    <w:rsid w:val="00D64613"/>
    <w:rsid w:val="00D64702"/>
    <w:rsid w:val="00D649DC"/>
    <w:rsid w:val="00D65A6A"/>
    <w:rsid w:val="00D65D66"/>
    <w:rsid w:val="00D65EDA"/>
    <w:rsid w:val="00D66BFD"/>
    <w:rsid w:val="00D66C91"/>
    <w:rsid w:val="00D66D46"/>
    <w:rsid w:val="00D66D70"/>
    <w:rsid w:val="00D674EE"/>
    <w:rsid w:val="00D67535"/>
    <w:rsid w:val="00D67BC9"/>
    <w:rsid w:val="00D67DBC"/>
    <w:rsid w:val="00D704D9"/>
    <w:rsid w:val="00D70612"/>
    <w:rsid w:val="00D70934"/>
    <w:rsid w:val="00D70BD2"/>
    <w:rsid w:val="00D713F2"/>
    <w:rsid w:val="00D71B32"/>
    <w:rsid w:val="00D71DC6"/>
    <w:rsid w:val="00D71E85"/>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77D1C"/>
    <w:rsid w:val="00D8007C"/>
    <w:rsid w:val="00D8079F"/>
    <w:rsid w:val="00D8103B"/>
    <w:rsid w:val="00D8111B"/>
    <w:rsid w:val="00D81242"/>
    <w:rsid w:val="00D812D2"/>
    <w:rsid w:val="00D81F1B"/>
    <w:rsid w:val="00D822E5"/>
    <w:rsid w:val="00D82C80"/>
    <w:rsid w:val="00D82D02"/>
    <w:rsid w:val="00D82D0F"/>
    <w:rsid w:val="00D8336C"/>
    <w:rsid w:val="00D83A5A"/>
    <w:rsid w:val="00D83E12"/>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420"/>
    <w:rsid w:val="00DB1448"/>
    <w:rsid w:val="00DB1907"/>
    <w:rsid w:val="00DB1998"/>
    <w:rsid w:val="00DB1FC4"/>
    <w:rsid w:val="00DB21F0"/>
    <w:rsid w:val="00DB25DB"/>
    <w:rsid w:val="00DB2C5F"/>
    <w:rsid w:val="00DB34B1"/>
    <w:rsid w:val="00DB3A58"/>
    <w:rsid w:val="00DB3BDF"/>
    <w:rsid w:val="00DB3C58"/>
    <w:rsid w:val="00DB3D46"/>
    <w:rsid w:val="00DB401C"/>
    <w:rsid w:val="00DB46C8"/>
    <w:rsid w:val="00DB4837"/>
    <w:rsid w:val="00DB52F0"/>
    <w:rsid w:val="00DB540E"/>
    <w:rsid w:val="00DB5A63"/>
    <w:rsid w:val="00DB6166"/>
    <w:rsid w:val="00DB6520"/>
    <w:rsid w:val="00DB656B"/>
    <w:rsid w:val="00DB6803"/>
    <w:rsid w:val="00DB691E"/>
    <w:rsid w:val="00DB6C99"/>
    <w:rsid w:val="00DB6EB1"/>
    <w:rsid w:val="00DB74A9"/>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3ED"/>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0CE"/>
    <w:rsid w:val="00DE3E66"/>
    <w:rsid w:val="00DE3F75"/>
    <w:rsid w:val="00DE41FC"/>
    <w:rsid w:val="00DE45F5"/>
    <w:rsid w:val="00DE4AAD"/>
    <w:rsid w:val="00DE4C0C"/>
    <w:rsid w:val="00DE4D46"/>
    <w:rsid w:val="00DE4FC8"/>
    <w:rsid w:val="00DE53B5"/>
    <w:rsid w:val="00DE5A50"/>
    <w:rsid w:val="00DE5AFF"/>
    <w:rsid w:val="00DE60C5"/>
    <w:rsid w:val="00DE6E27"/>
    <w:rsid w:val="00DE7323"/>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4CDC"/>
    <w:rsid w:val="00DF4EE1"/>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D3F"/>
    <w:rsid w:val="00E03DED"/>
    <w:rsid w:val="00E03EB7"/>
    <w:rsid w:val="00E03F32"/>
    <w:rsid w:val="00E0437C"/>
    <w:rsid w:val="00E0452C"/>
    <w:rsid w:val="00E04D61"/>
    <w:rsid w:val="00E0504C"/>
    <w:rsid w:val="00E05074"/>
    <w:rsid w:val="00E052DA"/>
    <w:rsid w:val="00E05489"/>
    <w:rsid w:val="00E05741"/>
    <w:rsid w:val="00E05F7F"/>
    <w:rsid w:val="00E060B5"/>
    <w:rsid w:val="00E06549"/>
    <w:rsid w:val="00E06930"/>
    <w:rsid w:val="00E06971"/>
    <w:rsid w:val="00E073F2"/>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2E58"/>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13E"/>
    <w:rsid w:val="00E205D6"/>
    <w:rsid w:val="00E206E3"/>
    <w:rsid w:val="00E209AB"/>
    <w:rsid w:val="00E216EC"/>
    <w:rsid w:val="00E2189A"/>
    <w:rsid w:val="00E21A60"/>
    <w:rsid w:val="00E21CF8"/>
    <w:rsid w:val="00E224CE"/>
    <w:rsid w:val="00E22B5A"/>
    <w:rsid w:val="00E22B68"/>
    <w:rsid w:val="00E231C9"/>
    <w:rsid w:val="00E23640"/>
    <w:rsid w:val="00E23EBF"/>
    <w:rsid w:val="00E23FD5"/>
    <w:rsid w:val="00E24669"/>
    <w:rsid w:val="00E246FB"/>
    <w:rsid w:val="00E24A70"/>
    <w:rsid w:val="00E24C48"/>
    <w:rsid w:val="00E24EE4"/>
    <w:rsid w:val="00E25981"/>
    <w:rsid w:val="00E25A1E"/>
    <w:rsid w:val="00E26056"/>
    <w:rsid w:val="00E26141"/>
    <w:rsid w:val="00E266F5"/>
    <w:rsid w:val="00E2673E"/>
    <w:rsid w:val="00E270D3"/>
    <w:rsid w:val="00E27CC8"/>
    <w:rsid w:val="00E27FC7"/>
    <w:rsid w:val="00E3050B"/>
    <w:rsid w:val="00E30700"/>
    <w:rsid w:val="00E31115"/>
    <w:rsid w:val="00E31141"/>
    <w:rsid w:val="00E31360"/>
    <w:rsid w:val="00E31D28"/>
    <w:rsid w:val="00E32425"/>
    <w:rsid w:val="00E32443"/>
    <w:rsid w:val="00E3252C"/>
    <w:rsid w:val="00E325FF"/>
    <w:rsid w:val="00E32A93"/>
    <w:rsid w:val="00E32CB8"/>
    <w:rsid w:val="00E32F67"/>
    <w:rsid w:val="00E33B78"/>
    <w:rsid w:val="00E3440F"/>
    <w:rsid w:val="00E34F3A"/>
    <w:rsid w:val="00E35F99"/>
    <w:rsid w:val="00E35F9A"/>
    <w:rsid w:val="00E3637F"/>
    <w:rsid w:val="00E364B6"/>
    <w:rsid w:val="00E36723"/>
    <w:rsid w:val="00E36BC3"/>
    <w:rsid w:val="00E3713C"/>
    <w:rsid w:val="00E372F3"/>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F67"/>
    <w:rsid w:val="00E4535F"/>
    <w:rsid w:val="00E455E3"/>
    <w:rsid w:val="00E45F9D"/>
    <w:rsid w:val="00E466BC"/>
    <w:rsid w:val="00E4686A"/>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BA"/>
    <w:rsid w:val="00E55B28"/>
    <w:rsid w:val="00E56D4A"/>
    <w:rsid w:val="00E57119"/>
    <w:rsid w:val="00E5719E"/>
    <w:rsid w:val="00E57D7B"/>
    <w:rsid w:val="00E57F4B"/>
    <w:rsid w:val="00E602E5"/>
    <w:rsid w:val="00E602F8"/>
    <w:rsid w:val="00E6085B"/>
    <w:rsid w:val="00E60FBA"/>
    <w:rsid w:val="00E60FBF"/>
    <w:rsid w:val="00E6108D"/>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5FF5"/>
    <w:rsid w:val="00E76A3C"/>
    <w:rsid w:val="00E76F9B"/>
    <w:rsid w:val="00E771FC"/>
    <w:rsid w:val="00E773E5"/>
    <w:rsid w:val="00E77BDD"/>
    <w:rsid w:val="00E80112"/>
    <w:rsid w:val="00E806D3"/>
    <w:rsid w:val="00E8104D"/>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851"/>
    <w:rsid w:val="00E84C97"/>
    <w:rsid w:val="00E84C98"/>
    <w:rsid w:val="00E85005"/>
    <w:rsid w:val="00E85296"/>
    <w:rsid w:val="00E8533B"/>
    <w:rsid w:val="00E85BD0"/>
    <w:rsid w:val="00E85E4E"/>
    <w:rsid w:val="00E86327"/>
    <w:rsid w:val="00E86DF0"/>
    <w:rsid w:val="00E87711"/>
    <w:rsid w:val="00E87BD2"/>
    <w:rsid w:val="00E87CDC"/>
    <w:rsid w:val="00E90A2A"/>
    <w:rsid w:val="00E90B33"/>
    <w:rsid w:val="00E90D2E"/>
    <w:rsid w:val="00E910E4"/>
    <w:rsid w:val="00E911E0"/>
    <w:rsid w:val="00E92115"/>
    <w:rsid w:val="00E921F9"/>
    <w:rsid w:val="00E92938"/>
    <w:rsid w:val="00E931A3"/>
    <w:rsid w:val="00E93407"/>
    <w:rsid w:val="00E93572"/>
    <w:rsid w:val="00E93640"/>
    <w:rsid w:val="00E940A8"/>
    <w:rsid w:val="00E94307"/>
    <w:rsid w:val="00E947E8"/>
    <w:rsid w:val="00E94B0F"/>
    <w:rsid w:val="00E94EF6"/>
    <w:rsid w:val="00E9503F"/>
    <w:rsid w:val="00E954DF"/>
    <w:rsid w:val="00E956F3"/>
    <w:rsid w:val="00E95AA7"/>
    <w:rsid w:val="00E967C0"/>
    <w:rsid w:val="00E96E68"/>
    <w:rsid w:val="00E97013"/>
    <w:rsid w:val="00E97EA1"/>
    <w:rsid w:val="00EA0BBE"/>
    <w:rsid w:val="00EA18B9"/>
    <w:rsid w:val="00EA193E"/>
    <w:rsid w:val="00EA1D70"/>
    <w:rsid w:val="00EA1FBC"/>
    <w:rsid w:val="00EA20A1"/>
    <w:rsid w:val="00EA212B"/>
    <w:rsid w:val="00EA24B5"/>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A47"/>
    <w:rsid w:val="00EB0F0F"/>
    <w:rsid w:val="00EB12A5"/>
    <w:rsid w:val="00EB24D8"/>
    <w:rsid w:val="00EB277B"/>
    <w:rsid w:val="00EB2F20"/>
    <w:rsid w:val="00EB2F35"/>
    <w:rsid w:val="00EB31DB"/>
    <w:rsid w:val="00EB3422"/>
    <w:rsid w:val="00EB3A31"/>
    <w:rsid w:val="00EB4389"/>
    <w:rsid w:val="00EB4EAF"/>
    <w:rsid w:val="00EB548E"/>
    <w:rsid w:val="00EB584B"/>
    <w:rsid w:val="00EB5C41"/>
    <w:rsid w:val="00EB5F5A"/>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C7F10"/>
    <w:rsid w:val="00ED04FE"/>
    <w:rsid w:val="00ED0DD0"/>
    <w:rsid w:val="00ED1122"/>
    <w:rsid w:val="00ED1989"/>
    <w:rsid w:val="00ED28F2"/>
    <w:rsid w:val="00ED2F3E"/>
    <w:rsid w:val="00ED3145"/>
    <w:rsid w:val="00ED3219"/>
    <w:rsid w:val="00ED3309"/>
    <w:rsid w:val="00ED356E"/>
    <w:rsid w:val="00ED3792"/>
    <w:rsid w:val="00ED3B83"/>
    <w:rsid w:val="00ED3BDA"/>
    <w:rsid w:val="00ED56F9"/>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4FAC"/>
    <w:rsid w:val="00EE649F"/>
    <w:rsid w:val="00EE6AC6"/>
    <w:rsid w:val="00EE6E26"/>
    <w:rsid w:val="00EE784F"/>
    <w:rsid w:val="00EE7A1D"/>
    <w:rsid w:val="00EE7DBD"/>
    <w:rsid w:val="00EE7E40"/>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850"/>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2B7"/>
    <w:rsid w:val="00F153F8"/>
    <w:rsid w:val="00F15671"/>
    <w:rsid w:val="00F15FC8"/>
    <w:rsid w:val="00F1643E"/>
    <w:rsid w:val="00F16695"/>
    <w:rsid w:val="00F16CDE"/>
    <w:rsid w:val="00F17159"/>
    <w:rsid w:val="00F1733F"/>
    <w:rsid w:val="00F202E3"/>
    <w:rsid w:val="00F20C6E"/>
    <w:rsid w:val="00F20D2C"/>
    <w:rsid w:val="00F20D6C"/>
    <w:rsid w:val="00F20EDE"/>
    <w:rsid w:val="00F20F03"/>
    <w:rsid w:val="00F2255F"/>
    <w:rsid w:val="00F225CF"/>
    <w:rsid w:val="00F22882"/>
    <w:rsid w:val="00F22985"/>
    <w:rsid w:val="00F22AEF"/>
    <w:rsid w:val="00F22F7A"/>
    <w:rsid w:val="00F2343C"/>
    <w:rsid w:val="00F234DC"/>
    <w:rsid w:val="00F23A0A"/>
    <w:rsid w:val="00F23CFC"/>
    <w:rsid w:val="00F24076"/>
    <w:rsid w:val="00F240CB"/>
    <w:rsid w:val="00F2492F"/>
    <w:rsid w:val="00F2500D"/>
    <w:rsid w:val="00F251B2"/>
    <w:rsid w:val="00F2596D"/>
    <w:rsid w:val="00F25A3E"/>
    <w:rsid w:val="00F25CAA"/>
    <w:rsid w:val="00F26148"/>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6F6"/>
    <w:rsid w:val="00F32AFF"/>
    <w:rsid w:val="00F33825"/>
    <w:rsid w:val="00F33A5E"/>
    <w:rsid w:val="00F33A8B"/>
    <w:rsid w:val="00F33D3B"/>
    <w:rsid w:val="00F33F50"/>
    <w:rsid w:val="00F34A96"/>
    <w:rsid w:val="00F34EBF"/>
    <w:rsid w:val="00F34F05"/>
    <w:rsid w:val="00F34F94"/>
    <w:rsid w:val="00F35467"/>
    <w:rsid w:val="00F356D5"/>
    <w:rsid w:val="00F35734"/>
    <w:rsid w:val="00F359A5"/>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372"/>
    <w:rsid w:val="00F44542"/>
    <w:rsid w:val="00F448DD"/>
    <w:rsid w:val="00F44D6A"/>
    <w:rsid w:val="00F44DB8"/>
    <w:rsid w:val="00F45392"/>
    <w:rsid w:val="00F45760"/>
    <w:rsid w:val="00F45847"/>
    <w:rsid w:val="00F45925"/>
    <w:rsid w:val="00F46BA6"/>
    <w:rsid w:val="00F46C97"/>
    <w:rsid w:val="00F4703E"/>
    <w:rsid w:val="00F4775F"/>
    <w:rsid w:val="00F478E7"/>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47F"/>
    <w:rsid w:val="00F54783"/>
    <w:rsid w:val="00F547E9"/>
    <w:rsid w:val="00F5494E"/>
    <w:rsid w:val="00F54ABE"/>
    <w:rsid w:val="00F55804"/>
    <w:rsid w:val="00F5584C"/>
    <w:rsid w:val="00F55F1A"/>
    <w:rsid w:val="00F56310"/>
    <w:rsid w:val="00F5684C"/>
    <w:rsid w:val="00F57210"/>
    <w:rsid w:val="00F577FC"/>
    <w:rsid w:val="00F602F0"/>
    <w:rsid w:val="00F60AF2"/>
    <w:rsid w:val="00F60C90"/>
    <w:rsid w:val="00F612AA"/>
    <w:rsid w:val="00F619EE"/>
    <w:rsid w:val="00F61CF5"/>
    <w:rsid w:val="00F61FF9"/>
    <w:rsid w:val="00F62069"/>
    <w:rsid w:val="00F62159"/>
    <w:rsid w:val="00F62985"/>
    <w:rsid w:val="00F62A7C"/>
    <w:rsid w:val="00F62B93"/>
    <w:rsid w:val="00F633E5"/>
    <w:rsid w:val="00F63C89"/>
    <w:rsid w:val="00F647EC"/>
    <w:rsid w:val="00F64FAB"/>
    <w:rsid w:val="00F654F8"/>
    <w:rsid w:val="00F6583B"/>
    <w:rsid w:val="00F65AC8"/>
    <w:rsid w:val="00F65CEA"/>
    <w:rsid w:val="00F65F15"/>
    <w:rsid w:val="00F662C3"/>
    <w:rsid w:val="00F66443"/>
    <w:rsid w:val="00F6739B"/>
    <w:rsid w:val="00F675EA"/>
    <w:rsid w:val="00F7073B"/>
    <w:rsid w:val="00F7074A"/>
    <w:rsid w:val="00F70AD6"/>
    <w:rsid w:val="00F715BE"/>
    <w:rsid w:val="00F71687"/>
    <w:rsid w:val="00F71708"/>
    <w:rsid w:val="00F717C1"/>
    <w:rsid w:val="00F71AAE"/>
    <w:rsid w:val="00F71CDB"/>
    <w:rsid w:val="00F725D3"/>
    <w:rsid w:val="00F7281E"/>
    <w:rsid w:val="00F72C1A"/>
    <w:rsid w:val="00F72C3D"/>
    <w:rsid w:val="00F72CEE"/>
    <w:rsid w:val="00F737AB"/>
    <w:rsid w:val="00F74216"/>
    <w:rsid w:val="00F74F0F"/>
    <w:rsid w:val="00F75731"/>
    <w:rsid w:val="00F75841"/>
    <w:rsid w:val="00F7587E"/>
    <w:rsid w:val="00F75D7D"/>
    <w:rsid w:val="00F76333"/>
    <w:rsid w:val="00F770C6"/>
    <w:rsid w:val="00F77100"/>
    <w:rsid w:val="00F8090F"/>
    <w:rsid w:val="00F80A8A"/>
    <w:rsid w:val="00F8139A"/>
    <w:rsid w:val="00F82AAE"/>
    <w:rsid w:val="00F834BE"/>
    <w:rsid w:val="00F838A9"/>
    <w:rsid w:val="00F849E3"/>
    <w:rsid w:val="00F84AD6"/>
    <w:rsid w:val="00F84B4E"/>
    <w:rsid w:val="00F84C44"/>
    <w:rsid w:val="00F84F30"/>
    <w:rsid w:val="00F851B7"/>
    <w:rsid w:val="00F8566C"/>
    <w:rsid w:val="00F858D4"/>
    <w:rsid w:val="00F85C65"/>
    <w:rsid w:val="00F860EB"/>
    <w:rsid w:val="00F8615F"/>
    <w:rsid w:val="00F868B6"/>
    <w:rsid w:val="00F86968"/>
    <w:rsid w:val="00F86B7C"/>
    <w:rsid w:val="00F86E42"/>
    <w:rsid w:val="00F876E2"/>
    <w:rsid w:val="00F876E6"/>
    <w:rsid w:val="00F87825"/>
    <w:rsid w:val="00F87838"/>
    <w:rsid w:val="00F879E8"/>
    <w:rsid w:val="00F87FCE"/>
    <w:rsid w:val="00F9008B"/>
    <w:rsid w:val="00F909C7"/>
    <w:rsid w:val="00F90BA5"/>
    <w:rsid w:val="00F911B1"/>
    <w:rsid w:val="00F91669"/>
    <w:rsid w:val="00F916DE"/>
    <w:rsid w:val="00F9184F"/>
    <w:rsid w:val="00F91943"/>
    <w:rsid w:val="00F9219B"/>
    <w:rsid w:val="00F9231D"/>
    <w:rsid w:val="00F92A66"/>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0BFC"/>
    <w:rsid w:val="00FB1050"/>
    <w:rsid w:val="00FB1093"/>
    <w:rsid w:val="00FB13A0"/>
    <w:rsid w:val="00FB2142"/>
    <w:rsid w:val="00FB227E"/>
    <w:rsid w:val="00FB25DA"/>
    <w:rsid w:val="00FB267D"/>
    <w:rsid w:val="00FB2A18"/>
    <w:rsid w:val="00FB2BF4"/>
    <w:rsid w:val="00FB2C8D"/>
    <w:rsid w:val="00FB2DC6"/>
    <w:rsid w:val="00FB3F61"/>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0AD"/>
    <w:rsid w:val="00FC11C6"/>
    <w:rsid w:val="00FC17D8"/>
    <w:rsid w:val="00FC279A"/>
    <w:rsid w:val="00FC2A43"/>
    <w:rsid w:val="00FC324D"/>
    <w:rsid w:val="00FC39A1"/>
    <w:rsid w:val="00FC3BC3"/>
    <w:rsid w:val="00FC3E47"/>
    <w:rsid w:val="00FC41A0"/>
    <w:rsid w:val="00FC4B53"/>
    <w:rsid w:val="00FC4BAE"/>
    <w:rsid w:val="00FC4F75"/>
    <w:rsid w:val="00FC5160"/>
    <w:rsid w:val="00FC5A36"/>
    <w:rsid w:val="00FC6353"/>
    <w:rsid w:val="00FC69CF"/>
    <w:rsid w:val="00FC6B0B"/>
    <w:rsid w:val="00FC6BAF"/>
    <w:rsid w:val="00FC713B"/>
    <w:rsid w:val="00FC7862"/>
    <w:rsid w:val="00FC790D"/>
    <w:rsid w:val="00FC79D5"/>
    <w:rsid w:val="00FC7B35"/>
    <w:rsid w:val="00FC7B53"/>
    <w:rsid w:val="00FC7BD8"/>
    <w:rsid w:val="00FD0177"/>
    <w:rsid w:val="00FD031B"/>
    <w:rsid w:val="00FD0AE7"/>
    <w:rsid w:val="00FD0B44"/>
    <w:rsid w:val="00FD0F70"/>
    <w:rsid w:val="00FD2315"/>
    <w:rsid w:val="00FD29A7"/>
    <w:rsid w:val="00FD2B15"/>
    <w:rsid w:val="00FD3092"/>
    <w:rsid w:val="00FD3D48"/>
    <w:rsid w:val="00FD412E"/>
    <w:rsid w:val="00FD420F"/>
    <w:rsid w:val="00FD4339"/>
    <w:rsid w:val="00FD4959"/>
    <w:rsid w:val="00FD49FD"/>
    <w:rsid w:val="00FD4B0C"/>
    <w:rsid w:val="00FD4F2F"/>
    <w:rsid w:val="00FD51F7"/>
    <w:rsid w:val="00FD5258"/>
    <w:rsid w:val="00FD52D7"/>
    <w:rsid w:val="00FD549C"/>
    <w:rsid w:val="00FD5602"/>
    <w:rsid w:val="00FD5661"/>
    <w:rsid w:val="00FD5A2A"/>
    <w:rsid w:val="00FD5AE2"/>
    <w:rsid w:val="00FD62B4"/>
    <w:rsid w:val="00FD7142"/>
    <w:rsid w:val="00FD750F"/>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7B7"/>
    <w:rsid w:val="00FE48FF"/>
    <w:rsid w:val="00FE4ECD"/>
    <w:rsid w:val="00FE52B7"/>
    <w:rsid w:val="00FE53C5"/>
    <w:rsid w:val="00FE56A8"/>
    <w:rsid w:val="00FE5807"/>
    <w:rsid w:val="00FE5C39"/>
    <w:rsid w:val="00FE5C57"/>
    <w:rsid w:val="00FE624E"/>
    <w:rsid w:val="00FE6415"/>
    <w:rsid w:val="00FE69E7"/>
    <w:rsid w:val="00FE6BB8"/>
    <w:rsid w:val="00FE6E76"/>
    <w:rsid w:val="00FE7FB5"/>
    <w:rsid w:val="00FF027B"/>
    <w:rsid w:val="00FF0A67"/>
    <w:rsid w:val="00FF1174"/>
    <w:rsid w:val="00FF165A"/>
    <w:rsid w:val="00FF1B72"/>
    <w:rsid w:val="00FF1CF1"/>
    <w:rsid w:val="00FF1F4C"/>
    <w:rsid w:val="00FF1F90"/>
    <w:rsid w:val="00FF228F"/>
    <w:rsid w:val="00FF23EE"/>
    <w:rsid w:val="00FF2D63"/>
    <w:rsid w:val="00FF35DC"/>
    <w:rsid w:val="00FF390D"/>
    <w:rsid w:val="00FF3A6A"/>
    <w:rsid w:val="00FF3C7A"/>
    <w:rsid w:val="00FF3E09"/>
    <w:rsid w:val="00FF411C"/>
    <w:rsid w:val="00FF44C6"/>
    <w:rsid w:val="00FF4B2E"/>
    <w:rsid w:val="00FF4E4B"/>
    <w:rsid w:val="00FF4E4E"/>
    <w:rsid w:val="00FF5049"/>
    <w:rsid w:val="00FF519C"/>
    <w:rsid w:val="00FF59A6"/>
    <w:rsid w:val="00FF5D1F"/>
    <w:rsid w:val="00FF5F95"/>
    <w:rsid w:val="00FF6126"/>
    <w:rsid w:val="00FF61F5"/>
    <w:rsid w:val="00FF62AA"/>
    <w:rsid w:val="00FF64D7"/>
    <w:rsid w:val="00FF6B6C"/>
    <w:rsid w:val="00FF6DD4"/>
    <w:rsid w:val="00FF7DA6"/>
    <w:rsid w:val="011078C7"/>
    <w:rsid w:val="011E3D92"/>
    <w:rsid w:val="012A067A"/>
    <w:rsid w:val="013413A9"/>
    <w:rsid w:val="015E2FC2"/>
    <w:rsid w:val="015E6884"/>
    <w:rsid w:val="016C48A1"/>
    <w:rsid w:val="01787946"/>
    <w:rsid w:val="01853E11"/>
    <w:rsid w:val="019E4F83"/>
    <w:rsid w:val="01AA2C10"/>
    <w:rsid w:val="01AD5116"/>
    <w:rsid w:val="01B446F6"/>
    <w:rsid w:val="01CF7782"/>
    <w:rsid w:val="02182ED7"/>
    <w:rsid w:val="02201D8C"/>
    <w:rsid w:val="02223D56"/>
    <w:rsid w:val="022C5744"/>
    <w:rsid w:val="022F0983"/>
    <w:rsid w:val="02467A44"/>
    <w:rsid w:val="0247556A"/>
    <w:rsid w:val="02571C51"/>
    <w:rsid w:val="0270686F"/>
    <w:rsid w:val="02775E4F"/>
    <w:rsid w:val="0288005D"/>
    <w:rsid w:val="028E13EB"/>
    <w:rsid w:val="02994018"/>
    <w:rsid w:val="02A76009"/>
    <w:rsid w:val="02AB5AF9"/>
    <w:rsid w:val="02BC7D06"/>
    <w:rsid w:val="02BE582C"/>
    <w:rsid w:val="02BF0B9C"/>
    <w:rsid w:val="02DF39F5"/>
    <w:rsid w:val="02F41DB4"/>
    <w:rsid w:val="02FB6B16"/>
    <w:rsid w:val="02FE031F"/>
    <w:rsid w:val="030B2604"/>
    <w:rsid w:val="03144708"/>
    <w:rsid w:val="031D766C"/>
    <w:rsid w:val="03253AFD"/>
    <w:rsid w:val="033F6241"/>
    <w:rsid w:val="034D095E"/>
    <w:rsid w:val="037738D8"/>
    <w:rsid w:val="037B7BAD"/>
    <w:rsid w:val="03B804CE"/>
    <w:rsid w:val="03E160E0"/>
    <w:rsid w:val="03F54123"/>
    <w:rsid w:val="041651F4"/>
    <w:rsid w:val="04272850"/>
    <w:rsid w:val="044629E5"/>
    <w:rsid w:val="04510922"/>
    <w:rsid w:val="045524D4"/>
    <w:rsid w:val="048B7990"/>
    <w:rsid w:val="049C2396"/>
    <w:rsid w:val="05031C1C"/>
    <w:rsid w:val="051536FE"/>
    <w:rsid w:val="05687CD1"/>
    <w:rsid w:val="05746676"/>
    <w:rsid w:val="05A84572"/>
    <w:rsid w:val="05AD2F61"/>
    <w:rsid w:val="05B9677F"/>
    <w:rsid w:val="05C96278"/>
    <w:rsid w:val="05F15805"/>
    <w:rsid w:val="0600615C"/>
    <w:rsid w:val="060C4B01"/>
    <w:rsid w:val="06210E27"/>
    <w:rsid w:val="062A31D9"/>
    <w:rsid w:val="063D2F0C"/>
    <w:rsid w:val="065A220E"/>
    <w:rsid w:val="065B7836"/>
    <w:rsid w:val="065C064B"/>
    <w:rsid w:val="065D2FC6"/>
    <w:rsid w:val="066B317C"/>
    <w:rsid w:val="066B5CCB"/>
    <w:rsid w:val="06734B80"/>
    <w:rsid w:val="06862B05"/>
    <w:rsid w:val="068955F4"/>
    <w:rsid w:val="06991648"/>
    <w:rsid w:val="06A13DF3"/>
    <w:rsid w:val="06BF1B73"/>
    <w:rsid w:val="06E521B8"/>
    <w:rsid w:val="07091040"/>
    <w:rsid w:val="07391925"/>
    <w:rsid w:val="075F0692"/>
    <w:rsid w:val="07726BE5"/>
    <w:rsid w:val="078828AD"/>
    <w:rsid w:val="07CD7F98"/>
    <w:rsid w:val="07D93108"/>
    <w:rsid w:val="07DB054A"/>
    <w:rsid w:val="08053C42"/>
    <w:rsid w:val="08145EEF"/>
    <w:rsid w:val="08377606"/>
    <w:rsid w:val="083D2AF4"/>
    <w:rsid w:val="08485B98"/>
    <w:rsid w:val="08493DEA"/>
    <w:rsid w:val="084A1DFF"/>
    <w:rsid w:val="08602EE2"/>
    <w:rsid w:val="08670714"/>
    <w:rsid w:val="087D1CE6"/>
    <w:rsid w:val="087E7C78"/>
    <w:rsid w:val="08874912"/>
    <w:rsid w:val="089C0A55"/>
    <w:rsid w:val="089C3D38"/>
    <w:rsid w:val="08AC25CB"/>
    <w:rsid w:val="08B31D4F"/>
    <w:rsid w:val="08E51639"/>
    <w:rsid w:val="08EC64D7"/>
    <w:rsid w:val="08F53B23"/>
    <w:rsid w:val="08F875BE"/>
    <w:rsid w:val="090030C8"/>
    <w:rsid w:val="09095C15"/>
    <w:rsid w:val="091B60CD"/>
    <w:rsid w:val="091D0DD3"/>
    <w:rsid w:val="091E5277"/>
    <w:rsid w:val="09AF4121"/>
    <w:rsid w:val="09B434E5"/>
    <w:rsid w:val="09C0632E"/>
    <w:rsid w:val="09C3197A"/>
    <w:rsid w:val="09C474A0"/>
    <w:rsid w:val="09E55D95"/>
    <w:rsid w:val="0A0124A3"/>
    <w:rsid w:val="0A053C89"/>
    <w:rsid w:val="0A070656"/>
    <w:rsid w:val="0A1711CD"/>
    <w:rsid w:val="0A206DCD"/>
    <w:rsid w:val="0A2166A1"/>
    <w:rsid w:val="0A27015B"/>
    <w:rsid w:val="0A283ED3"/>
    <w:rsid w:val="0A2D4C39"/>
    <w:rsid w:val="0A3463D4"/>
    <w:rsid w:val="0A424F95"/>
    <w:rsid w:val="0A4B7B0B"/>
    <w:rsid w:val="0A592595"/>
    <w:rsid w:val="0A670558"/>
    <w:rsid w:val="0A765F0A"/>
    <w:rsid w:val="0A8235E3"/>
    <w:rsid w:val="0A913ED8"/>
    <w:rsid w:val="0AB120A5"/>
    <w:rsid w:val="0ABF2169"/>
    <w:rsid w:val="0ADF0362"/>
    <w:rsid w:val="0AEB55DC"/>
    <w:rsid w:val="0B0111E3"/>
    <w:rsid w:val="0B0A5387"/>
    <w:rsid w:val="0B0E30C9"/>
    <w:rsid w:val="0B13248D"/>
    <w:rsid w:val="0B1D330C"/>
    <w:rsid w:val="0B1D50BA"/>
    <w:rsid w:val="0B24171E"/>
    <w:rsid w:val="0B347187"/>
    <w:rsid w:val="0B3F7726"/>
    <w:rsid w:val="0B41349E"/>
    <w:rsid w:val="0B416FFB"/>
    <w:rsid w:val="0B512FB6"/>
    <w:rsid w:val="0B574F31"/>
    <w:rsid w:val="0B5C3243"/>
    <w:rsid w:val="0B5E59FA"/>
    <w:rsid w:val="0B7C44D7"/>
    <w:rsid w:val="0BAD59A4"/>
    <w:rsid w:val="0BBE4019"/>
    <w:rsid w:val="0C006EB6"/>
    <w:rsid w:val="0C2801BA"/>
    <w:rsid w:val="0C357211"/>
    <w:rsid w:val="0C3C0FE2"/>
    <w:rsid w:val="0C466B45"/>
    <w:rsid w:val="0C6D3E1F"/>
    <w:rsid w:val="0C727688"/>
    <w:rsid w:val="0C924779"/>
    <w:rsid w:val="0C985340"/>
    <w:rsid w:val="0CAD246E"/>
    <w:rsid w:val="0CC41D6A"/>
    <w:rsid w:val="0CC779D3"/>
    <w:rsid w:val="0CD56444"/>
    <w:rsid w:val="0CDE6ACB"/>
    <w:rsid w:val="0CE41365"/>
    <w:rsid w:val="0CE42333"/>
    <w:rsid w:val="0CE47624"/>
    <w:rsid w:val="0CEC568C"/>
    <w:rsid w:val="0CF309FC"/>
    <w:rsid w:val="0D122CD5"/>
    <w:rsid w:val="0D1644B7"/>
    <w:rsid w:val="0D1B1ACD"/>
    <w:rsid w:val="0D523741"/>
    <w:rsid w:val="0D573276"/>
    <w:rsid w:val="0D576FA9"/>
    <w:rsid w:val="0D584403"/>
    <w:rsid w:val="0D5C6CAA"/>
    <w:rsid w:val="0D6D5D30"/>
    <w:rsid w:val="0D807EAC"/>
    <w:rsid w:val="0D815DD4"/>
    <w:rsid w:val="0DA74E51"/>
    <w:rsid w:val="0DAD4E1B"/>
    <w:rsid w:val="0DB00467"/>
    <w:rsid w:val="0DB5782C"/>
    <w:rsid w:val="0DD759F4"/>
    <w:rsid w:val="0DED5218"/>
    <w:rsid w:val="0DEE7765"/>
    <w:rsid w:val="0E1E3004"/>
    <w:rsid w:val="0E296B84"/>
    <w:rsid w:val="0E4868F2"/>
    <w:rsid w:val="0E6179B4"/>
    <w:rsid w:val="0E6E6D9E"/>
    <w:rsid w:val="0E924011"/>
    <w:rsid w:val="0E9733D5"/>
    <w:rsid w:val="0EB2020F"/>
    <w:rsid w:val="0EBD2E3C"/>
    <w:rsid w:val="0EC71E62"/>
    <w:rsid w:val="0F113188"/>
    <w:rsid w:val="0F204221"/>
    <w:rsid w:val="0F2733BC"/>
    <w:rsid w:val="0F2B5D1F"/>
    <w:rsid w:val="0F3E3C48"/>
    <w:rsid w:val="0F5A4B2F"/>
    <w:rsid w:val="0F6C4862"/>
    <w:rsid w:val="0F7200CA"/>
    <w:rsid w:val="0F946F1E"/>
    <w:rsid w:val="0F9F2542"/>
    <w:rsid w:val="0FD0094D"/>
    <w:rsid w:val="0FD77F2D"/>
    <w:rsid w:val="0FFF1232"/>
    <w:rsid w:val="100827DD"/>
    <w:rsid w:val="101C0A97"/>
    <w:rsid w:val="102A5643"/>
    <w:rsid w:val="10321608"/>
    <w:rsid w:val="108E223A"/>
    <w:rsid w:val="10A122E9"/>
    <w:rsid w:val="10AA3894"/>
    <w:rsid w:val="10B71B0D"/>
    <w:rsid w:val="10B95885"/>
    <w:rsid w:val="10C5247C"/>
    <w:rsid w:val="10CC380A"/>
    <w:rsid w:val="10E24DDC"/>
    <w:rsid w:val="10F67974"/>
    <w:rsid w:val="1109680C"/>
    <w:rsid w:val="11215618"/>
    <w:rsid w:val="113C56DA"/>
    <w:rsid w:val="11474599"/>
    <w:rsid w:val="11532670"/>
    <w:rsid w:val="115D4E4C"/>
    <w:rsid w:val="11836198"/>
    <w:rsid w:val="11851C0B"/>
    <w:rsid w:val="118C6B2A"/>
    <w:rsid w:val="11A93139"/>
    <w:rsid w:val="11AD363C"/>
    <w:rsid w:val="11BA18B5"/>
    <w:rsid w:val="11C664AC"/>
    <w:rsid w:val="11E9219A"/>
    <w:rsid w:val="11FA43A7"/>
    <w:rsid w:val="11FB4122"/>
    <w:rsid w:val="12096398"/>
    <w:rsid w:val="1211524D"/>
    <w:rsid w:val="121D0BF1"/>
    <w:rsid w:val="125A6BF4"/>
    <w:rsid w:val="12685FCD"/>
    <w:rsid w:val="12816876"/>
    <w:rsid w:val="12A460C1"/>
    <w:rsid w:val="12B74672"/>
    <w:rsid w:val="12D30948"/>
    <w:rsid w:val="12E0145C"/>
    <w:rsid w:val="12F232D0"/>
    <w:rsid w:val="13135EB3"/>
    <w:rsid w:val="13182014"/>
    <w:rsid w:val="132C5B6D"/>
    <w:rsid w:val="136A10B9"/>
    <w:rsid w:val="138137F3"/>
    <w:rsid w:val="138E06DF"/>
    <w:rsid w:val="139364DD"/>
    <w:rsid w:val="13A804B2"/>
    <w:rsid w:val="13C46448"/>
    <w:rsid w:val="13C82EA6"/>
    <w:rsid w:val="13EF0479"/>
    <w:rsid w:val="13FC7CE3"/>
    <w:rsid w:val="13FF7A53"/>
    <w:rsid w:val="140822FE"/>
    <w:rsid w:val="14095D3A"/>
    <w:rsid w:val="142D5F04"/>
    <w:rsid w:val="143363D6"/>
    <w:rsid w:val="143D4D2B"/>
    <w:rsid w:val="1461426A"/>
    <w:rsid w:val="146F2C7A"/>
    <w:rsid w:val="14762D3D"/>
    <w:rsid w:val="148D505F"/>
    <w:rsid w:val="148F0982"/>
    <w:rsid w:val="14977C8B"/>
    <w:rsid w:val="149D101A"/>
    <w:rsid w:val="149E4992"/>
    <w:rsid w:val="14AB1989"/>
    <w:rsid w:val="14B7032D"/>
    <w:rsid w:val="14B82F17"/>
    <w:rsid w:val="15063063"/>
    <w:rsid w:val="155F468B"/>
    <w:rsid w:val="157306F8"/>
    <w:rsid w:val="158226E9"/>
    <w:rsid w:val="159D4B97"/>
    <w:rsid w:val="15A563D8"/>
    <w:rsid w:val="15B14D7D"/>
    <w:rsid w:val="15BE749A"/>
    <w:rsid w:val="15BF393E"/>
    <w:rsid w:val="15EA64E1"/>
    <w:rsid w:val="160D3435"/>
    <w:rsid w:val="160E6673"/>
    <w:rsid w:val="16196349"/>
    <w:rsid w:val="16273291"/>
    <w:rsid w:val="162E461F"/>
    <w:rsid w:val="16482AEA"/>
    <w:rsid w:val="165A18B8"/>
    <w:rsid w:val="16730284"/>
    <w:rsid w:val="167C538B"/>
    <w:rsid w:val="16B17CA9"/>
    <w:rsid w:val="16B34B25"/>
    <w:rsid w:val="16D927DD"/>
    <w:rsid w:val="16DC22CD"/>
    <w:rsid w:val="170E5D26"/>
    <w:rsid w:val="17285513"/>
    <w:rsid w:val="17451DB0"/>
    <w:rsid w:val="17514A69"/>
    <w:rsid w:val="17562080"/>
    <w:rsid w:val="17570260"/>
    <w:rsid w:val="17650515"/>
    <w:rsid w:val="17694B12"/>
    <w:rsid w:val="178C102A"/>
    <w:rsid w:val="1791130A"/>
    <w:rsid w:val="179670F4"/>
    <w:rsid w:val="179B1650"/>
    <w:rsid w:val="179B7A92"/>
    <w:rsid w:val="179E3336"/>
    <w:rsid w:val="17B15508"/>
    <w:rsid w:val="17BB6387"/>
    <w:rsid w:val="17BE59A2"/>
    <w:rsid w:val="17C77185"/>
    <w:rsid w:val="17D912A0"/>
    <w:rsid w:val="17DE3E23"/>
    <w:rsid w:val="17F10953"/>
    <w:rsid w:val="17FB6783"/>
    <w:rsid w:val="18137F71"/>
    <w:rsid w:val="18185849"/>
    <w:rsid w:val="18245CDA"/>
    <w:rsid w:val="183F6A63"/>
    <w:rsid w:val="18E92A80"/>
    <w:rsid w:val="19267830"/>
    <w:rsid w:val="19526877"/>
    <w:rsid w:val="195E521C"/>
    <w:rsid w:val="19940C3D"/>
    <w:rsid w:val="19C332D1"/>
    <w:rsid w:val="19C534ED"/>
    <w:rsid w:val="19CA28B1"/>
    <w:rsid w:val="19CF6119"/>
    <w:rsid w:val="19EA382B"/>
    <w:rsid w:val="19F305A7"/>
    <w:rsid w:val="1A2376BA"/>
    <w:rsid w:val="1A365439"/>
    <w:rsid w:val="1A442DE9"/>
    <w:rsid w:val="1A6007B8"/>
    <w:rsid w:val="1A7C09DE"/>
    <w:rsid w:val="1AB0025A"/>
    <w:rsid w:val="1AB62E35"/>
    <w:rsid w:val="1ABC4611"/>
    <w:rsid w:val="1ABF1CEA"/>
    <w:rsid w:val="1AD12A8C"/>
    <w:rsid w:val="1AE370B9"/>
    <w:rsid w:val="1AF75334"/>
    <w:rsid w:val="1AF75928"/>
    <w:rsid w:val="1AFB2E83"/>
    <w:rsid w:val="1B090209"/>
    <w:rsid w:val="1B23671D"/>
    <w:rsid w:val="1B4560C7"/>
    <w:rsid w:val="1B5B5A5C"/>
    <w:rsid w:val="1B5F527B"/>
    <w:rsid w:val="1B7E1BA5"/>
    <w:rsid w:val="1B9C4411"/>
    <w:rsid w:val="1BC021BE"/>
    <w:rsid w:val="1BC305D3"/>
    <w:rsid w:val="1BEF65FF"/>
    <w:rsid w:val="1C42303D"/>
    <w:rsid w:val="1C645E03"/>
    <w:rsid w:val="1C6F7740"/>
    <w:rsid w:val="1C7F5BD5"/>
    <w:rsid w:val="1C8031AA"/>
    <w:rsid w:val="1C8925AF"/>
    <w:rsid w:val="1C901B90"/>
    <w:rsid w:val="1CB60005"/>
    <w:rsid w:val="1CC92887"/>
    <w:rsid w:val="1CD55680"/>
    <w:rsid w:val="1CDA105D"/>
    <w:rsid w:val="1CF10155"/>
    <w:rsid w:val="1D321E13"/>
    <w:rsid w:val="1D350989"/>
    <w:rsid w:val="1D5737D9"/>
    <w:rsid w:val="1D666D95"/>
    <w:rsid w:val="1D880AB9"/>
    <w:rsid w:val="1D882867"/>
    <w:rsid w:val="1D8A5B33"/>
    <w:rsid w:val="1D9531D6"/>
    <w:rsid w:val="1DA11B7B"/>
    <w:rsid w:val="1DBC044E"/>
    <w:rsid w:val="1DCA50C1"/>
    <w:rsid w:val="1DE5415D"/>
    <w:rsid w:val="1DE55F0B"/>
    <w:rsid w:val="1E032835"/>
    <w:rsid w:val="1E0D5462"/>
    <w:rsid w:val="1E1265D5"/>
    <w:rsid w:val="1E164317"/>
    <w:rsid w:val="1E2A7DC2"/>
    <w:rsid w:val="1E2B4B2D"/>
    <w:rsid w:val="1E5135A1"/>
    <w:rsid w:val="1E650DFA"/>
    <w:rsid w:val="1E7C6117"/>
    <w:rsid w:val="1E831280"/>
    <w:rsid w:val="1E9B0CC0"/>
    <w:rsid w:val="1EE71D3C"/>
    <w:rsid w:val="1EEA12FF"/>
    <w:rsid w:val="1F040613"/>
    <w:rsid w:val="1F111A8D"/>
    <w:rsid w:val="1F120F82"/>
    <w:rsid w:val="1F15637C"/>
    <w:rsid w:val="1F264A2D"/>
    <w:rsid w:val="1F2C422B"/>
    <w:rsid w:val="1F4849CA"/>
    <w:rsid w:val="1F67390F"/>
    <w:rsid w:val="1F691F02"/>
    <w:rsid w:val="1F873477"/>
    <w:rsid w:val="1F896D6A"/>
    <w:rsid w:val="1F974FE3"/>
    <w:rsid w:val="1FB0481F"/>
    <w:rsid w:val="1FBE4C66"/>
    <w:rsid w:val="200308CB"/>
    <w:rsid w:val="201900EE"/>
    <w:rsid w:val="20312DAC"/>
    <w:rsid w:val="20360CA0"/>
    <w:rsid w:val="20364395"/>
    <w:rsid w:val="203D202F"/>
    <w:rsid w:val="2040730C"/>
    <w:rsid w:val="209E05F3"/>
    <w:rsid w:val="20B00655"/>
    <w:rsid w:val="20B61DE1"/>
    <w:rsid w:val="20D63E58"/>
    <w:rsid w:val="20F63F8C"/>
    <w:rsid w:val="20F85F56"/>
    <w:rsid w:val="21072C86"/>
    <w:rsid w:val="21455F84"/>
    <w:rsid w:val="21940835"/>
    <w:rsid w:val="219D08AB"/>
    <w:rsid w:val="21B34182"/>
    <w:rsid w:val="21B55BF5"/>
    <w:rsid w:val="21DC1B00"/>
    <w:rsid w:val="21E12E8E"/>
    <w:rsid w:val="22162B37"/>
    <w:rsid w:val="223A7B46"/>
    <w:rsid w:val="223F57F7"/>
    <w:rsid w:val="229D7F06"/>
    <w:rsid w:val="22EC1AEA"/>
    <w:rsid w:val="22EE7610"/>
    <w:rsid w:val="23076924"/>
    <w:rsid w:val="232653E3"/>
    <w:rsid w:val="233314C7"/>
    <w:rsid w:val="23377209"/>
    <w:rsid w:val="233B7E77"/>
    <w:rsid w:val="234B4A63"/>
    <w:rsid w:val="23585FFE"/>
    <w:rsid w:val="235A6A54"/>
    <w:rsid w:val="23665133"/>
    <w:rsid w:val="238166D6"/>
    <w:rsid w:val="2384381F"/>
    <w:rsid w:val="23846E58"/>
    <w:rsid w:val="238F638A"/>
    <w:rsid w:val="23CE7442"/>
    <w:rsid w:val="23EB7FF4"/>
    <w:rsid w:val="23F76998"/>
    <w:rsid w:val="24275EEE"/>
    <w:rsid w:val="242A66AC"/>
    <w:rsid w:val="242F6132"/>
    <w:rsid w:val="244250D8"/>
    <w:rsid w:val="24460F26"/>
    <w:rsid w:val="244C515E"/>
    <w:rsid w:val="244E33BB"/>
    <w:rsid w:val="246102B6"/>
    <w:rsid w:val="246444F3"/>
    <w:rsid w:val="248875F1"/>
    <w:rsid w:val="248B0E8F"/>
    <w:rsid w:val="24977600"/>
    <w:rsid w:val="24B14D99"/>
    <w:rsid w:val="24B831E2"/>
    <w:rsid w:val="24B93C4E"/>
    <w:rsid w:val="24BB3B05"/>
    <w:rsid w:val="24BB3DB3"/>
    <w:rsid w:val="24C26FA6"/>
    <w:rsid w:val="24CF3471"/>
    <w:rsid w:val="24FB7DC2"/>
    <w:rsid w:val="250B120F"/>
    <w:rsid w:val="25162E4E"/>
    <w:rsid w:val="25180C07"/>
    <w:rsid w:val="251A293E"/>
    <w:rsid w:val="252C7220"/>
    <w:rsid w:val="25337C48"/>
    <w:rsid w:val="255E3530"/>
    <w:rsid w:val="256C2A6E"/>
    <w:rsid w:val="25771604"/>
    <w:rsid w:val="25805BA9"/>
    <w:rsid w:val="258B7398"/>
    <w:rsid w:val="258C4EBE"/>
    <w:rsid w:val="25951FC5"/>
    <w:rsid w:val="259D70CC"/>
    <w:rsid w:val="25A57AD2"/>
    <w:rsid w:val="25B05051"/>
    <w:rsid w:val="25B34B41"/>
    <w:rsid w:val="25C74149"/>
    <w:rsid w:val="25CC175F"/>
    <w:rsid w:val="25D328A4"/>
    <w:rsid w:val="25FD7743"/>
    <w:rsid w:val="2604714B"/>
    <w:rsid w:val="26070462"/>
    <w:rsid w:val="26083CA4"/>
    <w:rsid w:val="26137B37"/>
    <w:rsid w:val="261750D0"/>
    <w:rsid w:val="263E440B"/>
    <w:rsid w:val="26720558"/>
    <w:rsid w:val="267772F8"/>
    <w:rsid w:val="269A7E40"/>
    <w:rsid w:val="26A50560"/>
    <w:rsid w:val="26A526DC"/>
    <w:rsid w:val="26B270EC"/>
    <w:rsid w:val="26CF59AB"/>
    <w:rsid w:val="26FE3B9A"/>
    <w:rsid w:val="270F55EE"/>
    <w:rsid w:val="272F1A96"/>
    <w:rsid w:val="273B3040"/>
    <w:rsid w:val="274C0DA9"/>
    <w:rsid w:val="276A7D1D"/>
    <w:rsid w:val="27702CEA"/>
    <w:rsid w:val="2781161A"/>
    <w:rsid w:val="278B0993"/>
    <w:rsid w:val="278C2DE6"/>
    <w:rsid w:val="27A2552D"/>
    <w:rsid w:val="27A2676A"/>
    <w:rsid w:val="27A72484"/>
    <w:rsid w:val="27C070A1"/>
    <w:rsid w:val="27C26A1C"/>
    <w:rsid w:val="27C9064C"/>
    <w:rsid w:val="27EB2370"/>
    <w:rsid w:val="27F52753"/>
    <w:rsid w:val="28060F58"/>
    <w:rsid w:val="281401A9"/>
    <w:rsid w:val="28481571"/>
    <w:rsid w:val="286B525F"/>
    <w:rsid w:val="286E4D4F"/>
    <w:rsid w:val="289A78F2"/>
    <w:rsid w:val="28A54C15"/>
    <w:rsid w:val="28AD1D1C"/>
    <w:rsid w:val="28CA642A"/>
    <w:rsid w:val="28CE7583"/>
    <w:rsid w:val="28CF3A40"/>
    <w:rsid w:val="28DE0127"/>
    <w:rsid w:val="28E25FF0"/>
    <w:rsid w:val="28E62B38"/>
    <w:rsid w:val="28F05B32"/>
    <w:rsid w:val="292A6196"/>
    <w:rsid w:val="29377EB3"/>
    <w:rsid w:val="294F4B81"/>
    <w:rsid w:val="2965324A"/>
    <w:rsid w:val="296B1DBE"/>
    <w:rsid w:val="296E036D"/>
    <w:rsid w:val="297367C9"/>
    <w:rsid w:val="297B0CF7"/>
    <w:rsid w:val="2984482A"/>
    <w:rsid w:val="29862181"/>
    <w:rsid w:val="29A273A6"/>
    <w:rsid w:val="29AC6EB1"/>
    <w:rsid w:val="29C769E3"/>
    <w:rsid w:val="29D638CD"/>
    <w:rsid w:val="29E057D9"/>
    <w:rsid w:val="29FE3507"/>
    <w:rsid w:val="2A0C65CE"/>
    <w:rsid w:val="2A1D4C7F"/>
    <w:rsid w:val="2A303607"/>
    <w:rsid w:val="2A44045E"/>
    <w:rsid w:val="2A5E151F"/>
    <w:rsid w:val="2A720B27"/>
    <w:rsid w:val="2A835621"/>
    <w:rsid w:val="2AA27121"/>
    <w:rsid w:val="2AA902C1"/>
    <w:rsid w:val="2ACD0453"/>
    <w:rsid w:val="2ADB4165"/>
    <w:rsid w:val="2ADB7F2F"/>
    <w:rsid w:val="2AEB78C2"/>
    <w:rsid w:val="2B0C0F7B"/>
    <w:rsid w:val="2B152D85"/>
    <w:rsid w:val="2B1B2F6C"/>
    <w:rsid w:val="2B3B53BD"/>
    <w:rsid w:val="2B486052"/>
    <w:rsid w:val="2B520958"/>
    <w:rsid w:val="2B5E72FD"/>
    <w:rsid w:val="2B6C7C6C"/>
    <w:rsid w:val="2B82123D"/>
    <w:rsid w:val="2B822DA1"/>
    <w:rsid w:val="2B886128"/>
    <w:rsid w:val="2B9727A8"/>
    <w:rsid w:val="2B9D6077"/>
    <w:rsid w:val="2BD902A0"/>
    <w:rsid w:val="2BD91045"/>
    <w:rsid w:val="2BEA0B91"/>
    <w:rsid w:val="2BF5720F"/>
    <w:rsid w:val="2C1300E8"/>
    <w:rsid w:val="2C1978E8"/>
    <w:rsid w:val="2C335742"/>
    <w:rsid w:val="2C362090"/>
    <w:rsid w:val="2C3B13EC"/>
    <w:rsid w:val="2C4B162F"/>
    <w:rsid w:val="2C532973"/>
    <w:rsid w:val="2C536608"/>
    <w:rsid w:val="2C7A3CC3"/>
    <w:rsid w:val="2C815051"/>
    <w:rsid w:val="2CAE64AB"/>
    <w:rsid w:val="2CE675AA"/>
    <w:rsid w:val="2CF2792E"/>
    <w:rsid w:val="2D113B67"/>
    <w:rsid w:val="2D3619B4"/>
    <w:rsid w:val="2D377E06"/>
    <w:rsid w:val="2D76092E"/>
    <w:rsid w:val="2D7B4196"/>
    <w:rsid w:val="2D7D7F0E"/>
    <w:rsid w:val="2DA14432"/>
    <w:rsid w:val="2DB25117"/>
    <w:rsid w:val="2DEC5D5C"/>
    <w:rsid w:val="2DF61A6F"/>
    <w:rsid w:val="2DFF6B75"/>
    <w:rsid w:val="2E1B7727"/>
    <w:rsid w:val="2E1F2D74"/>
    <w:rsid w:val="2E2C686E"/>
    <w:rsid w:val="2E36630F"/>
    <w:rsid w:val="2E374561"/>
    <w:rsid w:val="2E497DF1"/>
    <w:rsid w:val="2E5C5D76"/>
    <w:rsid w:val="2E780D2D"/>
    <w:rsid w:val="2E7B1F74"/>
    <w:rsid w:val="2E7E3412"/>
    <w:rsid w:val="2E960B5C"/>
    <w:rsid w:val="2EA133AF"/>
    <w:rsid w:val="2EA339A5"/>
    <w:rsid w:val="2EA36628"/>
    <w:rsid w:val="2EDC0415"/>
    <w:rsid w:val="2EDD2DD9"/>
    <w:rsid w:val="2EE7237C"/>
    <w:rsid w:val="2F087CAC"/>
    <w:rsid w:val="2F0D52C2"/>
    <w:rsid w:val="2F2D7712"/>
    <w:rsid w:val="2F2F6A91"/>
    <w:rsid w:val="2F300FB0"/>
    <w:rsid w:val="2F4800A8"/>
    <w:rsid w:val="2F723467"/>
    <w:rsid w:val="2F815419"/>
    <w:rsid w:val="2F922149"/>
    <w:rsid w:val="2FA72ADC"/>
    <w:rsid w:val="2FC8743B"/>
    <w:rsid w:val="2FD672B8"/>
    <w:rsid w:val="300852DE"/>
    <w:rsid w:val="30134377"/>
    <w:rsid w:val="30590E83"/>
    <w:rsid w:val="30640C78"/>
    <w:rsid w:val="306835D0"/>
    <w:rsid w:val="306E3B3E"/>
    <w:rsid w:val="30711881"/>
    <w:rsid w:val="30782BAF"/>
    <w:rsid w:val="3082583C"/>
    <w:rsid w:val="309C4B4F"/>
    <w:rsid w:val="30A532D8"/>
    <w:rsid w:val="30A657B3"/>
    <w:rsid w:val="30BA09FB"/>
    <w:rsid w:val="30DF2746"/>
    <w:rsid w:val="311F308B"/>
    <w:rsid w:val="31244E01"/>
    <w:rsid w:val="313257CB"/>
    <w:rsid w:val="31755829"/>
    <w:rsid w:val="317D7B05"/>
    <w:rsid w:val="31880C30"/>
    <w:rsid w:val="318C4BC4"/>
    <w:rsid w:val="318D6246"/>
    <w:rsid w:val="319C2593"/>
    <w:rsid w:val="31B9528D"/>
    <w:rsid w:val="31DC0F7C"/>
    <w:rsid w:val="31E83DC4"/>
    <w:rsid w:val="31F369F1"/>
    <w:rsid w:val="32153FA4"/>
    <w:rsid w:val="324575EB"/>
    <w:rsid w:val="32494863"/>
    <w:rsid w:val="325A081E"/>
    <w:rsid w:val="325B4596"/>
    <w:rsid w:val="3268280F"/>
    <w:rsid w:val="326E7E26"/>
    <w:rsid w:val="32700042"/>
    <w:rsid w:val="328F5FEE"/>
    <w:rsid w:val="32A0292F"/>
    <w:rsid w:val="32A02B99"/>
    <w:rsid w:val="32BC6D05"/>
    <w:rsid w:val="32C569CF"/>
    <w:rsid w:val="32CE6B16"/>
    <w:rsid w:val="32ED1692"/>
    <w:rsid w:val="32F01183"/>
    <w:rsid w:val="32FB4A31"/>
    <w:rsid w:val="330F2BAA"/>
    <w:rsid w:val="33154745"/>
    <w:rsid w:val="331F7372"/>
    <w:rsid w:val="333252F7"/>
    <w:rsid w:val="333F0BDD"/>
    <w:rsid w:val="33437504"/>
    <w:rsid w:val="33513ACD"/>
    <w:rsid w:val="335A65FC"/>
    <w:rsid w:val="336631F3"/>
    <w:rsid w:val="337D5F7B"/>
    <w:rsid w:val="3381627F"/>
    <w:rsid w:val="3382215E"/>
    <w:rsid w:val="33833DA5"/>
    <w:rsid w:val="33941B0E"/>
    <w:rsid w:val="33A83F0F"/>
    <w:rsid w:val="33B52F92"/>
    <w:rsid w:val="33D414D0"/>
    <w:rsid w:val="33F04662"/>
    <w:rsid w:val="33F94067"/>
    <w:rsid w:val="3411197D"/>
    <w:rsid w:val="341151CD"/>
    <w:rsid w:val="344F1ED9"/>
    <w:rsid w:val="345C31CC"/>
    <w:rsid w:val="34603E67"/>
    <w:rsid w:val="34692F9B"/>
    <w:rsid w:val="3491429F"/>
    <w:rsid w:val="34981816"/>
    <w:rsid w:val="349873DC"/>
    <w:rsid w:val="34AE30A3"/>
    <w:rsid w:val="34C04B85"/>
    <w:rsid w:val="34E15227"/>
    <w:rsid w:val="34EE16F2"/>
    <w:rsid w:val="34FB796B"/>
    <w:rsid w:val="35260E8C"/>
    <w:rsid w:val="353C06AF"/>
    <w:rsid w:val="354B444E"/>
    <w:rsid w:val="358142E1"/>
    <w:rsid w:val="35944047"/>
    <w:rsid w:val="35CD358A"/>
    <w:rsid w:val="35DF3667"/>
    <w:rsid w:val="360A6B9A"/>
    <w:rsid w:val="36232DB0"/>
    <w:rsid w:val="362C0724"/>
    <w:rsid w:val="362C24D2"/>
    <w:rsid w:val="366559E4"/>
    <w:rsid w:val="368340BC"/>
    <w:rsid w:val="36856574"/>
    <w:rsid w:val="368B560A"/>
    <w:rsid w:val="36C94F33"/>
    <w:rsid w:val="36E96615"/>
    <w:rsid w:val="37093D6D"/>
    <w:rsid w:val="370C2303"/>
    <w:rsid w:val="37192419"/>
    <w:rsid w:val="372633C5"/>
    <w:rsid w:val="372E4027"/>
    <w:rsid w:val="374C0952"/>
    <w:rsid w:val="374E0226"/>
    <w:rsid w:val="375B2943"/>
    <w:rsid w:val="37702892"/>
    <w:rsid w:val="3793032E"/>
    <w:rsid w:val="37B409D1"/>
    <w:rsid w:val="37B7226F"/>
    <w:rsid w:val="37BE14E1"/>
    <w:rsid w:val="37EA2644"/>
    <w:rsid w:val="37F007A1"/>
    <w:rsid w:val="37F34BF4"/>
    <w:rsid w:val="37FC5ED4"/>
    <w:rsid w:val="380A05F1"/>
    <w:rsid w:val="380D6333"/>
    <w:rsid w:val="38163439"/>
    <w:rsid w:val="38367638"/>
    <w:rsid w:val="383C09C6"/>
    <w:rsid w:val="38451629"/>
    <w:rsid w:val="385F359C"/>
    <w:rsid w:val="38637D01"/>
    <w:rsid w:val="386F2B4A"/>
    <w:rsid w:val="387B329C"/>
    <w:rsid w:val="3885411B"/>
    <w:rsid w:val="389820A0"/>
    <w:rsid w:val="38B7004D"/>
    <w:rsid w:val="38BD5C39"/>
    <w:rsid w:val="38C34C43"/>
    <w:rsid w:val="390C65EA"/>
    <w:rsid w:val="39137979"/>
    <w:rsid w:val="39203E44"/>
    <w:rsid w:val="397F0B6A"/>
    <w:rsid w:val="398B705A"/>
    <w:rsid w:val="399565E0"/>
    <w:rsid w:val="39967186"/>
    <w:rsid w:val="39A22AAB"/>
    <w:rsid w:val="39B065A9"/>
    <w:rsid w:val="39C542C3"/>
    <w:rsid w:val="39D4535A"/>
    <w:rsid w:val="39EB26A4"/>
    <w:rsid w:val="39F33306"/>
    <w:rsid w:val="39F72DF7"/>
    <w:rsid w:val="39FC21BB"/>
    <w:rsid w:val="3A064DE8"/>
    <w:rsid w:val="3A1F234D"/>
    <w:rsid w:val="3A371445"/>
    <w:rsid w:val="3A411C9C"/>
    <w:rsid w:val="3A7461F5"/>
    <w:rsid w:val="3A894EF6"/>
    <w:rsid w:val="3A8B353F"/>
    <w:rsid w:val="3AA12D62"/>
    <w:rsid w:val="3AAF0DDB"/>
    <w:rsid w:val="3AB5065F"/>
    <w:rsid w:val="3ACD1DA9"/>
    <w:rsid w:val="3ACF63CB"/>
    <w:rsid w:val="3AEC0481"/>
    <w:rsid w:val="3B0A6B5A"/>
    <w:rsid w:val="3B281408"/>
    <w:rsid w:val="3B556027"/>
    <w:rsid w:val="3BA66882"/>
    <w:rsid w:val="3BA80B19"/>
    <w:rsid w:val="3C306D0A"/>
    <w:rsid w:val="3C4240EC"/>
    <w:rsid w:val="3C44609B"/>
    <w:rsid w:val="3C544530"/>
    <w:rsid w:val="3C6311A6"/>
    <w:rsid w:val="3C9518DE"/>
    <w:rsid w:val="3CB856B8"/>
    <w:rsid w:val="3CC176EC"/>
    <w:rsid w:val="3CDE59D7"/>
    <w:rsid w:val="3CF950D8"/>
    <w:rsid w:val="3D332398"/>
    <w:rsid w:val="3D3F0480"/>
    <w:rsid w:val="3D412692"/>
    <w:rsid w:val="3D5F396D"/>
    <w:rsid w:val="3D6B2CA5"/>
    <w:rsid w:val="3D711B40"/>
    <w:rsid w:val="3D7B3D3F"/>
    <w:rsid w:val="3D9D3CB5"/>
    <w:rsid w:val="3DA35311"/>
    <w:rsid w:val="3DB64D77"/>
    <w:rsid w:val="3DBB413B"/>
    <w:rsid w:val="3DBF1E7D"/>
    <w:rsid w:val="3DD33817"/>
    <w:rsid w:val="3DD34F41"/>
    <w:rsid w:val="3E1321C9"/>
    <w:rsid w:val="3E246184"/>
    <w:rsid w:val="3E524A9F"/>
    <w:rsid w:val="3E800AA6"/>
    <w:rsid w:val="3E970704"/>
    <w:rsid w:val="3EA3354D"/>
    <w:rsid w:val="3ECA0ADA"/>
    <w:rsid w:val="3ED96F6F"/>
    <w:rsid w:val="3EDE4585"/>
    <w:rsid w:val="3EE651E8"/>
    <w:rsid w:val="3F041198"/>
    <w:rsid w:val="3F165ACD"/>
    <w:rsid w:val="3F190A5E"/>
    <w:rsid w:val="3F3A1FEB"/>
    <w:rsid w:val="3F5749D4"/>
    <w:rsid w:val="3FA330D9"/>
    <w:rsid w:val="3FAC6431"/>
    <w:rsid w:val="3FB13A48"/>
    <w:rsid w:val="3FC1012F"/>
    <w:rsid w:val="3FD10254"/>
    <w:rsid w:val="3FE47979"/>
    <w:rsid w:val="40621663"/>
    <w:rsid w:val="407A02DD"/>
    <w:rsid w:val="407F76A2"/>
    <w:rsid w:val="40860A30"/>
    <w:rsid w:val="408E7C49"/>
    <w:rsid w:val="40965E01"/>
    <w:rsid w:val="40A67243"/>
    <w:rsid w:val="40AF61D9"/>
    <w:rsid w:val="40B13AFA"/>
    <w:rsid w:val="40C779CD"/>
    <w:rsid w:val="40CF6855"/>
    <w:rsid w:val="40D479EE"/>
    <w:rsid w:val="40D55514"/>
    <w:rsid w:val="40D66E70"/>
    <w:rsid w:val="40D95004"/>
    <w:rsid w:val="40E340D5"/>
    <w:rsid w:val="40EB2F55"/>
    <w:rsid w:val="40F736DC"/>
    <w:rsid w:val="40FE050B"/>
    <w:rsid w:val="41397F4E"/>
    <w:rsid w:val="41456B3D"/>
    <w:rsid w:val="4151103E"/>
    <w:rsid w:val="418331C2"/>
    <w:rsid w:val="41AE46E3"/>
    <w:rsid w:val="41AF1DCF"/>
    <w:rsid w:val="41B24CC0"/>
    <w:rsid w:val="41D34BA9"/>
    <w:rsid w:val="41EE523D"/>
    <w:rsid w:val="41F52C3A"/>
    <w:rsid w:val="41F8770C"/>
    <w:rsid w:val="42063D8D"/>
    <w:rsid w:val="42240501"/>
    <w:rsid w:val="42253D73"/>
    <w:rsid w:val="422C7D41"/>
    <w:rsid w:val="4235270E"/>
    <w:rsid w:val="423F17DF"/>
    <w:rsid w:val="4263645E"/>
    <w:rsid w:val="42721A93"/>
    <w:rsid w:val="42755200"/>
    <w:rsid w:val="42982C9D"/>
    <w:rsid w:val="42A56252"/>
    <w:rsid w:val="42DD10F2"/>
    <w:rsid w:val="42E67EAC"/>
    <w:rsid w:val="43087E22"/>
    <w:rsid w:val="43116751"/>
    <w:rsid w:val="43206861"/>
    <w:rsid w:val="4359242C"/>
    <w:rsid w:val="435E3EE6"/>
    <w:rsid w:val="43705AB0"/>
    <w:rsid w:val="437E518D"/>
    <w:rsid w:val="43A062AD"/>
    <w:rsid w:val="43A86F10"/>
    <w:rsid w:val="43B104BA"/>
    <w:rsid w:val="43C27FD1"/>
    <w:rsid w:val="43D91BCB"/>
    <w:rsid w:val="43DD305D"/>
    <w:rsid w:val="43E202FE"/>
    <w:rsid w:val="43E32843"/>
    <w:rsid w:val="43E53CC0"/>
    <w:rsid w:val="43EE7018"/>
    <w:rsid w:val="43F41CE1"/>
    <w:rsid w:val="440B5E1C"/>
    <w:rsid w:val="4427252A"/>
    <w:rsid w:val="44345F6E"/>
    <w:rsid w:val="443B1CA3"/>
    <w:rsid w:val="4441183E"/>
    <w:rsid w:val="445552E9"/>
    <w:rsid w:val="445D7CFA"/>
    <w:rsid w:val="44654E01"/>
    <w:rsid w:val="44A45CB0"/>
    <w:rsid w:val="44A82426"/>
    <w:rsid w:val="44BF68A1"/>
    <w:rsid w:val="44E4602A"/>
    <w:rsid w:val="450978B4"/>
    <w:rsid w:val="452F5B3A"/>
    <w:rsid w:val="45350C77"/>
    <w:rsid w:val="454315E6"/>
    <w:rsid w:val="454A1453"/>
    <w:rsid w:val="45505AB1"/>
    <w:rsid w:val="4597723C"/>
    <w:rsid w:val="459E54AE"/>
    <w:rsid w:val="45A831F7"/>
    <w:rsid w:val="45B47DEE"/>
    <w:rsid w:val="45B54088"/>
    <w:rsid w:val="45B80788"/>
    <w:rsid w:val="45FE7D79"/>
    <w:rsid w:val="46162856"/>
    <w:rsid w:val="46326548"/>
    <w:rsid w:val="4648202A"/>
    <w:rsid w:val="464A2500"/>
    <w:rsid w:val="46545D00"/>
    <w:rsid w:val="469043B7"/>
    <w:rsid w:val="46956D93"/>
    <w:rsid w:val="46A2058E"/>
    <w:rsid w:val="46B75DE7"/>
    <w:rsid w:val="46BD2CD2"/>
    <w:rsid w:val="46C329DE"/>
    <w:rsid w:val="46C56CD4"/>
    <w:rsid w:val="46DC2BC3"/>
    <w:rsid w:val="46DE3DA2"/>
    <w:rsid w:val="46F012F9"/>
    <w:rsid w:val="47022DDB"/>
    <w:rsid w:val="47152B0E"/>
    <w:rsid w:val="47373CCA"/>
    <w:rsid w:val="473C009B"/>
    <w:rsid w:val="475A49C5"/>
    <w:rsid w:val="475B66AF"/>
    <w:rsid w:val="47631ACB"/>
    <w:rsid w:val="47863A0C"/>
    <w:rsid w:val="479152E5"/>
    <w:rsid w:val="479C6D8B"/>
    <w:rsid w:val="47A90F2D"/>
    <w:rsid w:val="47B3415B"/>
    <w:rsid w:val="47B916EB"/>
    <w:rsid w:val="47BD3387"/>
    <w:rsid w:val="47E9061B"/>
    <w:rsid w:val="47EF335F"/>
    <w:rsid w:val="47EF3A41"/>
    <w:rsid w:val="47F70466"/>
    <w:rsid w:val="47F93301"/>
    <w:rsid w:val="48010AA9"/>
    <w:rsid w:val="48052B82"/>
    <w:rsid w:val="483C0B1B"/>
    <w:rsid w:val="48401E0D"/>
    <w:rsid w:val="484245C7"/>
    <w:rsid w:val="484C6A03"/>
    <w:rsid w:val="484E49E0"/>
    <w:rsid w:val="48580F04"/>
    <w:rsid w:val="485B4633"/>
    <w:rsid w:val="486A0C38"/>
    <w:rsid w:val="487321E2"/>
    <w:rsid w:val="48774D07"/>
    <w:rsid w:val="487D096B"/>
    <w:rsid w:val="48826827"/>
    <w:rsid w:val="488D7CFE"/>
    <w:rsid w:val="48A57EC2"/>
    <w:rsid w:val="48B60321"/>
    <w:rsid w:val="48D82045"/>
    <w:rsid w:val="48E00EFA"/>
    <w:rsid w:val="48F21359"/>
    <w:rsid w:val="49184B37"/>
    <w:rsid w:val="491B12EC"/>
    <w:rsid w:val="492F0106"/>
    <w:rsid w:val="49323FD7"/>
    <w:rsid w:val="493C25D4"/>
    <w:rsid w:val="496658A3"/>
    <w:rsid w:val="49667651"/>
    <w:rsid w:val="498875C7"/>
    <w:rsid w:val="499B76DE"/>
    <w:rsid w:val="49C5081B"/>
    <w:rsid w:val="49D40A5E"/>
    <w:rsid w:val="49D92519"/>
    <w:rsid w:val="49E031D3"/>
    <w:rsid w:val="49F11610"/>
    <w:rsid w:val="49F9581E"/>
    <w:rsid w:val="4A1470AD"/>
    <w:rsid w:val="4A1A306E"/>
    <w:rsid w:val="4A282B58"/>
    <w:rsid w:val="4A510301"/>
    <w:rsid w:val="4A5F3DBA"/>
    <w:rsid w:val="4A7D314E"/>
    <w:rsid w:val="4A8835F7"/>
    <w:rsid w:val="4AA743C5"/>
    <w:rsid w:val="4ABF5254"/>
    <w:rsid w:val="4ACA3C0F"/>
    <w:rsid w:val="4ACD4019"/>
    <w:rsid w:val="4ACD6DF4"/>
    <w:rsid w:val="4AD51C77"/>
    <w:rsid w:val="4B272E10"/>
    <w:rsid w:val="4B3A2B43"/>
    <w:rsid w:val="4B69167A"/>
    <w:rsid w:val="4B6E6C91"/>
    <w:rsid w:val="4B865D88"/>
    <w:rsid w:val="4B904E59"/>
    <w:rsid w:val="4B9C1A50"/>
    <w:rsid w:val="4B9C55AC"/>
    <w:rsid w:val="4BB24DCF"/>
    <w:rsid w:val="4BBA0128"/>
    <w:rsid w:val="4BBC4FD7"/>
    <w:rsid w:val="4BBC79FC"/>
    <w:rsid w:val="4BCB5E91"/>
    <w:rsid w:val="4BD016F9"/>
    <w:rsid w:val="4BDF36EB"/>
    <w:rsid w:val="4C03387D"/>
    <w:rsid w:val="4C12409B"/>
    <w:rsid w:val="4C1D18DE"/>
    <w:rsid w:val="4C213D03"/>
    <w:rsid w:val="4C2A705C"/>
    <w:rsid w:val="4C38427F"/>
    <w:rsid w:val="4C4224E5"/>
    <w:rsid w:val="4C545E87"/>
    <w:rsid w:val="4C6065D9"/>
    <w:rsid w:val="4C65665F"/>
    <w:rsid w:val="4C7622A1"/>
    <w:rsid w:val="4C76404F"/>
    <w:rsid w:val="4C811ECE"/>
    <w:rsid w:val="4CBD494A"/>
    <w:rsid w:val="4CC34DBA"/>
    <w:rsid w:val="4CE552E6"/>
    <w:rsid w:val="4CEE0089"/>
    <w:rsid w:val="4D0478AD"/>
    <w:rsid w:val="4D07739D"/>
    <w:rsid w:val="4D341814"/>
    <w:rsid w:val="4D3A507C"/>
    <w:rsid w:val="4D4C6F46"/>
    <w:rsid w:val="4D5601C7"/>
    <w:rsid w:val="4D7560B4"/>
    <w:rsid w:val="4DD76D6F"/>
    <w:rsid w:val="4DDA685F"/>
    <w:rsid w:val="4DE33966"/>
    <w:rsid w:val="4DFC0584"/>
    <w:rsid w:val="4E191136"/>
    <w:rsid w:val="4E28581D"/>
    <w:rsid w:val="4E3221F7"/>
    <w:rsid w:val="4E330F5D"/>
    <w:rsid w:val="4E5E0733"/>
    <w:rsid w:val="4E8917D2"/>
    <w:rsid w:val="4E8C5DAC"/>
    <w:rsid w:val="4EAC5711"/>
    <w:rsid w:val="4EB26BFC"/>
    <w:rsid w:val="4ED1689E"/>
    <w:rsid w:val="4EE259CC"/>
    <w:rsid w:val="4F0A0A7E"/>
    <w:rsid w:val="4F1B1237"/>
    <w:rsid w:val="4F275AD4"/>
    <w:rsid w:val="4F4915A7"/>
    <w:rsid w:val="4F6C1739"/>
    <w:rsid w:val="4F806F93"/>
    <w:rsid w:val="4F895E47"/>
    <w:rsid w:val="4F8B5CA7"/>
    <w:rsid w:val="4FC926E8"/>
    <w:rsid w:val="4FE65048"/>
    <w:rsid w:val="500876B4"/>
    <w:rsid w:val="5019366F"/>
    <w:rsid w:val="501D6327"/>
    <w:rsid w:val="503C110B"/>
    <w:rsid w:val="50564637"/>
    <w:rsid w:val="506D7517"/>
    <w:rsid w:val="50972065"/>
    <w:rsid w:val="50AC1958"/>
    <w:rsid w:val="50E61077"/>
    <w:rsid w:val="50ED0294"/>
    <w:rsid w:val="50F11EF6"/>
    <w:rsid w:val="51071719"/>
    <w:rsid w:val="510E2892"/>
    <w:rsid w:val="511A58F1"/>
    <w:rsid w:val="51271DBC"/>
    <w:rsid w:val="512A18AC"/>
    <w:rsid w:val="512F0C70"/>
    <w:rsid w:val="51316796"/>
    <w:rsid w:val="51401706"/>
    <w:rsid w:val="514C51DC"/>
    <w:rsid w:val="51820DD5"/>
    <w:rsid w:val="51887260"/>
    <w:rsid w:val="518F170F"/>
    <w:rsid w:val="51A21442"/>
    <w:rsid w:val="51A839B5"/>
    <w:rsid w:val="51AC0513"/>
    <w:rsid w:val="51B2004B"/>
    <w:rsid w:val="51D35A9F"/>
    <w:rsid w:val="522C3116"/>
    <w:rsid w:val="52350508"/>
    <w:rsid w:val="526F1386"/>
    <w:rsid w:val="52741030"/>
    <w:rsid w:val="527F1FE1"/>
    <w:rsid w:val="529E1C09"/>
    <w:rsid w:val="52AF2069"/>
    <w:rsid w:val="52D25D57"/>
    <w:rsid w:val="52DC0984"/>
    <w:rsid w:val="52E16D3B"/>
    <w:rsid w:val="53057EDB"/>
    <w:rsid w:val="53102A0A"/>
    <w:rsid w:val="53230361"/>
    <w:rsid w:val="532A16EF"/>
    <w:rsid w:val="532D11DF"/>
    <w:rsid w:val="53476745"/>
    <w:rsid w:val="53672943"/>
    <w:rsid w:val="536E5A80"/>
    <w:rsid w:val="537868FE"/>
    <w:rsid w:val="53803A05"/>
    <w:rsid w:val="5386726D"/>
    <w:rsid w:val="538E1C7E"/>
    <w:rsid w:val="539453CB"/>
    <w:rsid w:val="539B083F"/>
    <w:rsid w:val="53A32941"/>
    <w:rsid w:val="53C102A5"/>
    <w:rsid w:val="53D64FC0"/>
    <w:rsid w:val="53EE426D"/>
    <w:rsid w:val="54237C60"/>
    <w:rsid w:val="54556AEA"/>
    <w:rsid w:val="546B3C3F"/>
    <w:rsid w:val="546B6463"/>
    <w:rsid w:val="546E7D01"/>
    <w:rsid w:val="54BA4CF5"/>
    <w:rsid w:val="54BE6593"/>
    <w:rsid w:val="54C16083"/>
    <w:rsid w:val="54D1276A"/>
    <w:rsid w:val="54D20290"/>
    <w:rsid w:val="54D47B64"/>
    <w:rsid w:val="54D538DD"/>
    <w:rsid w:val="54E67898"/>
    <w:rsid w:val="54F55D2D"/>
    <w:rsid w:val="54F621D1"/>
    <w:rsid w:val="550545A1"/>
    <w:rsid w:val="55131A57"/>
    <w:rsid w:val="55133EBD"/>
    <w:rsid w:val="55191A1B"/>
    <w:rsid w:val="551A6815"/>
    <w:rsid w:val="55242A68"/>
    <w:rsid w:val="55622629"/>
    <w:rsid w:val="557B0928"/>
    <w:rsid w:val="558660AA"/>
    <w:rsid w:val="5587107B"/>
    <w:rsid w:val="5596490A"/>
    <w:rsid w:val="55B31E70"/>
    <w:rsid w:val="55B87486"/>
    <w:rsid w:val="55BB270A"/>
    <w:rsid w:val="55CA71B9"/>
    <w:rsid w:val="55CD4BC0"/>
    <w:rsid w:val="560E354A"/>
    <w:rsid w:val="56242D6E"/>
    <w:rsid w:val="56424FA2"/>
    <w:rsid w:val="564927D4"/>
    <w:rsid w:val="564A367B"/>
    <w:rsid w:val="56892F91"/>
    <w:rsid w:val="568A7075"/>
    <w:rsid w:val="56C2340D"/>
    <w:rsid w:val="56C94C51"/>
    <w:rsid w:val="56D26CCF"/>
    <w:rsid w:val="56E524FD"/>
    <w:rsid w:val="56FB3ACE"/>
    <w:rsid w:val="573214BA"/>
    <w:rsid w:val="5738327B"/>
    <w:rsid w:val="57421747"/>
    <w:rsid w:val="574B719F"/>
    <w:rsid w:val="577D71D5"/>
    <w:rsid w:val="578810DA"/>
    <w:rsid w:val="57947A7F"/>
    <w:rsid w:val="57A86F73"/>
    <w:rsid w:val="57AC301B"/>
    <w:rsid w:val="57AF48B9"/>
    <w:rsid w:val="57BB500C"/>
    <w:rsid w:val="57CA34A1"/>
    <w:rsid w:val="57CE2F91"/>
    <w:rsid w:val="57D7204A"/>
    <w:rsid w:val="57D85BBE"/>
    <w:rsid w:val="57E91B79"/>
    <w:rsid w:val="57F84A4C"/>
    <w:rsid w:val="57FD3876"/>
    <w:rsid w:val="580469B3"/>
    <w:rsid w:val="580B5F8C"/>
    <w:rsid w:val="581A4428"/>
    <w:rsid w:val="583E3D03"/>
    <w:rsid w:val="584C2108"/>
    <w:rsid w:val="58550FBC"/>
    <w:rsid w:val="58555460"/>
    <w:rsid w:val="585D2567"/>
    <w:rsid w:val="586236D9"/>
    <w:rsid w:val="587E44BE"/>
    <w:rsid w:val="58A9755A"/>
    <w:rsid w:val="58B21E57"/>
    <w:rsid w:val="58C220CB"/>
    <w:rsid w:val="58DC616D"/>
    <w:rsid w:val="58E65A10"/>
    <w:rsid w:val="58F272EA"/>
    <w:rsid w:val="58F9403E"/>
    <w:rsid w:val="59103135"/>
    <w:rsid w:val="59162E41"/>
    <w:rsid w:val="591E3AA4"/>
    <w:rsid w:val="592220A0"/>
    <w:rsid w:val="59276BDD"/>
    <w:rsid w:val="592D018B"/>
    <w:rsid w:val="593F65DD"/>
    <w:rsid w:val="5960230F"/>
    <w:rsid w:val="59623982"/>
    <w:rsid w:val="5967369D"/>
    <w:rsid w:val="59927FEE"/>
    <w:rsid w:val="59A9072D"/>
    <w:rsid w:val="59B166C6"/>
    <w:rsid w:val="59B63CDD"/>
    <w:rsid w:val="59BE0892"/>
    <w:rsid w:val="5A235F34"/>
    <w:rsid w:val="5A2A0227"/>
    <w:rsid w:val="5A2E5F69"/>
    <w:rsid w:val="5A3A2DDD"/>
    <w:rsid w:val="5A5F4374"/>
    <w:rsid w:val="5A623E64"/>
    <w:rsid w:val="5A762E3E"/>
    <w:rsid w:val="5A8B6F17"/>
    <w:rsid w:val="5A8E6D5D"/>
    <w:rsid w:val="5AB02E22"/>
    <w:rsid w:val="5AD92379"/>
    <w:rsid w:val="5AE14D89"/>
    <w:rsid w:val="5AF11F13"/>
    <w:rsid w:val="5AF90502"/>
    <w:rsid w:val="5AFE3B8D"/>
    <w:rsid w:val="5B025E57"/>
    <w:rsid w:val="5B152C85"/>
    <w:rsid w:val="5B417F1E"/>
    <w:rsid w:val="5B514F34"/>
    <w:rsid w:val="5B667984"/>
    <w:rsid w:val="5B6A2FD1"/>
    <w:rsid w:val="5B6B4996"/>
    <w:rsid w:val="5B70610D"/>
    <w:rsid w:val="5B914A01"/>
    <w:rsid w:val="5BAD55B3"/>
    <w:rsid w:val="5BB57FC4"/>
    <w:rsid w:val="5BC052E6"/>
    <w:rsid w:val="5BC50F5A"/>
    <w:rsid w:val="5BE2700B"/>
    <w:rsid w:val="5BF918A2"/>
    <w:rsid w:val="5C0974B1"/>
    <w:rsid w:val="5C2238AB"/>
    <w:rsid w:val="5C390BF5"/>
    <w:rsid w:val="5C742217"/>
    <w:rsid w:val="5C761E49"/>
    <w:rsid w:val="5C965957"/>
    <w:rsid w:val="5C9D1184"/>
    <w:rsid w:val="5CA93FCD"/>
    <w:rsid w:val="5CBC3D00"/>
    <w:rsid w:val="5CEA2839"/>
    <w:rsid w:val="5CFB5EAA"/>
    <w:rsid w:val="5D0631CD"/>
    <w:rsid w:val="5D096819"/>
    <w:rsid w:val="5D2618E7"/>
    <w:rsid w:val="5D2E002E"/>
    <w:rsid w:val="5D336228"/>
    <w:rsid w:val="5D3A2E77"/>
    <w:rsid w:val="5D3A7D6A"/>
    <w:rsid w:val="5D573A29"/>
    <w:rsid w:val="5D5A52C7"/>
    <w:rsid w:val="5D5E50B6"/>
    <w:rsid w:val="5D5F468B"/>
    <w:rsid w:val="5D77019C"/>
    <w:rsid w:val="5D7F339F"/>
    <w:rsid w:val="5D90057C"/>
    <w:rsid w:val="5DA36C6E"/>
    <w:rsid w:val="5DC664B8"/>
    <w:rsid w:val="5DD9443E"/>
    <w:rsid w:val="5DE11544"/>
    <w:rsid w:val="5E033269"/>
    <w:rsid w:val="5E0C1DC3"/>
    <w:rsid w:val="5E1D07CE"/>
    <w:rsid w:val="5E2002BE"/>
    <w:rsid w:val="5E421FE3"/>
    <w:rsid w:val="5E9D546B"/>
    <w:rsid w:val="5EB408CA"/>
    <w:rsid w:val="5EB84053"/>
    <w:rsid w:val="5EC21376"/>
    <w:rsid w:val="5ED913D9"/>
    <w:rsid w:val="5EE36F43"/>
    <w:rsid w:val="5EFF1C82"/>
    <w:rsid w:val="5F36141C"/>
    <w:rsid w:val="5F385194"/>
    <w:rsid w:val="5F4B03E2"/>
    <w:rsid w:val="5F555D46"/>
    <w:rsid w:val="5F5F028D"/>
    <w:rsid w:val="5F622211"/>
    <w:rsid w:val="5F681F1D"/>
    <w:rsid w:val="5F685A79"/>
    <w:rsid w:val="5F802EF2"/>
    <w:rsid w:val="5F8A1E93"/>
    <w:rsid w:val="5FA97E40"/>
    <w:rsid w:val="5FAF10E1"/>
    <w:rsid w:val="5FCF5AF8"/>
    <w:rsid w:val="5FDD411E"/>
    <w:rsid w:val="5FEC48FC"/>
    <w:rsid w:val="5FFC4413"/>
    <w:rsid w:val="6008100A"/>
    <w:rsid w:val="602E780A"/>
    <w:rsid w:val="602F47E9"/>
    <w:rsid w:val="606A5821"/>
    <w:rsid w:val="609805E0"/>
    <w:rsid w:val="60F82E2D"/>
    <w:rsid w:val="60FF6129"/>
    <w:rsid w:val="61251748"/>
    <w:rsid w:val="61273712"/>
    <w:rsid w:val="613B06D7"/>
    <w:rsid w:val="61447E20"/>
    <w:rsid w:val="617B1EE0"/>
    <w:rsid w:val="618B1EF3"/>
    <w:rsid w:val="61932B55"/>
    <w:rsid w:val="61A46B11"/>
    <w:rsid w:val="61A579A8"/>
    <w:rsid w:val="61AC2A92"/>
    <w:rsid w:val="61B31169"/>
    <w:rsid w:val="61C45941"/>
    <w:rsid w:val="61F01D56"/>
    <w:rsid w:val="61FC694D"/>
    <w:rsid w:val="62093465"/>
    <w:rsid w:val="62141EE8"/>
    <w:rsid w:val="622C1EF6"/>
    <w:rsid w:val="62315204"/>
    <w:rsid w:val="624C34E5"/>
    <w:rsid w:val="628A0894"/>
    <w:rsid w:val="62A52B40"/>
    <w:rsid w:val="62B8336A"/>
    <w:rsid w:val="62BC609E"/>
    <w:rsid w:val="62E573E1"/>
    <w:rsid w:val="6329335F"/>
    <w:rsid w:val="635A12B4"/>
    <w:rsid w:val="63696264"/>
    <w:rsid w:val="63AB4186"/>
    <w:rsid w:val="63AF06CE"/>
    <w:rsid w:val="63AF0C1D"/>
    <w:rsid w:val="63D95197"/>
    <w:rsid w:val="63DC6A36"/>
    <w:rsid w:val="64056E8A"/>
    <w:rsid w:val="64337579"/>
    <w:rsid w:val="64441196"/>
    <w:rsid w:val="64540922"/>
    <w:rsid w:val="646F3406"/>
    <w:rsid w:val="64750536"/>
    <w:rsid w:val="64852BFC"/>
    <w:rsid w:val="648A46E4"/>
    <w:rsid w:val="649015CE"/>
    <w:rsid w:val="64947310"/>
    <w:rsid w:val="64A86918"/>
    <w:rsid w:val="64AA2690"/>
    <w:rsid w:val="64AF7CA6"/>
    <w:rsid w:val="64CF0348"/>
    <w:rsid w:val="64D67929"/>
    <w:rsid w:val="64E02555"/>
    <w:rsid w:val="65030E60"/>
    <w:rsid w:val="65041B65"/>
    <w:rsid w:val="65091B75"/>
    <w:rsid w:val="651D10B4"/>
    <w:rsid w:val="65420538"/>
    <w:rsid w:val="6554661C"/>
    <w:rsid w:val="655A5E64"/>
    <w:rsid w:val="656E7A21"/>
    <w:rsid w:val="65735178"/>
    <w:rsid w:val="658E5B0E"/>
    <w:rsid w:val="65BC6440"/>
    <w:rsid w:val="65C36E7F"/>
    <w:rsid w:val="65C9165A"/>
    <w:rsid w:val="65D21A26"/>
    <w:rsid w:val="65D4319C"/>
    <w:rsid w:val="65DA6FA5"/>
    <w:rsid w:val="65E107A1"/>
    <w:rsid w:val="65E81C56"/>
    <w:rsid w:val="65EB4424"/>
    <w:rsid w:val="65F04A1A"/>
    <w:rsid w:val="66062232"/>
    <w:rsid w:val="662B5726"/>
    <w:rsid w:val="663568D1"/>
    <w:rsid w:val="663B7430"/>
    <w:rsid w:val="6641064A"/>
    <w:rsid w:val="66415276"/>
    <w:rsid w:val="666351EC"/>
    <w:rsid w:val="66706FE1"/>
    <w:rsid w:val="66723681"/>
    <w:rsid w:val="66756922"/>
    <w:rsid w:val="668168E4"/>
    <w:rsid w:val="668A5502"/>
    <w:rsid w:val="669E568F"/>
    <w:rsid w:val="66D41C46"/>
    <w:rsid w:val="66E87063"/>
    <w:rsid w:val="670C5884"/>
    <w:rsid w:val="67160AA1"/>
    <w:rsid w:val="67193AFD"/>
    <w:rsid w:val="671E7365"/>
    <w:rsid w:val="67242BCD"/>
    <w:rsid w:val="672A0BC3"/>
    <w:rsid w:val="672C3655"/>
    <w:rsid w:val="672E75A8"/>
    <w:rsid w:val="675118BA"/>
    <w:rsid w:val="67580AC9"/>
    <w:rsid w:val="67584D0D"/>
    <w:rsid w:val="675F522D"/>
    <w:rsid w:val="676A25AA"/>
    <w:rsid w:val="67915D89"/>
    <w:rsid w:val="67990800"/>
    <w:rsid w:val="679D0A8D"/>
    <w:rsid w:val="67A61834"/>
    <w:rsid w:val="67FE2A02"/>
    <w:rsid w:val="6805238D"/>
    <w:rsid w:val="681D0278"/>
    <w:rsid w:val="682B1D3A"/>
    <w:rsid w:val="682B3AE8"/>
    <w:rsid w:val="68324E76"/>
    <w:rsid w:val="685C6397"/>
    <w:rsid w:val="687775B2"/>
    <w:rsid w:val="687C4343"/>
    <w:rsid w:val="68910310"/>
    <w:rsid w:val="6897475F"/>
    <w:rsid w:val="68A1024E"/>
    <w:rsid w:val="68B0794B"/>
    <w:rsid w:val="68BC6E36"/>
    <w:rsid w:val="68C83A2C"/>
    <w:rsid w:val="68CF0917"/>
    <w:rsid w:val="68FE634A"/>
    <w:rsid w:val="69036813"/>
    <w:rsid w:val="6908207B"/>
    <w:rsid w:val="691602F4"/>
    <w:rsid w:val="69161412"/>
    <w:rsid w:val="69164798"/>
    <w:rsid w:val="69777577"/>
    <w:rsid w:val="698711F2"/>
    <w:rsid w:val="699456BD"/>
    <w:rsid w:val="69A200AE"/>
    <w:rsid w:val="69A41DA4"/>
    <w:rsid w:val="69D411E9"/>
    <w:rsid w:val="69D467B8"/>
    <w:rsid w:val="69D8084E"/>
    <w:rsid w:val="69F50851"/>
    <w:rsid w:val="69FD7706"/>
    <w:rsid w:val="69FF347E"/>
    <w:rsid w:val="6A1B14A7"/>
    <w:rsid w:val="6A3C022E"/>
    <w:rsid w:val="6A4E1D0F"/>
    <w:rsid w:val="6AAC73D4"/>
    <w:rsid w:val="6AB03093"/>
    <w:rsid w:val="6ABC136F"/>
    <w:rsid w:val="6ADF0BB9"/>
    <w:rsid w:val="6AE5012B"/>
    <w:rsid w:val="6B064398"/>
    <w:rsid w:val="6B080110"/>
    <w:rsid w:val="6B241A17"/>
    <w:rsid w:val="6B277CD9"/>
    <w:rsid w:val="6B3E66B1"/>
    <w:rsid w:val="6B6E044D"/>
    <w:rsid w:val="6B715CB5"/>
    <w:rsid w:val="6B721A2E"/>
    <w:rsid w:val="6B74112C"/>
    <w:rsid w:val="6B7636D8"/>
    <w:rsid w:val="6B797260"/>
    <w:rsid w:val="6BA31452"/>
    <w:rsid w:val="6BA37E39"/>
    <w:rsid w:val="6BA936A1"/>
    <w:rsid w:val="6BC56001"/>
    <w:rsid w:val="6BD91AAD"/>
    <w:rsid w:val="6BDA40B3"/>
    <w:rsid w:val="6BDB5825"/>
    <w:rsid w:val="6BE02E3B"/>
    <w:rsid w:val="6BEC17E0"/>
    <w:rsid w:val="6C0E025D"/>
    <w:rsid w:val="6C225202"/>
    <w:rsid w:val="6C256AA0"/>
    <w:rsid w:val="6C381FEE"/>
    <w:rsid w:val="6C392AD6"/>
    <w:rsid w:val="6C3C2767"/>
    <w:rsid w:val="6C5818C7"/>
    <w:rsid w:val="6C643A6C"/>
    <w:rsid w:val="6C7C2B64"/>
    <w:rsid w:val="6C8D4D71"/>
    <w:rsid w:val="6CCE28A2"/>
    <w:rsid w:val="6CDD06CC"/>
    <w:rsid w:val="6CEF1CA7"/>
    <w:rsid w:val="6D1014FE"/>
    <w:rsid w:val="6D1A4FAB"/>
    <w:rsid w:val="6D4E36AD"/>
    <w:rsid w:val="6D6F26C8"/>
    <w:rsid w:val="6D7B72BF"/>
    <w:rsid w:val="6D7D1E3C"/>
    <w:rsid w:val="6D99255B"/>
    <w:rsid w:val="6D9B34BE"/>
    <w:rsid w:val="6DAD31F1"/>
    <w:rsid w:val="6DF8446C"/>
    <w:rsid w:val="6E1148C4"/>
    <w:rsid w:val="6E3B07FD"/>
    <w:rsid w:val="6E437584"/>
    <w:rsid w:val="6E733BEC"/>
    <w:rsid w:val="6E761835"/>
    <w:rsid w:val="6E914282"/>
    <w:rsid w:val="6E9A5523"/>
    <w:rsid w:val="6E9C0F6F"/>
    <w:rsid w:val="6EB15EC5"/>
    <w:rsid w:val="6EC16F54"/>
    <w:rsid w:val="6EC627BC"/>
    <w:rsid w:val="6EDA0016"/>
    <w:rsid w:val="6F0155A2"/>
    <w:rsid w:val="6F0C13B1"/>
    <w:rsid w:val="6F0E4EC3"/>
    <w:rsid w:val="6F125A01"/>
    <w:rsid w:val="6F481423"/>
    <w:rsid w:val="6FDD78C6"/>
    <w:rsid w:val="6FE86762"/>
    <w:rsid w:val="6FFE6EBD"/>
    <w:rsid w:val="70076BE8"/>
    <w:rsid w:val="70366B8A"/>
    <w:rsid w:val="703B0F88"/>
    <w:rsid w:val="70545BA6"/>
    <w:rsid w:val="70557737"/>
    <w:rsid w:val="705F4C76"/>
    <w:rsid w:val="70967F6C"/>
    <w:rsid w:val="70981F36"/>
    <w:rsid w:val="70AA672B"/>
    <w:rsid w:val="70B12FF8"/>
    <w:rsid w:val="70BB4803"/>
    <w:rsid w:val="70BC5C25"/>
    <w:rsid w:val="70DE203F"/>
    <w:rsid w:val="70E60EF4"/>
    <w:rsid w:val="70EC5301"/>
    <w:rsid w:val="70F03B20"/>
    <w:rsid w:val="70F058CE"/>
    <w:rsid w:val="711A6DEF"/>
    <w:rsid w:val="711C707A"/>
    <w:rsid w:val="71235F0D"/>
    <w:rsid w:val="71597917"/>
    <w:rsid w:val="7164006A"/>
    <w:rsid w:val="716A38D3"/>
    <w:rsid w:val="716A5681"/>
    <w:rsid w:val="71752277"/>
    <w:rsid w:val="717778BB"/>
    <w:rsid w:val="71997D14"/>
    <w:rsid w:val="71AD7318"/>
    <w:rsid w:val="71C37A53"/>
    <w:rsid w:val="71C774DC"/>
    <w:rsid w:val="71C823A7"/>
    <w:rsid w:val="71CC1CC1"/>
    <w:rsid w:val="71E5444A"/>
    <w:rsid w:val="71E82A49"/>
    <w:rsid w:val="71F4319C"/>
    <w:rsid w:val="72021D5D"/>
    <w:rsid w:val="721113BD"/>
    <w:rsid w:val="72127AC6"/>
    <w:rsid w:val="7232276A"/>
    <w:rsid w:val="72442376"/>
    <w:rsid w:val="72553376"/>
    <w:rsid w:val="725956F5"/>
    <w:rsid w:val="725974A3"/>
    <w:rsid w:val="726D70E7"/>
    <w:rsid w:val="728B1D53"/>
    <w:rsid w:val="729055BB"/>
    <w:rsid w:val="729A3D44"/>
    <w:rsid w:val="72A63D8F"/>
    <w:rsid w:val="72AD68BE"/>
    <w:rsid w:val="72B03567"/>
    <w:rsid w:val="72B62B48"/>
    <w:rsid w:val="72BC63B0"/>
    <w:rsid w:val="72C963D7"/>
    <w:rsid w:val="72D1172F"/>
    <w:rsid w:val="72D57472"/>
    <w:rsid w:val="72E256EB"/>
    <w:rsid w:val="72E476B5"/>
    <w:rsid w:val="72EB0A43"/>
    <w:rsid w:val="72EB459F"/>
    <w:rsid w:val="72FF004B"/>
    <w:rsid w:val="73051CF2"/>
    <w:rsid w:val="731D4975"/>
    <w:rsid w:val="737C169B"/>
    <w:rsid w:val="73806F2C"/>
    <w:rsid w:val="739832BA"/>
    <w:rsid w:val="73B13A3B"/>
    <w:rsid w:val="73D84871"/>
    <w:rsid w:val="73DB0AB8"/>
    <w:rsid w:val="73DC038C"/>
    <w:rsid w:val="73F76F74"/>
    <w:rsid w:val="73FC458A"/>
    <w:rsid w:val="74000587"/>
    <w:rsid w:val="7423420D"/>
    <w:rsid w:val="74237D69"/>
    <w:rsid w:val="742B1B49"/>
    <w:rsid w:val="744D4DE6"/>
    <w:rsid w:val="745A0D15"/>
    <w:rsid w:val="747D74F0"/>
    <w:rsid w:val="748A06F1"/>
    <w:rsid w:val="74C31ECB"/>
    <w:rsid w:val="74CE4179"/>
    <w:rsid w:val="74EE0377"/>
    <w:rsid w:val="74EE481B"/>
    <w:rsid w:val="751853F4"/>
    <w:rsid w:val="75265D63"/>
    <w:rsid w:val="75377F70"/>
    <w:rsid w:val="753C37D8"/>
    <w:rsid w:val="754B495E"/>
    <w:rsid w:val="755A5A0C"/>
    <w:rsid w:val="75610B49"/>
    <w:rsid w:val="756920F3"/>
    <w:rsid w:val="75936E3D"/>
    <w:rsid w:val="75942919"/>
    <w:rsid w:val="75AD3D60"/>
    <w:rsid w:val="75B275F6"/>
    <w:rsid w:val="75D94B83"/>
    <w:rsid w:val="75E43528"/>
    <w:rsid w:val="75ED6706"/>
    <w:rsid w:val="75F96FD3"/>
    <w:rsid w:val="760F4A49"/>
    <w:rsid w:val="763017A6"/>
    <w:rsid w:val="766D79C1"/>
    <w:rsid w:val="76760624"/>
    <w:rsid w:val="767C19B2"/>
    <w:rsid w:val="768A2321"/>
    <w:rsid w:val="76B136C6"/>
    <w:rsid w:val="76CC293A"/>
    <w:rsid w:val="76D0133D"/>
    <w:rsid w:val="76D17F50"/>
    <w:rsid w:val="76F679B7"/>
    <w:rsid w:val="77016E10"/>
    <w:rsid w:val="77106CCA"/>
    <w:rsid w:val="77112A42"/>
    <w:rsid w:val="77132317"/>
    <w:rsid w:val="77163BB5"/>
    <w:rsid w:val="7729243B"/>
    <w:rsid w:val="77440722"/>
    <w:rsid w:val="777C610E"/>
    <w:rsid w:val="77807964"/>
    <w:rsid w:val="77925931"/>
    <w:rsid w:val="77AA57AB"/>
    <w:rsid w:val="77E02514"/>
    <w:rsid w:val="77E141C3"/>
    <w:rsid w:val="780103C1"/>
    <w:rsid w:val="780659D7"/>
    <w:rsid w:val="781C169F"/>
    <w:rsid w:val="784D1858"/>
    <w:rsid w:val="78685D92"/>
    <w:rsid w:val="788259A6"/>
    <w:rsid w:val="78992CEF"/>
    <w:rsid w:val="78C30BD1"/>
    <w:rsid w:val="78EC5994"/>
    <w:rsid w:val="7908577F"/>
    <w:rsid w:val="791B3704"/>
    <w:rsid w:val="791D52BE"/>
    <w:rsid w:val="7929565A"/>
    <w:rsid w:val="798553D8"/>
    <w:rsid w:val="799A6103"/>
    <w:rsid w:val="79B3393D"/>
    <w:rsid w:val="79D05643"/>
    <w:rsid w:val="79DE0704"/>
    <w:rsid w:val="79E24E87"/>
    <w:rsid w:val="79EB2E16"/>
    <w:rsid w:val="79F846B6"/>
    <w:rsid w:val="79FA156C"/>
    <w:rsid w:val="7A150154"/>
    <w:rsid w:val="7A230AC3"/>
    <w:rsid w:val="7A480529"/>
    <w:rsid w:val="7A4B0019"/>
    <w:rsid w:val="7A4D1FE3"/>
    <w:rsid w:val="7A4F18B8"/>
    <w:rsid w:val="7A682979"/>
    <w:rsid w:val="7A756E44"/>
    <w:rsid w:val="7A807CC3"/>
    <w:rsid w:val="7A8377B3"/>
    <w:rsid w:val="7A9B4AFD"/>
    <w:rsid w:val="7A9E45ED"/>
    <w:rsid w:val="7AA02113"/>
    <w:rsid w:val="7AA8721A"/>
    <w:rsid w:val="7AAA36FF"/>
    <w:rsid w:val="7B1F572E"/>
    <w:rsid w:val="7B276391"/>
    <w:rsid w:val="7B4E68F8"/>
    <w:rsid w:val="7B536393"/>
    <w:rsid w:val="7B690757"/>
    <w:rsid w:val="7B9D1B1E"/>
    <w:rsid w:val="7B9F4679"/>
    <w:rsid w:val="7BB87930"/>
    <w:rsid w:val="7BBF481B"/>
    <w:rsid w:val="7BCC0CE6"/>
    <w:rsid w:val="7BE20509"/>
    <w:rsid w:val="7C06244A"/>
    <w:rsid w:val="7C1903CF"/>
    <w:rsid w:val="7C23124E"/>
    <w:rsid w:val="7C280612"/>
    <w:rsid w:val="7C2B0447"/>
    <w:rsid w:val="7C4800B3"/>
    <w:rsid w:val="7C4D40ED"/>
    <w:rsid w:val="7C5533D1"/>
    <w:rsid w:val="7C8702CE"/>
    <w:rsid w:val="7C920181"/>
    <w:rsid w:val="7C985CAF"/>
    <w:rsid w:val="7C9C4E59"/>
    <w:rsid w:val="7CE107C1"/>
    <w:rsid w:val="7CE93667"/>
    <w:rsid w:val="7CEF1130"/>
    <w:rsid w:val="7CF229CE"/>
    <w:rsid w:val="7D0A5F6A"/>
    <w:rsid w:val="7D0A7D18"/>
    <w:rsid w:val="7D124E1E"/>
    <w:rsid w:val="7D1E37C3"/>
    <w:rsid w:val="7D384885"/>
    <w:rsid w:val="7D690EE2"/>
    <w:rsid w:val="7D8950E1"/>
    <w:rsid w:val="7DAE0FEB"/>
    <w:rsid w:val="7DB3215D"/>
    <w:rsid w:val="7DC0487A"/>
    <w:rsid w:val="7DC720AD"/>
    <w:rsid w:val="7DCB56F9"/>
    <w:rsid w:val="7DD50326"/>
    <w:rsid w:val="7DE70059"/>
    <w:rsid w:val="7DF804B8"/>
    <w:rsid w:val="7DFA4230"/>
    <w:rsid w:val="7DFC3B04"/>
    <w:rsid w:val="7E2F1D63"/>
    <w:rsid w:val="7E3C2153"/>
    <w:rsid w:val="7E423B38"/>
    <w:rsid w:val="7E431733"/>
    <w:rsid w:val="7E4D576F"/>
    <w:rsid w:val="7E682F48"/>
    <w:rsid w:val="7E6B6EDC"/>
    <w:rsid w:val="7E7C69F3"/>
    <w:rsid w:val="7E7E0F36"/>
    <w:rsid w:val="7E941FD6"/>
    <w:rsid w:val="7E9445AA"/>
    <w:rsid w:val="7E9C7095"/>
    <w:rsid w:val="7EAA7A04"/>
    <w:rsid w:val="7EFC18E2"/>
    <w:rsid w:val="7F030EC3"/>
    <w:rsid w:val="7F076C05"/>
    <w:rsid w:val="7F183EFE"/>
    <w:rsid w:val="7F2111AE"/>
    <w:rsid w:val="7F2F3A66"/>
    <w:rsid w:val="7F314308"/>
    <w:rsid w:val="7F426FBA"/>
    <w:rsid w:val="7F637BB3"/>
    <w:rsid w:val="7F651B7D"/>
    <w:rsid w:val="7F6A7194"/>
    <w:rsid w:val="7F945FBF"/>
    <w:rsid w:val="7F9E7628"/>
    <w:rsid w:val="7FC05006"/>
    <w:rsid w:val="7FC95C68"/>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0"/>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1"/>
    <w:qFormat/>
    <w:uiPriority w:val="99"/>
    <w:pPr>
      <w:keepNext/>
      <w:keepLines/>
      <w:spacing w:before="260" w:after="260" w:line="416" w:lineRule="auto"/>
      <w:outlineLvl w:val="2"/>
    </w:pPr>
    <w:rPr>
      <w:b/>
      <w:bCs/>
      <w:kern w:val="0"/>
      <w:sz w:val="32"/>
      <w:szCs w:val="32"/>
    </w:rPr>
  </w:style>
  <w:style w:type="paragraph" w:styleId="5">
    <w:name w:val="heading 4"/>
    <w:basedOn w:val="1"/>
    <w:next w:val="1"/>
    <w:qFormat/>
    <w:uiPriority w:val="9"/>
    <w:pPr>
      <w:keepNext/>
      <w:keepLines/>
      <w:numPr>
        <w:ilvl w:val="3"/>
        <w:numId w:val="1"/>
      </w:numPr>
      <w:spacing w:before="280" w:after="290" w:line="376" w:lineRule="auto"/>
      <w:ind w:left="864" w:hanging="864"/>
      <w:outlineLvl w:val="3"/>
    </w:pPr>
    <w:rPr>
      <w:rFonts w:ascii="Arial" w:hAnsi="Arial" w:eastAsia="黑体"/>
      <w:b/>
      <w:bCs/>
      <w:sz w:val="28"/>
      <w:szCs w:val="28"/>
    </w:rPr>
  </w:style>
  <w:style w:type="paragraph" w:styleId="6">
    <w:name w:val="heading 5"/>
    <w:basedOn w:val="1"/>
    <w:next w:val="7"/>
    <w:link w:val="62"/>
    <w:qFormat/>
    <w:uiPriority w:val="0"/>
    <w:pPr>
      <w:keepNext/>
      <w:keepLines/>
      <w:numPr>
        <w:ilvl w:val="4"/>
        <w:numId w:val="2"/>
      </w:numPr>
      <w:spacing w:before="280" w:after="290" w:line="376" w:lineRule="auto"/>
      <w:outlineLvl w:val="4"/>
    </w:pPr>
    <w:rPr>
      <w:b/>
      <w:sz w:val="28"/>
    </w:rPr>
  </w:style>
  <w:style w:type="paragraph" w:styleId="8">
    <w:name w:val="heading 6"/>
    <w:basedOn w:val="1"/>
    <w:next w:val="7"/>
    <w:link w:val="63"/>
    <w:qFormat/>
    <w:uiPriority w:val="0"/>
    <w:pPr>
      <w:keepNext/>
      <w:keepLines/>
      <w:numPr>
        <w:ilvl w:val="5"/>
        <w:numId w:val="2"/>
      </w:numPr>
      <w:spacing w:before="240" w:after="64" w:line="320" w:lineRule="auto"/>
      <w:outlineLvl w:val="5"/>
    </w:pPr>
    <w:rPr>
      <w:rFonts w:ascii="Arial" w:hAnsi="Arial" w:eastAsia="黑体"/>
      <w:b/>
      <w:sz w:val="24"/>
    </w:rPr>
  </w:style>
  <w:style w:type="paragraph" w:styleId="9">
    <w:name w:val="heading 7"/>
    <w:basedOn w:val="1"/>
    <w:next w:val="7"/>
    <w:link w:val="64"/>
    <w:qFormat/>
    <w:uiPriority w:val="0"/>
    <w:pPr>
      <w:keepNext/>
      <w:keepLines/>
      <w:numPr>
        <w:ilvl w:val="6"/>
        <w:numId w:val="2"/>
      </w:numPr>
      <w:spacing w:before="240" w:after="64" w:line="320" w:lineRule="auto"/>
      <w:outlineLvl w:val="6"/>
    </w:pPr>
    <w:rPr>
      <w:b/>
      <w:sz w:val="24"/>
    </w:rPr>
  </w:style>
  <w:style w:type="paragraph" w:styleId="10">
    <w:name w:val="heading 8"/>
    <w:basedOn w:val="1"/>
    <w:next w:val="7"/>
    <w:link w:val="65"/>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7"/>
    <w:link w:val="66"/>
    <w:qFormat/>
    <w:uiPriority w:val="0"/>
    <w:pPr>
      <w:keepNext/>
      <w:keepLines/>
      <w:numPr>
        <w:ilvl w:val="8"/>
        <w:numId w:val="2"/>
      </w:numPr>
      <w:spacing w:before="240" w:after="64" w:line="320" w:lineRule="auto"/>
      <w:outlineLvl w:val="8"/>
    </w:pPr>
    <w:rPr>
      <w:rFonts w:ascii="Arial" w:hAnsi="Arial" w:eastAsia="黑体"/>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autoSpaceDE w:val="0"/>
      <w:spacing w:line="400" w:lineRule="exact"/>
    </w:pPr>
    <w:rPr>
      <w:szCs w:val="20"/>
    </w:rPr>
  </w:style>
  <w:style w:type="paragraph" w:styleId="12">
    <w:name w:val="toc 7"/>
    <w:basedOn w:val="1"/>
    <w:next w:val="1"/>
    <w:unhideWhenUsed/>
    <w:qFormat/>
    <w:uiPriority w:val="39"/>
    <w:pPr>
      <w:ind w:left="2520" w:leftChars="1200"/>
    </w:pPr>
    <w:rPr>
      <w:rFonts w:ascii="Calibri" w:hAnsi="Calibri"/>
      <w:szCs w:val="22"/>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qFormat/>
    <w:uiPriority w:val="0"/>
    <w:pPr>
      <w:spacing w:before="152"/>
    </w:pPr>
    <w:rPr>
      <w:rFonts w:ascii="Arial" w:hAnsi="Arial" w:eastAsia="黑体" w:cs="Arial"/>
      <w:sz w:val="20"/>
      <w:szCs w:val="20"/>
    </w:rPr>
  </w:style>
  <w:style w:type="paragraph" w:styleId="15">
    <w:name w:val="Document Map"/>
    <w:basedOn w:val="1"/>
    <w:link w:val="67"/>
    <w:unhideWhenUsed/>
    <w:qFormat/>
    <w:uiPriority w:val="0"/>
    <w:pPr>
      <w:shd w:val="clear" w:color="auto" w:fill="000080"/>
    </w:pPr>
    <w:rPr>
      <w:rFonts w:hint="eastAsia" w:ascii="宋体" w:hAnsi="宋体"/>
      <w:kern w:val="0"/>
      <w:sz w:val="20"/>
      <w:szCs w:val="20"/>
    </w:rPr>
  </w:style>
  <w:style w:type="paragraph" w:styleId="16">
    <w:name w:val="annotation text"/>
    <w:basedOn w:val="1"/>
    <w:link w:val="68"/>
    <w:unhideWhenUsed/>
    <w:qFormat/>
    <w:uiPriority w:val="99"/>
    <w:pPr>
      <w:jc w:val="left"/>
    </w:pPr>
  </w:style>
  <w:style w:type="paragraph" w:styleId="17">
    <w:name w:val="Body Text 3"/>
    <w:basedOn w:val="1"/>
    <w:link w:val="69"/>
    <w:qFormat/>
    <w:uiPriority w:val="0"/>
    <w:pPr>
      <w:spacing w:line="500" w:lineRule="exact"/>
    </w:pPr>
    <w:rPr>
      <w:b/>
      <w:bCs/>
      <w:kern w:val="0"/>
      <w:sz w:val="24"/>
    </w:rPr>
  </w:style>
  <w:style w:type="paragraph" w:styleId="18">
    <w:name w:val="Body Text"/>
    <w:basedOn w:val="1"/>
    <w:next w:val="1"/>
    <w:link w:val="58"/>
    <w:qFormat/>
    <w:uiPriority w:val="99"/>
    <w:pPr>
      <w:spacing w:line="400" w:lineRule="exact"/>
      <w:ind w:right="-105" w:rightChars="-50"/>
    </w:pPr>
    <w:rPr>
      <w:rFonts w:ascii="仿宋" w:hAnsi="仿宋" w:eastAsia="仿宋"/>
      <w:sz w:val="24"/>
    </w:rPr>
  </w:style>
  <w:style w:type="paragraph" w:styleId="19">
    <w:name w:val="Body Text Indent"/>
    <w:basedOn w:val="1"/>
    <w:next w:val="20"/>
    <w:link w:val="70"/>
    <w:qFormat/>
    <w:uiPriority w:val="0"/>
    <w:pPr>
      <w:ind w:firstLine="830" w:firstLineChars="352"/>
    </w:pPr>
    <w:rPr>
      <w:rFonts w:ascii="仿宋_GB2312" w:eastAsia="仿宋_GB2312"/>
      <w:kern w:val="0"/>
      <w:sz w:val="32"/>
      <w:szCs w:val="20"/>
    </w:rPr>
  </w:style>
  <w:style w:type="paragraph" w:styleId="20">
    <w:name w:val="envelope return"/>
    <w:basedOn w:val="1"/>
    <w:qFormat/>
    <w:uiPriority w:val="0"/>
    <w:pPr>
      <w:snapToGrid w:val="0"/>
    </w:pPr>
    <w:rPr>
      <w:rFonts w:ascii="Arial" w:hAnsi="Arial"/>
    </w:rPr>
  </w:style>
  <w:style w:type="paragraph" w:styleId="21">
    <w:name w:val="List Number 3"/>
    <w:basedOn w:val="1"/>
    <w:qFormat/>
    <w:uiPriority w:val="0"/>
    <w:pPr>
      <w:numPr>
        <w:ilvl w:val="0"/>
        <w:numId w:val="3"/>
      </w:numPr>
    </w:pPr>
  </w:style>
  <w:style w:type="paragraph" w:styleId="22">
    <w:name w:val="List 2"/>
    <w:basedOn w:val="1"/>
    <w:qFormat/>
    <w:uiPriority w:val="0"/>
    <w:pPr>
      <w:ind w:left="100" w:leftChars="200" w:hanging="200" w:hangingChars="200"/>
    </w:pPr>
    <w:rPr>
      <w:sz w:val="28"/>
    </w:rPr>
  </w:style>
  <w:style w:type="paragraph" w:styleId="23">
    <w:name w:val="toc 5"/>
    <w:basedOn w:val="1"/>
    <w:next w:val="1"/>
    <w:unhideWhenUsed/>
    <w:qFormat/>
    <w:uiPriority w:val="39"/>
    <w:pPr>
      <w:ind w:left="1680" w:leftChars="800"/>
    </w:pPr>
    <w:rPr>
      <w:rFonts w:ascii="Calibri" w:hAnsi="Calibri"/>
      <w:szCs w:val="22"/>
    </w:rPr>
  </w:style>
  <w:style w:type="paragraph" w:styleId="24">
    <w:name w:val="toc 3"/>
    <w:basedOn w:val="1"/>
    <w:next w:val="1"/>
    <w:unhideWhenUsed/>
    <w:qFormat/>
    <w:uiPriority w:val="39"/>
    <w:pPr>
      <w:ind w:left="840" w:leftChars="400"/>
    </w:pPr>
    <w:rPr>
      <w:rFonts w:ascii="Calibri" w:hAnsi="Calibri"/>
      <w:szCs w:val="22"/>
    </w:rPr>
  </w:style>
  <w:style w:type="paragraph" w:styleId="25">
    <w:name w:val="Plain Text"/>
    <w:basedOn w:val="1"/>
    <w:next w:val="1"/>
    <w:link w:val="71"/>
    <w:qFormat/>
    <w:uiPriority w:val="99"/>
    <w:pPr>
      <w:spacing w:before="120" w:after="120" w:line="360" w:lineRule="auto"/>
      <w:ind w:firstLine="482" w:firstLineChars="200"/>
      <w:contextualSpacing/>
    </w:pPr>
    <w:rPr>
      <w:rFonts w:ascii="仿宋" w:hAnsi="仿宋" w:eastAsia="仿宋" w:cs="宋体"/>
      <w:b/>
      <w:kern w:val="0"/>
      <w:sz w:val="24"/>
    </w:rPr>
  </w:style>
  <w:style w:type="paragraph" w:styleId="26">
    <w:name w:val="toc 8"/>
    <w:basedOn w:val="1"/>
    <w:next w:val="1"/>
    <w:unhideWhenUsed/>
    <w:qFormat/>
    <w:uiPriority w:val="39"/>
    <w:pPr>
      <w:ind w:left="2940" w:leftChars="1400"/>
    </w:pPr>
    <w:rPr>
      <w:rFonts w:ascii="Calibri" w:hAnsi="Calibri"/>
      <w:szCs w:val="22"/>
    </w:rPr>
  </w:style>
  <w:style w:type="paragraph" w:styleId="27">
    <w:name w:val="Date"/>
    <w:basedOn w:val="1"/>
    <w:next w:val="1"/>
    <w:link w:val="72"/>
    <w:qFormat/>
    <w:uiPriority w:val="0"/>
    <w:pPr>
      <w:ind w:left="100" w:leftChars="2500"/>
    </w:pPr>
    <w:rPr>
      <w:rFonts w:ascii="宋体" w:hAnsi="Courier New"/>
      <w:kern w:val="0"/>
      <w:sz w:val="20"/>
      <w:szCs w:val="21"/>
    </w:rPr>
  </w:style>
  <w:style w:type="paragraph" w:styleId="28">
    <w:name w:val="Body Text Indent 2"/>
    <w:basedOn w:val="1"/>
    <w:link w:val="73"/>
    <w:qFormat/>
    <w:uiPriority w:val="0"/>
    <w:pPr>
      <w:ind w:firstLine="630"/>
    </w:pPr>
    <w:rPr>
      <w:kern w:val="0"/>
      <w:sz w:val="32"/>
      <w:szCs w:val="20"/>
    </w:rPr>
  </w:style>
  <w:style w:type="paragraph" w:styleId="29">
    <w:name w:val="endnote text"/>
    <w:basedOn w:val="1"/>
    <w:link w:val="74"/>
    <w:unhideWhenUsed/>
    <w:qFormat/>
    <w:uiPriority w:val="99"/>
    <w:pPr>
      <w:snapToGrid w:val="0"/>
      <w:jc w:val="left"/>
    </w:pPr>
  </w:style>
  <w:style w:type="paragraph" w:styleId="30">
    <w:name w:val="Balloon Text"/>
    <w:basedOn w:val="1"/>
    <w:link w:val="75"/>
    <w:semiHidden/>
    <w:qFormat/>
    <w:uiPriority w:val="0"/>
    <w:rPr>
      <w:kern w:val="0"/>
      <w:sz w:val="18"/>
      <w:szCs w:val="18"/>
    </w:rPr>
  </w:style>
  <w:style w:type="paragraph" w:styleId="31">
    <w:name w:val="footer"/>
    <w:basedOn w:val="1"/>
    <w:link w:val="76"/>
    <w:unhideWhenUsed/>
    <w:qFormat/>
    <w:uiPriority w:val="99"/>
    <w:pPr>
      <w:tabs>
        <w:tab w:val="center" w:pos="4153"/>
        <w:tab w:val="right" w:pos="8306"/>
      </w:tabs>
      <w:snapToGrid w:val="0"/>
      <w:jc w:val="left"/>
    </w:pPr>
    <w:rPr>
      <w:kern w:val="0"/>
      <w:sz w:val="18"/>
      <w:szCs w:val="18"/>
    </w:rPr>
  </w:style>
  <w:style w:type="paragraph" w:styleId="32">
    <w:name w:val="header"/>
    <w:basedOn w:val="1"/>
    <w:link w:val="77"/>
    <w:unhideWhenUsed/>
    <w:qFormat/>
    <w:uiPriority w:val="99"/>
    <w:pPr>
      <w:pBdr>
        <w:bottom w:val="single" w:color="auto" w:sz="6" w:space="1"/>
      </w:pBdr>
      <w:tabs>
        <w:tab w:val="center" w:pos="0"/>
        <w:tab w:val="lef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unhideWhenUsed/>
    <w:qFormat/>
    <w:uiPriority w:val="39"/>
    <w:pPr>
      <w:ind w:left="1260" w:leftChars="600"/>
    </w:pPr>
    <w:rPr>
      <w:rFonts w:ascii="Calibri" w:hAnsi="Calibri"/>
      <w:szCs w:val="22"/>
    </w:rPr>
  </w:style>
  <w:style w:type="paragraph" w:styleId="35">
    <w:name w:val="List"/>
    <w:basedOn w:val="1"/>
    <w:qFormat/>
    <w:uiPriority w:val="0"/>
    <w:pPr>
      <w:ind w:left="200" w:hanging="200" w:hangingChars="200"/>
    </w:pPr>
    <w:rPr>
      <w:sz w:val="28"/>
    </w:rPr>
  </w:style>
  <w:style w:type="paragraph" w:styleId="36">
    <w:name w:val="footnote text"/>
    <w:basedOn w:val="1"/>
    <w:link w:val="78"/>
    <w:unhideWhenUsed/>
    <w:qFormat/>
    <w:uiPriority w:val="99"/>
    <w:pPr>
      <w:snapToGrid w:val="0"/>
      <w:jc w:val="left"/>
    </w:pPr>
    <w:rPr>
      <w:sz w:val="18"/>
      <w:szCs w:val="18"/>
    </w:rPr>
  </w:style>
  <w:style w:type="paragraph" w:styleId="37">
    <w:name w:val="toc 6"/>
    <w:basedOn w:val="1"/>
    <w:next w:val="1"/>
    <w:unhideWhenUsed/>
    <w:qFormat/>
    <w:uiPriority w:val="39"/>
    <w:pPr>
      <w:ind w:left="2100" w:leftChars="1000"/>
    </w:pPr>
    <w:rPr>
      <w:rFonts w:ascii="Calibri" w:hAnsi="Calibri"/>
      <w:szCs w:val="22"/>
    </w:rPr>
  </w:style>
  <w:style w:type="paragraph" w:styleId="38">
    <w:name w:val="Body Text Indent 3"/>
    <w:basedOn w:val="1"/>
    <w:link w:val="79"/>
    <w:qFormat/>
    <w:uiPriority w:val="0"/>
    <w:pPr>
      <w:spacing w:after="120"/>
      <w:ind w:left="420" w:leftChars="200"/>
    </w:pPr>
    <w:rPr>
      <w:kern w:val="0"/>
      <w:sz w:val="16"/>
      <w:szCs w:val="16"/>
    </w:rPr>
  </w:style>
  <w:style w:type="paragraph" w:styleId="39">
    <w:name w:val="toc 2"/>
    <w:basedOn w:val="1"/>
    <w:next w:val="1"/>
    <w:unhideWhenUsed/>
    <w:qFormat/>
    <w:uiPriority w:val="39"/>
    <w:pPr>
      <w:ind w:left="420" w:leftChars="200"/>
    </w:pPr>
  </w:style>
  <w:style w:type="paragraph" w:styleId="40">
    <w:name w:val="toc 9"/>
    <w:basedOn w:val="1"/>
    <w:next w:val="1"/>
    <w:unhideWhenUsed/>
    <w:qFormat/>
    <w:uiPriority w:val="39"/>
    <w:pPr>
      <w:ind w:left="3360" w:leftChars="1600"/>
    </w:pPr>
    <w:rPr>
      <w:rFonts w:ascii="Calibri" w:hAnsi="Calibri"/>
      <w:szCs w:val="22"/>
    </w:rPr>
  </w:style>
  <w:style w:type="paragraph" w:styleId="41">
    <w:name w:val="Body Text 2"/>
    <w:basedOn w:val="1"/>
    <w:link w:val="80"/>
    <w:qFormat/>
    <w:uiPriority w:val="0"/>
    <w:pPr>
      <w:spacing w:after="120" w:line="480" w:lineRule="auto"/>
    </w:pPr>
    <w:rPr>
      <w:kern w:val="0"/>
      <w:sz w:val="20"/>
    </w:rPr>
  </w:style>
  <w:style w:type="paragraph" w:styleId="42">
    <w:name w:val="Normal (Web)"/>
    <w:basedOn w:val="1"/>
    <w:qFormat/>
    <w:uiPriority w:val="0"/>
    <w:pPr>
      <w:widowControl/>
      <w:spacing w:before="100" w:beforeAutospacing="1" w:after="100" w:afterAutospacing="1"/>
      <w:jc w:val="left"/>
    </w:pPr>
    <w:rPr>
      <w:rFonts w:ascii="宋体" w:hAnsi="宋体"/>
      <w:kern w:val="0"/>
      <w:sz w:val="24"/>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81"/>
    <w:qFormat/>
    <w:uiPriority w:val="10"/>
    <w:pPr>
      <w:spacing w:before="240" w:after="60"/>
      <w:jc w:val="center"/>
      <w:outlineLvl w:val="0"/>
    </w:pPr>
    <w:rPr>
      <w:rFonts w:ascii="Cambria" w:hAnsi="Cambria"/>
      <w:b/>
      <w:bCs/>
      <w:sz w:val="32"/>
      <w:szCs w:val="32"/>
    </w:rPr>
  </w:style>
  <w:style w:type="paragraph" w:styleId="45">
    <w:name w:val="annotation subject"/>
    <w:basedOn w:val="16"/>
    <w:next w:val="16"/>
    <w:link w:val="82"/>
    <w:unhideWhenUsed/>
    <w:qFormat/>
    <w:uiPriority w:val="99"/>
    <w:rPr>
      <w:b/>
      <w:bCs/>
    </w:rPr>
  </w:style>
  <w:style w:type="paragraph" w:styleId="46">
    <w:name w:val="Body Text First Indent"/>
    <w:basedOn w:val="18"/>
    <w:next w:val="47"/>
    <w:qFormat/>
    <w:uiPriority w:val="99"/>
    <w:pPr>
      <w:spacing w:after="120" w:line="440" w:lineRule="exact"/>
      <w:ind w:firstLine="420" w:firstLineChars="100"/>
    </w:pPr>
    <w:rPr>
      <w:rFonts w:cs="宋体"/>
      <w:szCs w:val="22"/>
    </w:rPr>
  </w:style>
  <w:style w:type="paragraph" w:styleId="47">
    <w:name w:val="Body Text First Indent 2"/>
    <w:basedOn w:val="19"/>
    <w:next w:val="48"/>
    <w:unhideWhenUsed/>
    <w:qFormat/>
    <w:uiPriority w:val="99"/>
    <w:pPr>
      <w:ind w:firstLine="420" w:firstLineChars="200"/>
    </w:pPr>
  </w:style>
  <w:style w:type="paragraph" w:customStyle="1" w:styleId="48">
    <w:name w:val="**正文"/>
    <w:basedOn w:val="1"/>
    <w:qFormat/>
    <w:uiPriority w:val="0"/>
    <w:pPr>
      <w:ind w:firstLine="482"/>
    </w:pPr>
    <w:rPr>
      <w:rFonts w:ascii="宋体" w:hAnsi="宋体"/>
      <w:sz w:val="24"/>
    </w:rPr>
  </w:style>
  <w:style w:type="table" w:styleId="50">
    <w:name w:val="Table Grid"/>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endnote reference"/>
    <w:unhideWhenUsed/>
    <w:qFormat/>
    <w:uiPriority w:val="99"/>
    <w:rPr>
      <w:vertAlign w:val="superscript"/>
    </w:rPr>
  </w:style>
  <w:style w:type="character" w:styleId="53">
    <w:name w:val="page number"/>
    <w:qFormat/>
    <w:uiPriority w:val="0"/>
  </w:style>
  <w:style w:type="character" w:styleId="54">
    <w:name w:val="FollowedHyperlink"/>
    <w:qFormat/>
    <w:uiPriority w:val="0"/>
    <w:rPr>
      <w:color w:val="000000"/>
      <w:u w:val="none"/>
    </w:rPr>
  </w:style>
  <w:style w:type="character" w:styleId="55">
    <w:name w:val="Hyperlink"/>
    <w:qFormat/>
    <w:uiPriority w:val="99"/>
    <w:rPr>
      <w:color w:val="000000"/>
      <w:u w:val="none"/>
    </w:rPr>
  </w:style>
  <w:style w:type="character" w:styleId="56">
    <w:name w:val="annotation reference"/>
    <w:unhideWhenUsed/>
    <w:qFormat/>
    <w:uiPriority w:val="99"/>
    <w:rPr>
      <w:sz w:val="21"/>
      <w:szCs w:val="21"/>
    </w:rPr>
  </w:style>
  <w:style w:type="character" w:styleId="57">
    <w:name w:val="footnote reference"/>
    <w:unhideWhenUsed/>
    <w:qFormat/>
    <w:uiPriority w:val="99"/>
    <w:rPr>
      <w:vertAlign w:val="superscript"/>
    </w:rPr>
  </w:style>
  <w:style w:type="character" w:customStyle="1" w:styleId="58">
    <w:name w:val="正文文本 字符1"/>
    <w:link w:val="18"/>
    <w:qFormat/>
    <w:uiPriority w:val="99"/>
    <w:rPr>
      <w:rFonts w:ascii="仿宋" w:hAnsi="仿宋" w:eastAsia="仿宋"/>
      <w:kern w:val="2"/>
      <w:sz w:val="24"/>
      <w:szCs w:val="24"/>
    </w:rPr>
  </w:style>
  <w:style w:type="character" w:customStyle="1" w:styleId="59">
    <w:name w:val="标题 1 字符1"/>
    <w:link w:val="2"/>
    <w:qFormat/>
    <w:uiPriority w:val="0"/>
    <w:rPr>
      <w:rFonts w:ascii="Times New Roman" w:hAnsi="Times New Roman" w:eastAsia="宋体" w:cs="Times New Roman"/>
      <w:b/>
      <w:bCs/>
      <w:kern w:val="44"/>
      <w:sz w:val="44"/>
      <w:szCs w:val="44"/>
    </w:rPr>
  </w:style>
  <w:style w:type="character" w:customStyle="1" w:styleId="60">
    <w:name w:val="标题 2 字符"/>
    <w:link w:val="3"/>
    <w:qFormat/>
    <w:uiPriority w:val="0"/>
    <w:rPr>
      <w:rFonts w:ascii="Arial" w:hAnsi="Arial" w:eastAsia="黑体" w:cs="Times New Roman"/>
      <w:b/>
      <w:bCs/>
      <w:sz w:val="32"/>
      <w:szCs w:val="32"/>
    </w:rPr>
  </w:style>
  <w:style w:type="character" w:customStyle="1" w:styleId="61">
    <w:name w:val="标题 3 字符2"/>
    <w:link w:val="4"/>
    <w:qFormat/>
    <w:uiPriority w:val="99"/>
    <w:rPr>
      <w:rFonts w:ascii="Times New Roman" w:hAnsi="Times New Roman" w:eastAsia="宋体" w:cs="Times New Roman"/>
      <w:b/>
      <w:bCs/>
      <w:sz w:val="32"/>
      <w:szCs w:val="32"/>
    </w:rPr>
  </w:style>
  <w:style w:type="character" w:customStyle="1" w:styleId="62">
    <w:name w:val="标题 5 字符"/>
    <w:link w:val="6"/>
    <w:qFormat/>
    <w:uiPriority w:val="0"/>
    <w:rPr>
      <w:b/>
      <w:kern w:val="2"/>
      <w:sz w:val="28"/>
      <w:szCs w:val="24"/>
    </w:rPr>
  </w:style>
  <w:style w:type="character" w:customStyle="1" w:styleId="63">
    <w:name w:val="标题 6 字符"/>
    <w:link w:val="8"/>
    <w:qFormat/>
    <w:uiPriority w:val="0"/>
    <w:rPr>
      <w:rFonts w:ascii="Arial" w:hAnsi="Arial" w:eastAsia="黑体"/>
      <w:b/>
      <w:kern w:val="2"/>
      <w:sz w:val="24"/>
      <w:szCs w:val="24"/>
    </w:rPr>
  </w:style>
  <w:style w:type="character" w:customStyle="1" w:styleId="64">
    <w:name w:val="标题 7 字符"/>
    <w:link w:val="9"/>
    <w:qFormat/>
    <w:uiPriority w:val="0"/>
    <w:rPr>
      <w:rFonts w:ascii="Times New Roman" w:hAnsi="Times New Roman"/>
      <w:b/>
      <w:kern w:val="2"/>
      <w:sz w:val="24"/>
      <w:szCs w:val="24"/>
    </w:rPr>
  </w:style>
  <w:style w:type="character" w:customStyle="1" w:styleId="65">
    <w:name w:val="标题 8 字符"/>
    <w:link w:val="10"/>
    <w:qFormat/>
    <w:uiPriority w:val="0"/>
    <w:rPr>
      <w:rFonts w:ascii="Arial" w:hAnsi="Arial" w:eastAsia="黑体"/>
      <w:kern w:val="2"/>
      <w:sz w:val="24"/>
      <w:szCs w:val="24"/>
    </w:rPr>
  </w:style>
  <w:style w:type="character" w:customStyle="1" w:styleId="66">
    <w:name w:val="标题 9 字符"/>
    <w:link w:val="11"/>
    <w:qFormat/>
    <w:uiPriority w:val="0"/>
    <w:rPr>
      <w:rFonts w:ascii="Arial" w:hAnsi="Arial" w:eastAsia="黑体"/>
      <w:kern w:val="2"/>
      <w:sz w:val="21"/>
      <w:szCs w:val="24"/>
    </w:rPr>
  </w:style>
  <w:style w:type="character" w:customStyle="1" w:styleId="67">
    <w:name w:val="文档结构图 字符"/>
    <w:link w:val="15"/>
    <w:qFormat/>
    <w:uiPriority w:val="0"/>
    <w:rPr>
      <w:rFonts w:hint="eastAsia" w:ascii="宋体" w:hAnsi="宋体" w:eastAsia="宋体" w:cs="宋体"/>
    </w:rPr>
  </w:style>
  <w:style w:type="character" w:customStyle="1" w:styleId="68">
    <w:name w:val="批注文字 字符3"/>
    <w:link w:val="16"/>
    <w:qFormat/>
    <w:uiPriority w:val="0"/>
    <w:rPr>
      <w:rFonts w:ascii="Times New Roman" w:hAnsi="Times New Roman"/>
      <w:kern w:val="2"/>
      <w:sz w:val="21"/>
      <w:szCs w:val="24"/>
    </w:rPr>
  </w:style>
  <w:style w:type="character" w:customStyle="1" w:styleId="69">
    <w:name w:val="正文文本 3 字符"/>
    <w:link w:val="17"/>
    <w:qFormat/>
    <w:uiPriority w:val="0"/>
    <w:rPr>
      <w:rFonts w:ascii="Times New Roman" w:hAnsi="Times New Roman" w:eastAsia="宋体" w:cs="Times New Roman"/>
      <w:b/>
      <w:bCs/>
      <w:sz w:val="24"/>
      <w:szCs w:val="24"/>
    </w:rPr>
  </w:style>
  <w:style w:type="character" w:customStyle="1" w:styleId="70">
    <w:name w:val="正文文本缩进 字符1"/>
    <w:link w:val="19"/>
    <w:qFormat/>
    <w:uiPriority w:val="0"/>
    <w:rPr>
      <w:rFonts w:ascii="仿宋_GB2312" w:hAnsi="Times New Roman" w:eastAsia="仿宋_GB2312" w:cs="Times New Roman"/>
      <w:sz w:val="32"/>
      <w:szCs w:val="20"/>
    </w:rPr>
  </w:style>
  <w:style w:type="character" w:customStyle="1" w:styleId="71">
    <w:name w:val="纯文本 字符4"/>
    <w:link w:val="25"/>
    <w:qFormat/>
    <w:uiPriority w:val="99"/>
    <w:rPr>
      <w:rFonts w:ascii="仿宋" w:hAnsi="仿宋" w:eastAsia="仿宋" w:cs="宋体"/>
      <w:b/>
      <w:sz w:val="24"/>
      <w:szCs w:val="24"/>
    </w:rPr>
  </w:style>
  <w:style w:type="character" w:customStyle="1" w:styleId="72">
    <w:name w:val="日期 字符"/>
    <w:link w:val="27"/>
    <w:qFormat/>
    <w:uiPriority w:val="0"/>
    <w:rPr>
      <w:rFonts w:ascii="宋体" w:hAnsi="Courier New" w:eastAsia="宋体" w:cs="Courier New"/>
      <w:szCs w:val="21"/>
    </w:rPr>
  </w:style>
  <w:style w:type="character" w:customStyle="1" w:styleId="73">
    <w:name w:val="正文文本缩进 2 字符"/>
    <w:link w:val="28"/>
    <w:qFormat/>
    <w:uiPriority w:val="0"/>
    <w:rPr>
      <w:rFonts w:ascii="Times New Roman" w:hAnsi="Times New Roman" w:eastAsia="宋体" w:cs="Times New Roman"/>
      <w:sz w:val="32"/>
      <w:szCs w:val="20"/>
    </w:rPr>
  </w:style>
  <w:style w:type="character" w:customStyle="1" w:styleId="74">
    <w:name w:val="尾注文本 字符"/>
    <w:link w:val="29"/>
    <w:semiHidden/>
    <w:qFormat/>
    <w:uiPriority w:val="99"/>
    <w:rPr>
      <w:rFonts w:ascii="Times New Roman" w:hAnsi="Times New Roman"/>
      <w:kern w:val="2"/>
      <w:sz w:val="21"/>
      <w:szCs w:val="24"/>
    </w:rPr>
  </w:style>
  <w:style w:type="character" w:customStyle="1" w:styleId="75">
    <w:name w:val="批注框文本 字符"/>
    <w:link w:val="30"/>
    <w:semiHidden/>
    <w:qFormat/>
    <w:uiPriority w:val="0"/>
    <w:rPr>
      <w:rFonts w:ascii="Times New Roman" w:hAnsi="Times New Roman" w:eastAsia="宋体" w:cs="Times New Roman"/>
      <w:sz w:val="18"/>
      <w:szCs w:val="18"/>
    </w:rPr>
  </w:style>
  <w:style w:type="character" w:customStyle="1" w:styleId="76">
    <w:name w:val="页脚 字符1"/>
    <w:link w:val="31"/>
    <w:qFormat/>
    <w:uiPriority w:val="99"/>
    <w:rPr>
      <w:sz w:val="18"/>
      <w:szCs w:val="18"/>
    </w:rPr>
  </w:style>
  <w:style w:type="character" w:customStyle="1" w:styleId="77">
    <w:name w:val="页眉 字符1"/>
    <w:link w:val="32"/>
    <w:qFormat/>
    <w:uiPriority w:val="99"/>
    <w:rPr>
      <w:rFonts w:ascii="Times New Roman" w:hAnsi="Times New Roman"/>
      <w:kern w:val="2"/>
      <w:sz w:val="18"/>
      <w:szCs w:val="18"/>
    </w:rPr>
  </w:style>
  <w:style w:type="character" w:customStyle="1" w:styleId="78">
    <w:name w:val="脚注文本 字符"/>
    <w:link w:val="36"/>
    <w:semiHidden/>
    <w:qFormat/>
    <w:uiPriority w:val="99"/>
    <w:rPr>
      <w:rFonts w:ascii="Times New Roman" w:hAnsi="Times New Roman"/>
      <w:kern w:val="2"/>
      <w:sz w:val="18"/>
      <w:szCs w:val="18"/>
    </w:rPr>
  </w:style>
  <w:style w:type="character" w:customStyle="1" w:styleId="79">
    <w:name w:val="正文文本缩进 3 字符"/>
    <w:link w:val="38"/>
    <w:qFormat/>
    <w:uiPriority w:val="0"/>
    <w:rPr>
      <w:rFonts w:ascii="Times New Roman" w:hAnsi="Times New Roman" w:eastAsia="宋体" w:cs="Times New Roman"/>
      <w:sz w:val="16"/>
      <w:szCs w:val="16"/>
    </w:rPr>
  </w:style>
  <w:style w:type="character" w:customStyle="1" w:styleId="80">
    <w:name w:val="正文文本 2 字符"/>
    <w:link w:val="41"/>
    <w:qFormat/>
    <w:uiPriority w:val="0"/>
    <w:rPr>
      <w:rFonts w:ascii="Times New Roman" w:hAnsi="Times New Roman" w:eastAsia="宋体" w:cs="Times New Roman"/>
      <w:szCs w:val="24"/>
    </w:rPr>
  </w:style>
  <w:style w:type="character" w:customStyle="1" w:styleId="81">
    <w:name w:val="标题 字符"/>
    <w:link w:val="44"/>
    <w:qFormat/>
    <w:uiPriority w:val="10"/>
    <w:rPr>
      <w:rFonts w:ascii="Cambria" w:hAnsi="Cambria" w:cs="Times New Roman"/>
      <w:b/>
      <w:bCs/>
      <w:kern w:val="2"/>
      <w:sz w:val="32"/>
      <w:szCs w:val="32"/>
    </w:rPr>
  </w:style>
  <w:style w:type="character" w:customStyle="1" w:styleId="82">
    <w:name w:val="批注主题 字符"/>
    <w:link w:val="45"/>
    <w:semiHidden/>
    <w:qFormat/>
    <w:uiPriority w:val="99"/>
    <w:rPr>
      <w:rFonts w:ascii="Times New Roman" w:hAnsi="Times New Roman"/>
      <w:b/>
      <w:bCs/>
      <w:kern w:val="2"/>
      <w:sz w:val="21"/>
      <w:szCs w:val="24"/>
    </w:rPr>
  </w:style>
  <w:style w:type="character" w:customStyle="1" w:styleId="83">
    <w:name w:val="批注文字 Char1"/>
    <w:qFormat/>
    <w:locked/>
    <w:uiPriority w:val="0"/>
    <w:rPr>
      <w:rFonts w:ascii="Times New Roman" w:hAnsi="Times New Roman"/>
      <w:kern w:val="2"/>
      <w:sz w:val="21"/>
      <w:szCs w:val="24"/>
    </w:rPr>
  </w:style>
  <w:style w:type="character" w:customStyle="1" w:styleId="84">
    <w:name w:val="case31"/>
    <w:qFormat/>
    <w:uiPriority w:val="0"/>
    <w:rPr>
      <w:rFonts w:hint="default"/>
      <w:sz w:val="21"/>
      <w:szCs w:val="21"/>
    </w:rPr>
  </w:style>
  <w:style w:type="character" w:customStyle="1" w:styleId="85">
    <w:name w:val="批注文字 Char"/>
    <w:qFormat/>
    <w:uiPriority w:val="0"/>
    <w:rPr>
      <w:rFonts w:ascii="Times New Roman" w:hAnsi="Times New Roman"/>
      <w:kern w:val="2"/>
      <w:sz w:val="21"/>
      <w:szCs w:val="24"/>
    </w:rPr>
  </w:style>
  <w:style w:type="character" w:customStyle="1" w:styleId="86">
    <w:name w:val="纯文本 Char"/>
    <w:qFormat/>
    <w:uiPriority w:val="0"/>
    <w:rPr>
      <w:rFonts w:ascii="宋体" w:hAnsi="Courier New" w:eastAsia="宋体"/>
      <w:kern w:val="2"/>
      <w:sz w:val="21"/>
      <w:lang w:val="en-US" w:eastAsia="zh-CN" w:bidi="ar-SA"/>
    </w:rPr>
  </w:style>
  <w:style w:type="character" w:customStyle="1" w:styleId="87">
    <w:name w:val="纯文本 字符1"/>
    <w:qFormat/>
    <w:uiPriority w:val="0"/>
    <w:rPr>
      <w:rFonts w:ascii="宋体" w:hAnsi="Courier New"/>
    </w:rPr>
  </w:style>
  <w:style w:type="character" w:customStyle="1" w:styleId="88">
    <w:name w:val="批注文字 字符1"/>
    <w:qFormat/>
    <w:uiPriority w:val="0"/>
    <w:rPr>
      <w:rFonts w:ascii="Times New Roman" w:hAnsi="Times New Roman"/>
      <w:kern w:val="2"/>
      <w:sz w:val="21"/>
      <w:szCs w:val="24"/>
    </w:rPr>
  </w:style>
  <w:style w:type="character" w:customStyle="1" w:styleId="89">
    <w:name w:val="正文文本 Char1"/>
    <w:semiHidden/>
    <w:qFormat/>
    <w:locked/>
    <w:uiPriority w:val="99"/>
    <w:rPr>
      <w:sz w:val="24"/>
      <w:szCs w:val="24"/>
    </w:rPr>
  </w:style>
  <w:style w:type="character" w:customStyle="1" w:styleId="90">
    <w:name w:val="apple-style-span"/>
    <w:qFormat/>
    <w:uiPriority w:val="0"/>
  </w:style>
  <w:style w:type="character" w:customStyle="1" w:styleId="91">
    <w:name w:val="textcontents"/>
    <w:qFormat/>
    <w:uiPriority w:val="0"/>
  </w:style>
  <w:style w:type="character" w:customStyle="1" w:styleId="92">
    <w:name w:val="普通文字 Char Char2"/>
    <w:qFormat/>
    <w:uiPriority w:val="0"/>
    <w:rPr>
      <w:rFonts w:ascii="宋体" w:hAnsi="Courier New" w:eastAsia="宋体"/>
      <w:kern w:val="2"/>
      <w:sz w:val="21"/>
      <w:lang w:val="en-US" w:eastAsia="zh-CN" w:bidi="ar-SA"/>
    </w:rPr>
  </w:style>
  <w:style w:type="character" w:customStyle="1" w:styleId="93">
    <w:name w:val="标题 5 Char"/>
    <w:qFormat/>
    <w:uiPriority w:val="9"/>
    <w:rPr>
      <w:b/>
      <w:kern w:val="2"/>
      <w:sz w:val="28"/>
      <w:szCs w:val="24"/>
    </w:rPr>
  </w:style>
  <w:style w:type="character" w:customStyle="1" w:styleId="94">
    <w:name w:val="批注文字 字符"/>
    <w:qFormat/>
    <w:uiPriority w:val="99"/>
    <w:rPr>
      <w:rFonts w:ascii="Times New Roman" w:hAnsi="Times New Roman"/>
      <w:kern w:val="2"/>
      <w:sz w:val="21"/>
      <w:szCs w:val="24"/>
    </w:rPr>
  </w:style>
  <w:style w:type="character" w:customStyle="1" w:styleId="95">
    <w:name w:val="标题 1 字符"/>
    <w:qFormat/>
    <w:uiPriority w:val="9"/>
    <w:rPr>
      <w:rFonts w:ascii="Times New Roman" w:hAnsi="Times New Roman" w:eastAsia="宋体" w:cs="Times New Roman"/>
      <w:b/>
      <w:bCs/>
      <w:kern w:val="44"/>
      <w:sz w:val="44"/>
      <w:szCs w:val="44"/>
    </w:rPr>
  </w:style>
  <w:style w:type="character" w:customStyle="1" w:styleId="96">
    <w:name w:val="纯文本 字符"/>
    <w:qFormat/>
    <w:uiPriority w:val="99"/>
    <w:rPr>
      <w:rFonts w:ascii="宋体" w:hAnsi="Courier New" w:eastAsia="宋体" w:cs="Courier New"/>
      <w:szCs w:val="21"/>
    </w:rPr>
  </w:style>
  <w:style w:type="character" w:customStyle="1" w:styleId="97">
    <w:name w:val="headline-content4"/>
    <w:qFormat/>
    <w:uiPriority w:val="0"/>
  </w:style>
  <w:style w:type="character" w:customStyle="1" w:styleId="9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9">
    <w:name w:val="正文文本缩进 字符"/>
    <w:qFormat/>
    <w:uiPriority w:val="0"/>
    <w:rPr>
      <w:rFonts w:ascii="仿宋_GB2312" w:hAnsi="Times New Roman" w:eastAsia="仿宋_GB2312" w:cs="Times New Roman"/>
      <w:sz w:val="32"/>
      <w:szCs w:val="20"/>
    </w:rPr>
  </w:style>
  <w:style w:type="character" w:customStyle="1" w:styleId="100">
    <w:name w:val="页脚 字符"/>
    <w:qFormat/>
    <w:uiPriority w:val="99"/>
  </w:style>
  <w:style w:type="character" w:customStyle="1" w:styleId="101">
    <w:name w:val="标题 1 Char1"/>
    <w:qFormat/>
    <w:uiPriority w:val="0"/>
    <w:rPr>
      <w:rFonts w:eastAsia="宋体"/>
      <w:b/>
      <w:bCs/>
      <w:kern w:val="44"/>
      <w:sz w:val="44"/>
      <w:szCs w:val="44"/>
      <w:lang w:val="en-US" w:eastAsia="zh-CN" w:bidi="ar-SA"/>
    </w:rPr>
  </w:style>
  <w:style w:type="character" w:customStyle="1" w:styleId="102">
    <w:name w:val="font11"/>
    <w:qFormat/>
    <w:uiPriority w:val="0"/>
    <w:rPr>
      <w:rFonts w:hint="eastAsia" w:ascii="宋体" w:hAnsi="宋体" w:eastAsia="宋体" w:cs="宋体"/>
      <w:color w:val="000000"/>
      <w:sz w:val="18"/>
      <w:szCs w:val="18"/>
      <w:u w:val="none"/>
    </w:rPr>
  </w:style>
  <w:style w:type="paragraph" w:customStyle="1" w:styleId="103">
    <w:name w:val="默认段落字体 Para Char Char Char Char Char Char Char Char Char1 Char Char Char Char"/>
    <w:basedOn w:val="1"/>
    <w:qFormat/>
    <w:uiPriority w:val="0"/>
    <w:rPr>
      <w:rFonts w:ascii="Tahoma" w:hAnsi="Tahoma"/>
      <w:sz w:val="24"/>
      <w:szCs w:val="20"/>
    </w:rPr>
  </w:style>
  <w:style w:type="paragraph" w:customStyle="1" w:styleId="104">
    <w:name w:val="Char1"/>
    <w:basedOn w:val="1"/>
    <w:qFormat/>
    <w:uiPriority w:val="0"/>
    <w:rPr>
      <w:szCs w:val="21"/>
    </w:rPr>
  </w:style>
  <w:style w:type="paragraph" w:styleId="105">
    <w:name w:val="List Paragraph"/>
    <w:basedOn w:val="1"/>
    <w:qFormat/>
    <w:uiPriority w:val="34"/>
    <w:pPr>
      <w:ind w:firstLine="420" w:firstLineChars="200"/>
    </w:pPr>
  </w:style>
  <w:style w:type="paragraph" w:customStyle="1" w:styleId="106">
    <w:name w:val="纯文本1"/>
    <w:basedOn w:val="1"/>
    <w:qFormat/>
    <w:uiPriority w:val="0"/>
    <w:rPr>
      <w:rFonts w:ascii="宋体" w:hAnsi="Courier New" w:cs="Century"/>
      <w:szCs w:val="21"/>
    </w:rPr>
  </w:style>
  <w:style w:type="paragraph" w:customStyle="1" w:styleId="107">
    <w:name w:val="样式"/>
    <w:qFormat/>
    <w:uiPriority w:val="0"/>
    <w:pPr>
      <w:widowControl w:val="0"/>
      <w:autoSpaceDE w:val="0"/>
      <w:autoSpaceDN w:val="0"/>
      <w:adjustRightInd w:val="0"/>
      <w:spacing w:after="160" w:line="278" w:lineRule="auto"/>
      <w:jc w:val="center"/>
    </w:pPr>
    <w:rPr>
      <w:rFonts w:ascii="宋体" w:hAnsi="宋体" w:eastAsia="宋体" w:cs="宋体"/>
      <w:sz w:val="24"/>
      <w:szCs w:val="24"/>
      <w:lang w:val="en-US" w:eastAsia="zh-CN" w:bidi="ar-SA"/>
    </w:rPr>
  </w:style>
  <w:style w:type="paragraph" w:customStyle="1" w:styleId="108">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9">
    <w:name w:val="Table Paragraph"/>
    <w:basedOn w:val="1"/>
    <w:qFormat/>
    <w:uiPriority w:val="1"/>
    <w:pPr>
      <w:jc w:val="left"/>
    </w:pPr>
    <w:rPr>
      <w:rFonts w:ascii="Calibri" w:hAnsi="Calibri"/>
      <w:kern w:val="0"/>
      <w:sz w:val="22"/>
      <w:szCs w:val="22"/>
      <w:lang w:eastAsia="en-US"/>
    </w:rPr>
  </w:style>
  <w:style w:type="paragraph" w:customStyle="1" w:styleId="11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1">
    <w:name w:val="表格"/>
    <w:basedOn w:val="1"/>
    <w:qFormat/>
    <w:uiPriority w:val="0"/>
    <w:pPr>
      <w:spacing w:line="400" w:lineRule="exact"/>
    </w:pPr>
    <w:rPr>
      <w:sz w:val="24"/>
    </w:rPr>
  </w:style>
  <w:style w:type="paragraph" w:customStyle="1" w:styleId="112">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13">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4">
    <w:name w:val="样式 首行缩进:  2 字符"/>
    <w:basedOn w:val="1"/>
    <w:qFormat/>
    <w:uiPriority w:val="0"/>
    <w:pPr>
      <w:spacing w:line="400" w:lineRule="exact"/>
      <w:ind w:firstLine="200" w:firstLineChars="200"/>
    </w:pPr>
    <w:rPr>
      <w:rFonts w:cs="宋体"/>
      <w:sz w:val="24"/>
    </w:rPr>
  </w:style>
  <w:style w:type="paragraph" w:customStyle="1" w:styleId="115">
    <w:name w:val="正文首行缩进两字符"/>
    <w:basedOn w:val="1"/>
    <w:qFormat/>
    <w:uiPriority w:val="0"/>
    <w:pPr>
      <w:spacing w:line="360" w:lineRule="auto"/>
      <w:ind w:firstLine="200" w:firstLineChars="200"/>
    </w:pPr>
  </w:style>
  <w:style w:type="paragraph" w:customStyle="1" w:styleId="116">
    <w:name w:val="正文段"/>
    <w:basedOn w:val="1"/>
    <w:qFormat/>
    <w:uiPriority w:val="0"/>
    <w:pPr>
      <w:widowControl/>
      <w:snapToGrid w:val="0"/>
      <w:spacing w:after="50" w:afterLines="50"/>
      <w:ind w:firstLine="200" w:firstLineChars="200"/>
    </w:pPr>
    <w:rPr>
      <w:kern w:val="0"/>
      <w:sz w:val="24"/>
      <w:szCs w:val="20"/>
    </w:rPr>
  </w:style>
  <w:style w:type="paragraph" w:customStyle="1" w:styleId="117">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118">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19">
    <w:name w:val="未处理的提及1"/>
    <w:unhideWhenUsed/>
    <w:qFormat/>
    <w:uiPriority w:val="99"/>
    <w:rPr>
      <w:color w:val="605E5C"/>
      <w:shd w:val="clear" w:color="auto" w:fill="E1DFDD"/>
    </w:rPr>
  </w:style>
  <w:style w:type="character" w:customStyle="1" w:styleId="120">
    <w:name w:val="批注文字 字符2"/>
    <w:qFormat/>
    <w:uiPriority w:val="0"/>
    <w:rPr>
      <w:rFonts w:ascii="Times New Roman" w:hAnsi="Times New Roman"/>
      <w:kern w:val="2"/>
      <w:sz w:val="21"/>
      <w:szCs w:val="24"/>
    </w:rPr>
  </w:style>
  <w:style w:type="character" w:customStyle="1" w:styleId="121">
    <w:name w:val="页眉 字符"/>
    <w:qFormat/>
    <w:uiPriority w:val="99"/>
    <w:rPr>
      <w:rFonts w:ascii="Times New Roman" w:hAnsi="Times New Roman"/>
      <w:kern w:val="2"/>
      <w:sz w:val="18"/>
      <w:szCs w:val="18"/>
    </w:rPr>
  </w:style>
  <w:style w:type="character" w:customStyle="1" w:styleId="122">
    <w:name w:val="正文文本 字符"/>
    <w:qFormat/>
    <w:uiPriority w:val="99"/>
    <w:rPr>
      <w:sz w:val="24"/>
      <w:szCs w:val="24"/>
    </w:rPr>
  </w:style>
  <w:style w:type="character" w:customStyle="1" w:styleId="123">
    <w:name w:val="纯文本 字符2"/>
    <w:qFormat/>
    <w:uiPriority w:val="0"/>
    <w:rPr>
      <w:rFonts w:ascii="宋体" w:hAnsi="Courier New"/>
      <w:szCs w:val="21"/>
    </w:rPr>
  </w:style>
  <w:style w:type="paragraph" w:customStyle="1" w:styleId="124">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列表段落2"/>
    <w:basedOn w:val="1"/>
    <w:qFormat/>
    <w:uiPriority w:val="99"/>
    <w:pPr>
      <w:ind w:firstLine="420" w:firstLineChars="200"/>
    </w:pPr>
    <w:rPr>
      <w:rFonts w:ascii="等线" w:hAnsi="等线" w:eastAsia="等线" w:cs="宋体"/>
      <w:szCs w:val="21"/>
    </w:rPr>
  </w:style>
  <w:style w:type="character" w:customStyle="1" w:styleId="128">
    <w:name w:val="标题 3 字符"/>
    <w:semiHidden/>
    <w:qFormat/>
    <w:locked/>
    <w:uiPriority w:val="99"/>
    <w:rPr>
      <w:rFonts w:ascii="等线" w:hAnsi="等线" w:eastAsia="等线" w:cs="Times New Roman"/>
      <w:b/>
      <w:sz w:val="32"/>
    </w:rPr>
  </w:style>
  <w:style w:type="character" w:customStyle="1" w:styleId="129">
    <w:name w:val="纯文本 字符3"/>
    <w:qFormat/>
    <w:uiPriority w:val="0"/>
    <w:rPr>
      <w:rFonts w:ascii="宋体" w:hAnsi="Courier New" w:eastAsia="宋体" w:cs="Courier New"/>
      <w:szCs w:val="21"/>
    </w:rPr>
  </w:style>
  <w:style w:type="character" w:customStyle="1" w:styleId="130">
    <w:name w:val="标题 3 字符1"/>
    <w:qFormat/>
    <w:uiPriority w:val="0"/>
    <w:rPr>
      <w:rFonts w:ascii="Times New Roman" w:hAnsi="Times New Roman" w:eastAsia="宋体" w:cs="Times New Roman"/>
      <w:b/>
      <w:bCs/>
      <w:sz w:val="32"/>
      <w:szCs w:val="32"/>
    </w:rPr>
  </w:style>
  <w:style w:type="character" w:customStyle="1" w:styleId="131">
    <w:name w:val="font61"/>
    <w:qFormat/>
    <w:uiPriority w:val="0"/>
    <w:rPr>
      <w:rFonts w:hint="eastAsia" w:ascii="宋体" w:hAnsi="宋体" w:eastAsia="宋体" w:cs="宋体"/>
      <w:color w:val="000000"/>
      <w:sz w:val="36"/>
      <w:szCs w:val="36"/>
      <w:u w:val="none"/>
    </w:rPr>
  </w:style>
  <w:style w:type="paragraph" w:customStyle="1" w:styleId="132">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3">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4">
    <w:name w:val="修订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5">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6">
    <w:name w:val="样式 标题 1propapp heading 1app heading 11app heading 12app hea..."/>
    <w:basedOn w:val="2"/>
    <w:qFormat/>
    <w:uiPriority w:val="0"/>
    <w:pPr>
      <w:spacing w:before="120" w:after="120" w:line="576" w:lineRule="auto"/>
      <w:jc w:val="center"/>
    </w:pPr>
    <w:rPr>
      <w:rFonts w:ascii="Calibri" w:hAnsi="Calibri" w:eastAsia="黑体" w:cs="宋体"/>
      <w:color w:val="000000"/>
      <w:sz w:val="30"/>
      <w:szCs w:val="30"/>
    </w:rPr>
  </w:style>
  <w:style w:type="paragraph" w:customStyle="1" w:styleId="137">
    <w:name w:val="列出段落1"/>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68C989-E55A-4943-92E5-7C512E9B154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10068</Words>
  <Characters>11529</Characters>
  <Lines>454</Lines>
  <Paragraphs>127</Paragraphs>
  <TotalTime>13</TotalTime>
  <ScaleCrop>false</ScaleCrop>
  <LinksUpToDate>false</LinksUpToDate>
  <CharactersWithSpaces>11669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2025-03-15T08:53:00Z</dcterms:created>
  <dc:creator>KWZB</dc:creator>
  <cp:lastModifiedBy>  小妮子  </cp:lastModifiedBy>
  <cp:lastPrinted>2025-06-17T02:56:00Z</cp:lastPrinted>
  <dcterms:modified xsi:type="dcterms:W3CDTF">2025-06-17T07:43:03Z</dcterms:modified>
  <dc:title>公开招标采购文件范本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CF69450C47374B41AFA2C0106F9D10D3_13</vt:lpwstr>
  </property>
  <property fmtid="{D5CDD505-2E9C-101B-9397-08002B2CF9AE}" pid="4" name="KSOTemplateDocerSaveRecord">
    <vt:lpwstr>eyJoZGlkIjoiM2RiYWU5MGVlMGQ0MzJiODY0ZjIwYzkwYzU3ZjM4MDMiLCJ1c2VySWQiOiI0NzAzNDEwMTAifQ==</vt:lpwstr>
  </property>
</Properties>
</file>