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58A69">
      <w:pPr>
        <w:ind w:firstLine="0" w:firstLineChars="0"/>
        <w:jc w:val="center"/>
        <w:rPr>
          <w:rFonts w:hint="eastAsia" w:eastAsia="宋体"/>
          <w:color w:val="auto"/>
          <w:sz w:val="52"/>
          <w:szCs w:val="52"/>
          <w:highlight w:val="none"/>
          <w:lang w:eastAsia="zh-CN"/>
        </w:rPr>
      </w:pPr>
      <w:bookmarkStart w:id="0" w:name="OLE_LINK53"/>
      <w:r>
        <w:rPr>
          <w:rFonts w:hint="eastAsia"/>
          <w:color w:val="auto"/>
          <w:sz w:val="52"/>
          <w:szCs w:val="52"/>
          <w:highlight w:val="none"/>
          <w:lang w:eastAsia="zh-CN"/>
        </w:rPr>
        <w:t>中资国际工程咨询集团有限责任公司</w:t>
      </w:r>
    </w:p>
    <w:p w14:paraId="48F2C543">
      <w:pPr>
        <w:ind w:firstLine="0" w:firstLineChars="0"/>
        <w:jc w:val="center"/>
        <w:rPr>
          <w:color w:val="auto"/>
          <w:sz w:val="96"/>
          <w:szCs w:val="96"/>
          <w:highlight w:val="none"/>
        </w:rPr>
      </w:pPr>
      <w:bookmarkStart w:id="151" w:name="_GoBack"/>
      <w:bookmarkEnd w:id="151"/>
    </w:p>
    <w:p w14:paraId="7F30044F">
      <w:pPr>
        <w:ind w:firstLine="0" w:firstLineChars="0"/>
        <w:jc w:val="center"/>
        <w:rPr>
          <w:color w:val="auto"/>
          <w:sz w:val="96"/>
          <w:szCs w:val="96"/>
          <w:highlight w:val="none"/>
        </w:rPr>
      </w:pPr>
      <w:r>
        <w:rPr>
          <w:rFonts w:hint="eastAsia"/>
          <w:color w:val="auto"/>
          <w:sz w:val="96"/>
          <w:szCs w:val="96"/>
          <w:highlight w:val="none"/>
        </w:rPr>
        <w:t>招 标 文 件</w:t>
      </w:r>
    </w:p>
    <w:p w14:paraId="011304F2">
      <w:pPr>
        <w:ind w:firstLine="0" w:firstLineChars="0"/>
        <w:jc w:val="center"/>
        <w:rPr>
          <w:rFonts w:cs="Times New Roman"/>
          <w:color w:val="auto"/>
          <w:sz w:val="32"/>
          <w:szCs w:val="32"/>
          <w:highlight w:val="none"/>
        </w:rPr>
      </w:pPr>
      <w:r>
        <w:rPr>
          <w:rFonts w:hint="eastAsia" w:cs="Times New Roman"/>
          <w:color w:val="auto"/>
          <w:sz w:val="32"/>
          <w:szCs w:val="32"/>
          <w:highlight w:val="none"/>
        </w:rPr>
        <w:t>（</w:t>
      </w:r>
      <w:r>
        <w:rPr>
          <w:rFonts w:hint="eastAsia"/>
          <w:color w:val="auto"/>
          <w:sz w:val="32"/>
          <w:szCs w:val="32"/>
          <w:highlight w:val="none"/>
        </w:rPr>
        <w:t>全流</w:t>
      </w:r>
      <w:r>
        <w:rPr>
          <w:rFonts w:hint="eastAsia" w:cs="___WRD_EMBED_SUB_39"/>
          <w:color w:val="auto"/>
          <w:sz w:val="32"/>
          <w:szCs w:val="32"/>
          <w:highlight w:val="none"/>
        </w:rPr>
        <w:t>程电</w:t>
      </w:r>
      <w:r>
        <w:rPr>
          <w:rFonts w:hint="eastAsia"/>
          <w:color w:val="auto"/>
          <w:sz w:val="32"/>
          <w:szCs w:val="32"/>
          <w:highlight w:val="none"/>
        </w:rPr>
        <w:t>子化</w:t>
      </w:r>
      <w:r>
        <w:rPr>
          <w:rFonts w:hint="eastAsia" w:cs="___WRD_EMBED_SUB_39"/>
          <w:color w:val="auto"/>
          <w:sz w:val="32"/>
          <w:szCs w:val="32"/>
          <w:highlight w:val="none"/>
        </w:rPr>
        <w:t>采购）</w:t>
      </w:r>
    </w:p>
    <w:bookmarkEnd w:id="0"/>
    <w:p w14:paraId="6CC2B882">
      <w:pPr>
        <w:jc w:val="center"/>
        <w:rPr>
          <w:color w:val="auto"/>
          <w:highlight w:val="none"/>
        </w:rPr>
      </w:pPr>
    </w:p>
    <w:p w14:paraId="0198EC85">
      <w:pPr>
        <w:ind w:firstLine="0" w:firstLineChars="0"/>
        <w:jc w:val="center"/>
        <w:rPr>
          <w:rFonts w:hint="eastAsia" w:eastAsia="宋体"/>
          <w:color w:val="auto"/>
          <w:kern w:val="0"/>
          <w:sz w:val="32"/>
          <w:szCs w:val="32"/>
          <w:highlight w:val="none"/>
          <w:lang w:eastAsia="zh-CN"/>
        </w:rPr>
      </w:pPr>
      <w:r>
        <w:rPr>
          <w:rFonts w:hint="eastAsia"/>
          <w:color w:val="auto"/>
          <w:kern w:val="0"/>
          <w:sz w:val="32"/>
          <w:szCs w:val="32"/>
          <w:highlight w:val="none"/>
        </w:rPr>
        <w:t>项目名称：</w:t>
      </w:r>
      <w:r>
        <w:rPr>
          <w:rFonts w:hint="eastAsia"/>
          <w:color w:val="auto"/>
          <w:kern w:val="0"/>
          <w:sz w:val="32"/>
          <w:szCs w:val="32"/>
          <w:highlight w:val="none"/>
          <w:lang w:eastAsia="zh-CN"/>
        </w:rPr>
        <w:t>数字化精密制造与虚拟仿真生产性实训基地项目</w:t>
      </w:r>
    </w:p>
    <w:p w14:paraId="25B65A3D">
      <w:pPr>
        <w:ind w:firstLine="0" w:firstLineChars="0"/>
        <w:jc w:val="center"/>
        <w:rPr>
          <w:color w:val="auto"/>
          <w:kern w:val="0"/>
          <w:sz w:val="32"/>
          <w:szCs w:val="32"/>
          <w:highlight w:val="none"/>
        </w:rPr>
      </w:pPr>
    </w:p>
    <w:p w14:paraId="04B3AFFA">
      <w:pPr>
        <w:ind w:firstLine="0" w:firstLineChars="0"/>
        <w:jc w:val="both"/>
        <w:rPr>
          <w:rFonts w:hint="eastAsia" w:eastAsia="宋体"/>
          <w:color w:val="auto"/>
          <w:kern w:val="0"/>
          <w:sz w:val="32"/>
          <w:szCs w:val="32"/>
          <w:highlight w:val="none"/>
          <w:lang w:eastAsia="zh-CN"/>
        </w:rPr>
      </w:pPr>
      <w:r>
        <w:rPr>
          <w:rFonts w:hint="eastAsia"/>
          <w:color w:val="auto"/>
          <w:kern w:val="0"/>
          <w:sz w:val="32"/>
          <w:szCs w:val="32"/>
          <w:highlight w:val="none"/>
        </w:rPr>
        <w:t>项目编号：</w:t>
      </w:r>
      <w:r>
        <w:rPr>
          <w:rFonts w:hint="eastAsia"/>
          <w:color w:val="auto"/>
          <w:kern w:val="0"/>
          <w:sz w:val="32"/>
          <w:szCs w:val="32"/>
          <w:highlight w:val="none"/>
          <w:lang w:eastAsia="zh-CN"/>
        </w:rPr>
        <w:t>GXZC2025-G1-001432-ZZGJ</w:t>
      </w:r>
    </w:p>
    <w:p w14:paraId="147EC5E8">
      <w:pPr>
        <w:ind w:firstLine="0" w:firstLineChars="0"/>
        <w:jc w:val="center"/>
        <w:rPr>
          <w:color w:val="auto"/>
          <w:kern w:val="0"/>
          <w:sz w:val="32"/>
          <w:szCs w:val="32"/>
          <w:highlight w:val="none"/>
        </w:rPr>
      </w:pPr>
    </w:p>
    <w:p w14:paraId="02A595C1">
      <w:pPr>
        <w:ind w:firstLine="0" w:firstLineChars="0"/>
        <w:jc w:val="both"/>
        <w:rPr>
          <w:rFonts w:hint="eastAsia" w:eastAsia="宋体"/>
          <w:color w:val="auto"/>
          <w:kern w:val="0"/>
          <w:sz w:val="32"/>
          <w:szCs w:val="32"/>
          <w:highlight w:val="none"/>
          <w:lang w:eastAsia="zh-CN"/>
        </w:rPr>
      </w:pPr>
      <w:r>
        <w:rPr>
          <w:rFonts w:hint="eastAsia"/>
          <w:color w:val="auto"/>
          <w:kern w:val="0"/>
          <w:sz w:val="32"/>
          <w:szCs w:val="32"/>
          <w:highlight w:val="none"/>
        </w:rPr>
        <w:t>采</w:t>
      </w:r>
      <w:r>
        <w:rPr>
          <w:color w:val="auto"/>
          <w:kern w:val="0"/>
          <w:sz w:val="32"/>
          <w:szCs w:val="32"/>
          <w:highlight w:val="none"/>
        </w:rPr>
        <w:t xml:space="preserve"> 购 人：</w:t>
      </w:r>
      <w:r>
        <w:rPr>
          <w:rFonts w:hint="eastAsia"/>
          <w:color w:val="auto"/>
          <w:kern w:val="0"/>
          <w:sz w:val="32"/>
          <w:szCs w:val="32"/>
          <w:highlight w:val="none"/>
          <w:lang w:eastAsia="zh-CN"/>
        </w:rPr>
        <w:t>广西工业职业技术学院</w:t>
      </w:r>
    </w:p>
    <w:p w14:paraId="49F98CAE">
      <w:pPr>
        <w:ind w:firstLine="0" w:firstLineChars="0"/>
        <w:jc w:val="center"/>
        <w:rPr>
          <w:color w:val="auto"/>
          <w:kern w:val="0"/>
          <w:sz w:val="32"/>
          <w:szCs w:val="32"/>
          <w:highlight w:val="none"/>
        </w:rPr>
      </w:pPr>
    </w:p>
    <w:p w14:paraId="3E0C0A81">
      <w:pPr>
        <w:ind w:firstLine="0" w:firstLineChars="0"/>
        <w:jc w:val="both"/>
        <w:rPr>
          <w:rFonts w:hint="eastAsia"/>
          <w:color w:val="auto"/>
          <w:kern w:val="0"/>
          <w:sz w:val="32"/>
          <w:szCs w:val="32"/>
          <w:highlight w:val="none"/>
          <w:lang w:eastAsia="zh-CN"/>
        </w:rPr>
      </w:pPr>
      <w:r>
        <w:rPr>
          <w:rFonts w:hint="eastAsia"/>
          <w:color w:val="auto"/>
          <w:kern w:val="0"/>
          <w:sz w:val="32"/>
          <w:szCs w:val="32"/>
          <w:highlight w:val="none"/>
        </w:rPr>
        <w:t>采购代理机构：</w:t>
      </w:r>
      <w:r>
        <w:rPr>
          <w:rFonts w:hint="eastAsia"/>
          <w:color w:val="auto"/>
          <w:kern w:val="0"/>
          <w:sz w:val="32"/>
          <w:szCs w:val="32"/>
          <w:highlight w:val="none"/>
          <w:lang w:eastAsia="zh-CN"/>
        </w:rPr>
        <w:t>中资国际工程咨询集团有限责任公司</w:t>
      </w:r>
    </w:p>
    <w:p w14:paraId="59ABC681">
      <w:pPr>
        <w:ind w:firstLine="0" w:firstLineChars="0"/>
        <w:jc w:val="both"/>
        <w:rPr>
          <w:rFonts w:hint="eastAsia"/>
          <w:color w:val="auto"/>
          <w:kern w:val="0"/>
          <w:sz w:val="32"/>
          <w:szCs w:val="32"/>
          <w:highlight w:val="none"/>
          <w:lang w:eastAsia="zh-CN"/>
        </w:rPr>
      </w:pPr>
    </w:p>
    <w:p w14:paraId="726FBFB0">
      <w:pPr>
        <w:ind w:firstLine="605"/>
        <w:jc w:val="center"/>
        <w:rPr>
          <w:rFonts w:hint="eastAsia" w:eastAsia="宋体"/>
          <w:color w:val="auto"/>
          <w:w w:val="95"/>
          <w:kern w:val="0"/>
          <w:sz w:val="32"/>
          <w:szCs w:val="32"/>
          <w:highlight w:val="none"/>
          <w:lang w:eastAsia="zh-CN"/>
        </w:rPr>
        <w:sectPr>
          <w:headerReference r:id="rId7" w:type="first"/>
          <w:headerReference r:id="rId5" w:type="default"/>
          <w:headerReference r:id="rId6" w:type="even"/>
          <w:footerReference r:id="rId8" w:type="even"/>
          <w:pgSz w:w="11906" w:h="16838"/>
          <w:pgMar w:top="1701" w:right="1701" w:bottom="1701" w:left="1701" w:header="851" w:footer="992" w:gutter="0"/>
          <w:cols w:space="720" w:num="1"/>
          <w:titlePg/>
          <w:docGrid w:linePitch="312" w:charSpace="0"/>
        </w:sectPr>
      </w:pPr>
      <w:r>
        <w:rPr>
          <w:rFonts w:hint="eastAsia"/>
          <w:color w:val="auto"/>
          <w:w w:val="95"/>
          <w:kern w:val="0"/>
          <w:sz w:val="32"/>
          <w:szCs w:val="32"/>
          <w:highlight w:val="none"/>
          <w:lang w:eastAsia="zh-CN"/>
        </w:rPr>
        <w:t>2025年6月12日</w:t>
      </w:r>
    </w:p>
    <w:p w14:paraId="3FE45DF5">
      <w:pPr>
        <w:ind w:firstLine="562"/>
        <w:jc w:val="center"/>
        <w:rPr>
          <w:b/>
          <w:bCs/>
          <w:color w:val="auto"/>
          <w:sz w:val="28"/>
          <w:szCs w:val="28"/>
          <w:highlight w:val="none"/>
        </w:rPr>
      </w:pPr>
      <w:r>
        <w:rPr>
          <w:rFonts w:hint="eastAsia"/>
          <w:b/>
          <w:bCs/>
          <w:color w:val="auto"/>
          <w:sz w:val="28"/>
          <w:szCs w:val="28"/>
          <w:highlight w:val="none"/>
        </w:rPr>
        <w:t>目  录</w:t>
      </w:r>
    </w:p>
    <w:p w14:paraId="59742466">
      <w:pPr>
        <w:pStyle w:val="39"/>
        <w:tabs>
          <w:tab w:val="right" w:leader="dot" w:pos="8504"/>
        </w:tabs>
        <w:ind w:left="0" w:leftChars="0" w:firstLine="0" w:firstLineChars="0"/>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TOC \o "1-2" \h \z \u </w:instrText>
      </w:r>
      <w:r>
        <w:rPr>
          <w:rFonts w:hint="eastAsia"/>
          <w:color w:val="auto"/>
          <w:sz w:val="28"/>
          <w:szCs w:val="28"/>
          <w:highlight w:val="none"/>
        </w:rPr>
        <w:fldChar w:fldCharType="separate"/>
      </w:r>
      <w:r>
        <w:rPr>
          <w:color w:val="auto"/>
          <w:highlight w:val="none"/>
        </w:rPr>
        <w:fldChar w:fldCharType="begin"/>
      </w:r>
      <w:r>
        <w:rPr>
          <w:color w:val="auto"/>
          <w:highlight w:val="none"/>
        </w:rPr>
        <w:instrText xml:space="preserve"> HYPERLINK \l "_Toc30693" </w:instrText>
      </w:r>
      <w:r>
        <w:rPr>
          <w:color w:val="auto"/>
          <w:highlight w:val="none"/>
        </w:rPr>
        <w:fldChar w:fldCharType="separate"/>
      </w:r>
      <w:r>
        <w:rPr>
          <w:rFonts w:hint="eastAsia"/>
          <w:color w:val="auto"/>
          <w:sz w:val="28"/>
          <w:szCs w:val="28"/>
          <w:highlight w:val="none"/>
        </w:rPr>
        <w:t xml:space="preserve">第一章 </w:t>
      </w:r>
      <w:r>
        <w:rPr>
          <w:rFonts w:hint="eastAsia"/>
          <w:color w:val="auto"/>
          <w:sz w:val="28"/>
          <w:szCs w:val="28"/>
          <w:highlight w:val="none"/>
          <w:lang w:val="en-US" w:eastAsia="zh-CN"/>
        </w:rPr>
        <w:t xml:space="preserve"> </w:t>
      </w:r>
      <w:r>
        <w:rPr>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_Toc30693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637A6A4A">
      <w:pPr>
        <w:pStyle w:val="39"/>
        <w:tabs>
          <w:tab w:val="right" w:leader="dot" w:pos="8504"/>
        </w:tabs>
        <w:ind w:left="0" w:leftChars="0" w:firstLine="0" w:firstLineChars="0"/>
        <w:rPr>
          <w:color w:val="auto"/>
          <w:sz w:val="28"/>
          <w:szCs w:val="28"/>
          <w:highlight w:val="none"/>
        </w:rPr>
      </w:pPr>
      <w:r>
        <w:rPr>
          <w:color w:val="auto"/>
          <w:highlight w:val="none"/>
        </w:rPr>
        <w:fldChar w:fldCharType="begin"/>
      </w:r>
      <w:r>
        <w:rPr>
          <w:color w:val="auto"/>
          <w:highlight w:val="none"/>
        </w:rPr>
        <w:instrText xml:space="preserve"> HYPERLINK \l "_Toc3906" </w:instrText>
      </w:r>
      <w:r>
        <w:rPr>
          <w:color w:val="auto"/>
          <w:highlight w:val="none"/>
        </w:rPr>
        <w:fldChar w:fldCharType="separate"/>
      </w:r>
      <w:r>
        <w:rPr>
          <w:rFonts w:hint="eastAsia"/>
          <w:color w:val="auto"/>
          <w:sz w:val="28"/>
          <w:szCs w:val="28"/>
          <w:highlight w:val="none"/>
        </w:rPr>
        <w:t>第二章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_Toc3906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2EDE9ED3">
      <w:pPr>
        <w:pStyle w:val="39"/>
        <w:tabs>
          <w:tab w:val="right" w:leader="dot" w:pos="8504"/>
        </w:tabs>
        <w:ind w:left="0" w:leftChars="0" w:firstLine="0" w:firstLineChars="0"/>
        <w:rPr>
          <w:color w:val="auto"/>
          <w:sz w:val="28"/>
          <w:szCs w:val="28"/>
          <w:highlight w:val="none"/>
        </w:rPr>
      </w:pPr>
      <w:r>
        <w:rPr>
          <w:color w:val="auto"/>
          <w:highlight w:val="none"/>
        </w:rPr>
        <w:fldChar w:fldCharType="begin"/>
      </w:r>
      <w:r>
        <w:rPr>
          <w:color w:val="auto"/>
          <w:highlight w:val="none"/>
        </w:rPr>
        <w:instrText xml:space="preserve"> HYPERLINK \l "_Toc3452" </w:instrText>
      </w:r>
      <w:r>
        <w:rPr>
          <w:color w:val="auto"/>
          <w:highlight w:val="none"/>
        </w:rPr>
        <w:fldChar w:fldCharType="separate"/>
      </w:r>
      <w:r>
        <w:rPr>
          <w:rFonts w:hint="eastAsia"/>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_Toc3452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color w:val="auto"/>
          <w:sz w:val="28"/>
          <w:szCs w:val="28"/>
          <w:highlight w:val="none"/>
        </w:rPr>
        <w:fldChar w:fldCharType="end"/>
      </w:r>
    </w:p>
    <w:p w14:paraId="69EBD44C">
      <w:pPr>
        <w:pStyle w:val="39"/>
        <w:tabs>
          <w:tab w:val="right" w:leader="dot" w:pos="8504"/>
        </w:tabs>
        <w:ind w:left="0" w:leftChars="0" w:firstLine="0" w:firstLineChars="0"/>
        <w:rPr>
          <w:color w:val="auto"/>
          <w:sz w:val="28"/>
          <w:szCs w:val="28"/>
          <w:highlight w:val="none"/>
        </w:rPr>
      </w:pPr>
      <w:r>
        <w:rPr>
          <w:color w:val="auto"/>
          <w:highlight w:val="none"/>
        </w:rPr>
        <w:fldChar w:fldCharType="begin"/>
      </w:r>
      <w:r>
        <w:rPr>
          <w:color w:val="auto"/>
          <w:highlight w:val="none"/>
        </w:rPr>
        <w:instrText xml:space="preserve"> HYPERLINK \l "_Toc27597" </w:instrText>
      </w:r>
      <w:r>
        <w:rPr>
          <w:color w:val="auto"/>
          <w:highlight w:val="none"/>
        </w:rPr>
        <w:fldChar w:fldCharType="separate"/>
      </w:r>
      <w:r>
        <w:rPr>
          <w:rFonts w:hint="eastAsia"/>
          <w:color w:val="auto"/>
          <w:sz w:val="28"/>
          <w:szCs w:val="28"/>
          <w:highlight w:val="none"/>
        </w:rPr>
        <w:t>第四章  评标方法及评标标准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_Toc27597 \h </w:instrText>
      </w:r>
      <w:r>
        <w:rPr>
          <w:color w:val="auto"/>
          <w:sz w:val="28"/>
          <w:szCs w:val="28"/>
          <w:highlight w:val="none"/>
        </w:rPr>
        <w:fldChar w:fldCharType="separate"/>
      </w:r>
      <w:r>
        <w:rPr>
          <w:color w:val="auto"/>
          <w:sz w:val="28"/>
          <w:szCs w:val="28"/>
          <w:highlight w:val="none"/>
        </w:rPr>
        <w:t>60</w:t>
      </w:r>
      <w:r>
        <w:rPr>
          <w:color w:val="auto"/>
          <w:sz w:val="28"/>
          <w:szCs w:val="28"/>
          <w:highlight w:val="none"/>
        </w:rPr>
        <w:fldChar w:fldCharType="end"/>
      </w:r>
      <w:r>
        <w:rPr>
          <w:color w:val="auto"/>
          <w:sz w:val="28"/>
          <w:szCs w:val="28"/>
          <w:highlight w:val="none"/>
        </w:rPr>
        <w:fldChar w:fldCharType="end"/>
      </w:r>
    </w:p>
    <w:p w14:paraId="5D3353D5">
      <w:pPr>
        <w:pStyle w:val="39"/>
        <w:tabs>
          <w:tab w:val="right" w:leader="dot" w:pos="8504"/>
        </w:tabs>
        <w:ind w:left="0" w:leftChars="0" w:firstLine="0" w:firstLineChars="0"/>
        <w:rPr>
          <w:color w:val="auto"/>
          <w:sz w:val="28"/>
          <w:szCs w:val="28"/>
          <w:highlight w:val="none"/>
        </w:rPr>
      </w:pPr>
      <w:r>
        <w:rPr>
          <w:color w:val="auto"/>
          <w:highlight w:val="none"/>
        </w:rPr>
        <w:fldChar w:fldCharType="begin"/>
      </w:r>
      <w:r>
        <w:rPr>
          <w:color w:val="auto"/>
          <w:highlight w:val="none"/>
        </w:rPr>
        <w:instrText xml:space="preserve"> HYPERLINK \l "_Toc5137" </w:instrText>
      </w:r>
      <w:r>
        <w:rPr>
          <w:color w:val="auto"/>
          <w:highlight w:val="none"/>
        </w:rPr>
        <w:fldChar w:fldCharType="separate"/>
      </w:r>
      <w:r>
        <w:rPr>
          <w:rFonts w:hint="eastAsia"/>
          <w:color w:val="auto"/>
          <w:sz w:val="28"/>
          <w:szCs w:val="28"/>
          <w:highlight w:val="none"/>
        </w:rPr>
        <w:t>第五章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_Toc5137 \h </w:instrText>
      </w:r>
      <w:r>
        <w:rPr>
          <w:color w:val="auto"/>
          <w:sz w:val="28"/>
          <w:szCs w:val="28"/>
          <w:highlight w:val="none"/>
        </w:rPr>
        <w:fldChar w:fldCharType="separate"/>
      </w:r>
      <w:r>
        <w:rPr>
          <w:color w:val="auto"/>
          <w:sz w:val="28"/>
          <w:szCs w:val="28"/>
          <w:highlight w:val="none"/>
        </w:rPr>
        <w:t>72</w:t>
      </w:r>
      <w:r>
        <w:rPr>
          <w:color w:val="auto"/>
          <w:sz w:val="28"/>
          <w:szCs w:val="28"/>
          <w:highlight w:val="none"/>
        </w:rPr>
        <w:fldChar w:fldCharType="end"/>
      </w:r>
      <w:r>
        <w:rPr>
          <w:color w:val="auto"/>
          <w:sz w:val="28"/>
          <w:szCs w:val="28"/>
          <w:highlight w:val="none"/>
        </w:rPr>
        <w:fldChar w:fldCharType="end"/>
      </w:r>
    </w:p>
    <w:p w14:paraId="67550CB3">
      <w:pPr>
        <w:pStyle w:val="39"/>
        <w:tabs>
          <w:tab w:val="right" w:leader="dot" w:pos="8504"/>
        </w:tabs>
        <w:ind w:left="0" w:leftChars="0" w:firstLine="0" w:firstLineChars="0"/>
        <w:rPr>
          <w:color w:val="auto"/>
          <w:sz w:val="28"/>
          <w:szCs w:val="28"/>
          <w:highlight w:val="none"/>
        </w:rPr>
      </w:pPr>
      <w:r>
        <w:rPr>
          <w:color w:val="auto"/>
          <w:highlight w:val="none"/>
        </w:rPr>
        <w:fldChar w:fldCharType="begin"/>
      </w:r>
      <w:r>
        <w:rPr>
          <w:color w:val="auto"/>
          <w:highlight w:val="none"/>
        </w:rPr>
        <w:instrText xml:space="preserve"> HYPERLINK \l "_Toc10000" </w:instrText>
      </w:r>
      <w:r>
        <w:rPr>
          <w:color w:val="auto"/>
          <w:highlight w:val="none"/>
        </w:rPr>
        <w:fldChar w:fldCharType="separate"/>
      </w:r>
      <w:r>
        <w:rPr>
          <w:rFonts w:hint="eastAsia"/>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_Toc10000 \h </w:instrText>
      </w:r>
      <w:r>
        <w:rPr>
          <w:color w:val="auto"/>
          <w:sz w:val="28"/>
          <w:szCs w:val="28"/>
          <w:highlight w:val="none"/>
        </w:rPr>
        <w:fldChar w:fldCharType="separate"/>
      </w:r>
      <w:r>
        <w:rPr>
          <w:color w:val="auto"/>
          <w:sz w:val="28"/>
          <w:szCs w:val="28"/>
          <w:highlight w:val="none"/>
        </w:rPr>
        <w:t>79</w:t>
      </w:r>
      <w:r>
        <w:rPr>
          <w:color w:val="auto"/>
          <w:sz w:val="28"/>
          <w:szCs w:val="28"/>
          <w:highlight w:val="none"/>
        </w:rPr>
        <w:fldChar w:fldCharType="end"/>
      </w:r>
      <w:r>
        <w:rPr>
          <w:color w:val="auto"/>
          <w:sz w:val="28"/>
          <w:szCs w:val="28"/>
          <w:highlight w:val="none"/>
        </w:rPr>
        <w:fldChar w:fldCharType="end"/>
      </w:r>
    </w:p>
    <w:p w14:paraId="6FB1DAD5">
      <w:pPr>
        <w:ind w:firstLine="560"/>
        <w:rPr>
          <w:rFonts w:cs="Times New Roman"/>
          <w:color w:val="auto"/>
          <w:highlight w:val="none"/>
        </w:rPr>
      </w:pPr>
      <w:r>
        <w:rPr>
          <w:rFonts w:hint="eastAsia"/>
          <w:color w:val="auto"/>
          <w:sz w:val="28"/>
          <w:szCs w:val="28"/>
          <w:highlight w:val="none"/>
        </w:rPr>
        <w:fldChar w:fldCharType="end"/>
      </w:r>
    </w:p>
    <w:p w14:paraId="79138583">
      <w:pPr>
        <w:rPr>
          <w:color w:val="auto"/>
          <w:highlight w:val="none"/>
        </w:rPr>
      </w:pPr>
    </w:p>
    <w:p w14:paraId="28510104">
      <w:pPr>
        <w:rPr>
          <w:color w:val="auto"/>
          <w:highlight w:val="none"/>
        </w:rPr>
      </w:pPr>
    </w:p>
    <w:p w14:paraId="62C94B8E">
      <w:pPr>
        <w:rPr>
          <w:color w:val="auto"/>
          <w:highlight w:val="none"/>
        </w:rPr>
      </w:pPr>
    </w:p>
    <w:p w14:paraId="70615C9B">
      <w:pPr>
        <w:rPr>
          <w:color w:val="auto"/>
          <w:highlight w:val="none"/>
        </w:rPr>
      </w:pPr>
    </w:p>
    <w:p w14:paraId="725A304D">
      <w:pPr>
        <w:rPr>
          <w:color w:val="auto"/>
          <w:highlight w:val="none"/>
        </w:rPr>
      </w:pPr>
      <w:bookmarkStart w:id="1" w:name="_Toc254970489"/>
      <w:bookmarkStart w:id="2" w:name="_Toc254970630"/>
    </w:p>
    <w:p w14:paraId="0B5D1393">
      <w:pPr>
        <w:rPr>
          <w:color w:val="auto"/>
          <w:kern w:val="44"/>
          <w:highlight w:val="none"/>
        </w:rPr>
        <w:sectPr>
          <w:footerReference r:id="rId10" w:type="first"/>
          <w:footerReference r:id="rId9" w:type="default"/>
          <w:pgSz w:w="11906" w:h="16838"/>
          <w:pgMar w:top="1701" w:right="1701" w:bottom="1701" w:left="1701" w:header="851" w:footer="992" w:gutter="0"/>
          <w:pgNumType w:start="1"/>
          <w:cols w:space="720" w:num="1"/>
          <w:docGrid w:linePitch="312" w:charSpace="0"/>
        </w:sectPr>
      </w:pPr>
    </w:p>
    <w:p w14:paraId="102EB7DF">
      <w:pPr>
        <w:pStyle w:val="3"/>
        <w:ind w:firstLine="640"/>
        <w:jc w:val="center"/>
        <w:rPr>
          <w:b w:val="0"/>
          <w:color w:val="auto"/>
          <w:highlight w:val="none"/>
        </w:rPr>
      </w:pPr>
      <w:bookmarkStart w:id="3" w:name="_Toc30693"/>
      <w:r>
        <w:rPr>
          <w:rFonts w:hint="eastAsia"/>
          <w:b w:val="0"/>
          <w:color w:val="auto"/>
          <w:highlight w:val="none"/>
        </w:rPr>
        <w:t>第一章</w:t>
      </w:r>
      <w:bookmarkEnd w:id="1"/>
      <w:bookmarkEnd w:id="2"/>
      <w:bookmarkStart w:id="4" w:name="_Toc35393789"/>
      <w:bookmarkStart w:id="5" w:name="_Toc28359001"/>
      <w:r>
        <w:rPr>
          <w:rFonts w:hint="eastAsia"/>
          <w:b w:val="0"/>
          <w:color w:val="auto"/>
          <w:highlight w:val="none"/>
        </w:rPr>
        <w:t xml:space="preserve"> 招标公告</w:t>
      </w:r>
      <w:bookmarkEnd w:id="3"/>
      <w:bookmarkEnd w:id="4"/>
      <w:bookmarkEnd w:id="5"/>
    </w:p>
    <w:p w14:paraId="2D4018AD">
      <w:pPr>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lang w:eastAsia="zh-CN"/>
        </w:rPr>
        <w:t>中资国际工程咨询集团有限责任公司</w:t>
      </w:r>
      <w:r>
        <w:rPr>
          <w:rFonts w:hint="eastAsia" w:asciiTheme="minorEastAsia" w:hAnsiTheme="minorEastAsia" w:eastAsiaTheme="minorEastAsia"/>
          <w:b/>
          <w:bCs/>
          <w:color w:val="auto"/>
          <w:highlight w:val="none"/>
        </w:rPr>
        <w:t>关于</w:t>
      </w:r>
      <w:r>
        <w:rPr>
          <w:rFonts w:hint="eastAsia" w:asciiTheme="minorEastAsia" w:hAnsiTheme="minorEastAsia" w:eastAsiaTheme="minorEastAsia"/>
          <w:b/>
          <w:bCs/>
          <w:color w:val="auto"/>
          <w:highlight w:val="none"/>
          <w:lang w:eastAsia="zh-CN"/>
        </w:rPr>
        <w:t>数字化精密制造与虚拟仿真生产性实训基地项目</w:t>
      </w:r>
      <w:r>
        <w:rPr>
          <w:rFonts w:hint="eastAsia" w:asciiTheme="minorEastAsia" w:hAnsiTheme="minorEastAsia" w:eastAsiaTheme="minorEastAsia"/>
          <w:b/>
          <w:bCs/>
          <w:color w:val="auto"/>
          <w:highlight w:val="none"/>
        </w:rPr>
        <w:t>（项目编号：</w:t>
      </w:r>
      <w:r>
        <w:rPr>
          <w:rFonts w:hint="eastAsia" w:asciiTheme="minorEastAsia" w:hAnsiTheme="minorEastAsia" w:eastAsiaTheme="minorEastAsia"/>
          <w:b/>
          <w:bCs/>
          <w:color w:val="auto"/>
          <w:highlight w:val="none"/>
          <w:lang w:eastAsia="zh-CN"/>
        </w:rPr>
        <w:t>GXZC2025-G1-001432-ZZGJ</w:t>
      </w:r>
      <w:r>
        <w:rPr>
          <w:rFonts w:asciiTheme="minorEastAsia" w:hAnsiTheme="minorEastAsia" w:eastAsiaTheme="minorEastAsia"/>
          <w:b/>
          <w:bCs/>
          <w:color w:val="auto"/>
          <w:highlight w:val="none"/>
        </w:rPr>
        <w:t>）公开招标公告</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989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1AEE2F1C">
            <w:pPr>
              <w:rPr>
                <w:color w:val="auto"/>
                <w:highlight w:val="none"/>
              </w:rPr>
            </w:pPr>
            <w:r>
              <w:rPr>
                <w:rFonts w:hint="eastAsia"/>
                <w:color w:val="auto"/>
                <w:highlight w:val="none"/>
              </w:rPr>
              <w:t>项目概况</w:t>
            </w:r>
          </w:p>
          <w:p w14:paraId="6700B47F">
            <w:pPr>
              <w:rPr>
                <w:color w:val="auto"/>
                <w:highlight w:val="none"/>
              </w:rPr>
            </w:pPr>
            <w:r>
              <w:rPr>
                <w:rFonts w:hint="eastAsia"/>
                <w:color w:val="auto"/>
                <w:highlight w:val="none"/>
                <w:u w:val="single"/>
                <w:lang w:eastAsia="zh-CN"/>
              </w:rPr>
              <w:t>数字化精密制造与虚拟仿真生产性实训基地项目</w:t>
            </w:r>
            <w:r>
              <w:rPr>
                <w:rFonts w:hint="eastAsia"/>
                <w:color w:val="auto"/>
                <w:highlight w:val="none"/>
                <w:u w:val="single"/>
                <w:lang w:val="en-US" w:eastAsia="zh-CN"/>
              </w:rPr>
              <w:t xml:space="preserve"> </w:t>
            </w:r>
            <w:r>
              <w:rPr>
                <w:rFonts w:hint="eastAsia"/>
                <w:color w:val="auto"/>
                <w:highlight w:val="none"/>
              </w:rPr>
              <w:t>招标项目的潜在投标人应在</w:t>
            </w:r>
            <w:r>
              <w:rPr>
                <w:rFonts w:hint="eastAsia" w:cs="Times New Roman"/>
                <w:color w:val="auto"/>
                <w:highlight w:val="none"/>
              </w:rPr>
              <w:t>广西政府采购云平台</w:t>
            </w:r>
            <w:r>
              <w:rPr>
                <w:rFonts w:hint="eastAsia"/>
                <w:color w:val="auto"/>
                <w:highlight w:val="none"/>
              </w:rPr>
              <w:t>（</w:t>
            </w:r>
            <w:r>
              <w:rPr>
                <w:rFonts w:hint="eastAsia"/>
                <w:bCs/>
                <w:color w:val="auto"/>
                <w:kern w:val="0"/>
                <w:highlight w:val="none"/>
              </w:rPr>
              <w:t>https://www.gcy.zfcg.gxzf.gov.cn/</w:t>
            </w:r>
            <w:r>
              <w:rPr>
                <w:rFonts w:hint="eastAsia"/>
                <w:color w:val="auto"/>
                <w:highlight w:val="none"/>
              </w:rPr>
              <w:t>）获取（下载）招标文件，并于</w:t>
            </w:r>
            <w:r>
              <w:rPr>
                <w:rFonts w:hint="eastAsia"/>
                <w:color w:val="auto"/>
                <w:highlight w:val="none"/>
                <w:u w:val="single"/>
                <w:lang w:eastAsia="zh-CN"/>
              </w:rPr>
              <w:t>2025年7月3日</w:t>
            </w:r>
            <w:r>
              <w:rPr>
                <w:rFonts w:hint="eastAsia"/>
                <w:color w:val="auto"/>
                <w:highlight w:val="none"/>
                <w:u w:val="single"/>
              </w:rPr>
              <w:t>9时30分</w:t>
            </w:r>
            <w:r>
              <w:rPr>
                <w:rFonts w:hint="eastAsia"/>
                <w:bCs/>
                <w:color w:val="auto"/>
                <w:highlight w:val="none"/>
                <w:u w:val="single"/>
              </w:rPr>
              <w:t>（</w:t>
            </w:r>
            <w:r>
              <w:rPr>
                <w:rFonts w:hint="eastAsia"/>
                <w:bCs/>
                <w:color w:val="auto"/>
                <w:highlight w:val="none"/>
              </w:rPr>
              <w:t>北京时间）前按要求递交（上传）投标文件</w:t>
            </w:r>
            <w:r>
              <w:rPr>
                <w:rFonts w:hint="eastAsia"/>
                <w:color w:val="auto"/>
                <w:highlight w:val="none"/>
              </w:rPr>
              <w:t>。</w:t>
            </w:r>
          </w:p>
        </w:tc>
      </w:tr>
    </w:tbl>
    <w:p w14:paraId="2EE77521">
      <w:pPr>
        <w:rPr>
          <w:color w:val="auto"/>
          <w:highlight w:val="none"/>
        </w:rPr>
      </w:pPr>
      <w:bookmarkStart w:id="6" w:name="_Toc35393790"/>
      <w:bookmarkStart w:id="7" w:name="_Toc28359079"/>
      <w:bookmarkStart w:id="8" w:name="_Toc35393621"/>
      <w:bookmarkStart w:id="9" w:name="_Toc28359002"/>
      <w:bookmarkStart w:id="10" w:name="_Hlk24379207"/>
      <w:r>
        <w:rPr>
          <w:rFonts w:hint="eastAsia"/>
          <w:color w:val="auto"/>
          <w:highlight w:val="none"/>
        </w:rPr>
        <w:t>一、项目基本情况</w:t>
      </w:r>
      <w:bookmarkEnd w:id="6"/>
      <w:bookmarkEnd w:id="7"/>
      <w:bookmarkEnd w:id="8"/>
      <w:bookmarkEnd w:id="9"/>
    </w:p>
    <w:p w14:paraId="7462F2FD">
      <w:pPr>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GXZC2025-G1-001432-ZZGJ</w:t>
      </w:r>
    </w:p>
    <w:p w14:paraId="19DF81C1">
      <w:pPr>
        <w:rPr>
          <w:color w:val="auto"/>
          <w:highlight w:val="none"/>
        </w:rPr>
      </w:pPr>
      <w:r>
        <w:rPr>
          <w:rFonts w:hint="eastAsia"/>
          <w:color w:val="auto"/>
          <w:highlight w:val="none"/>
        </w:rPr>
        <w:t>采购计划文号：广西政采[2025]8624号</w:t>
      </w:r>
      <w:r>
        <w:rPr>
          <w:color w:val="auto"/>
          <w:highlight w:val="none"/>
        </w:rPr>
        <w:fldChar w:fldCharType="begin"/>
      </w:r>
      <w:r>
        <w:rPr>
          <w:color w:val="auto"/>
          <w:highlight w:val="none"/>
        </w:rPr>
        <w:instrText xml:space="preserve"> HYPERLINK "https://pay.zcygov.cn/purchaseplan_front/?_app_=zcy.procurement" \l "/plan/list/view?id=1000000000011516397&amp;_app_=zcy.procurement" \t "https://www.zcygov.cn/project-center/_procurement_/purchasePlans/_blank" </w:instrText>
      </w:r>
      <w:r>
        <w:rPr>
          <w:color w:val="auto"/>
          <w:highlight w:val="none"/>
        </w:rPr>
        <w:fldChar w:fldCharType="separate"/>
      </w:r>
      <w:r>
        <w:rPr>
          <w:color w:val="auto"/>
          <w:highlight w:val="none"/>
        </w:rPr>
        <w:fldChar w:fldCharType="end"/>
      </w:r>
    </w:p>
    <w:p w14:paraId="786451D7">
      <w:pPr>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数字化精密制造与虚拟仿真生产性实训基地项目</w:t>
      </w:r>
    </w:p>
    <w:bookmarkEnd w:id="10"/>
    <w:p w14:paraId="2475F256">
      <w:pPr>
        <w:rPr>
          <w:color w:val="auto"/>
          <w:highlight w:val="none"/>
        </w:rPr>
      </w:pPr>
      <w:r>
        <w:rPr>
          <w:rFonts w:hint="eastAsia"/>
          <w:color w:val="auto"/>
          <w:highlight w:val="none"/>
        </w:rPr>
        <w:t>预算金额（人民币）：</w:t>
      </w:r>
      <w:r>
        <w:rPr>
          <w:rFonts w:hint="eastAsia"/>
          <w:color w:val="auto"/>
          <w:highlight w:val="none"/>
          <w:lang w:eastAsia="zh-CN"/>
        </w:rPr>
        <w:t>376.5万元</w:t>
      </w:r>
      <w:r>
        <w:rPr>
          <w:rFonts w:hint="eastAsia"/>
          <w:color w:val="auto"/>
          <w:highlight w:val="none"/>
        </w:rPr>
        <w:t>。</w:t>
      </w:r>
    </w:p>
    <w:p w14:paraId="66C6EAF7">
      <w:pPr>
        <w:rPr>
          <w:color w:val="auto"/>
          <w:highlight w:val="none"/>
        </w:rPr>
      </w:pPr>
      <w:r>
        <w:rPr>
          <w:rFonts w:hint="eastAsia"/>
          <w:color w:val="auto"/>
          <w:highlight w:val="none"/>
        </w:rPr>
        <w:t>最高限价：同采购预算。</w:t>
      </w:r>
    </w:p>
    <w:p w14:paraId="1E325FAD">
      <w:pPr>
        <w:rPr>
          <w:color w:val="auto"/>
          <w:highlight w:val="none"/>
        </w:rPr>
      </w:pPr>
      <w:r>
        <w:rPr>
          <w:rFonts w:hint="eastAsia"/>
          <w:color w:val="auto"/>
          <w:highlight w:val="none"/>
        </w:rPr>
        <w:t>采购需求：</w:t>
      </w:r>
      <w:r>
        <w:rPr>
          <w:rFonts w:hint="eastAsia"/>
          <w:color w:val="auto"/>
          <w:highlight w:val="none"/>
          <w:u w:val="single"/>
        </w:rPr>
        <w:t>精密五轴机床单元1套</w:t>
      </w:r>
      <w:r>
        <w:rPr>
          <w:rFonts w:hint="eastAsia"/>
          <w:color w:val="auto"/>
          <w:highlight w:val="none"/>
          <w:u w:val="single"/>
          <w:lang w:val="en-US" w:eastAsia="zh-CN"/>
        </w:rPr>
        <w:t>、</w:t>
      </w:r>
      <w:r>
        <w:rPr>
          <w:rFonts w:hint="eastAsia"/>
          <w:color w:val="auto"/>
          <w:highlight w:val="none"/>
          <w:u w:val="single"/>
        </w:rPr>
        <w:t>粗加工单元三轴精密机床单元1套</w:t>
      </w:r>
      <w:r>
        <w:rPr>
          <w:rFonts w:hint="eastAsia"/>
          <w:color w:val="auto"/>
          <w:highlight w:val="none"/>
          <w:u w:val="single"/>
          <w:lang w:eastAsia="zh-CN"/>
        </w:rPr>
        <w:t>、</w:t>
      </w:r>
      <w:r>
        <w:rPr>
          <w:rFonts w:hint="eastAsia"/>
          <w:color w:val="auto"/>
          <w:highlight w:val="none"/>
          <w:u w:val="single"/>
        </w:rPr>
        <w:t>精加工单元三轴精密机床1套</w:t>
      </w:r>
      <w:r>
        <w:rPr>
          <w:rFonts w:hint="eastAsia"/>
          <w:color w:val="auto"/>
          <w:highlight w:val="none"/>
          <w:u w:val="single"/>
          <w:lang w:eastAsia="zh-CN"/>
        </w:rPr>
        <w:t>、</w:t>
      </w:r>
      <w:r>
        <w:rPr>
          <w:rFonts w:hint="eastAsia"/>
          <w:color w:val="auto"/>
          <w:highlight w:val="none"/>
          <w:u w:val="single"/>
        </w:rPr>
        <w:t>数字化产线改造1套</w:t>
      </w:r>
      <w:r>
        <w:rPr>
          <w:rFonts w:hint="eastAsia"/>
          <w:color w:val="auto"/>
          <w:highlight w:val="none"/>
          <w:u w:val="single"/>
          <w:lang w:eastAsia="zh-CN"/>
        </w:rPr>
        <w:t>、</w:t>
      </w:r>
      <w:r>
        <w:rPr>
          <w:rFonts w:hint="eastAsia"/>
          <w:color w:val="auto"/>
          <w:highlight w:val="none"/>
          <w:u w:val="single"/>
        </w:rPr>
        <w:t>智能产线系统1套</w:t>
      </w:r>
      <w:r>
        <w:rPr>
          <w:rFonts w:hint="eastAsia"/>
          <w:color w:val="auto"/>
          <w:highlight w:val="none"/>
          <w:u w:val="single"/>
          <w:lang w:eastAsia="zh-CN"/>
        </w:rPr>
        <w:t>、</w:t>
      </w:r>
      <w:r>
        <w:rPr>
          <w:rFonts w:hint="eastAsia"/>
          <w:color w:val="auto"/>
          <w:highlight w:val="none"/>
          <w:u w:val="single"/>
        </w:rPr>
        <w:t>大师工作室1项</w:t>
      </w:r>
      <w:r>
        <w:rPr>
          <w:rFonts w:hint="eastAsia"/>
          <w:color w:val="auto"/>
          <w:kern w:val="0"/>
          <w:highlight w:val="none"/>
        </w:rPr>
        <w:t>；具体内容详见采购需求。</w:t>
      </w:r>
    </w:p>
    <w:p w14:paraId="53833372">
      <w:pPr>
        <w:rPr>
          <w:rFonts w:hint="eastAsia"/>
          <w:color w:val="auto"/>
          <w:highlight w:val="none"/>
        </w:rPr>
      </w:pPr>
      <w:r>
        <w:rPr>
          <w:rFonts w:hint="eastAsia"/>
          <w:color w:val="auto"/>
          <w:highlight w:val="none"/>
        </w:rPr>
        <w:t>合同履行期限：自合同签订之日起160个自然日内交付货物并完成所有的安装及调试。</w:t>
      </w:r>
    </w:p>
    <w:p w14:paraId="02248374">
      <w:pPr>
        <w:rPr>
          <w:color w:val="auto"/>
          <w:highlight w:val="none"/>
        </w:rPr>
      </w:pPr>
      <w:r>
        <w:rPr>
          <w:rFonts w:hint="eastAsia"/>
          <w:color w:val="auto"/>
          <w:highlight w:val="none"/>
        </w:rPr>
        <w:t>本项目不接受联合体投标。</w:t>
      </w:r>
    </w:p>
    <w:p w14:paraId="3CA91712">
      <w:pPr>
        <w:rPr>
          <w:color w:val="auto"/>
          <w:highlight w:val="none"/>
        </w:rPr>
      </w:pPr>
      <w:bookmarkStart w:id="11" w:name="_Toc28359003"/>
      <w:bookmarkStart w:id="12" w:name="_Toc35393622"/>
      <w:bookmarkStart w:id="13" w:name="_Toc28359080"/>
      <w:bookmarkStart w:id="14" w:name="_Toc35393791"/>
      <w:r>
        <w:rPr>
          <w:rFonts w:hint="eastAsia"/>
          <w:color w:val="auto"/>
          <w:highlight w:val="none"/>
        </w:rPr>
        <w:t>二、申请人的资格要求：</w:t>
      </w:r>
      <w:bookmarkEnd w:id="11"/>
      <w:bookmarkEnd w:id="12"/>
      <w:bookmarkEnd w:id="13"/>
      <w:bookmarkEnd w:id="14"/>
    </w:p>
    <w:p w14:paraId="1209C182">
      <w:pPr>
        <w:rPr>
          <w:color w:val="auto"/>
          <w:highlight w:val="none"/>
        </w:rPr>
      </w:pPr>
      <w:bookmarkStart w:id="15" w:name="_Hlk51746371"/>
      <w:r>
        <w:rPr>
          <w:rFonts w:hint="eastAsia"/>
          <w:color w:val="auto"/>
          <w:highlight w:val="none"/>
        </w:rPr>
        <w:t>1.满足《中华人民共和国政府采购法》第二十二条规定；</w:t>
      </w:r>
    </w:p>
    <w:p w14:paraId="4F64E3DE">
      <w:pPr>
        <w:rPr>
          <w:color w:val="auto"/>
          <w:highlight w:val="none"/>
        </w:rPr>
      </w:pPr>
      <w:bookmarkStart w:id="16" w:name="_Toc28359004"/>
      <w:bookmarkStart w:id="17" w:name="_Toc28359081"/>
      <w:r>
        <w:rPr>
          <w:rFonts w:hint="eastAsia"/>
          <w:color w:val="auto"/>
          <w:highlight w:val="none"/>
        </w:rPr>
        <w:t>2.落实政府采购政策需满足的资格要求：无；</w:t>
      </w:r>
    </w:p>
    <w:p w14:paraId="70131144">
      <w:pPr>
        <w:rPr>
          <w:color w:val="auto"/>
          <w:highlight w:val="none"/>
        </w:rPr>
      </w:pPr>
      <w:r>
        <w:rPr>
          <w:rFonts w:hint="eastAsia"/>
          <w:color w:val="auto"/>
          <w:highlight w:val="none"/>
        </w:rPr>
        <w:t>3.本项目的特定资格要求：无。</w:t>
      </w:r>
    </w:p>
    <w:bookmarkEnd w:id="15"/>
    <w:p w14:paraId="659A26A7">
      <w:pPr>
        <w:rPr>
          <w:color w:val="auto"/>
          <w:highlight w:val="none"/>
        </w:rPr>
      </w:pPr>
      <w:bookmarkStart w:id="18" w:name="_Toc35393792"/>
      <w:bookmarkStart w:id="19" w:name="_Toc35393623"/>
      <w:r>
        <w:rPr>
          <w:rFonts w:hint="eastAsia"/>
          <w:color w:val="auto"/>
          <w:highlight w:val="none"/>
        </w:rPr>
        <w:t>三、获取招标文件</w:t>
      </w:r>
      <w:bookmarkEnd w:id="16"/>
      <w:bookmarkEnd w:id="17"/>
      <w:bookmarkEnd w:id="18"/>
      <w:bookmarkEnd w:id="19"/>
    </w:p>
    <w:p w14:paraId="7472E255">
      <w:pPr>
        <w:rPr>
          <w:color w:val="auto"/>
          <w:kern w:val="0"/>
          <w:highlight w:val="none"/>
        </w:rPr>
      </w:pPr>
      <w:r>
        <w:rPr>
          <w:rFonts w:hint="eastAsia"/>
          <w:color w:val="auto"/>
          <w:kern w:val="0"/>
          <w:highlight w:val="none"/>
        </w:rPr>
        <w:t>时间：</w:t>
      </w:r>
      <w:r>
        <w:rPr>
          <w:rFonts w:hint="eastAsia"/>
          <w:color w:val="auto"/>
          <w:kern w:val="0"/>
          <w:highlight w:val="none"/>
          <w:lang w:eastAsia="zh-CN"/>
        </w:rPr>
        <w:t>2025年6月</w:t>
      </w:r>
      <w:r>
        <w:rPr>
          <w:rFonts w:hint="eastAsia"/>
          <w:color w:val="auto"/>
          <w:kern w:val="0"/>
          <w:highlight w:val="none"/>
          <w:lang w:val="en-US" w:eastAsia="zh-CN"/>
        </w:rPr>
        <w:t>13</w:t>
      </w:r>
      <w:r>
        <w:rPr>
          <w:rFonts w:hint="eastAsia"/>
          <w:color w:val="auto"/>
          <w:kern w:val="0"/>
          <w:highlight w:val="none"/>
          <w:lang w:eastAsia="zh-CN"/>
        </w:rPr>
        <w:t>日</w:t>
      </w:r>
      <w:r>
        <w:rPr>
          <w:rFonts w:hint="eastAsia"/>
          <w:color w:val="auto"/>
          <w:kern w:val="0"/>
          <w:highlight w:val="none"/>
        </w:rPr>
        <w:t>至2025年</w:t>
      </w:r>
      <w:r>
        <w:rPr>
          <w:rFonts w:hint="eastAsia"/>
          <w:color w:val="auto"/>
          <w:kern w:val="0"/>
          <w:highlight w:val="none"/>
          <w:lang w:val="en-US" w:eastAsia="zh-CN"/>
        </w:rPr>
        <w:t>6</w:t>
      </w:r>
      <w:r>
        <w:rPr>
          <w:rFonts w:hint="eastAsia"/>
          <w:color w:val="auto"/>
          <w:kern w:val="0"/>
          <w:highlight w:val="none"/>
        </w:rPr>
        <w:t>月</w:t>
      </w:r>
      <w:r>
        <w:rPr>
          <w:rFonts w:hint="eastAsia"/>
          <w:color w:val="auto"/>
          <w:kern w:val="0"/>
          <w:highlight w:val="none"/>
          <w:lang w:val="en-US" w:eastAsia="zh-CN"/>
        </w:rPr>
        <w:t>19</w:t>
      </w:r>
      <w:r>
        <w:rPr>
          <w:rFonts w:hint="eastAsia"/>
          <w:color w:val="auto"/>
          <w:kern w:val="0"/>
          <w:highlight w:val="none"/>
        </w:rPr>
        <w:t>日，每天</w:t>
      </w:r>
      <w:r>
        <w:rPr>
          <w:rFonts w:hint="eastAsia" w:ascii="宋体" w:hAnsi="宋体" w:cs="Arial"/>
          <w:color w:val="auto"/>
          <w:kern w:val="0"/>
          <w:szCs w:val="21"/>
          <w:highlight w:val="none"/>
        </w:rPr>
        <w:t>8:30-12:00，14:30-18:00</w:t>
      </w:r>
      <w:r>
        <w:rPr>
          <w:rFonts w:hint="eastAsia"/>
          <w:color w:val="auto"/>
          <w:kern w:val="0"/>
          <w:highlight w:val="none"/>
        </w:rPr>
        <w:t>（北京时间，法定节假日除外）</w:t>
      </w:r>
    </w:p>
    <w:p w14:paraId="2D328E74">
      <w:pPr>
        <w:rPr>
          <w:color w:val="auto"/>
          <w:kern w:val="0"/>
          <w:highlight w:val="none"/>
        </w:rPr>
      </w:pPr>
      <w:r>
        <w:rPr>
          <w:rFonts w:hint="eastAsia"/>
          <w:color w:val="auto"/>
          <w:kern w:val="0"/>
          <w:highlight w:val="none"/>
        </w:rPr>
        <w:t>地点：广西政府采购云平台（https://www.gcy.zfcg.gxzf.gov.cn/）</w:t>
      </w:r>
    </w:p>
    <w:p w14:paraId="7E5F83AF">
      <w:pPr>
        <w:rPr>
          <w:bCs/>
          <w:color w:val="auto"/>
          <w:kern w:val="0"/>
          <w:highlight w:val="none"/>
        </w:rPr>
      </w:pPr>
      <w:r>
        <w:rPr>
          <w:rFonts w:hint="eastAsia"/>
          <w:bCs/>
          <w:color w:val="auto"/>
          <w:kern w:val="0"/>
          <w:highlight w:val="none"/>
        </w:rPr>
        <w:t>方式：</w:t>
      </w:r>
      <w:r>
        <w:rPr>
          <w:rFonts w:hint="eastAsia"/>
          <w:color w:val="auto"/>
          <w:highlight w:val="none"/>
        </w:rPr>
        <w:t>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13FB8CF7">
      <w:pPr>
        <w:rPr>
          <w:color w:val="auto"/>
          <w:szCs w:val="24"/>
          <w:highlight w:val="none"/>
        </w:rPr>
      </w:pPr>
      <w:r>
        <w:rPr>
          <w:rFonts w:hint="eastAsia"/>
          <w:color w:val="auto"/>
          <w:kern w:val="0"/>
          <w:highlight w:val="none"/>
        </w:rPr>
        <w:t>售价：</w:t>
      </w:r>
      <w:r>
        <w:rPr>
          <w:rFonts w:hint="eastAsia"/>
          <w:color w:val="auto"/>
          <w:kern w:val="0"/>
          <w:highlight w:val="none"/>
          <w:u w:val="single"/>
        </w:rPr>
        <w:t>0</w:t>
      </w:r>
      <w:r>
        <w:rPr>
          <w:rFonts w:hint="eastAsia"/>
          <w:color w:val="auto"/>
          <w:highlight w:val="none"/>
        </w:rPr>
        <w:t>元</w:t>
      </w:r>
    </w:p>
    <w:p w14:paraId="0CAE19BF">
      <w:pPr>
        <w:rPr>
          <w:color w:val="auto"/>
          <w:highlight w:val="none"/>
        </w:rPr>
      </w:pPr>
      <w:bookmarkStart w:id="20" w:name="_Toc28359005"/>
      <w:bookmarkStart w:id="21" w:name="_Toc28359082"/>
      <w:bookmarkStart w:id="22" w:name="_Toc35393624"/>
      <w:bookmarkStart w:id="23" w:name="_Toc35393793"/>
      <w:r>
        <w:rPr>
          <w:rFonts w:hint="eastAsia"/>
          <w:color w:val="auto"/>
          <w:highlight w:val="none"/>
        </w:rPr>
        <w:t>四、提交投标文件</w:t>
      </w:r>
      <w:bookmarkEnd w:id="20"/>
      <w:bookmarkEnd w:id="21"/>
      <w:r>
        <w:rPr>
          <w:rFonts w:hint="eastAsia"/>
          <w:color w:val="auto"/>
          <w:highlight w:val="none"/>
        </w:rPr>
        <w:t>截止时间、开标时间和地点</w:t>
      </w:r>
      <w:bookmarkEnd w:id="22"/>
      <w:bookmarkEnd w:id="23"/>
    </w:p>
    <w:p w14:paraId="0FE8953E">
      <w:pPr>
        <w:rPr>
          <w:color w:val="auto"/>
          <w:highlight w:val="none"/>
        </w:rPr>
      </w:pPr>
      <w:bookmarkStart w:id="24" w:name="_Toc35393625"/>
      <w:bookmarkStart w:id="25" w:name="_Toc28359007"/>
      <w:bookmarkStart w:id="26" w:name="_Toc28359084"/>
      <w:bookmarkStart w:id="27" w:name="_Toc35393794"/>
      <w:r>
        <w:rPr>
          <w:rFonts w:hint="eastAsia"/>
          <w:bCs/>
          <w:color w:val="auto"/>
          <w:highlight w:val="none"/>
        </w:rPr>
        <w:t>时间：</w:t>
      </w:r>
      <w:r>
        <w:rPr>
          <w:rFonts w:hint="eastAsia"/>
          <w:color w:val="auto"/>
          <w:highlight w:val="none"/>
          <w:lang w:eastAsia="zh-CN"/>
        </w:rPr>
        <w:t>2025年7月3日</w:t>
      </w:r>
      <w:r>
        <w:rPr>
          <w:rFonts w:hint="eastAsia"/>
          <w:color w:val="auto"/>
          <w:highlight w:val="none"/>
        </w:rPr>
        <w:t>9时30分</w:t>
      </w:r>
      <w:r>
        <w:rPr>
          <w:rFonts w:hint="eastAsia"/>
          <w:bCs/>
          <w:color w:val="auto"/>
          <w:highlight w:val="none"/>
        </w:rPr>
        <w:t>（北京时间）</w:t>
      </w:r>
    </w:p>
    <w:p w14:paraId="2464A3D4">
      <w:pPr>
        <w:rPr>
          <w:color w:val="auto"/>
          <w:kern w:val="0"/>
          <w:highlight w:val="none"/>
        </w:rPr>
      </w:pPr>
      <w:r>
        <w:rPr>
          <w:rFonts w:hint="eastAsia"/>
          <w:color w:val="auto"/>
          <w:kern w:val="0"/>
          <w:highlight w:val="none"/>
        </w:rPr>
        <w:t>投标地点：广西政府采购云平台（</w:t>
      </w:r>
      <w:r>
        <w:rPr>
          <w:color w:val="auto"/>
          <w:kern w:val="0"/>
          <w:highlight w:val="none"/>
        </w:rPr>
        <w:t>https://www.gcy.zfcg.gxzf.gov.cn/</w:t>
      </w:r>
      <w:r>
        <w:rPr>
          <w:rFonts w:hint="eastAsia"/>
          <w:color w:val="auto"/>
          <w:kern w:val="0"/>
          <w:highlight w:val="none"/>
        </w:rPr>
        <w:t>）。</w:t>
      </w:r>
    </w:p>
    <w:p w14:paraId="6DCC9343">
      <w:pPr>
        <w:rPr>
          <w:color w:val="auto"/>
          <w:kern w:val="0"/>
          <w:highlight w:val="none"/>
        </w:rPr>
      </w:pPr>
      <w:r>
        <w:rPr>
          <w:rFonts w:hint="eastAsia"/>
          <w:color w:val="auto"/>
          <w:kern w:val="0"/>
          <w:highlight w:val="none"/>
        </w:rPr>
        <w:t xml:space="preserve">开标地点：广西政府采购云平台电子开标大厅。 </w:t>
      </w:r>
    </w:p>
    <w:p w14:paraId="407B7CFE">
      <w:pPr>
        <w:rPr>
          <w:color w:val="auto"/>
          <w:highlight w:val="none"/>
        </w:rPr>
      </w:pPr>
      <w:r>
        <w:rPr>
          <w:rFonts w:hint="eastAsia"/>
          <w:color w:val="auto"/>
          <w:highlight w:val="none"/>
        </w:rPr>
        <w:t>五、公告期限</w:t>
      </w:r>
      <w:bookmarkEnd w:id="24"/>
      <w:bookmarkEnd w:id="25"/>
      <w:bookmarkEnd w:id="26"/>
      <w:bookmarkEnd w:id="27"/>
    </w:p>
    <w:p w14:paraId="64A70163">
      <w:pPr>
        <w:rPr>
          <w:color w:val="auto"/>
          <w:kern w:val="0"/>
          <w:highlight w:val="none"/>
        </w:rPr>
      </w:pPr>
      <w:r>
        <w:rPr>
          <w:rFonts w:hint="eastAsia"/>
          <w:color w:val="auto"/>
          <w:kern w:val="0"/>
          <w:highlight w:val="none"/>
        </w:rPr>
        <w:t>自本公告发布之日起5个工作日。</w:t>
      </w:r>
    </w:p>
    <w:p w14:paraId="6009FEA9">
      <w:pPr>
        <w:rPr>
          <w:color w:val="auto"/>
          <w:highlight w:val="none"/>
        </w:rPr>
      </w:pPr>
      <w:bookmarkStart w:id="28" w:name="_Toc35393626"/>
      <w:bookmarkStart w:id="29" w:name="_Toc35393795"/>
      <w:r>
        <w:rPr>
          <w:rFonts w:hint="eastAsia"/>
          <w:color w:val="auto"/>
          <w:highlight w:val="none"/>
        </w:rPr>
        <w:t>六、其他补充事宜</w:t>
      </w:r>
      <w:bookmarkEnd w:id="28"/>
      <w:bookmarkEnd w:id="29"/>
    </w:p>
    <w:p w14:paraId="1A14464A">
      <w:pPr>
        <w:rPr>
          <w:rFonts w:hint="eastAsia"/>
          <w:color w:val="auto"/>
          <w:kern w:val="0"/>
          <w:highlight w:val="none"/>
        </w:rPr>
      </w:pPr>
      <w:bookmarkStart w:id="30" w:name="_Hlk37429585"/>
      <w:bookmarkStart w:id="31" w:name="_Hlk37429595"/>
      <w:r>
        <w:rPr>
          <w:rFonts w:hint="eastAsia"/>
          <w:color w:val="auto"/>
          <w:kern w:val="0"/>
          <w:highlight w:val="none"/>
        </w:rPr>
        <w:t>1.投标保证金：人民币3.8万元</w:t>
      </w:r>
      <w:r>
        <w:rPr>
          <w:rFonts w:hint="eastAsia"/>
          <w:color w:val="auto"/>
          <w:kern w:val="0"/>
          <w:highlight w:val="none"/>
          <w:lang w:eastAsia="zh-CN"/>
        </w:rPr>
        <w:t>；</w:t>
      </w:r>
      <w:r>
        <w:rPr>
          <w:rFonts w:hint="eastAsia"/>
          <w:color w:val="auto"/>
          <w:kern w:val="0"/>
          <w:highlight w:val="none"/>
        </w:rPr>
        <w:t>投标保证金的交纳方式：支票、汇票、本票、银行转账或者金融机构、担保机构出具的保函（含电子保函），禁止采用现钞方式。采用银行转账方式的，在投标截止时间前交至指定账户并且到账【开户名称：中资国际工程咨询集团有限责任公司广西分公司，开户银行：招商银行南宁分行东葛路支行，银行账号：771901372110211】；采用支票、汇票、本票或者金融机构、担保机构出具的保函（含电子保函），在投标截止时间前，投标人必须递交单独密封的支票、汇票、本票或者金融机构、担保机构出具的保函（含电子保函）原件。否则视为无效投标保证金。注：投标保证金转账时请备注“项目编号”等字样。</w:t>
      </w:r>
    </w:p>
    <w:p w14:paraId="262A31B3">
      <w:pPr>
        <w:rPr>
          <w:color w:val="auto"/>
          <w:kern w:val="0"/>
          <w:highlight w:val="none"/>
        </w:rPr>
      </w:pPr>
      <w:r>
        <w:rPr>
          <w:rFonts w:hint="eastAsia"/>
          <w:color w:val="auto"/>
          <w:kern w:val="0"/>
          <w:highlight w:val="none"/>
          <w:lang w:val="en-US" w:eastAsia="zh-CN"/>
        </w:rPr>
        <w:t>2.</w:t>
      </w:r>
      <w:r>
        <w:rPr>
          <w:rFonts w:hint="eastAsia"/>
          <w:color w:val="auto"/>
          <w:kern w:val="0"/>
          <w:highlight w:val="none"/>
        </w:rPr>
        <w:t>网上查询地址</w:t>
      </w:r>
    </w:p>
    <w:bookmarkEnd w:id="30"/>
    <w:p w14:paraId="6FBB3191">
      <w:pPr>
        <w:rPr>
          <w:color w:val="auto"/>
          <w:highlight w:val="none"/>
        </w:rPr>
      </w:pPr>
      <w:r>
        <w:rPr>
          <w:rFonts w:hint="eastAsia"/>
          <w:color w:val="auto"/>
          <w:highlight w:val="none"/>
        </w:rPr>
        <w:t>http://www.ccgp.gov.cn（中国政府采购网）、http://zfcg.gxzf.gov.cn（广西壮族自治区政府采购网）、http://ggzy.jgswj.gxzf.gov.cn/（全国公共资源交易中心.广西壮族自治区）。</w:t>
      </w:r>
    </w:p>
    <w:bookmarkEnd w:id="31"/>
    <w:p w14:paraId="5271E56D">
      <w:pPr>
        <w:rPr>
          <w:color w:val="auto"/>
          <w:kern w:val="0"/>
          <w:highlight w:val="none"/>
        </w:rPr>
      </w:pPr>
      <w:bookmarkStart w:id="32" w:name="_Hlk37429674"/>
      <w:r>
        <w:rPr>
          <w:rFonts w:hint="eastAsia"/>
          <w:color w:val="auto"/>
          <w:highlight w:val="none"/>
          <w:lang w:val="en-US" w:eastAsia="zh-CN"/>
        </w:rPr>
        <w:t>3</w:t>
      </w:r>
      <w:r>
        <w:rPr>
          <w:rFonts w:hint="eastAsia"/>
          <w:color w:val="auto"/>
          <w:highlight w:val="none"/>
        </w:rPr>
        <w:t>.</w:t>
      </w:r>
      <w:r>
        <w:rPr>
          <w:rFonts w:hint="eastAsia"/>
          <w:color w:val="auto"/>
          <w:kern w:val="0"/>
          <w:highlight w:val="none"/>
        </w:rPr>
        <w:t>本项目需要落实的政府采购政策</w:t>
      </w:r>
    </w:p>
    <w:p w14:paraId="5D73F837">
      <w:pPr>
        <w:rPr>
          <w:color w:val="auto"/>
          <w:kern w:val="0"/>
          <w:highlight w:val="none"/>
        </w:rPr>
      </w:pPr>
      <w:r>
        <w:rPr>
          <w:rFonts w:hint="eastAsia"/>
          <w:color w:val="auto"/>
          <w:kern w:val="0"/>
          <w:highlight w:val="none"/>
        </w:rPr>
        <w:t>（1）政府采购促进中小企业发展。</w:t>
      </w:r>
    </w:p>
    <w:p w14:paraId="2971561D">
      <w:pPr>
        <w:rPr>
          <w:color w:val="auto"/>
          <w:kern w:val="0"/>
          <w:highlight w:val="none"/>
        </w:rPr>
      </w:pPr>
      <w:r>
        <w:rPr>
          <w:rFonts w:hint="eastAsia"/>
          <w:color w:val="auto"/>
          <w:kern w:val="0"/>
          <w:highlight w:val="none"/>
        </w:rPr>
        <w:t>（2）政府采购支持采用本国产品的政策。</w:t>
      </w:r>
    </w:p>
    <w:p w14:paraId="2A033CB0">
      <w:pPr>
        <w:rPr>
          <w:color w:val="auto"/>
          <w:kern w:val="0"/>
          <w:highlight w:val="none"/>
        </w:rPr>
      </w:pPr>
      <w:r>
        <w:rPr>
          <w:rFonts w:hint="eastAsia"/>
          <w:color w:val="auto"/>
          <w:kern w:val="0"/>
          <w:highlight w:val="none"/>
        </w:rPr>
        <w:t>（3）强制采购节能产品；优先采购节能产品、环境标志产品。</w:t>
      </w:r>
    </w:p>
    <w:p w14:paraId="21B60943">
      <w:pPr>
        <w:rPr>
          <w:color w:val="auto"/>
          <w:kern w:val="0"/>
          <w:highlight w:val="none"/>
        </w:rPr>
      </w:pPr>
      <w:r>
        <w:rPr>
          <w:rFonts w:hint="eastAsia"/>
          <w:color w:val="auto"/>
          <w:kern w:val="0"/>
          <w:highlight w:val="none"/>
        </w:rPr>
        <w:t>（4）政府采购促进残疾人就业政策。</w:t>
      </w:r>
    </w:p>
    <w:p w14:paraId="60910D9A">
      <w:pPr>
        <w:rPr>
          <w:color w:val="auto"/>
          <w:kern w:val="0"/>
          <w:highlight w:val="none"/>
        </w:rPr>
      </w:pPr>
      <w:r>
        <w:rPr>
          <w:rFonts w:hint="eastAsia"/>
          <w:color w:val="auto"/>
          <w:kern w:val="0"/>
          <w:highlight w:val="none"/>
        </w:rPr>
        <w:t>（5）政府采购支持监狱企业发展。</w:t>
      </w:r>
    </w:p>
    <w:bookmarkEnd w:id="32"/>
    <w:p w14:paraId="7E4A75D0">
      <w:pPr>
        <w:rPr>
          <w:color w:val="auto"/>
          <w:highlight w:val="none"/>
        </w:rPr>
      </w:pPr>
      <w:bookmarkStart w:id="33" w:name="_Toc28359008"/>
      <w:bookmarkStart w:id="34" w:name="_Toc28359085"/>
      <w:bookmarkStart w:id="35" w:name="_Toc35393796"/>
      <w:bookmarkStart w:id="36" w:name="_Toc35393627"/>
      <w:r>
        <w:rPr>
          <w:rFonts w:hint="eastAsia"/>
          <w:color w:val="auto"/>
          <w:kern w:val="0"/>
          <w:highlight w:val="none"/>
          <w:lang w:val="en-US" w:eastAsia="zh-CN"/>
        </w:rPr>
        <w:t>4</w:t>
      </w:r>
      <w:r>
        <w:rPr>
          <w:rFonts w:hint="eastAsia"/>
          <w:color w:val="auto"/>
          <w:kern w:val="0"/>
          <w:highlight w:val="none"/>
        </w:rPr>
        <w:t>.投标人</w:t>
      </w:r>
      <w:r>
        <w:rPr>
          <w:rFonts w:hint="eastAsia"/>
          <w:color w:val="auto"/>
          <w:highlight w:val="none"/>
        </w:rPr>
        <w:t>投标注意事项</w:t>
      </w:r>
    </w:p>
    <w:p w14:paraId="72BCA9A6">
      <w:pPr>
        <w:wordWrap w:val="0"/>
        <w:rPr>
          <w:color w:val="auto"/>
          <w:highlight w:val="none"/>
        </w:rPr>
      </w:pPr>
      <w:r>
        <w:rPr>
          <w:rFonts w:hint="eastAsia"/>
          <w:color w:val="auto"/>
          <w:highlight w:val="none"/>
        </w:rPr>
        <w:t>（1）本项目为全流程电子化采购项目，通过广西政府采购云平台（https://www.gcy.zfcg.gxzf.gov.cn/）实行在线电子投标，投标人应先安装“广西政府采购云平台客户端”（请自行前往“广西政府采购云平台（https://www.gcy.zfcg.gxzf.gov.cn/）”平台进行下载），并按照本项目招标文件和广西政府采购云平台的要求编制、加密后在投标截止时间前通过网络上传至 广西政府采购云平台（</w:t>
      </w:r>
      <w:r>
        <w:rPr>
          <w:rFonts w:hint="eastAsia"/>
          <w:color w:val="auto"/>
          <w:highlight w:val="none"/>
          <w:u w:val="single"/>
        </w:rPr>
        <w:t>加密的电子投标文件是指</w:t>
      </w:r>
      <w:r>
        <w:rPr>
          <w:rFonts w:hint="eastAsia"/>
          <w:color w:val="auto"/>
          <w:szCs w:val="24"/>
          <w:highlight w:val="none"/>
          <w:u w:val="single"/>
        </w:rPr>
        <w:t>后缀名为“jmbs”的文件</w:t>
      </w:r>
      <w:r>
        <w:rPr>
          <w:rFonts w:hint="eastAsia"/>
          <w:color w:val="auto"/>
          <w:highlight w:val="none"/>
        </w:rPr>
        <w:t>），投标人在广西政府采购云平台提交电子投标文件时，请填写参加远程开标活动经办人联系方式。电子投标具体操作流程参考《政府采购项目电子交易管理操作指南-供应商》（详见广西壮族自治区政府采购网—办事服务—下载专区-</w:t>
      </w:r>
      <w:r>
        <w:rPr>
          <w:color w:val="auto"/>
          <w:highlight w:val="none"/>
        </w:rPr>
        <w:fldChar w:fldCharType="begin"/>
      </w:r>
      <w:r>
        <w:rPr>
          <w:color w:val="auto"/>
          <w:highlight w:val="none"/>
        </w:rPr>
        <w:instrText xml:space="preserve"> HYPERLINK "http://zfcg.gxzf.gov.cn/site/detail?parentId=66479&amp;articleId=+06E5n62B1RzrGh0ew1OFg==" \t "http://zfcg.gxzf.gov.cn/site/_blank" \o "广西政府采购云平台新版客户端" </w:instrText>
      </w:r>
      <w:r>
        <w:rPr>
          <w:color w:val="auto"/>
          <w:highlight w:val="none"/>
        </w:rPr>
        <w:fldChar w:fldCharType="separate"/>
      </w:r>
      <w:r>
        <w:rPr>
          <w:rFonts w:hint="eastAsia"/>
          <w:color w:val="auto"/>
          <w:highlight w:val="none"/>
        </w:rPr>
        <w:t>广西政府采购云平台新版客户端</w:t>
      </w:r>
      <w:r>
        <w:rPr>
          <w:rFonts w:hint="eastAsia"/>
          <w:color w:val="auto"/>
          <w:highlight w:val="none"/>
        </w:rPr>
        <w:fldChar w:fldCharType="end"/>
      </w:r>
      <w:r>
        <w:rPr>
          <w:rFonts w:hint="eastAsia"/>
          <w:color w:val="auto"/>
          <w:highlight w:val="none"/>
        </w:rPr>
        <w:t>）。</w:t>
      </w:r>
    </w:p>
    <w:p w14:paraId="781A3378">
      <w:pPr>
        <w:rPr>
          <w:color w:val="auto"/>
          <w:highlight w:val="none"/>
        </w:rPr>
      </w:pPr>
      <w:r>
        <w:rPr>
          <w:rFonts w:hint="eastAsia"/>
          <w:color w:val="auto"/>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广西政府采购云平台</w:t>
      </w:r>
      <w:r>
        <w:rPr>
          <w:rFonts w:hint="eastAsia"/>
          <w:color w:val="auto"/>
          <w:kern w:val="0"/>
          <w:highlight w:val="none"/>
        </w:rPr>
        <w:t>，</w:t>
      </w:r>
      <w:r>
        <w:rPr>
          <w:rFonts w:hint="eastAsia"/>
          <w:color w:val="auto"/>
          <w:highlight w:val="none"/>
        </w:rPr>
        <w:t>依次进入“CA管理-申领CA”中查看CA数字证书办理操作流程。</w:t>
      </w:r>
      <w:r>
        <w:rPr>
          <w:rFonts w:hint="eastAsia"/>
          <w:bCs/>
          <w:color w:val="auto"/>
          <w:kern w:val="0"/>
          <w:highlight w:val="none"/>
        </w:rPr>
        <w:t>如在操作过程中遇到问题或者需要技术支持，请致电客服热线：95763</w:t>
      </w:r>
      <w:r>
        <w:rPr>
          <w:rFonts w:hint="eastAsia"/>
          <w:color w:val="auto"/>
          <w:highlight w:val="none"/>
        </w:rPr>
        <w:t>）。</w:t>
      </w:r>
    </w:p>
    <w:p w14:paraId="5F46B478">
      <w:pPr>
        <w:rPr>
          <w:color w:val="auto"/>
          <w:kern w:val="0"/>
          <w:highlight w:val="none"/>
        </w:rPr>
      </w:pPr>
      <w:r>
        <w:rPr>
          <w:rFonts w:hint="eastAsia"/>
          <w:color w:val="auto"/>
          <w:kern w:val="0"/>
          <w:highlight w:val="none"/>
        </w:rPr>
        <w:t>（3）CA证书在线解密：投标人投标时，需凭制作投标文件时用来加密的有效数字证书（CA认证）登录</w:t>
      </w:r>
      <w:r>
        <w:rPr>
          <w:rFonts w:hint="eastAsia"/>
          <w:color w:val="auto"/>
          <w:highlight w:val="none"/>
        </w:rPr>
        <w:t>广西政府采购云平台</w:t>
      </w:r>
      <w:r>
        <w:rPr>
          <w:rFonts w:hint="eastAsia"/>
          <w:color w:val="auto"/>
          <w:kern w:val="0"/>
          <w:highlight w:val="none"/>
        </w:rPr>
        <w:t>电子开标大厅现场按规定时间对加密的投标文件进行解密，否则后果自负。</w:t>
      </w:r>
    </w:p>
    <w:p w14:paraId="4A2FFA11">
      <w:pPr>
        <w:rPr>
          <w:color w:val="auto"/>
          <w:highlight w:val="none"/>
        </w:rPr>
      </w:pPr>
      <w:r>
        <w:rPr>
          <w:rFonts w:hint="eastAsia"/>
          <w:color w:val="auto"/>
          <w:highlight w:val="none"/>
        </w:rPr>
        <w:t>注：</w:t>
      </w:r>
    </w:p>
    <w:p w14:paraId="57DE8A2A">
      <w:pPr>
        <w:rPr>
          <w:color w:val="auto"/>
          <w:highlight w:val="none"/>
        </w:rPr>
      </w:pPr>
      <w:r>
        <w:rPr>
          <w:rFonts w:hint="eastAsia"/>
          <w:color w:val="auto"/>
          <w:highlight w:val="none"/>
        </w:rPr>
        <w:fldChar w:fldCharType="begin"/>
      </w:r>
      <w:r>
        <w:rPr>
          <w:color w:val="auto"/>
          <w:highlight w:val="none"/>
        </w:rPr>
        <w:instrText xml:space="preserve"> = 1 \* GB3 </w:instrText>
      </w:r>
      <w:r>
        <w:rPr>
          <w:rFonts w:hint="eastAsia"/>
          <w:color w:val="auto"/>
          <w:highlight w:val="none"/>
        </w:rPr>
        <w:fldChar w:fldCharType="separate"/>
      </w:r>
      <w:r>
        <w:rPr>
          <w:rFonts w:hint="eastAsia"/>
          <w:color w:val="auto"/>
          <w:highlight w:val="none"/>
        </w:rPr>
        <w:t>①</w:t>
      </w:r>
      <w:r>
        <w:rPr>
          <w:rFonts w:hint="eastAsia"/>
          <w:color w:val="auto"/>
          <w:highlight w:val="none"/>
        </w:rPr>
        <w:fldChar w:fldCharType="end"/>
      </w:r>
      <w:r>
        <w:rPr>
          <w:rFonts w:hint="eastAsia"/>
          <w:color w:val="auto"/>
          <w:highlight w:val="none"/>
        </w:rPr>
        <w:t>为确保网上操作合法、有效和安全，请投标人确保在电子投标过程中能够对相关数据电文进行加密和使用电子签章，妥善保管CA数字证书并使用有效的CA数字证书参与整个招标活动。</w:t>
      </w:r>
    </w:p>
    <w:p w14:paraId="727AB528">
      <w:pPr>
        <w:rPr>
          <w:color w:val="auto"/>
          <w:highlight w:val="none"/>
        </w:rPr>
      </w:pPr>
      <w:r>
        <w:rPr>
          <w:rFonts w:hint="eastAsia"/>
          <w:color w:val="auto"/>
          <w:highlight w:val="none"/>
        </w:rPr>
        <w:fldChar w:fldCharType="begin"/>
      </w:r>
      <w:r>
        <w:rPr>
          <w:color w:val="auto"/>
          <w:highlight w:val="none"/>
        </w:rPr>
        <w:instrText xml:space="preserve"> = 2 \* GB3 </w:instrText>
      </w:r>
      <w:r>
        <w:rPr>
          <w:rFonts w:hint="eastAsia"/>
          <w:color w:val="auto"/>
          <w:highlight w:val="none"/>
        </w:rPr>
        <w:fldChar w:fldCharType="separate"/>
      </w:r>
      <w:r>
        <w:rPr>
          <w:rFonts w:hint="eastAsia"/>
          <w:color w:val="auto"/>
          <w:highlight w:val="none"/>
        </w:rPr>
        <w:t>②</w:t>
      </w:r>
      <w:r>
        <w:rPr>
          <w:rFonts w:hint="eastAsia"/>
          <w:color w:val="auto"/>
          <w:highlight w:val="none"/>
        </w:rPr>
        <w:fldChar w:fldCharType="end"/>
      </w:r>
      <w:r>
        <w:rPr>
          <w:rFonts w:hint="eastAsia"/>
          <w:color w:val="auto"/>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77168922">
      <w:pPr>
        <w:rPr>
          <w:color w:val="auto"/>
          <w:highlight w:val="none"/>
        </w:rPr>
      </w:pPr>
      <w:r>
        <w:rPr>
          <w:rFonts w:hint="eastAsia"/>
          <w:color w:val="auto"/>
          <w:highlight w:val="none"/>
        </w:rPr>
        <w:t>（4）投标人需要在具备有摄像头及语音功能且互联网网络状况良好的电脑登录“广西政府采购云平台”远程开标大厅参与本次投标，否则后果自负。</w:t>
      </w:r>
    </w:p>
    <w:p w14:paraId="7EF8E9A7">
      <w:pPr>
        <w:rPr>
          <w:color w:val="auto"/>
          <w:highlight w:val="none"/>
        </w:rPr>
      </w:pPr>
      <w:r>
        <w:rPr>
          <w:rFonts w:hint="eastAsia"/>
          <w:color w:val="auto"/>
          <w:highlight w:val="none"/>
        </w:rPr>
        <w:t>七、对本次招标提出询问，请按以下方式联系。</w:t>
      </w:r>
      <w:bookmarkEnd w:id="33"/>
      <w:bookmarkEnd w:id="34"/>
      <w:bookmarkEnd w:id="35"/>
      <w:bookmarkEnd w:id="36"/>
    </w:p>
    <w:p w14:paraId="38EE024A">
      <w:pPr>
        <w:rPr>
          <w:color w:val="auto"/>
          <w:highlight w:val="none"/>
        </w:rPr>
      </w:pPr>
      <w:r>
        <w:rPr>
          <w:rFonts w:hint="eastAsia"/>
          <w:color w:val="auto"/>
          <w:highlight w:val="none"/>
        </w:rPr>
        <w:t>1.采购人信息</w:t>
      </w:r>
    </w:p>
    <w:p w14:paraId="3D4EE354">
      <w:pPr>
        <w:rPr>
          <w:rFonts w:hint="eastAsia" w:eastAsia="宋体"/>
          <w:color w:val="auto"/>
          <w:highlight w:val="none"/>
          <w:lang w:eastAsia="zh-CN"/>
        </w:rPr>
      </w:pPr>
      <w:bookmarkStart w:id="37" w:name="_Toc28359009"/>
      <w:bookmarkStart w:id="38" w:name="_Toc28359086"/>
      <w:r>
        <w:rPr>
          <w:rFonts w:hint="eastAsia"/>
          <w:color w:val="auto"/>
          <w:highlight w:val="none"/>
        </w:rPr>
        <w:t>名称：</w:t>
      </w:r>
      <w:r>
        <w:rPr>
          <w:rFonts w:hint="eastAsia"/>
          <w:color w:val="auto"/>
          <w:highlight w:val="none"/>
          <w:lang w:eastAsia="zh-CN"/>
        </w:rPr>
        <w:t>广西工业职业技术学院</w:t>
      </w:r>
    </w:p>
    <w:p w14:paraId="5CF4E6E7">
      <w:pPr>
        <w:rPr>
          <w:rFonts w:hint="eastAsia" w:eastAsia="宋体"/>
          <w:color w:val="auto"/>
          <w:highlight w:val="none"/>
          <w:lang w:eastAsia="zh-CN"/>
        </w:rPr>
      </w:pPr>
      <w:r>
        <w:rPr>
          <w:rFonts w:hint="eastAsia"/>
          <w:color w:val="auto"/>
          <w:highlight w:val="none"/>
        </w:rPr>
        <w:t>地址：</w:t>
      </w:r>
      <w:r>
        <w:rPr>
          <w:rFonts w:hint="eastAsia"/>
          <w:color w:val="auto"/>
          <w:highlight w:val="none"/>
          <w:lang w:eastAsia="zh-CN"/>
        </w:rPr>
        <w:t>南宁市秀灵路37号</w:t>
      </w:r>
    </w:p>
    <w:p w14:paraId="329A3BFC">
      <w:pPr>
        <w:rPr>
          <w:color w:val="auto"/>
          <w:highlight w:val="none"/>
        </w:rPr>
      </w:pPr>
      <w:r>
        <w:rPr>
          <w:rFonts w:hint="eastAsia"/>
          <w:color w:val="auto"/>
          <w:highlight w:val="none"/>
        </w:rPr>
        <w:t>联系方式：黄淑娟  0771-3828335</w:t>
      </w:r>
    </w:p>
    <w:p w14:paraId="6FE926F9">
      <w:pPr>
        <w:rPr>
          <w:color w:val="auto"/>
          <w:highlight w:val="none"/>
        </w:rPr>
      </w:pPr>
      <w:r>
        <w:rPr>
          <w:rFonts w:hint="eastAsia"/>
          <w:color w:val="auto"/>
          <w:highlight w:val="none"/>
        </w:rPr>
        <w:t>2.采购代理机构信息</w:t>
      </w:r>
      <w:bookmarkEnd w:id="37"/>
      <w:bookmarkEnd w:id="38"/>
    </w:p>
    <w:p w14:paraId="43679FF8">
      <w:pPr>
        <w:rPr>
          <w:rFonts w:hint="eastAsia" w:eastAsia="宋体"/>
          <w:color w:val="auto"/>
          <w:highlight w:val="none"/>
          <w:lang w:eastAsia="zh-CN"/>
        </w:rPr>
      </w:pPr>
      <w:r>
        <w:rPr>
          <w:rFonts w:hint="eastAsia"/>
          <w:color w:val="auto"/>
          <w:highlight w:val="none"/>
        </w:rPr>
        <w:t>名称：</w:t>
      </w:r>
      <w:r>
        <w:rPr>
          <w:rFonts w:hint="eastAsia"/>
          <w:color w:val="auto"/>
          <w:highlight w:val="none"/>
          <w:lang w:eastAsia="zh-CN"/>
        </w:rPr>
        <w:t>中资国际工程咨询集团有限责任公司</w:t>
      </w:r>
    </w:p>
    <w:p w14:paraId="35322D84">
      <w:pPr>
        <w:rPr>
          <w:rFonts w:hint="eastAsia" w:eastAsia="宋体"/>
          <w:color w:val="auto"/>
          <w:highlight w:val="none"/>
          <w:lang w:eastAsia="zh-CN"/>
        </w:rPr>
      </w:pPr>
      <w:r>
        <w:rPr>
          <w:rFonts w:hint="eastAsia"/>
          <w:color w:val="auto"/>
          <w:highlight w:val="none"/>
        </w:rPr>
        <w:t>地址：</w:t>
      </w:r>
      <w:r>
        <w:rPr>
          <w:rFonts w:hint="eastAsia"/>
          <w:color w:val="auto"/>
          <w:highlight w:val="none"/>
          <w:lang w:eastAsia="zh-CN"/>
        </w:rPr>
        <w:t>南宁市青秀区长园路8号大地华城S3-01号商场三楼</w:t>
      </w:r>
    </w:p>
    <w:p w14:paraId="06E6843D">
      <w:pPr>
        <w:rPr>
          <w:rFonts w:hint="eastAsia" w:eastAsia="宋体"/>
          <w:color w:val="auto"/>
          <w:highlight w:val="none"/>
          <w:lang w:eastAsia="zh-CN"/>
        </w:rPr>
      </w:pPr>
      <w:r>
        <w:rPr>
          <w:rFonts w:hint="eastAsia"/>
          <w:color w:val="auto"/>
          <w:highlight w:val="none"/>
        </w:rPr>
        <w:t>联系方式：</w:t>
      </w:r>
      <w:bookmarkStart w:id="39" w:name="_Toc28359087"/>
      <w:bookmarkStart w:id="40" w:name="_Toc28359010"/>
      <w:r>
        <w:rPr>
          <w:rFonts w:hint="eastAsia"/>
          <w:color w:val="auto"/>
          <w:highlight w:val="none"/>
          <w:lang w:eastAsia="zh-CN"/>
        </w:rPr>
        <w:t>0771-5675006</w:t>
      </w:r>
    </w:p>
    <w:p w14:paraId="540C9918">
      <w:pPr>
        <w:rPr>
          <w:color w:val="auto"/>
          <w:highlight w:val="none"/>
        </w:rPr>
      </w:pPr>
      <w:r>
        <w:rPr>
          <w:rFonts w:hint="eastAsia"/>
          <w:color w:val="auto"/>
          <w:highlight w:val="none"/>
        </w:rPr>
        <w:t>3.项目联系方式</w:t>
      </w:r>
      <w:bookmarkEnd w:id="39"/>
      <w:bookmarkEnd w:id="40"/>
    </w:p>
    <w:p w14:paraId="172A7600">
      <w:pPr>
        <w:rPr>
          <w:rFonts w:hint="eastAsia" w:eastAsia="宋体"/>
          <w:color w:val="auto"/>
          <w:kern w:val="0"/>
          <w:highlight w:val="none"/>
          <w:lang w:eastAsia="zh-CN"/>
        </w:rPr>
      </w:pPr>
      <w:r>
        <w:rPr>
          <w:rFonts w:hint="eastAsia"/>
          <w:color w:val="auto"/>
          <w:kern w:val="0"/>
          <w:highlight w:val="none"/>
        </w:rPr>
        <w:t>项目联系人：</w:t>
      </w:r>
      <w:r>
        <w:rPr>
          <w:rFonts w:hint="eastAsia"/>
          <w:color w:val="auto"/>
          <w:kern w:val="0"/>
          <w:highlight w:val="none"/>
          <w:lang w:eastAsia="zh-CN"/>
        </w:rPr>
        <w:t>覃国腰</w:t>
      </w:r>
    </w:p>
    <w:p w14:paraId="6198F6F8">
      <w:pPr>
        <w:rPr>
          <w:rFonts w:hint="eastAsia" w:eastAsia="宋体" w:cs="Times New Roman"/>
          <w:color w:val="auto"/>
          <w:szCs w:val="24"/>
          <w:highlight w:val="none"/>
          <w:lang w:eastAsia="zh-CN"/>
        </w:rPr>
      </w:pPr>
      <w:r>
        <w:rPr>
          <w:rFonts w:hint="eastAsia"/>
          <w:color w:val="auto"/>
          <w:highlight w:val="none"/>
        </w:rPr>
        <w:t>电话：</w:t>
      </w:r>
      <w:r>
        <w:rPr>
          <w:rFonts w:hint="eastAsia"/>
          <w:color w:val="auto"/>
          <w:highlight w:val="none"/>
          <w:lang w:eastAsia="zh-CN"/>
        </w:rPr>
        <w:t>0771-5675006</w:t>
      </w:r>
    </w:p>
    <w:p w14:paraId="7B533549">
      <w:pPr>
        <w:rPr>
          <w:rFonts w:hint="eastAsia" w:eastAsia="宋体"/>
          <w:color w:val="auto"/>
          <w:highlight w:val="none"/>
          <w:lang w:eastAsia="zh-CN"/>
        </w:rPr>
      </w:pPr>
      <w:r>
        <w:rPr>
          <w:rFonts w:hint="eastAsia"/>
          <w:color w:val="auto"/>
          <w:highlight w:val="none"/>
        </w:rPr>
        <w:t xml:space="preserve">                                                  </w:t>
      </w:r>
      <w:r>
        <w:rPr>
          <w:rFonts w:hint="eastAsia"/>
          <w:color w:val="auto"/>
          <w:highlight w:val="none"/>
          <w:lang w:eastAsia="zh-CN"/>
        </w:rPr>
        <w:t>中资国际工程咨询集团有限责任公司</w:t>
      </w:r>
    </w:p>
    <w:p w14:paraId="420C2DA5">
      <w:pPr>
        <w:rPr>
          <w:rFonts w:hint="eastAsia" w:eastAsia="宋体"/>
          <w:color w:val="auto"/>
          <w:highlight w:val="none"/>
          <w:lang w:eastAsia="zh-CN"/>
        </w:rPr>
      </w:pPr>
      <w:r>
        <w:rPr>
          <w:rFonts w:hint="eastAsia"/>
          <w:color w:val="auto"/>
          <w:highlight w:val="none"/>
        </w:rPr>
        <w:t xml:space="preserve">                                                        </w:t>
      </w:r>
      <w:r>
        <w:rPr>
          <w:rFonts w:hint="eastAsia"/>
          <w:color w:val="auto"/>
          <w:highlight w:val="none"/>
          <w:lang w:eastAsia="zh-CN"/>
        </w:rPr>
        <w:t>2025年6月12日</w:t>
      </w:r>
    </w:p>
    <w:p w14:paraId="58B68A13">
      <w:pPr>
        <w:rPr>
          <w:color w:val="auto"/>
          <w:kern w:val="44"/>
          <w:sz w:val="44"/>
          <w:szCs w:val="44"/>
          <w:highlight w:val="none"/>
        </w:rPr>
      </w:pPr>
      <w:r>
        <w:rPr>
          <w:color w:val="auto"/>
          <w:highlight w:val="none"/>
        </w:rPr>
        <w:br w:type="page"/>
      </w:r>
    </w:p>
    <w:p w14:paraId="684B39C9">
      <w:pPr>
        <w:pStyle w:val="3"/>
        <w:ind w:firstLine="0" w:firstLineChars="0"/>
        <w:jc w:val="center"/>
        <w:rPr>
          <w:color w:val="auto"/>
          <w:highlight w:val="none"/>
        </w:rPr>
      </w:pPr>
      <w:bookmarkStart w:id="41" w:name="_Toc3906"/>
      <w:r>
        <w:rPr>
          <w:rFonts w:hint="eastAsia"/>
          <w:color w:val="auto"/>
          <w:highlight w:val="none"/>
        </w:rPr>
        <w:t>第二章  采购需求</w:t>
      </w:r>
      <w:bookmarkEnd w:id="41"/>
    </w:p>
    <w:p w14:paraId="1F3D20D8">
      <w:pPr>
        <w:rPr>
          <w:color w:val="auto"/>
          <w:highlight w:val="none"/>
        </w:rPr>
      </w:pPr>
      <w:bookmarkStart w:id="42" w:name="_Toc254970490"/>
      <w:bookmarkStart w:id="43" w:name="_Toc254970631"/>
      <w:r>
        <w:rPr>
          <w:rFonts w:hint="eastAsia"/>
          <w:color w:val="auto"/>
          <w:highlight w:val="none"/>
        </w:rPr>
        <w:t>说明：</w:t>
      </w:r>
    </w:p>
    <w:bookmarkEnd w:id="42"/>
    <w:bookmarkEnd w:id="43"/>
    <w:p w14:paraId="3BF35A52">
      <w:pPr>
        <w:rPr>
          <w:color w:val="auto"/>
          <w:highlight w:val="none"/>
        </w:rPr>
      </w:pPr>
      <w:r>
        <w:rPr>
          <w:rFonts w:hint="eastAsia"/>
          <w:color w:val="auto"/>
          <w:highlight w:val="none"/>
        </w:rPr>
        <w:t>1. 为落实政府采购政策需满足的要求</w:t>
      </w:r>
    </w:p>
    <w:p w14:paraId="0587F1A4">
      <w:pPr>
        <w:rPr>
          <w:color w:val="auto"/>
          <w:highlight w:val="none"/>
        </w:rPr>
      </w:pPr>
      <w:r>
        <w:rPr>
          <w:rFonts w:hint="eastAsia"/>
          <w:color w:val="auto"/>
          <w:highlight w:val="none"/>
        </w:rPr>
        <w:t>（1）本招标文件所称中小企业必须符合《政府采购促进中小企业发展管理办法》（财库〔2020〕46号）的规定。</w:t>
      </w:r>
    </w:p>
    <w:p w14:paraId="5DAF09D1">
      <w:pPr>
        <w:rPr>
          <w:color w:val="auto"/>
          <w:highlight w:val="none"/>
        </w:rPr>
      </w:pPr>
      <w:r>
        <w:rPr>
          <w:rFonts w:hint="eastAsia"/>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评标方法及评标标准”。</w:t>
      </w:r>
    </w:p>
    <w:p w14:paraId="469FD4CD">
      <w:pPr>
        <w:rPr>
          <w:color w:val="auto"/>
          <w:highlight w:val="none"/>
        </w:rPr>
      </w:pPr>
      <w:r>
        <w:rPr>
          <w:rFonts w:hint="eastAsia"/>
          <w:color w:val="auto"/>
          <w:highlight w:val="none"/>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0B0FDC71">
      <w:pPr>
        <w:rPr>
          <w:color w:val="auto"/>
          <w:highlight w:val="none"/>
        </w:rPr>
      </w:pPr>
      <w:r>
        <w:rPr>
          <w:rFonts w:hint="eastAsia"/>
          <w:color w:val="auto"/>
          <w:highlight w:val="none"/>
        </w:rPr>
        <w:t>2.需求表中带有“▲”的技术参数或要求为实质性要求，必须满足，响应内容不得低于该技术指标或要求。</w:t>
      </w:r>
    </w:p>
    <w:p w14:paraId="0C59AC34">
      <w:pPr>
        <w:rPr>
          <w:color w:val="auto"/>
          <w:highlight w:val="none"/>
        </w:rPr>
      </w:pPr>
      <w:r>
        <w:rPr>
          <w:rFonts w:hint="eastAsia"/>
          <w:color w:val="auto"/>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AAB00E1">
      <w:pPr>
        <w:rPr>
          <w:rFonts w:ascii="Times New Roman" w:hAnsi="Times New Roman"/>
          <w:color w:val="auto"/>
          <w:szCs w:val="24"/>
          <w:highlight w:val="none"/>
        </w:rPr>
      </w:pPr>
      <w:r>
        <w:rPr>
          <w:rFonts w:hint="eastAsia"/>
          <w:color w:val="auto"/>
          <w:highlight w:val="none"/>
        </w:rPr>
        <w:t>4.投标人应根据自身实际情况如实响应招标文件，不得仅将招标文件内容简单复制粘贴作为投标响应，还应当提供相关证明材料，否则将作无效响应处理。</w:t>
      </w:r>
      <w:r>
        <w:rPr>
          <w:rFonts w:hint="eastAsia" w:ascii="Times New Roman" w:hAnsi="Times New Roman"/>
          <w:color w:val="auto"/>
          <w:szCs w:val="24"/>
          <w:highlight w:val="none"/>
        </w:rPr>
        <w:t>对于重要技术条款或技术参数应当在投标文件中提供技术支持资料，技术支持资料以招标文件中规定的形式为准，否则将视为无效技术支持资料。</w:t>
      </w:r>
    </w:p>
    <w:p w14:paraId="799C6A88">
      <w:pPr>
        <w:rPr>
          <w:color w:val="auto"/>
          <w:highlight w:val="none"/>
        </w:rPr>
      </w:pPr>
      <w:r>
        <w:rPr>
          <w:rFonts w:hint="eastAsia"/>
          <w:color w:val="auto"/>
          <w:highlight w:val="none"/>
        </w:rPr>
        <w:t>5.投标人必须自行为其投标产品侵犯他人的知识产权或者专利成果的行为承担相应法律责任。</w:t>
      </w:r>
    </w:p>
    <w:p w14:paraId="2358B842">
      <w:pPr>
        <w:rPr>
          <w:color w:val="auto"/>
          <w:highlight w:val="none"/>
        </w:rPr>
      </w:pPr>
      <w:r>
        <w:rPr>
          <w:rFonts w:hint="eastAsia"/>
          <w:color w:val="auto"/>
          <w:highlight w:val="none"/>
        </w:rPr>
        <w:t>6.本项目所属行业：</w:t>
      </w:r>
      <w:r>
        <w:rPr>
          <w:rFonts w:hint="eastAsia"/>
          <w:b/>
          <w:bCs/>
          <w:color w:val="auto"/>
          <w:highlight w:val="none"/>
        </w:rPr>
        <w:t>工业</w:t>
      </w:r>
      <w:r>
        <w:rPr>
          <w:rFonts w:hint="eastAsia"/>
          <w:color w:val="auto"/>
          <w:highlight w:val="none"/>
        </w:rPr>
        <w:t>。</w:t>
      </w:r>
    </w:p>
    <w:tbl>
      <w:tblPr>
        <w:tblStyle w:val="47"/>
        <w:tblW w:w="96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819"/>
        <w:gridCol w:w="531"/>
        <w:gridCol w:w="690"/>
        <w:gridCol w:w="645"/>
        <w:gridCol w:w="6344"/>
      </w:tblGrid>
      <w:tr w14:paraId="28C1D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60" w:type="dxa"/>
            <w:vAlign w:val="center"/>
          </w:tcPr>
          <w:p w14:paraId="560D09AC">
            <w:pPr>
              <w:adjustRightInd w:val="0"/>
              <w:snapToGrid w:val="0"/>
              <w:spacing w:line="360" w:lineRule="exact"/>
              <w:ind w:firstLine="0" w:firstLineChars="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序号</w:t>
            </w:r>
          </w:p>
        </w:tc>
        <w:tc>
          <w:tcPr>
            <w:tcW w:w="1350" w:type="dxa"/>
            <w:gridSpan w:val="2"/>
            <w:vAlign w:val="center"/>
          </w:tcPr>
          <w:p w14:paraId="614B2186">
            <w:pPr>
              <w:adjustRightInd w:val="0"/>
              <w:snapToGrid w:val="0"/>
              <w:spacing w:line="360" w:lineRule="exact"/>
              <w:ind w:firstLine="0" w:firstLineChars="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名称</w:t>
            </w:r>
          </w:p>
        </w:tc>
        <w:tc>
          <w:tcPr>
            <w:tcW w:w="690" w:type="dxa"/>
            <w:vAlign w:val="center"/>
          </w:tcPr>
          <w:p w14:paraId="01BA1644">
            <w:pPr>
              <w:adjustRightInd w:val="0"/>
              <w:snapToGrid w:val="0"/>
              <w:spacing w:line="360" w:lineRule="exact"/>
              <w:ind w:firstLine="0" w:firstLineChars="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数量</w:t>
            </w:r>
          </w:p>
        </w:tc>
        <w:tc>
          <w:tcPr>
            <w:tcW w:w="645" w:type="dxa"/>
            <w:vAlign w:val="center"/>
          </w:tcPr>
          <w:p w14:paraId="14065B85">
            <w:pPr>
              <w:adjustRightInd w:val="0"/>
              <w:snapToGrid w:val="0"/>
              <w:spacing w:line="360" w:lineRule="exact"/>
              <w:ind w:firstLine="0" w:firstLineChars="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单位</w:t>
            </w:r>
          </w:p>
        </w:tc>
        <w:tc>
          <w:tcPr>
            <w:tcW w:w="6344" w:type="dxa"/>
            <w:vAlign w:val="center"/>
          </w:tcPr>
          <w:p w14:paraId="6978D003">
            <w:pPr>
              <w:adjustRightInd w:val="0"/>
              <w:snapToGrid w:val="0"/>
              <w:spacing w:line="360" w:lineRule="exact"/>
              <w:ind w:firstLine="422"/>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技术需求</w:t>
            </w:r>
          </w:p>
        </w:tc>
      </w:tr>
      <w:tr w14:paraId="39549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660" w:type="dxa"/>
            <w:vAlign w:val="center"/>
          </w:tcPr>
          <w:p w14:paraId="1C0574E6">
            <w:pPr>
              <w:widowControl/>
              <w:adjustRightInd w:val="0"/>
              <w:snapToGrid w:val="0"/>
              <w:spacing w:line="360" w:lineRule="exact"/>
              <w:ind w:firstLine="0" w:firstLineChars="0"/>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350" w:type="dxa"/>
            <w:gridSpan w:val="2"/>
            <w:vAlign w:val="center"/>
          </w:tcPr>
          <w:p w14:paraId="0A62C99F">
            <w:pPr>
              <w:adjustRightInd w:val="0"/>
              <w:snapToGrid w:val="0"/>
              <w:spacing w:line="360" w:lineRule="exact"/>
              <w:ind w:right="105" w:rightChars="50"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精密五轴机床单元</w:t>
            </w:r>
          </w:p>
        </w:tc>
        <w:tc>
          <w:tcPr>
            <w:tcW w:w="690" w:type="dxa"/>
            <w:shd w:val="clear" w:color="auto" w:fill="auto"/>
            <w:vAlign w:val="center"/>
          </w:tcPr>
          <w:p w14:paraId="7A93C802">
            <w:pPr>
              <w:adjustRightInd w:val="0"/>
              <w:snapToGrid w:val="0"/>
              <w:spacing w:line="360" w:lineRule="exact"/>
              <w:ind w:right="105" w:rightChars="50"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45" w:type="dxa"/>
            <w:shd w:val="clear" w:color="auto" w:fill="auto"/>
            <w:vAlign w:val="center"/>
          </w:tcPr>
          <w:p w14:paraId="5A2E608A">
            <w:pPr>
              <w:adjustRightInd w:val="0"/>
              <w:snapToGrid w:val="0"/>
              <w:spacing w:line="360" w:lineRule="exact"/>
              <w:ind w:right="105" w:rightChars="50"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套</w:t>
            </w:r>
          </w:p>
        </w:tc>
        <w:tc>
          <w:tcPr>
            <w:tcW w:w="6344" w:type="dxa"/>
            <w:vAlign w:val="center"/>
          </w:tcPr>
          <w:p w14:paraId="5FA8662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一、五轴加工中心</w:t>
            </w:r>
          </w:p>
          <w:p w14:paraId="0E85A54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1.行动轴轴数：5轴联动</w:t>
            </w:r>
          </w:p>
          <w:p w14:paraId="073FEBB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2.工作范围</w:t>
            </w:r>
          </w:p>
          <w:p w14:paraId="3E29A75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（1）行程A/C：(-120°～90°)/360°；</w:t>
            </w:r>
          </w:p>
          <w:p w14:paraId="71EDB17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（2）台面直径：φ630mm，</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5755DFA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（3）最大工件尺寸：φ650mm×550mm，</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26EC455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（4）最大承重(均匀载荷)：不低于400kg；</w:t>
            </w:r>
          </w:p>
          <w:p w14:paraId="300069A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（5）T型槽规格(上口宽度×下口宽度×槽数)：14mm×25mm×7个，</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7320E8B8">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3.直线轴位置精度</w:t>
            </w:r>
          </w:p>
          <w:p w14:paraId="10E4F700">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（1）定位精度X/Y/Z：</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3/3/3μm；</w:t>
            </w:r>
          </w:p>
          <w:p w14:paraId="21AD5E3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（2）重复定位精度X/Y/Z：</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2/2/2μm；</w:t>
            </w:r>
          </w:p>
          <w:p w14:paraId="3A2EE6D8">
            <w:pPr>
              <w:pStyle w:val="16"/>
              <w:adjustRightInd w:val="0"/>
              <w:snapToGrid w:val="0"/>
              <w:spacing w:line="360" w:lineRule="exact"/>
              <w:ind w:left="105" w:leftChars="50" w:right="105" w:rightChars="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（3）投标文件中提供满足直线轴定位精度X/Y/Z：</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3/3/3μm和重复定位精度X/Y/Z：</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2/2/2μm的具有相应检测资质的第三方检测机构出具检测报告或产品彩页等证明材料并加盖投标人电子公章</w:t>
            </w:r>
            <w:r>
              <w:rPr>
                <w:rFonts w:hint="eastAsia" w:asciiTheme="minorEastAsia" w:hAnsiTheme="minorEastAsia" w:eastAsiaTheme="minorEastAsia" w:cstheme="minorEastAsia"/>
                <w:color w:val="auto"/>
                <w:szCs w:val="21"/>
                <w:highlight w:val="none"/>
              </w:rPr>
              <w:t>。</w:t>
            </w:r>
          </w:p>
          <w:p w14:paraId="14E33E4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4.直线轴进给速度</w:t>
            </w:r>
          </w:p>
          <w:p w14:paraId="396C334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（1）快速移动速度X/Y/Z：</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15m/min；</w:t>
            </w:r>
          </w:p>
          <w:p w14:paraId="720BC3B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（2）最高切削进给速度X/Y/Z：</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10m/min。</w:t>
            </w:r>
          </w:p>
          <w:p w14:paraId="4339162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5.A轴参数(倾斜轴)</w:t>
            </w:r>
          </w:p>
          <w:p w14:paraId="67773EA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（1）驱动形式：直驱；</w:t>
            </w:r>
          </w:p>
          <w:p w14:paraId="15B2235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（2）定位精度：不低于6″；</w:t>
            </w:r>
          </w:p>
          <w:p w14:paraId="127FAFD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（3）重复定位精度：不低于4″；</w:t>
            </w:r>
          </w:p>
          <w:p w14:paraId="5347B41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（4）快速旋转速度：</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60r/min；</w:t>
            </w:r>
          </w:p>
          <w:p w14:paraId="749036CB">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（5）最高切削进给速度：</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60r/min；</w:t>
            </w:r>
          </w:p>
          <w:p w14:paraId="38275F2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（6）回转角度：-120°～90°；</w:t>
            </w:r>
          </w:p>
          <w:p w14:paraId="56961BD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（7）额定扭矩：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2000N·m；</w:t>
            </w:r>
          </w:p>
          <w:p w14:paraId="440338F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（8）峰值扭矩：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3000N·m；</w:t>
            </w:r>
          </w:p>
          <w:p w14:paraId="478BB88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（9）冷却方式：水冷；</w:t>
            </w:r>
          </w:p>
          <w:p w14:paraId="4E87D6B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（10）定位锁紧方式：液压；</w:t>
            </w:r>
          </w:p>
          <w:p w14:paraId="13FA9F3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（11）安全刹车功能：有。</w:t>
            </w:r>
          </w:p>
          <w:p w14:paraId="31324EF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6.C轴参数(旋转轴)</w:t>
            </w:r>
          </w:p>
          <w:p w14:paraId="605E0A4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（1）驱动形式：直驱；</w:t>
            </w:r>
          </w:p>
          <w:p w14:paraId="3868693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（2）定位精度：不低于6″；</w:t>
            </w:r>
          </w:p>
          <w:p w14:paraId="50BC162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（3）重复定位精度：不低于4″；</w:t>
            </w:r>
          </w:p>
          <w:p w14:paraId="36454B2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（4）快速旋转速度：</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60r/min；</w:t>
            </w:r>
          </w:p>
          <w:p w14:paraId="2D389B61">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（5）最高切削进给速度：</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60r/min；</w:t>
            </w:r>
          </w:p>
          <w:p w14:paraId="7174E9E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（6）回转角度：</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360°；</w:t>
            </w:r>
          </w:p>
          <w:p w14:paraId="258DE89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（7）额定扭矩：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650N·m；</w:t>
            </w:r>
          </w:p>
          <w:p w14:paraId="1FD224D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（8）峰值扭矩：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1000N·m；</w:t>
            </w:r>
          </w:p>
          <w:p w14:paraId="2F3E374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（9）冷却方式：水冷；</w:t>
            </w:r>
          </w:p>
          <w:p w14:paraId="41413BF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（10）定位锁紧方式：液压；</w:t>
            </w:r>
          </w:p>
          <w:p w14:paraId="48AA915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（11）工作台面尺寸(外径×槽宽×槽数)：</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Φ630mm×14mm×7个；</w:t>
            </w:r>
          </w:p>
          <w:p w14:paraId="47531F1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（12）夹具接口：自动夹具接口。</w:t>
            </w:r>
          </w:p>
          <w:p w14:paraId="44FD5DA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7.主轴参数</w:t>
            </w:r>
          </w:p>
          <w:p w14:paraId="39C4765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（1）最高转速：</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20000rpm；</w:t>
            </w:r>
          </w:p>
          <w:p w14:paraId="59D8840D">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（2）刀柄接口：HSK-A50；</w:t>
            </w:r>
          </w:p>
          <w:p w14:paraId="50806DD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（3）输出功率（S6-60%）：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18kW；</w:t>
            </w:r>
          </w:p>
          <w:p w14:paraId="29A695F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（4）输出扭矩（S6-60%）：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21.5N·m；</w:t>
            </w:r>
          </w:p>
          <w:p w14:paraId="6E51F03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（5）松刀压力：气压≥0.52MPa；</w:t>
            </w:r>
          </w:p>
          <w:p w14:paraId="6AFA890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（6）锥孔径向跳动≤1.5μm；</w:t>
            </w:r>
          </w:p>
          <w:p w14:paraId="47FFE10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（7）转子端面轴向跳动≤1μm；</w:t>
            </w:r>
          </w:p>
          <w:p w14:paraId="31F87C9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（8）最高转速时震动≤0.6mm/s。</w:t>
            </w:r>
          </w:p>
          <w:p w14:paraId="3319BDA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8.刀库参数</w:t>
            </w:r>
          </w:p>
          <w:p w14:paraId="173A8CA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（1）刀库类型：链式刀库；</w:t>
            </w:r>
          </w:p>
          <w:p w14:paraId="1D2C414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（2）适用刀柄：HSK-A50；</w:t>
            </w:r>
          </w:p>
          <w:p w14:paraId="7BE57B75">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（3）刀库容量：</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60把；</w:t>
            </w:r>
          </w:p>
          <w:p w14:paraId="5924CE9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（4）最大刀具长度：</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270mm；</w:t>
            </w:r>
          </w:p>
          <w:p w14:paraId="6181767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（5）最大刀具直径（邻装刀）：</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50mm；</w:t>
            </w:r>
          </w:p>
          <w:p w14:paraId="2ACD264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（6）最大刀具直径（邻空刀）：</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140mm；</w:t>
            </w:r>
          </w:p>
          <w:p w14:paraId="66B0710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（7）最大刀具重量：</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4kg；</w:t>
            </w:r>
          </w:p>
          <w:p w14:paraId="64C3043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（8）刀对刀换刀时间（T-T）：不超过1.2s。</w:t>
            </w:r>
          </w:p>
          <w:p w14:paraId="3F55BF4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9.过滤系统</w:t>
            </w:r>
          </w:p>
          <w:p w14:paraId="3A592D8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（1）类型：刮板排屑过滤系统；</w:t>
            </w:r>
          </w:p>
          <w:p w14:paraId="0C0927F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（2）液箱容积≥350L；</w:t>
            </w:r>
          </w:p>
          <w:p w14:paraId="39E8553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（3）压力：0.05～0.5MPa。</w:t>
            </w:r>
          </w:p>
          <w:p w14:paraId="4353E11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10.主机配置</w:t>
            </w:r>
          </w:p>
          <w:p w14:paraId="4E04BAC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（1）五轴五联动数控系统：1套；</w:t>
            </w:r>
          </w:p>
          <w:p w14:paraId="7128DF1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（2）手轮控制器：1套；</w:t>
            </w:r>
          </w:p>
          <w:p w14:paraId="6080A86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（3）接触式对刀仪：1套；</w:t>
            </w:r>
          </w:p>
          <w:p w14:paraId="5F31A87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（4）主轴制冷机：1套；</w:t>
            </w:r>
          </w:p>
          <w:p w14:paraId="3314883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（5）刮板排屑过滤系统：1套；</w:t>
            </w:r>
          </w:p>
          <w:p w14:paraId="706E063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（6）冷干机：1套；</w:t>
            </w:r>
          </w:p>
          <w:p w14:paraId="4E528DF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（7）机内喷淋系统：1套；</w:t>
            </w:r>
          </w:p>
          <w:p w14:paraId="65DAEF6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（8）切削风冷系统：1套。</w:t>
            </w:r>
          </w:p>
          <w:p w14:paraId="6EE91D5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11.数控系统配置</w:t>
            </w:r>
          </w:p>
          <w:p w14:paraId="5330453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（1）刀具功能（刀具寿命管理、刀具位置补偿）：1套；</w:t>
            </w:r>
          </w:p>
          <w:p w14:paraId="22F54EC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（2）高速前瞻功能：1套；</w:t>
            </w:r>
          </w:p>
          <w:p w14:paraId="26DD817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（3）极坐标插补功能：1套。</w:t>
            </w:r>
          </w:p>
          <w:p w14:paraId="1856181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12.机床辅机</w:t>
            </w:r>
          </w:p>
          <w:p w14:paraId="4DD27F5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（1）切削液制冷机：1套；</w:t>
            </w:r>
          </w:p>
          <w:p w14:paraId="7E2F6DD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（2）切削液过滤系统：1套；</w:t>
            </w:r>
          </w:p>
          <w:p w14:paraId="7E5D72E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（3）切削液增压装置（2MP、5MP、副液箱）：1套；</w:t>
            </w:r>
          </w:p>
          <w:p w14:paraId="66C2C45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（4）微量油雾润滑装置：1套；</w:t>
            </w:r>
          </w:p>
          <w:p w14:paraId="6B2D538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（5）油雾收集器：1套；</w:t>
            </w:r>
          </w:p>
          <w:p w14:paraId="0CADE1D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（6）油水分离装置：1套。</w:t>
            </w:r>
          </w:p>
          <w:p w14:paraId="2C909EE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13.轴承座夹具</w:t>
            </w:r>
          </w:p>
          <w:p w14:paraId="6EBDDBA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511FC75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（2）夹具体材质：不低于45（调制钢）；</w:t>
            </w:r>
          </w:p>
          <w:p w14:paraId="24A5EB0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（3）关键定位件材质：Cr12MoV；</w:t>
            </w:r>
          </w:p>
          <w:p w14:paraId="52397BE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（4）关键定位件硬度：HRC58-63；</w:t>
            </w:r>
          </w:p>
          <w:p w14:paraId="0E76656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（5）夹持方式：气动；</w:t>
            </w:r>
          </w:p>
          <w:p w14:paraId="47AB08D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（6）油路布置方式：聚氨酯管；</w:t>
            </w:r>
          </w:p>
          <w:p w14:paraId="4D8B0CE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（7）控制方式：通过PLC模块接入加工中心联动控制；</w:t>
            </w:r>
          </w:p>
          <w:p w14:paraId="6138B4C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（8）工作压力：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12MPa；</w:t>
            </w:r>
          </w:p>
          <w:p w14:paraId="22EDA6A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（9）进出油口规格：G1/4；</w:t>
            </w:r>
          </w:p>
          <w:p w14:paraId="3931D82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（10）响应时间：≤3s；</w:t>
            </w:r>
          </w:p>
          <w:p w14:paraId="6121BCF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（11）定位精度：不超过0.02mm；</w:t>
            </w:r>
          </w:p>
          <w:p w14:paraId="23ED6D5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（12）安装方式：螺钉过孔。</w:t>
            </w:r>
          </w:p>
          <w:p w14:paraId="627ED74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14.尾端轴承座夹具</w:t>
            </w:r>
          </w:p>
          <w:p w14:paraId="49B72DC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37E88D3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（2）夹具体材质：不低于45（调制钢）；</w:t>
            </w:r>
          </w:p>
          <w:p w14:paraId="0075DC5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（3）关键定位件材质：Cr12MoV；</w:t>
            </w:r>
          </w:p>
          <w:p w14:paraId="450BED8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（4）关键定位件硬度：HRC58-63；</w:t>
            </w:r>
          </w:p>
          <w:p w14:paraId="7E79B64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（5）夹持方式：气动；</w:t>
            </w:r>
          </w:p>
          <w:p w14:paraId="62AEA43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（6）油路布置方式：聚氨酯管；</w:t>
            </w:r>
          </w:p>
          <w:p w14:paraId="0E9A4AA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（7）控制方式：通过PLC模块接入加工中心联动控制；</w:t>
            </w:r>
          </w:p>
          <w:p w14:paraId="7DC97A3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（8）工作压力：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12MPa；</w:t>
            </w:r>
          </w:p>
          <w:p w14:paraId="7D7D343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（9）进出油口规格：G1/4；</w:t>
            </w:r>
          </w:p>
          <w:p w14:paraId="67E16AE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（10）响应时间：≤3s；</w:t>
            </w:r>
          </w:p>
          <w:p w14:paraId="7472298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（11）定位精度：不超过0.02mm；</w:t>
            </w:r>
          </w:p>
          <w:p w14:paraId="41A6DB1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（12）安装方式：螺钉过孔。</w:t>
            </w:r>
          </w:p>
          <w:p w14:paraId="1FC8A58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15.提供机床设计仿真验证系统</w:t>
            </w:r>
          </w:p>
          <w:p w14:paraId="2944E33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机床设计仿真验证系统具有建模和仿真功能，能够在开发周期的早期快速创建和验证替代设计概念。机床设计仿真验证系统不仅可以看到它的外观，还可以验证它是否有效。仿真验证由重用库启用，可以从中快速将数据（包括关节、运动、传感器、执行器、碰撞行为以及每个组件的其他运动学和动态属性数据）添加到功能模型。允许基于物理场的交互式仿真来验证机器操作，此验证可帮助检测和纠正数字模型中的错误。可使用系统工程原理一直跟踪客户需求，直至完成设计。功能模型能为机械、电气和自动化学科提供一种并行协同工作的通用语言，可在设计过程后期更快地交付设计并减少集成问题。</w:t>
            </w:r>
          </w:p>
          <w:p w14:paraId="73B1D8C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（1）机床控制器</w:t>
            </w:r>
          </w:p>
          <w:p w14:paraId="226998F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1）主控芯片</w:t>
            </w:r>
          </w:p>
          <w:p w14:paraId="712D24D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①核心：参照或相当于双核Tensilica LX6处理器，主频≥240MHz；</w:t>
            </w:r>
          </w:p>
          <w:p w14:paraId="3C3E6B0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②内存：≥520KB SRAM；</w:t>
            </w:r>
          </w:p>
          <w:p w14:paraId="537EE69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③存储：≥4MB Flash，支持外扩SPI Flash或SD卡。</w:t>
            </w:r>
          </w:p>
          <w:p w14:paraId="3996960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2）无线通信</w:t>
            </w:r>
          </w:p>
          <w:p w14:paraId="01EB689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①Wi-Fi：支持802.11 b/g/n协议（2.4GHz频段）；</w:t>
            </w:r>
          </w:p>
          <w:p w14:paraId="472143E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②蓝牙：支持蓝牙5.0/BLE（低功耗蓝牙）。</w:t>
            </w:r>
          </w:p>
          <w:p w14:paraId="5D974396">
            <w:pPr>
              <w:pStyle w:val="16"/>
              <w:adjustRightInd w:val="0"/>
              <w:snapToGrid w:val="0"/>
              <w:spacing w:line="360" w:lineRule="exact"/>
              <w:ind w:left="105" w:leftChars="50" w:right="105" w:rightChars="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▲3）协议支持（</w:t>
            </w:r>
            <w:r>
              <w:rPr>
                <w:rFonts w:hint="eastAsia" w:asciiTheme="minorEastAsia" w:hAnsiTheme="minorEastAsia" w:eastAsiaTheme="minorEastAsia" w:cstheme="minorEastAsia"/>
                <w:color w:val="auto"/>
                <w:szCs w:val="21"/>
                <w:highlight w:val="none"/>
              </w:rPr>
              <w:t>投标文件中</w:t>
            </w:r>
            <w:r>
              <w:rPr>
                <w:rFonts w:hint="eastAsia" w:asciiTheme="minorEastAsia" w:hAnsiTheme="minorEastAsia" w:eastAsiaTheme="minorEastAsia" w:cstheme="minorEastAsia"/>
                <w:color w:val="auto"/>
                <w:kern w:val="0"/>
                <w:szCs w:val="21"/>
                <w:highlight w:val="none"/>
              </w:rPr>
              <w:t>提供功能截图并加盖投标人电子公章）</w:t>
            </w:r>
          </w:p>
          <w:p w14:paraId="458F713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①网络协议：TCP/IP、HTTP/HTTPS、MQTT、WebSocket、OPC UA；</w:t>
            </w:r>
          </w:p>
          <w:p w14:paraId="0CCC7C6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②无线协议：支持Wi-Fi配网（SmartConfig/AP模式）、蓝牙Mesh。</w:t>
            </w:r>
          </w:p>
          <w:p w14:paraId="4B0D868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▲4）支持功能（投标文件中提供功能截图并加盖投标人电子公章）</w:t>
            </w:r>
          </w:p>
          <w:p w14:paraId="393DDEA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①配备5轴联动控制接口，支持多轴运动控制；</w:t>
            </w:r>
          </w:p>
          <w:p w14:paraId="76AE2B9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②传感器系统包含 ±1%精度电流传感器、 16位分辨率温度传感器；</w:t>
            </w:r>
          </w:p>
          <w:p w14:paraId="67CBAD8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③提供与其他仿真软件用API接口。</w:t>
            </w:r>
          </w:p>
          <w:p w14:paraId="40CFCB4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（2）五轴数字孪生体</w:t>
            </w:r>
          </w:p>
          <w:p w14:paraId="51255DA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▲1）五轴机床数字孪生体的设计（投标文件中提供功能截图并加盖投标人电子公章）</w:t>
            </w:r>
          </w:p>
          <w:p w14:paraId="3A241EC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①根据结构体的物理特性1:1设计，根据现有五轴机床设计物理结构的3D数字模型，将模型导入数字孪生系统中，将各个元器件、结构件根据自身的特性设置为刚体、碰撞体或者是轴副运动体，将各个元器件的约束调节配置好，使得物理结构3D模型可以在手动的模式下，完成五轴机床的各个动作，为后续的调试做好基础工作；</w:t>
            </w:r>
          </w:p>
          <w:p w14:paraId="39F6D9D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②感知元件的1:1设置，各个传感器是感知设备运动的基础元器件，将各个传感器按照自身的物理特性进行设置，使得传感器可以在虚拟环境中完成相关的动作，便于数字孪生体的各项反馈与实物一致；</w:t>
            </w:r>
          </w:p>
          <w:p w14:paraId="338FE67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③执行元件的1:1设置，五轴机床数字孪生体的执行元件是数字孪生体的灵魂，各个电机、气缸等执行元件能与真实设备保持高度一致，包括气缸的运行速度、到位信号、电机转速、伺服运动位置等信号能全部建立数字模型，提供与外界对接的接口。</w:t>
            </w:r>
          </w:p>
          <w:p w14:paraId="075420A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▲2）五轴机床数字孪生体与机床控制器虚拟调试（投标文件中提供功能截图并加盖投标人电子公章）</w:t>
            </w:r>
          </w:p>
          <w:p w14:paraId="2BD18F5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①在机床控制器中开发五轴机床控制人机交互界面；</w:t>
            </w:r>
          </w:p>
          <w:p w14:paraId="34C3D3E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②五轴机床数字孪生体与数字孪生控制系能实现TCP/IP、HTTP/HTTPS、OPC UA等通信；</w:t>
            </w:r>
          </w:p>
          <w:p w14:paraId="48F4B29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③五轴机床数字孪生体与数字孪生控制系实现信号对接包含传感器、到位信号、电机转速、伺服运动位置等信号；</w:t>
            </w:r>
          </w:p>
          <w:p w14:paraId="23A872E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④机床控制器实现对五轴数字孪生体进行控制如：五轴机床各个轴运动，开关门，运行启动，停止，报警等。</w:t>
            </w:r>
          </w:p>
          <w:p w14:paraId="3D9A7FB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3）五轴机床数字孪生体虚实同步调试</w:t>
            </w:r>
          </w:p>
          <w:p w14:paraId="24F0DB8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①现场五轴机床与五轴机床数字孪生体能进行高速通信调试，实现虚实同步，将真实设备运行的各项参数提供给数字孪生体，使得孪生体可以与真实设备保持一致。高速通信采用机床控制器的网口，使用OPC或者profinet等以太网通信方式；</w:t>
            </w:r>
          </w:p>
          <w:p w14:paraId="2E35D99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②控制与反馈信号的映射，虚实同步能准确将电控信号与五轴机床数字孪生体的控制对象进行关联，保证电控信号在控制实物动作时，也能同时控制孪生体中的相应执行元件进行相关动作；同时能将实物信号中的各个反馈信号通过机床控制器传递到孪生体中。</w:t>
            </w:r>
          </w:p>
          <w:p w14:paraId="21E15D0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▲4）VR功能集成（投标文件中提供功能截图并加盖投标人电子公章）</w:t>
            </w:r>
          </w:p>
          <w:p w14:paraId="74DFC0C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集成Virtual Reality功能，支持HTC Vive™硬件，通过加载五轴机床数字孪生体到虚拟现实(VR) 世界,使用VR硬件沉浸在制造领域，实现以下功能：分析五轴机床数字孪生体安全问题；在立体场景下的优化生产单元和产线布局；识别五轴机床数字孪生体布局准确性和干涉故障；支持在沉浸于虚拟现实(VR)中的同时，通过几种类型和图标的注释记录问题。每条注释都带有虚拟现实(VR)中拍摄的图片，以便清晰准确地描述所发现的问题。注释图标将出现在五轴机床数字孪生体图形空间中的同一位置，使用户在查看会话后能够理解每个区域当前的完善状态。跟进五轴机床数字孪生体或VR中的每条注释以查看相关图片，在问题解决后添加批注或更改其状态。</w:t>
            </w:r>
          </w:p>
          <w:p w14:paraId="7006A26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二、在机检测系统</w:t>
            </w:r>
          </w:p>
          <w:p w14:paraId="65D48112">
            <w:pPr>
              <w:pStyle w:val="16"/>
              <w:adjustRightInd w:val="0"/>
              <w:snapToGrid w:val="0"/>
              <w:spacing w:line="360" w:lineRule="exact"/>
              <w:ind w:left="105" w:leftChars="50" w:right="105" w:rightChars="50" w:firstLine="210" w:firstLineChars="1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szCs w:val="21"/>
                <w:highlight w:val="none"/>
              </w:rPr>
              <w:t>1.机床数控系统自带原生在机高精度检测模块，该模块可利用激光对刀仪、接触式对刀仪、接触式测头和相关的温度传感器的数据采集能力，生成对工件的尺寸检测数据。对工件的规则特征（如孔、矩形、对称线等）的检测数据与三坐标检测数据误差≤0.008mm，对工件不规则特征与形位公差在机检测数据与三坐标检测数据误差≤0.015mm。（投标文件中提供对工件的规则特征的检测数据与三坐标检测数据误差≤0.008mm和对工件不规则特征与形位公差在机检测数据与三坐标检测数据误差≤0.015mm的证明材料并加盖投标人电子公章。）</w:t>
            </w:r>
          </w:p>
          <w:p w14:paraId="4CFE4631">
            <w:pPr>
              <w:adjustRightInd w:val="0"/>
              <w:snapToGrid w:val="0"/>
              <w:spacing w:line="360" w:lineRule="exact"/>
              <w:ind w:left="105" w:leftChars="50" w:right="105" w:rightChars="50"/>
              <w:rPr>
                <w:rFonts w:asciiTheme="minorEastAsia" w:hAnsiTheme="minorEastAsia" w:eastAsiaTheme="minorEastAsia" w:cstheme="minorEastAsia"/>
                <w:color w:val="auto"/>
                <w:highlight w:val="none"/>
              </w:rPr>
            </w:pPr>
          </w:p>
          <w:p w14:paraId="3A04089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2.基于以上在机检测模块，设备须有以下功能：</w:t>
            </w:r>
          </w:p>
          <w:p w14:paraId="6D29E4D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（1）工件位置补偿：可自动消除工件装夹误差、余量偏差、转台中心校准和来料错误防呆。</w:t>
            </w:r>
          </w:p>
          <w:p w14:paraId="117841E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（2）自修正刀具尺寸补偿、三维刀具圆角半径补偿。</w:t>
            </w:r>
          </w:p>
          <w:p w14:paraId="113007D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（3）工件几何尺寸检测，自动修正加工尺寸误差补偿。</w:t>
            </w:r>
          </w:p>
          <w:p w14:paraId="1B9EC84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（4）有测量误差云图显示功能。（投标文件中提供功能演示视频）</w:t>
            </w:r>
          </w:p>
          <w:p w14:paraId="6313C77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（5）有曲面特性找正功能。</w:t>
            </w:r>
          </w:p>
          <w:p w14:paraId="0AAAE20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（6）有曲线特性找正功能。</w:t>
            </w:r>
          </w:p>
          <w:p w14:paraId="102F7C8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（7）有本地工件检测数据存储功能，也可上传至MES系统终端，产品可追溯。</w:t>
            </w:r>
          </w:p>
          <w:p w14:paraId="1D21F8E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p>
          <w:p w14:paraId="52DEC03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三、CAM软件平台</w:t>
            </w:r>
          </w:p>
          <w:p w14:paraId="40518E0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（1）平台基于“数字孪生”技术，不仅可实现产线级数字化仿真，还可作为企业的知识管理平台。集CAD/CAPP/CAM为一体，可确保制造信息的精准、顺畅传递， 以此实现生产制造环节的协同。</w:t>
            </w:r>
          </w:p>
          <w:p w14:paraId="28295E8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（2）软件平台原始代码及基础几何算法均由中国自主研发获得，拥有完整的自主知识产权。</w:t>
            </w:r>
          </w:p>
          <w:p w14:paraId="26A97F8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（3）有曲线绘制、曲线编辑、曲面绘制、曲面编辑、模型分析等曲线/曲面编辑功能，支持对导入的几何模型进行编辑与分析。</w:t>
            </w:r>
          </w:p>
          <w:p w14:paraId="1C2FD67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（4）软件平台支持实体参数化造型与全相关设计，可实现零件工艺编程过程中对夹具、毛坯等生产要素的修改调整。</w:t>
            </w:r>
          </w:p>
          <w:p w14:paraId="71C6318C">
            <w:pPr>
              <w:adjustRightInd w:val="0"/>
              <w:snapToGrid w:val="0"/>
              <w:spacing w:line="360" w:lineRule="exact"/>
              <w:ind w:left="105" w:leftChars="50" w:right="105" w:rightChars="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（5）软件平台支持实体模型编程，基于实体模型进行路径的快速生成与编辑，实现零件加工、检测、管控的全过程工艺工序定义。</w:t>
            </w:r>
          </w:p>
        </w:tc>
      </w:tr>
      <w:tr w14:paraId="2AC0C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14:paraId="20B86279">
            <w:pPr>
              <w:widowControl/>
              <w:adjustRightInd w:val="0"/>
              <w:snapToGrid w:val="0"/>
              <w:spacing w:line="360" w:lineRule="exact"/>
              <w:ind w:firstLine="0" w:firstLineChars="0"/>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350" w:type="dxa"/>
            <w:gridSpan w:val="2"/>
            <w:vAlign w:val="center"/>
          </w:tcPr>
          <w:p w14:paraId="2CF5F9A7">
            <w:pPr>
              <w:adjustRightInd w:val="0"/>
              <w:snapToGrid w:val="0"/>
              <w:spacing w:line="360" w:lineRule="exact"/>
              <w:ind w:right="105" w:rightChars="50"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粗加工单元三轴精密机床单元</w:t>
            </w:r>
          </w:p>
        </w:tc>
        <w:tc>
          <w:tcPr>
            <w:tcW w:w="690" w:type="dxa"/>
            <w:shd w:val="clear" w:color="auto" w:fill="auto"/>
            <w:vAlign w:val="center"/>
          </w:tcPr>
          <w:p w14:paraId="50EED885">
            <w:pPr>
              <w:adjustRightInd w:val="0"/>
              <w:snapToGrid w:val="0"/>
              <w:spacing w:line="360" w:lineRule="exact"/>
              <w:ind w:right="105" w:rightChars="5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45" w:type="dxa"/>
            <w:shd w:val="clear" w:color="auto" w:fill="auto"/>
            <w:vAlign w:val="center"/>
          </w:tcPr>
          <w:p w14:paraId="32E71482">
            <w:pPr>
              <w:adjustRightInd w:val="0"/>
              <w:snapToGrid w:val="0"/>
              <w:spacing w:line="360" w:lineRule="exact"/>
              <w:ind w:right="105" w:rightChars="5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套</w:t>
            </w:r>
          </w:p>
        </w:tc>
        <w:tc>
          <w:tcPr>
            <w:tcW w:w="6344" w:type="dxa"/>
            <w:vAlign w:val="center"/>
          </w:tcPr>
          <w:p w14:paraId="202E017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1.工作范围</w:t>
            </w:r>
          </w:p>
          <w:p w14:paraId="1923E7C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（1）行程X/Y/Z：1100×600×600mm</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09FCBB5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（2）工作台尺寸：1200×600mm</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74DB12F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（3）工作台载重：800Kg</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4196454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（4）主轴中心线至机柱：650mm</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73353CB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（5）主轴鼻端至工作台：120～720mm。</w:t>
            </w:r>
          </w:p>
          <w:p w14:paraId="7977C164">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2.直线轴位置精度</w:t>
            </w:r>
          </w:p>
          <w:p w14:paraId="0ABA586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（1）定位精度X/Y/Z：0.03/0.03/0.03mm；</w:t>
            </w:r>
          </w:p>
          <w:p w14:paraId="367C511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（2）重复定位精度X/Y/Z：0.02/0.02/0.02mm。</w:t>
            </w:r>
          </w:p>
          <w:p w14:paraId="45C7D615">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3.直线轴进给速度</w:t>
            </w:r>
          </w:p>
          <w:p w14:paraId="2A00534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（1）快速移动速度X/Y/Z：</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24m/min；</w:t>
            </w:r>
          </w:p>
          <w:p w14:paraId="026FC2C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（2）最高切削进给速度X/Y/Z：</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10m/min。</w:t>
            </w:r>
          </w:p>
          <w:p w14:paraId="215B9A2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4.主轴参数</w:t>
            </w:r>
          </w:p>
          <w:p w14:paraId="5AD0B27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（1）最高转速：</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8000rpm；</w:t>
            </w:r>
          </w:p>
          <w:p w14:paraId="2CC355D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（2）主轴锥孔直径：BT40/150；</w:t>
            </w:r>
          </w:p>
          <w:p w14:paraId="58B347F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（3）输出功率：</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11kW；</w:t>
            </w:r>
          </w:p>
          <w:p w14:paraId="4F3FA869">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（4）输出扭矩：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52.5N·m。</w:t>
            </w:r>
          </w:p>
          <w:p w14:paraId="23AEAB4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5.刀库参数</w:t>
            </w:r>
          </w:p>
          <w:p w14:paraId="4DEEACC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（1）适用刀柄：BT40；</w:t>
            </w:r>
          </w:p>
          <w:p w14:paraId="3849712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（2）换刀方式：机械手；</w:t>
            </w:r>
          </w:p>
          <w:p w14:paraId="4D90D17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（3）刀库容量：</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24把；</w:t>
            </w:r>
          </w:p>
          <w:p w14:paraId="1D15A6F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（4）最大刀具长度：</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300mm；</w:t>
            </w:r>
          </w:p>
          <w:p w14:paraId="631788A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（5）最大刀具直径（满刀）：</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80mm；</w:t>
            </w:r>
          </w:p>
          <w:p w14:paraId="66D8A01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（6）最大刀具重量：</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8kg；</w:t>
            </w:r>
          </w:p>
          <w:p w14:paraId="7FAFCF53">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（7）刀对刀换刀时间（T-T）：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3s。</w:t>
            </w:r>
          </w:p>
          <w:p w14:paraId="38783EB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6.过滤系统类型：抽屉式水箱</w:t>
            </w:r>
          </w:p>
          <w:p w14:paraId="06DA883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7.主机配置</w:t>
            </w:r>
          </w:p>
          <w:p w14:paraId="11EBC12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（1）手动脉冲发生器；</w:t>
            </w:r>
          </w:p>
          <w:p w14:paraId="3AE3AD8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（2）全功能操作面板。</w:t>
            </w:r>
          </w:p>
          <w:p w14:paraId="52E8F61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8.机床辅机</w:t>
            </w:r>
          </w:p>
          <w:p w14:paraId="51A9BD3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（1）强制注油单元(润滑油)；</w:t>
            </w:r>
          </w:p>
          <w:p w14:paraId="495F6D0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（2）加工后排冲水；</w:t>
            </w:r>
          </w:p>
          <w:p w14:paraId="2B3508C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（3）机床清洁装置；</w:t>
            </w:r>
          </w:p>
          <w:p w14:paraId="0E0D52E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（4）机床清洁装置；</w:t>
            </w:r>
          </w:p>
          <w:p w14:paraId="660F949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（5）气源处理系统（含气压检测）。</w:t>
            </w:r>
          </w:p>
          <w:p w14:paraId="200DDCB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9.在机检测系统</w:t>
            </w:r>
          </w:p>
          <w:p w14:paraId="4F69262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机床数控系统自带原生在机高精度检测模块，可配备激光对刀仪、接触式对刀仪、接触式测头和相关的温度传感器的实现数据采集能力，也可对加工过程中刀具、工件等关键要素的固有偏差进行在机检测与修正。</w:t>
            </w:r>
          </w:p>
          <w:p w14:paraId="127DF27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10.外置液压站   </w:t>
            </w:r>
          </w:p>
          <w:p w14:paraId="1701D86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797A974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（2）电机功率：</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3kW；</w:t>
            </w:r>
          </w:p>
          <w:p w14:paraId="4B644C9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（3）电机转速：</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1420r/min；</w:t>
            </w:r>
          </w:p>
          <w:p w14:paraId="73BB411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（4）电机输入电压：380V；</w:t>
            </w:r>
          </w:p>
          <w:p w14:paraId="2CC641F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（5）液压泵类型：内啮合齿轮泵；</w:t>
            </w:r>
          </w:p>
          <w:p w14:paraId="50D556B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（6）液压泵排量：≥10mL/r；</w:t>
            </w:r>
          </w:p>
          <w:p w14:paraId="2C72545A">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（7）额定压力：15Mpa（可调范围5</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15MPa）；</w:t>
            </w:r>
          </w:p>
          <w:p w14:paraId="50C53AA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（8）额定流量：8</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12L/min；</w:t>
            </w:r>
          </w:p>
          <w:p w14:paraId="0A55FB7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（9）油箱容积：</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60L；</w:t>
            </w:r>
          </w:p>
          <w:p w14:paraId="76A3A02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（10）主溢流阀块：先导式溢流阀；</w:t>
            </w:r>
          </w:p>
          <w:p w14:paraId="244D02B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（11）主溢流阀块调节精度：±0.3MPa；</w:t>
            </w:r>
          </w:p>
          <w:p w14:paraId="344408C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（12）换向阀：二位四通电磁阀；</w:t>
            </w:r>
          </w:p>
          <w:p w14:paraId="1106487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（13）换向阀响应时间：≤0.1s；</w:t>
            </w:r>
          </w:p>
          <w:p w14:paraId="6A05FAD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（14）吸油过滤器过滤精度：100μm（带堵塞发讯器）；</w:t>
            </w:r>
          </w:p>
          <w:p w14:paraId="7959352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（15）回油过滤器过滤精度：20μm；</w:t>
            </w:r>
          </w:p>
          <w:p w14:paraId="6A6D9DC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（16）主压力口规格：G3/8；</w:t>
            </w:r>
          </w:p>
          <w:p w14:paraId="1D24222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（17）回油口规格：G1/2；</w:t>
            </w:r>
          </w:p>
          <w:p w14:paraId="1B86FCC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（18）卸油口规格：G1/4。</w:t>
            </w:r>
          </w:p>
          <w:p w14:paraId="6F78AC7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11.轴承座夹具</w:t>
            </w:r>
          </w:p>
          <w:p w14:paraId="30DFD5D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6A8AD19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（2）夹具体材质：不低于45（调制钢）；</w:t>
            </w:r>
          </w:p>
          <w:p w14:paraId="412A0B7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（3）关键定位件材质：Cr12MoV；</w:t>
            </w:r>
          </w:p>
          <w:p w14:paraId="4066383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（4）关键定位件硬度：HRC58-63；</w:t>
            </w:r>
          </w:p>
          <w:p w14:paraId="192C1E6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（5）夹持方式：液动；</w:t>
            </w:r>
          </w:p>
          <w:p w14:paraId="5D3A727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（6）油路布置方式：铜油管或夹具本体埋孔；</w:t>
            </w:r>
          </w:p>
          <w:p w14:paraId="1EBBAEF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（7）控制方式：通过PLC模块接入加工中心联动控制；</w:t>
            </w:r>
          </w:p>
          <w:p w14:paraId="0930C28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（8）工作压力：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12MPa；</w:t>
            </w:r>
          </w:p>
          <w:p w14:paraId="39B9608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（9）进出油口规格：G1/4；</w:t>
            </w:r>
          </w:p>
          <w:p w14:paraId="7D6312E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（10）响应时间：≤3s；</w:t>
            </w:r>
          </w:p>
          <w:p w14:paraId="717801A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（11）定位精度：0.1mm；</w:t>
            </w:r>
          </w:p>
          <w:p w14:paraId="1016B24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（12）安装方式：螺钉过孔。</w:t>
            </w:r>
          </w:p>
          <w:p w14:paraId="6A706C7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12.尾端轴承座夹具</w:t>
            </w:r>
          </w:p>
          <w:p w14:paraId="5CCFAF4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3569D41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（2）夹具体材质：不低于45（调制钢）；</w:t>
            </w:r>
          </w:p>
          <w:p w14:paraId="76F57E7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（3）关键定位件材质：Cr12MoV；</w:t>
            </w:r>
          </w:p>
          <w:p w14:paraId="6A61F7A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（4）关键定位件硬度：HRC58-63；</w:t>
            </w:r>
          </w:p>
          <w:p w14:paraId="147E94A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（5）夹持方式：液动；</w:t>
            </w:r>
          </w:p>
          <w:p w14:paraId="64FD122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（6）油路布置方式：铜油管或夹具本体埋孔；</w:t>
            </w:r>
          </w:p>
          <w:p w14:paraId="6E852E5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（7）控制方式：通过PLC模块接入加工中心联动控制；</w:t>
            </w:r>
          </w:p>
          <w:p w14:paraId="28CAE0A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（8）工作压力：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12MPa；</w:t>
            </w:r>
          </w:p>
          <w:p w14:paraId="42745B9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（9）进出油口规格：G1/4；</w:t>
            </w:r>
          </w:p>
          <w:p w14:paraId="2F1ECE0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（10）响应时间：≤3s；</w:t>
            </w:r>
          </w:p>
          <w:p w14:paraId="6B3BEB2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（11）定位精度：0.1mm；</w:t>
            </w:r>
          </w:p>
          <w:p w14:paraId="2EAF3B8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（12）安装方式：螺钉过孔。</w:t>
            </w:r>
          </w:p>
          <w:p w14:paraId="0EFD31D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13.电机法兰夹具</w:t>
            </w:r>
          </w:p>
          <w:p w14:paraId="2A6BBEB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505AAF0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（2）夹具体材质：不低于45（调制钢）；</w:t>
            </w:r>
          </w:p>
          <w:p w14:paraId="4D1BE63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（3）关键定位件材质：Cr12MoV；</w:t>
            </w:r>
          </w:p>
          <w:p w14:paraId="7D0513D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（4）关键定位件硬度：HRC58-63；</w:t>
            </w:r>
          </w:p>
          <w:p w14:paraId="34CB947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（5）夹持方式：液动；</w:t>
            </w:r>
          </w:p>
          <w:p w14:paraId="2E89AAD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（6）油路布置方式：铜油管或夹具本体埋孔；</w:t>
            </w:r>
          </w:p>
          <w:p w14:paraId="3766B72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（7）控制方式：通过PLC模块接入加工中心联动控制；</w:t>
            </w:r>
          </w:p>
          <w:p w14:paraId="0A3F9B8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（8）工作压力：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12MPa；</w:t>
            </w:r>
          </w:p>
          <w:p w14:paraId="2E8489E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（9）进出油口规格：G1/4；</w:t>
            </w:r>
          </w:p>
          <w:p w14:paraId="2231F06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（10）响应时间：≤3s；</w:t>
            </w:r>
          </w:p>
          <w:p w14:paraId="4D64831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（11）定位精度：0.1mm；</w:t>
            </w:r>
          </w:p>
          <w:p w14:paraId="19B3BDC1">
            <w:pPr>
              <w:adjustRightInd w:val="0"/>
              <w:snapToGrid w:val="0"/>
              <w:spacing w:line="360" w:lineRule="exact"/>
              <w:ind w:left="105" w:leftChars="50" w:right="105" w:rightChars="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（12）安装方式：螺钉过孔 。</w:t>
            </w:r>
          </w:p>
        </w:tc>
      </w:tr>
      <w:tr w14:paraId="32F2C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14:paraId="1429BEC0">
            <w:pPr>
              <w:widowControl/>
              <w:adjustRightInd w:val="0"/>
              <w:snapToGrid w:val="0"/>
              <w:spacing w:line="360" w:lineRule="exact"/>
              <w:ind w:firstLine="0" w:firstLineChars="0"/>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350" w:type="dxa"/>
            <w:gridSpan w:val="2"/>
            <w:vAlign w:val="center"/>
          </w:tcPr>
          <w:p w14:paraId="6596F599">
            <w:pPr>
              <w:adjustRightInd w:val="0"/>
              <w:snapToGrid w:val="0"/>
              <w:spacing w:line="360" w:lineRule="exact"/>
              <w:ind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精加工单元三轴精密机床</w:t>
            </w:r>
          </w:p>
        </w:tc>
        <w:tc>
          <w:tcPr>
            <w:tcW w:w="690" w:type="dxa"/>
            <w:shd w:val="clear" w:color="auto" w:fill="auto"/>
            <w:vAlign w:val="center"/>
          </w:tcPr>
          <w:p w14:paraId="22EEF3A0">
            <w:pPr>
              <w:adjustRightInd w:val="0"/>
              <w:snapToGrid w:val="0"/>
              <w:spacing w:line="360" w:lineRule="exact"/>
              <w:ind w:right="105" w:rightChars="5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45" w:type="dxa"/>
            <w:shd w:val="clear" w:color="auto" w:fill="auto"/>
            <w:vAlign w:val="center"/>
          </w:tcPr>
          <w:p w14:paraId="0AC7E698">
            <w:pPr>
              <w:adjustRightInd w:val="0"/>
              <w:snapToGrid w:val="0"/>
              <w:spacing w:line="360" w:lineRule="exact"/>
              <w:ind w:right="105" w:rightChars="5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套</w:t>
            </w:r>
          </w:p>
        </w:tc>
        <w:tc>
          <w:tcPr>
            <w:tcW w:w="6344" w:type="dxa"/>
            <w:vAlign w:val="center"/>
          </w:tcPr>
          <w:p w14:paraId="6A14D25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1.工作范围</w:t>
            </w:r>
          </w:p>
          <w:p w14:paraId="5FB0C75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（1）行程X/Y/Z：1100×600×600mm</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6D854E6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（2）工作台尺寸：1200×600mm</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2310E71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（3）工作台载重：</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800Kg；</w:t>
            </w:r>
          </w:p>
          <w:p w14:paraId="1EBE274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（4）主轴中心线至机柱：650mm</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4454B79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（5）主轴鼻端至工作台：120～720mm。</w:t>
            </w:r>
          </w:p>
          <w:p w14:paraId="056170D6">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2.直线轴位置精度</w:t>
            </w:r>
          </w:p>
          <w:p w14:paraId="7A46CEA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（1）定位精度X/Y/Z：0.03/0.03/0.03mm；</w:t>
            </w:r>
          </w:p>
          <w:p w14:paraId="08021D7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（2）重复定位精度X/Y/Z：0.02/0.02/0.02mm。</w:t>
            </w:r>
          </w:p>
          <w:p w14:paraId="34EBD6E4">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3.直线轴进给速度</w:t>
            </w:r>
          </w:p>
          <w:p w14:paraId="17B527E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（1）快速移动速度X/Y/Z：</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24m/min；</w:t>
            </w:r>
          </w:p>
          <w:p w14:paraId="327E366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（2）最高切削进给速度X/Y/Z：</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10m/min。</w:t>
            </w:r>
          </w:p>
          <w:p w14:paraId="3E224E5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4.主轴参数</w:t>
            </w:r>
          </w:p>
          <w:p w14:paraId="5A00A41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（1）最高转速：</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8000rpm；</w:t>
            </w:r>
          </w:p>
          <w:p w14:paraId="6EEB40B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（2）主轴锥孔直径：BT40/150；</w:t>
            </w:r>
          </w:p>
          <w:p w14:paraId="64C8B3E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（3）输出功率：</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11kW；</w:t>
            </w:r>
          </w:p>
          <w:p w14:paraId="5AAEF231">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（4）输出扭矩：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52.5N·m。</w:t>
            </w:r>
          </w:p>
          <w:p w14:paraId="28DEF70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5.刀库参数</w:t>
            </w:r>
          </w:p>
          <w:p w14:paraId="5E24550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（1）适用刀柄：BT40；</w:t>
            </w:r>
          </w:p>
          <w:p w14:paraId="028504E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（2）换刀方式：机械手；</w:t>
            </w:r>
          </w:p>
          <w:p w14:paraId="32E03A0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（3）刀库容量：</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24把；</w:t>
            </w:r>
          </w:p>
          <w:p w14:paraId="58EE030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（4）最大刀具长度：</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300mm；</w:t>
            </w:r>
          </w:p>
          <w:p w14:paraId="708579D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（5）最大刀具直径（满刀）：</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80mm；</w:t>
            </w:r>
          </w:p>
          <w:p w14:paraId="6149836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（6）最大刀具重量：</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8kg；</w:t>
            </w:r>
          </w:p>
          <w:p w14:paraId="1EBC5443">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（7）刀对刀换刀时间（T-T）：不超过3s。</w:t>
            </w:r>
          </w:p>
          <w:p w14:paraId="6159CB3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6.过滤系统类型：抽屉式水箱</w:t>
            </w:r>
          </w:p>
          <w:p w14:paraId="0F9B6CC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7.主机配置</w:t>
            </w:r>
          </w:p>
          <w:p w14:paraId="73C6C48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（1）手动脉冲发生器；</w:t>
            </w:r>
          </w:p>
          <w:p w14:paraId="7CE4F58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（2）全功能操作面板。</w:t>
            </w:r>
          </w:p>
          <w:p w14:paraId="082883A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8.机床辅机</w:t>
            </w:r>
          </w:p>
          <w:p w14:paraId="4637949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（1）强制注油单元(润滑油)；</w:t>
            </w:r>
          </w:p>
          <w:p w14:paraId="2D1120F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（2）加工后排冲水；</w:t>
            </w:r>
          </w:p>
          <w:p w14:paraId="5F67EF0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（3）机床清洁装置；</w:t>
            </w:r>
          </w:p>
          <w:p w14:paraId="29A260C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（4）机床清洁装置；</w:t>
            </w:r>
          </w:p>
          <w:p w14:paraId="4CE0454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（5）气源处理系统（含气压检测）。</w:t>
            </w:r>
          </w:p>
          <w:p w14:paraId="2D87A5A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9.在机检测系统</w:t>
            </w:r>
          </w:p>
          <w:p w14:paraId="4776C24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机床数控系统自带原生在机高精度检测模块，可配备激光对刀仪、接触式对刀仪、接触式测头和相关的温度传感器的实现数据采集能力，也可对加工过程中刀具、工件等关键要素的固有偏差进行在机检测与修正。</w:t>
            </w:r>
          </w:p>
          <w:p w14:paraId="5D7465E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10.外置液压站   </w:t>
            </w:r>
          </w:p>
          <w:p w14:paraId="07D4E96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0F4C40E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（2）电机功率：</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3kW；</w:t>
            </w:r>
          </w:p>
          <w:p w14:paraId="6DA45F4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（3）电机转速：</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1420r/min；</w:t>
            </w:r>
          </w:p>
          <w:p w14:paraId="59DC221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（4）电机输入电压：380V；</w:t>
            </w:r>
          </w:p>
          <w:p w14:paraId="61272D2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（5）液压泵类型：内啮合齿轮泵；</w:t>
            </w:r>
          </w:p>
          <w:p w14:paraId="71EC502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（6）液压泵排量：≥10mL/r；</w:t>
            </w:r>
          </w:p>
          <w:p w14:paraId="158711B8">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（7）额定压力：15Mpa（可调范围5～15MPa）；</w:t>
            </w:r>
          </w:p>
          <w:p w14:paraId="7E87CB1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（8）额定流量：8～12L/min；</w:t>
            </w:r>
          </w:p>
          <w:p w14:paraId="48EA240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（9）油箱容积：</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60L；</w:t>
            </w:r>
          </w:p>
          <w:p w14:paraId="2DA55D7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（10）主溢流阀块：先导式溢流阀；</w:t>
            </w:r>
          </w:p>
          <w:p w14:paraId="25D680C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（11）主溢流阀块调节精度：±0.3MPa；</w:t>
            </w:r>
          </w:p>
          <w:p w14:paraId="70424BB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（12）换向阀：二位四通电磁阀；</w:t>
            </w:r>
          </w:p>
          <w:p w14:paraId="59388E2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（13）换向阀响应时间：≤0.1s；</w:t>
            </w:r>
          </w:p>
          <w:p w14:paraId="42CFC3B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（14）吸油过滤器过滤精度：100μm（带堵塞发讯器）；</w:t>
            </w:r>
          </w:p>
          <w:p w14:paraId="0640438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（15）回油过滤器过滤精度：20μm；</w:t>
            </w:r>
          </w:p>
          <w:p w14:paraId="31D3179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（16）主压力口规格：G3/8；</w:t>
            </w:r>
          </w:p>
          <w:p w14:paraId="47034B6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（17）回油口规格：G1/2；</w:t>
            </w:r>
          </w:p>
          <w:p w14:paraId="259ED72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（18）卸油口规格：G1/4。</w:t>
            </w:r>
          </w:p>
          <w:p w14:paraId="3EF9BF3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11.轴承座加工夹具A</w:t>
            </w:r>
          </w:p>
          <w:p w14:paraId="262EF78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072EA34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（2）夹具体材质：不低于45（调制钢）；</w:t>
            </w:r>
          </w:p>
          <w:p w14:paraId="73F3525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（3）关键定位件材质：Cr12MoV；</w:t>
            </w:r>
          </w:p>
          <w:p w14:paraId="43345D5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（4）关键定位件硬度：HRC58-63；</w:t>
            </w:r>
          </w:p>
          <w:p w14:paraId="2E54C90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（5）夹持方式：液动；</w:t>
            </w:r>
          </w:p>
          <w:p w14:paraId="3A9775B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（6）油路布置方式：铜油管或夹具本体埋孔；</w:t>
            </w:r>
          </w:p>
          <w:p w14:paraId="450F943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（7）控制方式：通过PLC模块接入加工中心联动控制；</w:t>
            </w:r>
          </w:p>
          <w:p w14:paraId="1534812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（8）工作压力：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12MPa；</w:t>
            </w:r>
          </w:p>
          <w:p w14:paraId="7D5D073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（9）进出油口规格：G1/4；</w:t>
            </w:r>
          </w:p>
          <w:p w14:paraId="48B54C4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（10）响应时间：≤3s；</w:t>
            </w:r>
          </w:p>
          <w:p w14:paraId="0029B77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（11）定位精度：0.02mm；</w:t>
            </w:r>
          </w:p>
          <w:p w14:paraId="708D037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（12）安装方式：螺钉过孔。</w:t>
            </w:r>
          </w:p>
          <w:p w14:paraId="14BC3CE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12.轴承座加工夹具B</w:t>
            </w:r>
          </w:p>
          <w:p w14:paraId="0FC9CD5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7DF7DEE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（2）夹具体材质：不低于45（调制钢）；</w:t>
            </w:r>
          </w:p>
          <w:p w14:paraId="02CD1B4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（3）关键定位件材质：Cr12MoV；</w:t>
            </w:r>
          </w:p>
          <w:p w14:paraId="33CB8F6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（4）关键定位件硬度：HRC58-63；</w:t>
            </w:r>
          </w:p>
          <w:p w14:paraId="1DF34D5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（5）夹持方式：液动；</w:t>
            </w:r>
          </w:p>
          <w:p w14:paraId="7DBBC5B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（6）油路布置方式：铜油管或夹具本体埋孔；</w:t>
            </w:r>
          </w:p>
          <w:p w14:paraId="1F44E68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（7）控制方式：通过PLC模块接入加工中心联动控制；</w:t>
            </w:r>
          </w:p>
          <w:p w14:paraId="36B5C2A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（8）工作压力：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12MPa；</w:t>
            </w:r>
          </w:p>
          <w:p w14:paraId="32637AD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（9）进出油口规格：G1/4；</w:t>
            </w:r>
          </w:p>
          <w:p w14:paraId="7FA2262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（10）响应时间：≤3s；</w:t>
            </w:r>
          </w:p>
          <w:p w14:paraId="6CFF02F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（11）定位精度：0.02mm；</w:t>
            </w:r>
          </w:p>
          <w:p w14:paraId="011E801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（12）安装方式：螺钉过孔。</w:t>
            </w:r>
          </w:p>
          <w:p w14:paraId="2951E26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13.尾端轴承座加工夹具</w:t>
            </w:r>
          </w:p>
          <w:p w14:paraId="6BC9FEA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0801DBC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（2）夹具体材质：不低于45（调制钢）；</w:t>
            </w:r>
          </w:p>
          <w:p w14:paraId="2E6A3F4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（3）关键定位件材质：Cr12MoV；</w:t>
            </w:r>
          </w:p>
          <w:p w14:paraId="570AEF9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（4）关键定位件硬度：HRC58-63；</w:t>
            </w:r>
          </w:p>
          <w:p w14:paraId="25305E0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（5）夹持方式：液动；</w:t>
            </w:r>
          </w:p>
          <w:p w14:paraId="3EE7DDE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（6）油路布置方式：铜油管或夹具本体埋孔；</w:t>
            </w:r>
          </w:p>
          <w:p w14:paraId="7CD681C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（7）控制方式：通过PLC模块接入加工中心联动控制；</w:t>
            </w:r>
          </w:p>
          <w:p w14:paraId="18FA90F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（8）工作压力：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12MPa；</w:t>
            </w:r>
          </w:p>
          <w:p w14:paraId="6624538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（9）进出油口规格：G1/4；</w:t>
            </w:r>
          </w:p>
          <w:p w14:paraId="4BEFAD9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（10）响应时间：≤3s；</w:t>
            </w:r>
          </w:p>
          <w:p w14:paraId="707FC7A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（11）定位精度：0.02mm；</w:t>
            </w:r>
          </w:p>
          <w:p w14:paraId="03E738B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（12）安装方式：螺钉过孔。</w:t>
            </w:r>
          </w:p>
          <w:p w14:paraId="43FB91D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14.电机法兰加工夹具</w:t>
            </w:r>
          </w:p>
          <w:p w14:paraId="65C4265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618E7D6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（2）夹具体材质：不低于45（调制钢）；</w:t>
            </w:r>
          </w:p>
          <w:p w14:paraId="113C146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（3）关键定位件材质：Cr12MoV；</w:t>
            </w:r>
          </w:p>
          <w:p w14:paraId="6C5E2F7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（4）关键定位件硬度：HRC58-63；</w:t>
            </w:r>
          </w:p>
          <w:p w14:paraId="2AD6B34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（5）夹持方式：液动；</w:t>
            </w:r>
          </w:p>
          <w:p w14:paraId="205E34C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（6）油路布置方式：铜油管或夹具本体埋孔；</w:t>
            </w:r>
          </w:p>
          <w:p w14:paraId="27ED895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（7）控制方式：通过PLC模块接入加工中心联动控制；</w:t>
            </w:r>
          </w:p>
          <w:p w14:paraId="5CCD333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（8）工作压力：</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12MPa；</w:t>
            </w:r>
          </w:p>
          <w:p w14:paraId="33732A2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（9）进出油口规格：G1/4；</w:t>
            </w:r>
          </w:p>
          <w:p w14:paraId="4293463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（10）响应时间：≤3s；</w:t>
            </w:r>
          </w:p>
          <w:p w14:paraId="7458AD8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（11）定位精度：0.02mm；</w:t>
            </w:r>
          </w:p>
          <w:p w14:paraId="7D454A06">
            <w:pPr>
              <w:adjustRightInd w:val="0"/>
              <w:snapToGrid w:val="0"/>
              <w:spacing w:line="360" w:lineRule="exact"/>
              <w:ind w:left="105" w:leftChars="50" w:right="105" w:rightChars="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（12）安装方式：螺钉过孔。</w:t>
            </w:r>
          </w:p>
        </w:tc>
      </w:tr>
      <w:tr w14:paraId="1431D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14:paraId="66B730F6">
            <w:pPr>
              <w:widowControl/>
              <w:adjustRightInd w:val="0"/>
              <w:snapToGrid w:val="0"/>
              <w:spacing w:line="360" w:lineRule="exact"/>
              <w:ind w:firstLine="0" w:firstLineChars="0"/>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350" w:type="dxa"/>
            <w:gridSpan w:val="2"/>
            <w:vAlign w:val="center"/>
          </w:tcPr>
          <w:p w14:paraId="43934C29">
            <w:pPr>
              <w:adjustRightInd w:val="0"/>
              <w:snapToGrid w:val="0"/>
              <w:spacing w:line="360" w:lineRule="exact"/>
              <w:ind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数字化产线改造</w:t>
            </w:r>
          </w:p>
        </w:tc>
        <w:tc>
          <w:tcPr>
            <w:tcW w:w="690" w:type="dxa"/>
            <w:shd w:val="clear" w:color="000000" w:fill="auto"/>
            <w:vAlign w:val="center"/>
          </w:tcPr>
          <w:p w14:paraId="0D6AFFAD">
            <w:pPr>
              <w:adjustRightInd w:val="0"/>
              <w:snapToGrid w:val="0"/>
              <w:spacing w:line="360" w:lineRule="exact"/>
              <w:ind w:right="105" w:rightChars="5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45" w:type="dxa"/>
            <w:shd w:val="clear" w:color="000000" w:fill="auto"/>
            <w:vAlign w:val="center"/>
          </w:tcPr>
          <w:p w14:paraId="64553FF4">
            <w:pPr>
              <w:adjustRightInd w:val="0"/>
              <w:snapToGrid w:val="0"/>
              <w:spacing w:line="360" w:lineRule="exact"/>
              <w:ind w:right="105" w:rightChars="5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套</w:t>
            </w:r>
          </w:p>
        </w:tc>
        <w:tc>
          <w:tcPr>
            <w:tcW w:w="6344" w:type="dxa"/>
            <w:vAlign w:val="center"/>
          </w:tcPr>
          <w:p w14:paraId="6F423E2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1.激光打标模块</w:t>
            </w:r>
          </w:p>
          <w:p w14:paraId="2943B51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5E95EF01">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（2）输出功率：</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30W；</w:t>
            </w:r>
          </w:p>
          <w:p w14:paraId="4E54E70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（3）激光器类型：光纤MOPA激光器；</w:t>
            </w:r>
          </w:p>
          <w:p w14:paraId="22D6D8F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（4）激光波长：1.06μm；</w:t>
            </w:r>
          </w:p>
          <w:p w14:paraId="6ED796A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（5）单次脉冲能量：0.8</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1.0mJ；</w:t>
            </w:r>
          </w:p>
          <w:p w14:paraId="517576E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（6）激光重复频率范围：1.6</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1000KHz；</w:t>
            </w:r>
          </w:p>
          <w:p w14:paraId="1337764F">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（7）雕刻范围大小：≥100×100mm；</w:t>
            </w:r>
          </w:p>
          <w:p w14:paraId="4565B18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（8）雕刻深度：≥0.3mm；</w:t>
            </w:r>
          </w:p>
          <w:p w14:paraId="540D269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（9）雕刻线速：≥6000mm/s；</w:t>
            </w:r>
          </w:p>
          <w:p w14:paraId="32D7298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（10）最小线宽：≤0.1mm；</w:t>
            </w:r>
          </w:p>
          <w:p w14:paraId="79C8698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（11）最小字符：≤0.1mm；</w:t>
            </w:r>
          </w:p>
          <w:p w14:paraId="0694E71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（12）重复精度：±0.003mm；</w:t>
            </w:r>
          </w:p>
          <w:p w14:paraId="25EBAEE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（13）整机功率：≤500W。</w:t>
            </w:r>
          </w:p>
          <w:p w14:paraId="3B77436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2.扫码模块</w:t>
            </w:r>
          </w:p>
          <w:p w14:paraId="62FADF2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（1）数量：不少于5套；</w:t>
            </w:r>
          </w:p>
          <w:p w14:paraId="00C99C4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（2）图像传感器：CMOS；</w:t>
            </w:r>
          </w:p>
          <w:p w14:paraId="446C4D3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（3）像素：不低于1280×960；</w:t>
            </w:r>
          </w:p>
          <w:p w14:paraId="2BE7A9D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（4）照明：红色环形光源/白色点光源；</w:t>
            </w:r>
          </w:p>
          <w:p w14:paraId="165AD7D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（5）对焦：单点激光650nm；</w:t>
            </w:r>
          </w:p>
          <w:p w14:paraId="5A23954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（6）识读码制：2D（QRCode,MicroQR,DataMatrix,PDF417）1DEAN-8,EAN-13,ISBN,ISSN,UPC-A,UPC-E,Code11,Code128,Code39,GS1-128,AIM128,ISBT128,Codabar,Code93,Plessey,MSIPlessey,Industrial2/5,Interleaved2/5,Matrix2/5,Standard2/5,Coop25,ITF-6,ITF-14,Deutsche12,Deutsche14） ；</w:t>
            </w:r>
          </w:p>
          <w:p w14:paraId="6C4AEB1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（7）响应时间：小于1s；</w:t>
            </w:r>
          </w:p>
          <w:p w14:paraId="6E57857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（8）最小识别精度：2mil；</w:t>
            </w:r>
          </w:p>
          <w:p w14:paraId="6F8064B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（9）最小识别景深：35</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350mm；</w:t>
            </w:r>
          </w:p>
          <w:p w14:paraId="22E442E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（10）视场角度：≥水平41°，垂直31°；</w:t>
            </w:r>
          </w:p>
          <w:p w14:paraId="2D9E689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（11）条码灵敏度：倾斜±50° 旋转360° 偏转±60°；</w:t>
            </w:r>
          </w:p>
          <w:p w14:paraId="4FA0E6E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（12）运动容差：≤2m/s；</w:t>
            </w:r>
          </w:p>
          <w:p w14:paraId="58CD7E2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（13）符号反差：≥25%；</w:t>
            </w:r>
          </w:p>
          <w:p w14:paraId="15748AC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（14）供电电压：24V；</w:t>
            </w:r>
          </w:p>
          <w:p w14:paraId="6C03D07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（15）通讯接口：RS-232，USB，10M/100M以太网；</w:t>
            </w:r>
          </w:p>
          <w:p w14:paraId="53B2DCB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（16）防护等级：不低于IP65；</w:t>
            </w:r>
          </w:p>
          <w:p w14:paraId="21FA5AB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（17）静电防护：±16KV（空气放电）±8KV（直接放电）。</w:t>
            </w:r>
          </w:p>
          <w:p w14:paraId="577EB3D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3.毛坯库</w:t>
            </w:r>
          </w:p>
          <w:p w14:paraId="43A89E9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34BC0AF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（2）规格：≥6450×740×2400mm；</w:t>
            </w:r>
          </w:p>
          <w:p w14:paraId="021528F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（3）底座材质：120×80铝合金型材；</w:t>
            </w:r>
          </w:p>
          <w:p w14:paraId="6C4C118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（4）主材质：80×80铝合金型材；</w:t>
            </w:r>
          </w:p>
          <w:p w14:paraId="4C8540B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（5）仓储位数：≥52；</w:t>
            </w:r>
          </w:p>
          <w:p w14:paraId="1356403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（6）托盘数量和种类：≥52个托盘，可通用三种型号毛坯；</w:t>
            </w:r>
          </w:p>
          <w:p w14:paraId="67ED6965">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（7）单仓位静态负载：≥50Kg。</w:t>
            </w:r>
          </w:p>
          <w:p w14:paraId="4998EFC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4.成品库（在原成品库基础上改造）</w:t>
            </w:r>
          </w:p>
          <w:p w14:paraId="3093829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2A4E24E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（2）规格：≥6450×740×2400mm；</w:t>
            </w:r>
          </w:p>
          <w:p w14:paraId="504D11A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（3）底座材质：120×80铝合金型材；</w:t>
            </w:r>
          </w:p>
          <w:p w14:paraId="4650CF8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（4）主材质：80×80铝合金型材；</w:t>
            </w:r>
          </w:p>
          <w:p w14:paraId="2939DAF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（5）仓储位数：≥52；</w:t>
            </w:r>
          </w:p>
          <w:p w14:paraId="71960A2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（6）托盘数量和种类：≥52个托盘，可通用三种型号毛坯；</w:t>
            </w:r>
          </w:p>
          <w:p w14:paraId="4C6F20AD">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（7）单仓位静态负载：≥50Kg。</w:t>
            </w:r>
          </w:p>
          <w:p w14:paraId="3A1DF1A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5.辊道用托盘</w:t>
            </w:r>
          </w:p>
          <w:p w14:paraId="3C858A4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（1）数量：≥20套；</w:t>
            </w:r>
          </w:p>
          <w:p w14:paraId="08CB1F4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（2）托盘可兼容不少于3个型号的产品；</w:t>
            </w:r>
          </w:p>
          <w:p w14:paraId="37D6229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（3）托盘类型：平底型；</w:t>
            </w:r>
          </w:p>
          <w:p w14:paraId="1D9BC4C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（4）定位支撑材质：铝合金+碳素钢；</w:t>
            </w:r>
          </w:p>
          <w:p w14:paraId="75D19B2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（5）底部材料：聚酰胺（PA）；</w:t>
            </w:r>
          </w:p>
          <w:p w14:paraId="740B4C9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（6）规格：≥400×250×90mm；</w:t>
            </w:r>
          </w:p>
          <w:p w14:paraId="29E2CE59">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（7）静态负载：≥100kg。</w:t>
            </w:r>
          </w:p>
          <w:p w14:paraId="24C2634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6.机器人A末端夹具1</w:t>
            </w:r>
          </w:p>
          <w:p w14:paraId="400CC25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0AC41D4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（2）夹持力：可调范围50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200N；</w:t>
            </w:r>
          </w:p>
          <w:p w14:paraId="1F7F24A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（3）适配工件尺寸：适配生产零件，直径100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250mm；</w:t>
            </w:r>
          </w:p>
          <w:p w14:paraId="34C42E8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（4）材质：铝合金；</w:t>
            </w:r>
          </w:p>
          <w:p w14:paraId="13C93E8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（5）驱动方式：双作用气缸或电缸；</w:t>
            </w:r>
          </w:p>
          <w:p w14:paraId="1F11BF7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（6）控制信号：Modbus-TCP（与机器人PLC通信）；</w:t>
            </w:r>
          </w:p>
          <w:p w14:paraId="4B2AF0D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（7）重复定位精度：±0.05mm；</w:t>
            </w:r>
          </w:p>
          <w:p w14:paraId="647F6A5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（8）工件重量：1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15Kg；</w:t>
            </w:r>
          </w:p>
          <w:p w14:paraId="1AC37F2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（9）响应时间：≤0.5s。</w:t>
            </w:r>
          </w:p>
          <w:p w14:paraId="58330B9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7.机器人A末端夹具2</w:t>
            </w:r>
          </w:p>
          <w:p w14:paraId="1AAB634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3FDE167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（2）夹持力：可调范围50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200N；</w:t>
            </w:r>
          </w:p>
          <w:p w14:paraId="342C325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（3）适配工件尺寸：适配生产零件，直径100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250mm；</w:t>
            </w:r>
          </w:p>
          <w:p w14:paraId="4522675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（4）材质：铝合金；</w:t>
            </w:r>
          </w:p>
          <w:p w14:paraId="5127479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（5）驱动方式：双作用气缸或电缸；</w:t>
            </w:r>
          </w:p>
          <w:p w14:paraId="027D0B9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（6）控制信号：Modbus-TCP（与机器人PLC通信）；</w:t>
            </w:r>
          </w:p>
          <w:p w14:paraId="5F091EE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（7）重复定位精度：±0.05mm；</w:t>
            </w:r>
          </w:p>
          <w:p w14:paraId="59B3A95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（8）工件重量：1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15Kg；</w:t>
            </w:r>
          </w:p>
          <w:p w14:paraId="1EE2850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（9）响应时间：≤0.5s。</w:t>
            </w:r>
          </w:p>
          <w:p w14:paraId="18A4286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8.机器人B末端夹具1</w:t>
            </w:r>
          </w:p>
          <w:p w14:paraId="1E5C353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2146A8C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（2）夹持力：可调范围50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200N；</w:t>
            </w:r>
          </w:p>
          <w:p w14:paraId="4E54EFC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（3）适配工件尺寸：适配生产零件，直径100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250mm；</w:t>
            </w:r>
          </w:p>
          <w:p w14:paraId="02FE4F1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（4）材质：铝合金；</w:t>
            </w:r>
          </w:p>
          <w:p w14:paraId="3A5D30A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（5）驱动方式：双作用气缸或电缸；</w:t>
            </w:r>
          </w:p>
          <w:p w14:paraId="15BE2EC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（6）控制信号：Modbus-TCP（与机器人PLC通信）；</w:t>
            </w:r>
          </w:p>
          <w:p w14:paraId="360A72C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（7）重复定位精度：±0.05mm；</w:t>
            </w:r>
          </w:p>
          <w:p w14:paraId="0072FE7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（8）工件重量：1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15Kg；</w:t>
            </w:r>
          </w:p>
          <w:p w14:paraId="2292063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（9）响应时间：≤0.5s。</w:t>
            </w:r>
          </w:p>
          <w:p w14:paraId="4EBE740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9.机器人B末端夹具2</w:t>
            </w:r>
          </w:p>
          <w:p w14:paraId="27A29FB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3360974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（2）夹持力：可调范围50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200N；</w:t>
            </w:r>
          </w:p>
          <w:p w14:paraId="15D358F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（3）适配工件尺寸：适配生产零件，直径100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250mm；</w:t>
            </w:r>
          </w:p>
          <w:p w14:paraId="13BF0EC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（4）材质：铝合金；</w:t>
            </w:r>
          </w:p>
          <w:p w14:paraId="65B5DFF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（5）驱动方式：双作用气缸或电缸；</w:t>
            </w:r>
          </w:p>
          <w:p w14:paraId="1B96953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（6）控制信号：Modbus-TCP（与机器人PLC通信）；</w:t>
            </w:r>
          </w:p>
          <w:p w14:paraId="44FF67B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（7）重复定位精度：±0.05mm；</w:t>
            </w:r>
          </w:p>
          <w:p w14:paraId="774A61C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（8）工件重量：1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15Kg；</w:t>
            </w:r>
          </w:p>
          <w:p w14:paraId="49EEDA3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（9）响应时间：≤0.5s。</w:t>
            </w:r>
          </w:p>
          <w:p w14:paraId="50C824B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10.机器人C末端夹具1</w:t>
            </w:r>
          </w:p>
          <w:p w14:paraId="44ED524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53CD4AF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（2）夹持力：可调范围50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200N；</w:t>
            </w:r>
          </w:p>
          <w:p w14:paraId="08E8A21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（3）适配工件尺寸：适配生产零件，直径100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250mm；</w:t>
            </w:r>
          </w:p>
          <w:p w14:paraId="0EB4685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（4）材质：铝合金；</w:t>
            </w:r>
          </w:p>
          <w:p w14:paraId="7D912D4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（5）驱动方式：双作用气缸或电缸；</w:t>
            </w:r>
          </w:p>
          <w:p w14:paraId="5BDDA4E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（6）控制信号：Modbus-TCP（与机器人PLC通信）；</w:t>
            </w:r>
          </w:p>
          <w:p w14:paraId="1D4CE32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（7）重复定位精度：±0.05mm；</w:t>
            </w:r>
          </w:p>
          <w:p w14:paraId="5061115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（8）工件重量：1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15Kg；</w:t>
            </w:r>
          </w:p>
          <w:p w14:paraId="330B16A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（9）响应时间：≤0.5s。</w:t>
            </w:r>
          </w:p>
          <w:p w14:paraId="3D9AD92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11.机器人C末端夹具2</w:t>
            </w:r>
          </w:p>
          <w:p w14:paraId="497B8D4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65268DF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（2）夹持力：可调范围50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200N；</w:t>
            </w:r>
          </w:p>
          <w:p w14:paraId="395FAE5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（3）适配工件尺寸：适配生产零件，直径100</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250mm；</w:t>
            </w:r>
          </w:p>
          <w:p w14:paraId="034A2B8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（4）材质：铝合金；</w:t>
            </w:r>
          </w:p>
          <w:p w14:paraId="6639BFA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（5）驱动方式：双作用气缸或电缸；</w:t>
            </w:r>
          </w:p>
          <w:p w14:paraId="4C4A23CE">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（6）控制信号：Modbus-TCP（与机器人PLC通信）；</w:t>
            </w:r>
          </w:p>
          <w:p w14:paraId="0C648D8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（7）重复定位精度：±0.05mm；</w:t>
            </w:r>
          </w:p>
          <w:p w14:paraId="4E2E757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（8）工件重量：1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15Kg；</w:t>
            </w:r>
          </w:p>
          <w:p w14:paraId="741430E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（9）响应时间：≤0.5s。</w:t>
            </w:r>
          </w:p>
          <w:p w14:paraId="5D09F43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12.机器人控制柜放置架</w:t>
            </w:r>
          </w:p>
          <w:p w14:paraId="0F62B2B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3套；</w:t>
            </w:r>
          </w:p>
          <w:p w14:paraId="384440E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（2）尺寸：适配控制柜尺寸；</w:t>
            </w:r>
          </w:p>
          <w:p w14:paraId="20058C0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（3）材质：冷轧钢板，厚度≥1mm；</w:t>
            </w:r>
          </w:p>
          <w:p w14:paraId="6E751E8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（4）承重能力≥100kg。</w:t>
            </w:r>
          </w:p>
          <w:p w14:paraId="2B5FC0C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13.自动化中继控制箱套件</w:t>
            </w:r>
          </w:p>
          <w:p w14:paraId="0239976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786A18F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（2）输入/输出接口：≥16路数字量I/O；</w:t>
            </w:r>
          </w:p>
          <w:p w14:paraId="18851100">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（3）通讯协议：支持Modbus TCP、Profinet；</w:t>
            </w:r>
          </w:p>
          <w:p w14:paraId="5E034BD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（4）防护等级：不低于IP54。</w:t>
            </w:r>
          </w:p>
          <w:p w14:paraId="2D0A1EC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14.自动化控制柜</w:t>
            </w:r>
          </w:p>
          <w:p w14:paraId="53228C1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5套；</w:t>
            </w:r>
          </w:p>
          <w:p w14:paraId="4D2774B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（2）尺寸：800mm×600mm×2000mm</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47EDAB1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（3）柜体材质：</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highlight w:val="none"/>
              </w:rPr>
              <w:t>1.5mm冷轧钢板喷塑；</w:t>
            </w:r>
          </w:p>
          <w:p w14:paraId="602F25D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（4）电气分路：16A/32A MCB（带漏电保护）；</w:t>
            </w:r>
          </w:p>
          <w:p w14:paraId="547CB19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（5）PLC系统：支持I/O扩展至512点；</w:t>
            </w:r>
          </w:p>
          <w:p w14:paraId="7D9620A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（6）I/O模块：数字量：32DI/32DO；</w:t>
            </w:r>
          </w:p>
          <w:p w14:paraId="40792725">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（7）通讯协议：PROFINET、EtherNet/IP、Modbus TCP/RTU、OPC UA；</w:t>
            </w:r>
          </w:p>
          <w:p w14:paraId="17F66EF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（8）接口类型：（以太网）RJ45；</w:t>
            </w:r>
          </w:p>
          <w:p w14:paraId="7A6D3A5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（9）串口：RS485；</w:t>
            </w:r>
          </w:p>
          <w:p w14:paraId="636F546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（10）急停系统：双回路急停按钮；</w:t>
            </w:r>
          </w:p>
          <w:p w14:paraId="54242FA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（11）接地与屏蔽：独立接地铜排（截面积≥16mm²）；</w:t>
            </w:r>
          </w:p>
          <w:p w14:paraId="2D946BD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（12）EMC防护：输入/输出端加磁环、滤波电容；</w:t>
            </w:r>
          </w:p>
          <w:p w14:paraId="55553C0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（13）防雷保护：电源端B+C级防雷模块（In≤20kA，Up≤1.5kV）；</w:t>
            </w:r>
          </w:p>
          <w:p w14:paraId="2C13FFF4">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（14）散热方式：强制风冷。</w:t>
            </w:r>
          </w:p>
          <w:p w14:paraId="678D1F2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15.产线安全防护系统</w:t>
            </w:r>
          </w:p>
          <w:p w14:paraId="6AFFB8F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0CB7D93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（2）系统组成：安全光栅、急停装置、安全门锁、安全PLC、安全继电器、区域监控传感器</w:t>
            </w:r>
          </w:p>
          <w:p w14:paraId="7B5575E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（3）防护区域：危险区域划分；</w:t>
            </w:r>
          </w:p>
          <w:p w14:paraId="6C07BC8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（4）认证：符合ISO 13849-1标准；</w:t>
            </w:r>
          </w:p>
          <w:p w14:paraId="228B0A98">
            <w:pPr>
              <w:adjustRightInd w:val="0"/>
              <w:snapToGrid w:val="0"/>
              <w:spacing w:line="360" w:lineRule="exact"/>
              <w:ind w:left="105" w:leftChars="50" w:right="105" w:rightChars="50" w:firstLine="42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（5）冗余设计：双通道安全回路（信号交叉检测）+ 安全总线（如PROFIsafe、CIP Safety）；</w:t>
            </w:r>
          </w:p>
          <w:p w14:paraId="4BEA80E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（6）急停按钮：双回路急停（红色，符合ISO 13850），触点容量5A 250VAC；</w:t>
            </w:r>
          </w:p>
          <w:p w14:paraId="4A8003A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（7）安全门锁：带编码磁开关的安全门锁；</w:t>
            </w:r>
          </w:p>
          <w:p w14:paraId="5F68B03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（8）防护等级：IP67；</w:t>
            </w:r>
          </w:p>
          <w:p w14:paraId="48E0EE7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（9）全系统响应时间：≤0.2s；</w:t>
            </w:r>
          </w:p>
          <w:p w14:paraId="0993B1F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（10）声光报警器：三色LED塔灯（红/黄/蓝）+105dB蜂鸣器；</w:t>
            </w:r>
          </w:p>
          <w:p w14:paraId="1217A51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16.制造产线管线包（油管、气管、电源线、信号线）</w:t>
            </w:r>
          </w:p>
          <w:p w14:paraId="7AE8423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（1）数量：1套；</w:t>
            </w:r>
          </w:p>
          <w:p w14:paraId="5BFF517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（2）长度：≥10m</w:t>
            </w:r>
          </w:p>
          <w:p w14:paraId="5A67285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（3）防护等级：不低于IP67；</w:t>
            </w:r>
          </w:p>
          <w:p w14:paraId="2C6835C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（4）材质：耐磨、耐油、耐高温。</w:t>
            </w:r>
          </w:p>
          <w:p w14:paraId="487C237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17.中标供应商实施时建立涵盖设计验证、工程实施、过渡保障的三维兼容性体系。在专项设计阶段，需对存量设备开展多维度健康状态诊断与可改造性分析，针对机械传动部件匹配度、液压/气动回路耦合性进行拓扑优化设计，重点解决精密加工设备与新型自动化系统的基准坐标系统型问题。电气集成构建分层式控制系统架构，实现传统继电器逻辑与PLC程序的指令集双向转换，同时建立多协议通信网关保障异构设备的数据无损传输，开发具备自学习功能的工艺参数协同优化算法以消除新旧工序节拍差。工程实施过程中需执行动态仿真验证机制，通过数字孪生平台对机械干涉、信号延迟、热力变形等潜在风险进行预判性调校，并构建包含渐进式负载迁移、双系统并行运转、瞬时故障回滚在内的多模态过渡方案。最终联合调试应形成涵盖设备级、单元级、系统级的递进式验证流程，重点验证极端工况下的系统容错能力与产能爬坡稳定性，同步建立包含应力分布云图、频谱特征数据库、控制逻辑关系树在内的全息化验收档案，确保产线在技术改造期间维持连续化生产韧性，并为后续智能化升级预留标准化的数据接口与物理对接基准。</w:t>
            </w:r>
          </w:p>
          <w:p w14:paraId="555C509E">
            <w:pPr>
              <w:adjustRightInd w:val="0"/>
              <w:snapToGrid w:val="0"/>
              <w:spacing w:line="360" w:lineRule="exact"/>
              <w:ind w:left="105" w:leftChars="50" w:right="105" w:rightChars="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 旧设备的迁移：部分旧设备搬迁前状态确认、拆卸、搬迁、定置定位安装、接电及外观复原等，并提供保养清理服务，主要使用大型工具为地牛或叉车，要根据楼层承重确定匹配的工具。出入实训室，需拆除大门及门框，完成搬迁后大门修复。机器人工作站原有部件的功能、系统的联调专业技术评估，含在搬迁调整服务中。</w:t>
            </w:r>
          </w:p>
        </w:tc>
      </w:tr>
      <w:tr w14:paraId="3BF8A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14:paraId="66040AEA">
            <w:pPr>
              <w:widowControl/>
              <w:adjustRightInd w:val="0"/>
              <w:snapToGrid w:val="0"/>
              <w:spacing w:line="360" w:lineRule="exact"/>
              <w:ind w:firstLine="0" w:firstLineChars="0"/>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350" w:type="dxa"/>
            <w:gridSpan w:val="2"/>
            <w:vAlign w:val="center"/>
          </w:tcPr>
          <w:p w14:paraId="2E345ACA">
            <w:pPr>
              <w:adjustRightInd w:val="0"/>
              <w:snapToGrid w:val="0"/>
              <w:spacing w:line="360" w:lineRule="exact"/>
              <w:ind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智能产线系统</w:t>
            </w:r>
          </w:p>
        </w:tc>
        <w:tc>
          <w:tcPr>
            <w:tcW w:w="690" w:type="dxa"/>
            <w:shd w:val="clear" w:color="auto" w:fill="auto"/>
            <w:vAlign w:val="center"/>
          </w:tcPr>
          <w:p w14:paraId="0E992D01">
            <w:pPr>
              <w:adjustRightInd w:val="0"/>
              <w:snapToGrid w:val="0"/>
              <w:spacing w:line="360" w:lineRule="exact"/>
              <w:ind w:right="105" w:rightChars="5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45" w:type="dxa"/>
            <w:shd w:val="clear" w:color="auto" w:fill="auto"/>
            <w:vAlign w:val="center"/>
          </w:tcPr>
          <w:p w14:paraId="2CC281FD">
            <w:pPr>
              <w:adjustRightInd w:val="0"/>
              <w:snapToGrid w:val="0"/>
              <w:spacing w:line="360" w:lineRule="exact"/>
              <w:ind w:right="105" w:rightChars="5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套</w:t>
            </w:r>
          </w:p>
        </w:tc>
        <w:tc>
          <w:tcPr>
            <w:tcW w:w="6344" w:type="dxa"/>
            <w:vAlign w:val="center"/>
          </w:tcPr>
          <w:p w14:paraId="5040126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为辅助智能制造产线高效运行的同时支撑教学任务和课程。数字孪生系统通过创建物理实体的虚拟模型，实现对生产过程的实时监控与可视化，帮助管理者全面了解设备运行状态和生产进度。能基于实时和历史数据进行预测与优化，提前发现潜在问题，提高生产效率和产品质量。MES系统侧重于生产计划的制定与执行监控，确保生产过程的稳定性和一致性。实时收集生产数据，进行质量管理，及时发现并改进质量问题。两者相辅相成，数字孪生系统提供实时数据和预测分析支持，而MES系统则负责具体的生产计划和流程管理。</w:t>
            </w:r>
          </w:p>
          <w:p w14:paraId="5817C99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（一）数字孪生系统</w:t>
            </w:r>
          </w:p>
          <w:p w14:paraId="561FE31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color w:val="auto"/>
                <w:kern w:val="0"/>
                <w:highlight w:val="none"/>
              </w:rPr>
              <w:t>1、数字孪生系统是基于生产设备、检测设备等生产相关的硬件设施，以节支降本、提质增效和快速响应市场为目的，通过数字化、网络化、智能化等手段，在计算机虚拟环境中，对“人−机−物−环境”等生产资源与生产过程进行设计、管理、仿真、优化以等工作，可对产品设计、工艺流程、生产组织和过程控制等环节进行管理。</w:t>
            </w:r>
          </w:p>
          <w:p w14:paraId="2A802F1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实现现实车间3D形态的完全模拟。利用数字孪生技术对实体工厂生产线进行1:1三维可视化建模，与真实的生产环境1：1对应，大到整个工厂，小到车间里每台设备和每一个生产动作，都映射在数字孪生系统上。通过数字孪生系统逐级展示车间、产线及单机三个层级的总信息。无需到生产车间，在手机、电脑等电子设备上就能看到生产现场一举一动。如车间基本信息，包含产能、能耗和异常报警信息等。</w:t>
            </w:r>
          </w:p>
          <w:p w14:paraId="7910DD84">
            <w:pPr>
              <w:adjustRightInd w:val="0"/>
              <w:snapToGrid w:val="0"/>
              <w:spacing w:line="360" w:lineRule="exact"/>
              <w:ind w:left="105" w:leftChars="50" w:right="105" w:rightChars="5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实现模型和数据的实时联动，可以通过数据绑定实现实时数据映射，在模型与数据之间形成一套映射关系，根据产线运营指标体系，将质量检测、设备监控、仓储物流、生产计划等相关业务数据与3D场景相结合，实现可视化动态展示，管理人员能够看到每一个车间的工作情况。此外，数字孪生系统平台也可以通过与常规图表相统一的联动设置，只需要点击对应空间进行“拖”“拉”“拽”等交互，就能定位到生产线的每一个细节，一对多的数据联动实现信息监测和运营优化。</w:t>
            </w:r>
          </w:p>
          <w:p w14:paraId="6F4382BD">
            <w:pPr>
              <w:adjustRightInd w:val="0"/>
              <w:snapToGrid w:val="0"/>
              <w:spacing w:line="360" w:lineRule="exact"/>
              <w:ind w:left="105" w:leftChars="50" w:right="105" w:rightChars="5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▲4、支持VR虚拟漫游（投标时提供截图并加盖供应商公章）</w:t>
            </w:r>
          </w:p>
          <w:p w14:paraId="69F86134">
            <w:pPr>
              <w:adjustRightInd w:val="0"/>
              <w:snapToGrid w:val="0"/>
              <w:spacing w:line="360" w:lineRule="exact"/>
              <w:ind w:left="105" w:leftChars="50" w:right="105" w:rightChars="5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(1)通过第一人称浏览的方式进行巡检漫游，操作方式分为两种，分别为手动漫游与自动巡检：</w:t>
            </w:r>
          </w:p>
          <w:p w14:paraId="3D3BFE68">
            <w:pPr>
              <w:adjustRightInd w:val="0"/>
              <w:snapToGrid w:val="0"/>
              <w:spacing w:line="360" w:lineRule="exact"/>
              <w:ind w:left="105" w:leftChars="50" w:right="105" w:rightChars="5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(2)手动漫游巡检：用户通过“鼠标、键盘”即可在场景中进行随意浏览走动，查看场景中显示的相关信息。</w:t>
            </w:r>
          </w:p>
          <w:p w14:paraId="02CEBAF1">
            <w:pPr>
              <w:adjustRightInd w:val="0"/>
              <w:snapToGrid w:val="0"/>
              <w:spacing w:line="360" w:lineRule="exact"/>
              <w:ind w:left="105" w:leftChars="50" w:right="105" w:rightChars="5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自动巡检：按照三条工艺路线自动巡检漫游，顺序巡检三维虚拟场景中的各个工艺环节。系统自动巡检至某一设备时，自动弹出该设备的属性信息。三条漫游巡检路线分别为：高压作业区；低压作业区；装配作业区。用户可以通过界面“页眉”处的按钮进行“手动漫游”和“自动巡检”的切换。</w:t>
            </w:r>
          </w:p>
          <w:p w14:paraId="66B06C0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（二）MES制造执行管理系统</w:t>
            </w:r>
          </w:p>
          <w:p w14:paraId="216752B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1、包含基础数据，物料管理，工艺管理，计划执行，仓储管理,质量管理,设备管理,工装夹具管理,排班管理,数控集成,组织管理,系统监控,系统工具，系统管理等不少于14个模块。</w:t>
            </w:r>
          </w:p>
          <w:p w14:paraId="5B4C61D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2、使智能加工实体产线实现从生产订单到成品入库整个制造环节的数字化、网络化、透明化管控，控制与利用准确的制造信息.</w:t>
            </w:r>
          </w:p>
          <w:p w14:paraId="49EDB1E5">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对车间生产活动实时事件作出快速响应，同时向企业决策过程提供相关生产活动的重要信息，实现各个生产环节中数据的信息共享，打造协同、可视化的智慧生产管控服务，实现产品制造生命周期的全方位信息化管理。</w:t>
            </w:r>
          </w:p>
          <w:p w14:paraId="7C45B4C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4、可通过下达虚拟订单方式，控制数字孪生系统的生产控制过程。</w:t>
            </w:r>
          </w:p>
          <w:p w14:paraId="25FC809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5、功能清单包括：</w:t>
            </w:r>
          </w:p>
          <w:p w14:paraId="45D7ACF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（1）基础数据管理</w:t>
            </w:r>
          </w:p>
          <w:p w14:paraId="76F7219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支持计量单位、客户、供应商、车间及工作站的基础数据配置与管理，确保生产流程的基础信息准确无误。</w:t>
            </w:r>
          </w:p>
          <w:p w14:paraId="256DFF8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（2）物料管理</w:t>
            </w:r>
          </w:p>
          <w:p w14:paraId="29C1BE9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支持物料分类、基线管理及与ERP等系统数据，优化物料参数配置，确保生产过程的物料数据一致性。</w:t>
            </w:r>
          </w:p>
          <w:p w14:paraId="369EEE2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（3）工艺管理 </w:t>
            </w:r>
          </w:p>
          <w:p w14:paraId="3C459DB2">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支持工序定义及工艺流程的模块化拆解与管理。</w:t>
            </w:r>
          </w:p>
          <w:p w14:paraId="72C038A6">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（4）计划执行</w:t>
            </w:r>
          </w:p>
          <w:p w14:paraId="58ECD753">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支持订单创建、拆分、下达及执行，具备异常处理能力（如插单、终止），并可通过OPC通讯将订单信息传递至自动化产线。</w:t>
            </w:r>
          </w:p>
          <w:p w14:paraId="125FA16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（5）仓储管理 </w:t>
            </w:r>
          </w:p>
          <w:p w14:paraId="6409E3A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-支持库存跟踪及出入库管理，提供至少三级仓库配置（仓库、库区、库位），满足工厂物资管理需求。</w:t>
            </w:r>
          </w:p>
          <w:p w14:paraId="2D88DB1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（6）质量管理</w:t>
            </w:r>
          </w:p>
          <w:p w14:paraId="7F5704E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支持质量监控、缺陷管理及检验流程（来料、过程、出货检验），可对产品质量的全过程进行把控。</w:t>
            </w:r>
          </w:p>
          <w:p w14:paraId="075BCC0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（7）设备管理</w:t>
            </w:r>
          </w:p>
          <w:p w14:paraId="2CE812C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支持设备全生命周期管理，包括设备台账、点检保养计划及维修单管理，提升设备运行效率与稳定性。</w:t>
            </w:r>
          </w:p>
          <w:p w14:paraId="2CF225E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（8）工装夹具管理</w:t>
            </w:r>
          </w:p>
          <w:p w14:paraId="106EF48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支持工装夹具的全生命周期管理，包括类型设置、台账登记及维护保养记录，可对资源进行合理配置。</w:t>
            </w:r>
          </w:p>
          <w:p w14:paraId="301D323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（9）排班管理  </w:t>
            </w:r>
          </w:p>
          <w:p w14:paraId="4664EA91">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支持员工排班与工作时间调度，提供班组设置、排班计划及节假日管理功能，优化人力资源配置。</w:t>
            </w:r>
          </w:p>
          <w:p w14:paraId="6F5B8BE7">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（10）组织管理 </w:t>
            </w:r>
          </w:p>
          <w:p w14:paraId="5C10E46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支持用户、角色、部门及岗位的权限管理，构建完善的组织架构与权限控制体系。</w:t>
            </w:r>
          </w:p>
          <w:p w14:paraId="60266F6D">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（11）系统工具</w:t>
            </w:r>
          </w:p>
          <w:p w14:paraId="14C243DF">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提供表单构建、代码生成及接口管理工具，提升系统开发效率与集成便利性。</w:t>
            </w:r>
          </w:p>
          <w:p w14:paraId="4496A3A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（12）系统监控 </w:t>
            </w:r>
          </w:p>
          <w:p w14:paraId="68637D10">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支持系统运行状态的实时监控（如用户、任务、数据、服务等）。</w:t>
            </w:r>
          </w:p>
          <w:p w14:paraId="02E4094A">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（13）系统管理</w:t>
            </w:r>
          </w:p>
          <w:p w14:paraId="1928EEC8">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提供菜单、字典、参数、日志、编码规则及通知公告管理功能，支持系统后台配置与维护。</w:t>
            </w:r>
          </w:p>
          <w:p w14:paraId="7DFC74C4">
            <w:pPr>
              <w:adjustRightInd w:val="0"/>
              <w:snapToGrid w:val="0"/>
              <w:spacing w:line="360" w:lineRule="exact"/>
              <w:ind w:left="105" w:leftChars="50" w:right="105" w:rightChars="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（14）提供支撑上述智能产线系统使用的计算、存储资源。</w:t>
            </w:r>
          </w:p>
        </w:tc>
      </w:tr>
      <w:tr w14:paraId="6E818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14:paraId="43620F1E">
            <w:pPr>
              <w:widowControl/>
              <w:adjustRightInd w:val="0"/>
              <w:snapToGrid w:val="0"/>
              <w:spacing w:line="360" w:lineRule="exact"/>
              <w:ind w:firstLine="0" w:firstLineChars="0"/>
              <w:jc w:val="center"/>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1350" w:type="dxa"/>
            <w:gridSpan w:val="2"/>
            <w:vAlign w:val="center"/>
          </w:tcPr>
          <w:p w14:paraId="73DA1451">
            <w:pPr>
              <w:adjustRightInd w:val="0"/>
              <w:snapToGrid w:val="0"/>
              <w:spacing w:line="360" w:lineRule="exact"/>
              <w:ind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大师工作室</w:t>
            </w:r>
          </w:p>
        </w:tc>
        <w:tc>
          <w:tcPr>
            <w:tcW w:w="690" w:type="dxa"/>
            <w:shd w:val="clear" w:color="auto" w:fill="auto"/>
            <w:vAlign w:val="center"/>
          </w:tcPr>
          <w:p w14:paraId="7715A4D6">
            <w:pPr>
              <w:adjustRightInd w:val="0"/>
              <w:snapToGrid w:val="0"/>
              <w:spacing w:line="360" w:lineRule="exact"/>
              <w:ind w:right="105" w:rightChars="5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45" w:type="dxa"/>
            <w:shd w:val="clear" w:color="auto" w:fill="auto"/>
            <w:vAlign w:val="center"/>
          </w:tcPr>
          <w:p w14:paraId="2C270BF4">
            <w:pPr>
              <w:adjustRightInd w:val="0"/>
              <w:snapToGrid w:val="0"/>
              <w:spacing w:line="360" w:lineRule="exact"/>
              <w:ind w:right="105" w:rightChars="5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w:t>
            </w:r>
          </w:p>
        </w:tc>
        <w:tc>
          <w:tcPr>
            <w:tcW w:w="6344" w:type="dxa"/>
            <w:vAlign w:val="center"/>
          </w:tcPr>
          <w:p w14:paraId="007180F9">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创建大国工匠大师工作室，工作室旨在发挥大国工匠领路人的带头作用，开发工匠精神系列课程涵盖职业道德培育、传统工艺理论、现代技术融合实践等特色课程。具体内容为：</w:t>
            </w:r>
          </w:p>
          <w:p w14:paraId="4CE4219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（1）工作室内设工匠精神主题文化墙，展示大国工匠荣誉和先进事迹；</w:t>
            </w:r>
          </w:p>
          <w:p w14:paraId="62BFF61B">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（2）荣誉墙和事迹展区规格：5000×2500mm</w:t>
            </w:r>
            <w:r>
              <w:rPr>
                <w:rFonts w:hint="eastAsia" w:asciiTheme="minorEastAsia" w:hAnsiTheme="minorEastAsia" w:eastAsiaTheme="minorEastAsia" w:cstheme="minorEastAsia"/>
                <w:color w:val="auto"/>
                <w:highlight w:val="none"/>
              </w:rPr>
              <w:t>，允许误差±5%</w:t>
            </w:r>
            <w:r>
              <w:rPr>
                <w:rFonts w:hint="eastAsia" w:asciiTheme="minorEastAsia" w:hAnsiTheme="minorEastAsia" w:eastAsiaTheme="minorEastAsia" w:cstheme="minorEastAsia"/>
                <w:color w:val="auto"/>
                <w:kern w:val="0"/>
                <w:highlight w:val="none"/>
              </w:rPr>
              <w:t>；</w:t>
            </w:r>
          </w:p>
          <w:p w14:paraId="78732C6C">
            <w:pPr>
              <w:adjustRightInd w:val="0"/>
              <w:snapToGrid w:val="0"/>
              <w:spacing w:line="360" w:lineRule="exact"/>
              <w:ind w:left="105" w:leftChars="50" w:right="105" w:rightChars="5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（3）荣誉墙和事迹展区主材料：亚克力UV打印背板（厚度≥5mm，透光率≥92%）；</w:t>
            </w:r>
          </w:p>
          <w:p w14:paraId="4EB58A34">
            <w:pPr>
              <w:adjustRightInd w:val="0"/>
              <w:snapToGrid w:val="0"/>
              <w:spacing w:line="360" w:lineRule="exact"/>
              <w:ind w:left="105" w:leftChars="50" w:right="105" w:rightChars="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（4）提供不少于一名本项目专业要求的智能制造、数字精密制造专业的省级或国家级大国工匠，负责开发工匠精神系列课程。促使大国工匠与采购人达成合作并签署合作协议。</w:t>
            </w:r>
          </w:p>
        </w:tc>
      </w:tr>
      <w:tr w14:paraId="43366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6"/>
            <w:tcBorders>
              <w:top w:val="single" w:color="auto" w:sz="4" w:space="0"/>
              <w:left w:val="single" w:color="auto" w:sz="4" w:space="0"/>
              <w:bottom w:val="single" w:color="auto" w:sz="4" w:space="0"/>
              <w:right w:val="single" w:color="auto" w:sz="4" w:space="0"/>
            </w:tcBorders>
          </w:tcPr>
          <w:p w14:paraId="28DC03BD">
            <w:pPr>
              <w:adjustRightInd w:val="0"/>
              <w:snapToGrid w:val="0"/>
              <w:spacing w:line="360"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商务条款</w:t>
            </w:r>
          </w:p>
        </w:tc>
      </w:tr>
      <w:tr w14:paraId="57EC7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5384BA7A">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合同签订期</w:t>
            </w:r>
          </w:p>
        </w:tc>
        <w:tc>
          <w:tcPr>
            <w:tcW w:w="8210" w:type="dxa"/>
            <w:gridSpan w:val="4"/>
            <w:tcBorders>
              <w:top w:val="single" w:color="auto" w:sz="4" w:space="0"/>
              <w:left w:val="single" w:color="auto" w:sz="4" w:space="0"/>
              <w:bottom w:val="single" w:color="auto" w:sz="4" w:space="0"/>
              <w:right w:val="single" w:color="auto" w:sz="4" w:space="0"/>
            </w:tcBorders>
            <w:vAlign w:val="center"/>
          </w:tcPr>
          <w:p w14:paraId="2FAF5DDF">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自成交通知书发出之日起15日内。</w:t>
            </w:r>
          </w:p>
        </w:tc>
      </w:tr>
      <w:tr w14:paraId="603B0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16C49EAE">
            <w:pPr>
              <w:widowControl/>
              <w:tabs>
                <w:tab w:val="left" w:pos="318"/>
              </w:tabs>
              <w:adjustRightInd w:val="0"/>
              <w:snapToGrid w:val="0"/>
              <w:spacing w:line="360" w:lineRule="exact"/>
              <w:ind w:right="105" w:rightChars="50" w:firstLine="0" w:firstLineChars="0"/>
              <w:textAlignment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交付时间及地点</w:t>
            </w:r>
          </w:p>
        </w:tc>
        <w:tc>
          <w:tcPr>
            <w:tcW w:w="8210" w:type="dxa"/>
            <w:gridSpan w:val="4"/>
            <w:tcBorders>
              <w:top w:val="single" w:color="auto" w:sz="4" w:space="0"/>
              <w:left w:val="single" w:color="auto" w:sz="4" w:space="0"/>
              <w:bottom w:val="single" w:color="auto" w:sz="4" w:space="0"/>
              <w:right w:val="single" w:color="auto" w:sz="4" w:space="0"/>
            </w:tcBorders>
            <w:vAlign w:val="center"/>
          </w:tcPr>
          <w:p w14:paraId="0E9BD163">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1.交付时间：自合同签订之日起160个自然日内交付货物并完成所有的安装及调试；</w:t>
            </w:r>
          </w:p>
          <w:p w14:paraId="525B7FE7">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2.交付地点：广西工业职业技术学院南宁校区：广西南宁市西乡塘区秀灵路37号。</w:t>
            </w:r>
          </w:p>
        </w:tc>
      </w:tr>
      <w:tr w14:paraId="7BC92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777D7805">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质保期限</w:t>
            </w:r>
          </w:p>
        </w:tc>
        <w:tc>
          <w:tcPr>
            <w:tcW w:w="8210" w:type="dxa"/>
            <w:gridSpan w:val="4"/>
            <w:tcBorders>
              <w:top w:val="single" w:color="auto" w:sz="4" w:space="0"/>
              <w:left w:val="single" w:color="auto" w:sz="4" w:space="0"/>
              <w:bottom w:val="single" w:color="auto" w:sz="4" w:space="0"/>
              <w:right w:val="single" w:color="auto" w:sz="4" w:space="0"/>
            </w:tcBorders>
            <w:vAlign w:val="center"/>
          </w:tcPr>
          <w:p w14:paraId="4C215A5B">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按国家有关产品“三包”规定执行“三包”，自货物验收合格之日起计算，产品质保期2年（“技术参数要求”有要求的则按其要求）。若厂家质保期超过此年限的，合同履行过程中按厂家规定执行。</w:t>
            </w:r>
          </w:p>
        </w:tc>
      </w:tr>
      <w:tr w14:paraId="5F289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6CBE9F60">
            <w:pPr>
              <w:widowControl/>
              <w:tabs>
                <w:tab w:val="left" w:pos="132"/>
              </w:tabs>
              <w:adjustRightInd w:val="0"/>
              <w:snapToGrid w:val="0"/>
              <w:spacing w:line="360" w:lineRule="exact"/>
              <w:ind w:right="105" w:rightChars="50" w:firstLine="0" w:firstLineChars="0"/>
              <w:textAlignment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售后服务要求</w:t>
            </w:r>
          </w:p>
        </w:tc>
        <w:tc>
          <w:tcPr>
            <w:tcW w:w="8210" w:type="dxa"/>
            <w:gridSpan w:val="4"/>
            <w:tcBorders>
              <w:top w:val="single" w:color="auto" w:sz="4" w:space="0"/>
              <w:left w:val="single" w:color="auto" w:sz="4" w:space="0"/>
              <w:bottom w:val="single" w:color="auto" w:sz="4" w:space="0"/>
              <w:right w:val="single" w:color="auto" w:sz="4" w:space="0"/>
            </w:tcBorders>
            <w:vAlign w:val="center"/>
          </w:tcPr>
          <w:p w14:paraId="26089A95">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1.成交供应商按采购人指定的地点负责送货上门、安装、调试，负责培训使用人员和维护人员。</w:t>
            </w:r>
          </w:p>
          <w:p w14:paraId="5EDE718E">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成交供应商必须在交货后10个工作日内进行安装、配线以及软硬件的测试和调整服务，并于60个工作日内完成相关安装调试服务。提供用户管理人员的现场操作使用及基本维护的培训服务。成交供应商在施工、安装、调试等全过程中接受采购人的监督。</w:t>
            </w:r>
          </w:p>
          <w:p w14:paraId="26F3782E">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3.在质保期内，供应商应对货物出现的质量及安全问题负责处理解决并承担一切费用。</w:t>
            </w:r>
          </w:p>
          <w:p w14:paraId="528AC90F">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4.质保期内出现无法排除的故障，供应商无条件更换同型号产品。</w:t>
            </w:r>
          </w:p>
          <w:p w14:paraId="221029B8">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5.在质保期满后，根据双方协商另行签订维保合同。</w:t>
            </w:r>
          </w:p>
          <w:p w14:paraId="1256443C">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6.因人为因素出现的故障不在免费保修范围内。</w:t>
            </w:r>
          </w:p>
          <w:p w14:paraId="17DFCB35">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7.成交供应商接故障通知后，在2小时内需要作出响应，6小时内进行电话、网上诊断协助排除故障，如需现场处理故障的，应24小时内到达采购人指定现场排除故障。</w:t>
            </w:r>
          </w:p>
          <w:p w14:paraId="0F8FC350">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8.质保期外维修响应时间：如果系统出现故障，在接到维修服务的请求后，成交供应商工程师应在 2小时内作出响应，6小时内进行电话指导、网上诊断协助排除故障。必要时，在48 小时内到达现场，重大问题或其它无法迅速解决的问题应在 5 个工作日内解决或提出明确解决方案（具体以维保合同为准）。</w:t>
            </w:r>
          </w:p>
        </w:tc>
      </w:tr>
      <w:tr w14:paraId="3951F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65468084">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付款方式</w:t>
            </w:r>
          </w:p>
        </w:tc>
        <w:tc>
          <w:tcPr>
            <w:tcW w:w="8210" w:type="dxa"/>
            <w:gridSpan w:val="4"/>
            <w:tcBorders>
              <w:top w:val="single" w:color="auto" w:sz="4" w:space="0"/>
              <w:left w:val="single" w:color="auto" w:sz="4" w:space="0"/>
              <w:bottom w:val="single" w:color="auto" w:sz="4" w:space="0"/>
              <w:right w:val="single" w:color="auto" w:sz="4" w:space="0"/>
            </w:tcBorders>
            <w:vAlign w:val="center"/>
          </w:tcPr>
          <w:p w14:paraId="01A588A8">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1.预付款；合同生效、担保措施生效以及实施条件具备后10个工作日内，支付合同总金额的30%；第一项、第二项设备到货后，支付合同总金额的20%；项目实施完毕且验收通过后，支付至合同总金额的100%。</w:t>
            </w:r>
          </w:p>
          <w:p w14:paraId="6C904CE6">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人付款前，成交供应商应向采购人开具等额有效的增值税发票，采购人未收到合格有效发票的，有权不予支付相应款项直至成交供应商提供合格发票，并不承担延迟付款责任。发票认证通过是付款的必要前提之一。</w:t>
            </w:r>
          </w:p>
          <w:p w14:paraId="4A4E2AE0">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3.付款方式：银行转账。</w:t>
            </w:r>
          </w:p>
        </w:tc>
      </w:tr>
      <w:tr w14:paraId="75518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64CF6A6F">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履约保证金</w:t>
            </w:r>
          </w:p>
        </w:tc>
        <w:tc>
          <w:tcPr>
            <w:tcW w:w="8210" w:type="dxa"/>
            <w:gridSpan w:val="4"/>
            <w:tcBorders>
              <w:top w:val="single" w:color="auto" w:sz="4" w:space="0"/>
              <w:left w:val="single" w:color="auto" w:sz="4" w:space="0"/>
              <w:bottom w:val="single" w:color="auto" w:sz="4" w:space="0"/>
              <w:right w:val="single" w:color="auto" w:sz="4" w:space="0"/>
            </w:tcBorders>
            <w:vAlign w:val="center"/>
          </w:tcPr>
          <w:p w14:paraId="2F09A9D0">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1.履约保证金金额：成交金额的 5 %。（若成交供应商被认定为中小企业的，履约保证金数额将按成交金额的2%收取）</w:t>
            </w:r>
          </w:p>
          <w:p w14:paraId="6D4C2FD2">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2.履约保证金递交方式：银行转账、电汇、网上支付、支票、汇票、本票、保函等非现金形式。</w:t>
            </w:r>
          </w:p>
          <w:p w14:paraId="4D36BCA0">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3.履约保证金递交时间：签订合同前5个工作日内由成交供应商转入采购人指定保证金账户。</w:t>
            </w:r>
          </w:p>
          <w:p w14:paraId="0ACC89B5">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履约保证金退还：履约完成并验收合格后无质量问题，成交供应商提供《政府采购项目履约保证金退付意见书》及《政府采购项目合同验收报告》，向采购人提出书面申请退还，采购人在收到申请后十五个工作日内以银行转账方式无息退还。保证金指定账户：</w:t>
            </w:r>
          </w:p>
          <w:p w14:paraId="6530D038">
            <w:pPr>
              <w:widowControl/>
              <w:adjustRightInd w:val="0"/>
              <w:snapToGrid w:val="0"/>
              <w:spacing w:line="360" w:lineRule="exact"/>
              <w:ind w:left="210" w:leftChars="100" w:right="105" w:rightChars="5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开户名：广西工业职业技术学院</w:t>
            </w:r>
          </w:p>
          <w:p w14:paraId="446BF5B6">
            <w:pPr>
              <w:widowControl/>
              <w:adjustRightInd w:val="0"/>
              <w:snapToGrid w:val="0"/>
              <w:spacing w:line="360" w:lineRule="exact"/>
              <w:ind w:left="210" w:leftChars="100" w:right="105" w:rightChars="5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开户行：广西北部湾银行南宁市衡阳路支行</w:t>
            </w:r>
          </w:p>
          <w:p w14:paraId="1826D482">
            <w:pPr>
              <w:widowControl/>
              <w:adjustRightInd w:val="0"/>
              <w:snapToGrid w:val="0"/>
              <w:spacing w:line="360" w:lineRule="exact"/>
              <w:ind w:left="210" w:leftChars="100" w:right="105" w:rightChars="5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  号：1702012200017200</w:t>
            </w:r>
          </w:p>
        </w:tc>
      </w:tr>
      <w:tr w14:paraId="6ACF3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1DFB93D3">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报价要求</w:t>
            </w:r>
          </w:p>
        </w:tc>
        <w:tc>
          <w:tcPr>
            <w:tcW w:w="8210" w:type="dxa"/>
            <w:gridSpan w:val="4"/>
            <w:tcBorders>
              <w:top w:val="single" w:color="auto" w:sz="4" w:space="0"/>
              <w:left w:val="single" w:color="auto" w:sz="4" w:space="0"/>
              <w:bottom w:val="single" w:color="auto" w:sz="4" w:space="0"/>
              <w:right w:val="single" w:color="auto" w:sz="4" w:space="0"/>
            </w:tcBorders>
            <w:vAlign w:val="center"/>
          </w:tcPr>
          <w:p w14:paraId="7827E19A">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供应商须就本项目需求清单中的所有实施内容作完整报价。总报价包括但不限于采购标的及相关配件的价格、运输费用、安装调试费用、安全文明施工费、进场配合费、水电费、系统对接费、项目技术支持费、项目使用培训费用、派出技术人员的交通费、住宿费、伙食及通信补助费、税金、售后服务费及其他所有可能发生的一切费用。合同实施时，采购人将不予支付成交供应商没有列入的项目费用，并认为此项目的费用已包括在总报价中。</w:t>
            </w:r>
          </w:p>
        </w:tc>
      </w:tr>
      <w:tr w14:paraId="61910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474FD063">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规范标准</w:t>
            </w:r>
          </w:p>
        </w:tc>
        <w:tc>
          <w:tcPr>
            <w:tcW w:w="8210" w:type="dxa"/>
            <w:gridSpan w:val="4"/>
            <w:tcBorders>
              <w:top w:val="single" w:color="auto" w:sz="4" w:space="0"/>
              <w:left w:val="single" w:color="auto" w:sz="4" w:space="0"/>
              <w:bottom w:val="single" w:color="auto" w:sz="4" w:space="0"/>
              <w:right w:val="single" w:color="auto" w:sz="4" w:space="0"/>
            </w:tcBorders>
            <w:vAlign w:val="center"/>
          </w:tcPr>
          <w:p w14:paraId="74A5EA75">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采购标的需执行的国家标准、行业标准、地方标准或者其他标准、规范。多项标准的，按最新标准或较高标准执行。</w:t>
            </w:r>
          </w:p>
        </w:tc>
      </w:tr>
      <w:tr w14:paraId="41661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2D05A323">
            <w:pPr>
              <w:widowControl/>
              <w:tabs>
                <w:tab w:val="left" w:pos="132"/>
              </w:tabs>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验收标准及要求</w:t>
            </w:r>
          </w:p>
        </w:tc>
        <w:tc>
          <w:tcPr>
            <w:tcW w:w="8210" w:type="dxa"/>
            <w:gridSpan w:val="4"/>
            <w:tcBorders>
              <w:top w:val="single" w:color="auto" w:sz="4" w:space="0"/>
              <w:left w:val="single" w:color="auto" w:sz="4" w:space="0"/>
              <w:bottom w:val="single" w:color="auto" w:sz="4" w:space="0"/>
              <w:right w:val="single" w:color="auto" w:sz="4" w:space="0"/>
            </w:tcBorders>
            <w:vAlign w:val="center"/>
          </w:tcPr>
          <w:p w14:paraId="6D92BE71">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1.验收依据</w:t>
            </w:r>
          </w:p>
          <w:p w14:paraId="5D043C23">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按合同要求、成交供应商的</w:t>
            </w:r>
            <w:r>
              <w:rPr>
                <w:rFonts w:hint="eastAsia" w:asciiTheme="minorEastAsia" w:hAnsiTheme="minorEastAsia" w:eastAsiaTheme="minorEastAsia" w:cstheme="minorEastAsia"/>
                <w:color w:val="auto"/>
                <w:highlight w:val="none"/>
              </w:rPr>
              <w:t>项目响应文件</w:t>
            </w:r>
            <w:r>
              <w:rPr>
                <w:rFonts w:hint="eastAsia" w:asciiTheme="minorEastAsia" w:hAnsiTheme="minorEastAsia" w:eastAsiaTheme="minorEastAsia" w:cstheme="minorEastAsia"/>
                <w:bCs/>
                <w:color w:val="auto"/>
                <w:highlight w:val="none"/>
              </w:rPr>
              <w:t>及国家标准进行验收。</w:t>
            </w:r>
          </w:p>
          <w:p w14:paraId="3657892F">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2.验收标准</w:t>
            </w:r>
          </w:p>
          <w:p w14:paraId="2420AB32">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（1）所有采购标的均已运输至指定地点，并安装调试完毕。</w:t>
            </w:r>
          </w:p>
          <w:p w14:paraId="0D59381F">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（2）采购文件采购需求及采购合同约定的附件、工具、技术资料等齐全；提供项目相关使用说明书、合格证。</w:t>
            </w:r>
          </w:p>
          <w:p w14:paraId="691C9BBF">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3、验收要求</w:t>
            </w:r>
          </w:p>
          <w:p w14:paraId="7BF7F8AB">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（1）验收过程中所产生的一切费用均由成交供应商承担，报价时应考虑相关费用。</w:t>
            </w:r>
          </w:p>
          <w:p w14:paraId="3C7A32A5">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w:t>
            </w:r>
            <w:r>
              <w:rPr>
                <w:rFonts w:hint="eastAsia" w:asciiTheme="minorEastAsia" w:hAnsiTheme="minorEastAsia" w:eastAsiaTheme="minorEastAsia" w:cstheme="minorEastAsia"/>
                <w:color w:val="auto"/>
                <w:highlight w:val="none"/>
              </w:rPr>
              <w:t>采购人可以根据采购项目具体情况自行组织验收，</w:t>
            </w:r>
            <w:r>
              <w:rPr>
                <w:rFonts w:hint="eastAsia" w:asciiTheme="minorEastAsia" w:hAnsiTheme="minorEastAsia" w:eastAsiaTheme="minorEastAsia" w:cstheme="minorEastAsia"/>
                <w:bCs/>
                <w:color w:val="auto"/>
                <w:highlight w:val="none"/>
              </w:rPr>
              <w:t>如委托第三方机构组织实施的，由验收小组对照采购文件的技术参数要求核对检验，如不符合采购文件的技术参数要求的，按合同约定执行，成交供应商承担所有责任和费用。采购人保留进一步追究责任的权利。</w:t>
            </w:r>
          </w:p>
          <w:p w14:paraId="57E545E6">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①验收活动开始前，成交供应商应对货物作出全面检查和对验收文件进行整理，并列出清单，作为采购人收货验收和使用的技术条件依据。</w:t>
            </w:r>
          </w:p>
          <w:p w14:paraId="363D09B9">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②因验收不合格的，需要再次组织验收的，由此产生相关成本费用由成交供应商承担。</w:t>
            </w:r>
          </w:p>
          <w:p w14:paraId="3A6CDD59">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（3）验收时成交供应商提供验收文档，具体如下：技术方案、实施方案、售后服务方案、培训方案、测试文档、使用说明书、电子文档（如有）等。</w:t>
            </w:r>
          </w:p>
          <w:p w14:paraId="4345A6D1">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对所有要求出具的证明文件的原件进行核查，如不符合采购文件的技术需求及要求，以及提供虚假承诺的，按相关规定做退货处理及违约处理，成交供应商承担所有责任和费用，采购人保留进一步追究责任的权利。</w:t>
            </w:r>
          </w:p>
          <w:p w14:paraId="79665916">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（5）项目验收过程中，需委托第三方检测机构介入的，费用由成交供应商另行承担。</w:t>
            </w:r>
          </w:p>
          <w:p w14:paraId="1AB762C2">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（6）在验收过程中发现成交供应商有违约问题，可暂缓资金结算，待违约问题解决后，方可办理资金结算事宜。</w:t>
            </w:r>
          </w:p>
          <w:p w14:paraId="2DFEAF1D">
            <w:pPr>
              <w:widowControl/>
              <w:adjustRightInd w:val="0"/>
              <w:snapToGrid w:val="0"/>
              <w:spacing w:line="360" w:lineRule="exact"/>
              <w:ind w:left="105" w:leftChars="50" w:right="105" w:rightChars="5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（7）成交供应商提交服务成果前应对提交的服务成果作出全面检查和对验收文件进行整理，并列出清单，作为采购人验收和使用的技术条件依据，检验的结果应随服务成果交给采购人。</w:t>
            </w:r>
          </w:p>
        </w:tc>
      </w:tr>
      <w:tr w14:paraId="36A30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5E0227A6">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特殊说明</w:t>
            </w:r>
          </w:p>
        </w:tc>
        <w:tc>
          <w:tcPr>
            <w:tcW w:w="8210" w:type="dxa"/>
            <w:gridSpan w:val="4"/>
            <w:tcBorders>
              <w:top w:val="single" w:color="auto" w:sz="4" w:space="0"/>
              <w:left w:val="single" w:color="auto" w:sz="4" w:space="0"/>
              <w:bottom w:val="single" w:color="auto" w:sz="4" w:space="0"/>
              <w:right w:val="single" w:color="auto" w:sz="4" w:space="0"/>
            </w:tcBorders>
            <w:vAlign w:val="center"/>
          </w:tcPr>
          <w:p w14:paraId="14EC812F">
            <w:pPr>
              <w:widowControl/>
              <w:adjustRightInd w:val="0"/>
              <w:snapToGrid w:val="0"/>
              <w:spacing w:line="360" w:lineRule="exact"/>
              <w:ind w:right="105" w:rightChars="50" w:firstLine="0" w:firstLineChars="0"/>
              <w:textAlignment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本项目不接受进口产品投标，如投标供应商采用进口产品投标则作无效响应处理。</w:t>
            </w:r>
          </w:p>
        </w:tc>
      </w:tr>
      <w:tr w14:paraId="143E4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1FF5F809">
            <w:pPr>
              <w:adjustRightInd w:val="0"/>
              <w:snapToGrid w:val="0"/>
              <w:spacing w:line="360" w:lineRule="exact"/>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核心产品</w:t>
            </w:r>
          </w:p>
        </w:tc>
        <w:tc>
          <w:tcPr>
            <w:tcW w:w="8210" w:type="dxa"/>
            <w:gridSpan w:val="4"/>
            <w:tcBorders>
              <w:top w:val="single" w:color="auto" w:sz="4" w:space="0"/>
              <w:left w:val="single" w:color="auto" w:sz="4" w:space="0"/>
              <w:bottom w:val="single" w:color="auto" w:sz="4" w:space="0"/>
              <w:right w:val="single" w:color="auto" w:sz="4" w:space="0"/>
            </w:tcBorders>
          </w:tcPr>
          <w:p w14:paraId="46442907">
            <w:pPr>
              <w:adjustRightInd w:val="0"/>
              <w:snapToGrid w:val="0"/>
              <w:spacing w:line="360" w:lineRule="exac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本项目的核心产品为</w:t>
            </w:r>
            <w:r>
              <w:rPr>
                <w:rFonts w:hint="eastAsia" w:asciiTheme="minorEastAsia" w:hAnsiTheme="minorEastAsia" w:eastAsiaTheme="minorEastAsia" w:cstheme="minorEastAsia"/>
                <w:b/>
                <w:bCs/>
                <w:color w:val="auto"/>
                <w:kern w:val="0"/>
                <w:highlight w:val="none"/>
              </w:rPr>
              <w:t>第</w:t>
            </w:r>
            <w:r>
              <w:rPr>
                <w:rFonts w:hint="eastAsia" w:asciiTheme="minorEastAsia" w:hAnsiTheme="minorEastAsia" w:eastAsiaTheme="minorEastAsia" w:cstheme="minorEastAsia"/>
                <w:b/>
                <w:bCs/>
                <w:color w:val="auto"/>
                <w:kern w:val="0"/>
                <w:highlight w:val="none"/>
                <w:u w:val="single"/>
              </w:rPr>
              <w:t xml:space="preserve">  1 </w:t>
            </w:r>
            <w:r>
              <w:rPr>
                <w:rFonts w:hint="eastAsia" w:asciiTheme="minorEastAsia" w:hAnsiTheme="minorEastAsia" w:eastAsiaTheme="minorEastAsia" w:cstheme="minorEastAsia"/>
                <w:b/>
                <w:bCs/>
                <w:color w:val="auto"/>
                <w:kern w:val="0"/>
                <w:highlight w:val="none"/>
              </w:rPr>
              <w:t>项（精密五轴机床单元）；</w:t>
            </w:r>
          </w:p>
          <w:p w14:paraId="70D40109">
            <w:pPr>
              <w:adjustRightInd w:val="0"/>
              <w:snapToGrid w:val="0"/>
              <w:spacing w:line="360" w:lineRule="exact"/>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多家投标人提供的核心产品品牌相同的，</w:t>
            </w:r>
            <w:r>
              <w:rPr>
                <w:rFonts w:hint="eastAsia" w:asciiTheme="minorEastAsia" w:hAnsiTheme="minorEastAsia" w:eastAsiaTheme="minorEastAsia" w:cstheme="minorEastAsia"/>
                <w:color w:val="auto"/>
                <w:kern w:val="0"/>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14BE8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6"/>
            <w:tcBorders>
              <w:top w:val="single" w:color="auto" w:sz="4" w:space="0"/>
              <w:left w:val="single" w:color="auto" w:sz="4" w:space="0"/>
              <w:bottom w:val="single" w:color="auto" w:sz="4" w:space="0"/>
              <w:right w:val="single" w:color="auto" w:sz="4" w:space="0"/>
            </w:tcBorders>
          </w:tcPr>
          <w:p w14:paraId="12725D19">
            <w:pPr>
              <w:adjustRightInd w:val="0"/>
              <w:snapToGrid w:val="0"/>
              <w:spacing w:line="360"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投标人的履约能力要求表</w:t>
            </w:r>
          </w:p>
        </w:tc>
      </w:tr>
      <w:tr w14:paraId="2C24D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630559">
            <w:pPr>
              <w:adjustRightInd w:val="0"/>
              <w:snapToGrid w:val="0"/>
              <w:spacing w:line="360" w:lineRule="exact"/>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质量管理、企业信用要求</w:t>
            </w:r>
          </w:p>
        </w:tc>
        <w:tc>
          <w:tcPr>
            <w:tcW w:w="82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6BD0E8">
            <w:pPr>
              <w:adjustRightInd w:val="0"/>
              <w:snapToGrid w:val="0"/>
              <w:spacing w:line="36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无</w:t>
            </w:r>
          </w:p>
        </w:tc>
      </w:tr>
      <w:tr w14:paraId="277A7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22108651">
            <w:pPr>
              <w:adjustRightInd w:val="0"/>
              <w:snapToGrid w:val="0"/>
              <w:spacing w:line="360"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能力或者业绩要求</w:t>
            </w:r>
          </w:p>
        </w:tc>
        <w:tc>
          <w:tcPr>
            <w:tcW w:w="8210" w:type="dxa"/>
            <w:gridSpan w:val="4"/>
            <w:tcBorders>
              <w:top w:val="single" w:color="auto" w:sz="4" w:space="0"/>
              <w:left w:val="single" w:color="auto" w:sz="4" w:space="0"/>
              <w:bottom w:val="single" w:color="auto" w:sz="4" w:space="0"/>
              <w:right w:val="single" w:color="auto" w:sz="4" w:space="0"/>
            </w:tcBorders>
            <w:vAlign w:val="center"/>
          </w:tcPr>
          <w:p w14:paraId="160DA55E">
            <w:pPr>
              <w:adjustRightInd w:val="0"/>
              <w:snapToGrid w:val="0"/>
              <w:spacing w:line="3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tc>
      </w:tr>
      <w:tr w14:paraId="39AEE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9689" w:type="dxa"/>
            <w:gridSpan w:val="6"/>
            <w:tcBorders>
              <w:top w:val="single" w:color="auto" w:sz="4" w:space="0"/>
              <w:left w:val="single" w:color="auto" w:sz="4" w:space="0"/>
              <w:bottom w:val="single" w:color="auto" w:sz="4" w:space="0"/>
              <w:right w:val="single" w:color="auto" w:sz="4" w:space="0"/>
            </w:tcBorders>
          </w:tcPr>
          <w:p w14:paraId="09026D09">
            <w:pPr>
              <w:adjustRightInd w:val="0"/>
              <w:snapToGrid w:val="0"/>
              <w:spacing w:line="360"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政策性加分条件</w:t>
            </w:r>
          </w:p>
        </w:tc>
      </w:tr>
      <w:tr w14:paraId="7671E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vAlign w:val="center"/>
          </w:tcPr>
          <w:p w14:paraId="14DACAC4">
            <w:pPr>
              <w:adjustRightInd w:val="0"/>
              <w:snapToGrid w:val="0"/>
              <w:spacing w:line="360" w:lineRule="exact"/>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政策性加分条件</w:t>
            </w:r>
          </w:p>
        </w:tc>
        <w:tc>
          <w:tcPr>
            <w:tcW w:w="8210" w:type="dxa"/>
            <w:gridSpan w:val="4"/>
            <w:tcBorders>
              <w:top w:val="single" w:color="auto" w:sz="4" w:space="0"/>
              <w:left w:val="single" w:color="auto" w:sz="4" w:space="0"/>
              <w:bottom w:val="single" w:color="auto" w:sz="4" w:space="0"/>
              <w:right w:val="single" w:color="auto" w:sz="4" w:space="0"/>
            </w:tcBorders>
          </w:tcPr>
          <w:p w14:paraId="1C152645">
            <w:pPr>
              <w:adjustRightInd w:val="0"/>
              <w:snapToGrid w:val="0"/>
              <w:spacing w:line="36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符合节能环保等国家政策要求。</w:t>
            </w:r>
          </w:p>
        </w:tc>
      </w:tr>
    </w:tbl>
    <w:p w14:paraId="5247ABDE">
      <w:pPr>
        <w:rPr>
          <w:color w:val="auto"/>
          <w:highlight w:val="none"/>
        </w:rPr>
      </w:pPr>
      <w:r>
        <w:rPr>
          <w:rFonts w:hint="eastAsia"/>
          <w:color w:val="auto"/>
          <w:highlight w:val="none"/>
        </w:rPr>
        <w:br w:type="page"/>
      </w:r>
    </w:p>
    <w:p w14:paraId="7B4F6C95">
      <w:pPr>
        <w:rPr>
          <w:color w:val="auto"/>
          <w:highlight w:val="none"/>
        </w:rPr>
      </w:pPr>
      <w:r>
        <w:rPr>
          <w:rFonts w:hint="eastAsia"/>
          <w:color w:val="auto"/>
          <w:highlight w:val="none"/>
        </w:rPr>
        <w:t>附件3：节能产品政府采购品目清单</w:t>
      </w:r>
    </w:p>
    <w:p w14:paraId="5D4B5147">
      <w:pPr>
        <w:rPr>
          <w:color w:val="auto"/>
          <w:highlight w:val="none"/>
        </w:rPr>
      </w:pPr>
    </w:p>
    <w:tbl>
      <w:tblPr>
        <w:tblStyle w:val="4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4051"/>
      </w:tblGrid>
      <w:tr w14:paraId="700C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8E19C3F">
            <w:pPr>
              <w:ind w:firstLine="0" w:firstLineChars="0"/>
              <w:rPr>
                <w:color w:val="auto"/>
                <w:kern w:val="0"/>
                <w:highlight w:val="none"/>
              </w:rPr>
            </w:pPr>
            <w:r>
              <w:rPr>
                <w:rFonts w:hint="eastAsia"/>
                <w:color w:val="auto"/>
                <w:kern w:val="0"/>
                <w:highlight w:val="none"/>
              </w:rPr>
              <w:t>品目序号</w:t>
            </w:r>
          </w:p>
        </w:tc>
        <w:tc>
          <w:tcPr>
            <w:tcW w:w="4456" w:type="dxa"/>
            <w:gridSpan w:val="3"/>
            <w:vAlign w:val="center"/>
          </w:tcPr>
          <w:p w14:paraId="12836498">
            <w:pPr>
              <w:rPr>
                <w:color w:val="auto"/>
                <w:highlight w:val="none"/>
              </w:rPr>
            </w:pPr>
            <w:r>
              <w:rPr>
                <w:rFonts w:hint="eastAsia"/>
                <w:color w:val="auto"/>
                <w:highlight w:val="none"/>
              </w:rPr>
              <w:t>名称</w:t>
            </w:r>
          </w:p>
        </w:tc>
        <w:tc>
          <w:tcPr>
            <w:tcW w:w="4051" w:type="dxa"/>
            <w:vAlign w:val="center"/>
          </w:tcPr>
          <w:p w14:paraId="65373602">
            <w:pPr>
              <w:rPr>
                <w:color w:val="auto"/>
                <w:highlight w:val="none"/>
              </w:rPr>
            </w:pPr>
            <w:r>
              <w:rPr>
                <w:rFonts w:hint="eastAsia"/>
                <w:color w:val="auto"/>
                <w:highlight w:val="none"/>
              </w:rPr>
              <w:t>依据</w:t>
            </w:r>
          </w:p>
        </w:tc>
      </w:tr>
      <w:tr w14:paraId="4A6B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50C2C9C7">
            <w:pPr>
              <w:rPr>
                <w:color w:val="auto"/>
                <w:highlight w:val="none"/>
              </w:rPr>
            </w:pPr>
          </w:p>
          <w:p w14:paraId="7C0D3DFE">
            <w:pPr>
              <w:rPr>
                <w:color w:val="auto"/>
                <w:highlight w:val="none"/>
              </w:rPr>
            </w:pPr>
          </w:p>
          <w:p w14:paraId="7E621D4F">
            <w:pPr>
              <w:rPr>
                <w:color w:val="auto"/>
                <w:highlight w:val="none"/>
              </w:rPr>
            </w:pPr>
          </w:p>
          <w:p w14:paraId="3DC22ABC">
            <w:pPr>
              <w:rPr>
                <w:color w:val="auto"/>
                <w:highlight w:val="none"/>
              </w:rPr>
            </w:pPr>
          </w:p>
          <w:p w14:paraId="0B3DEC99">
            <w:pPr>
              <w:ind w:firstLine="0" w:firstLineChars="0"/>
              <w:rPr>
                <w:color w:val="auto"/>
                <w:highlight w:val="none"/>
              </w:rPr>
            </w:pPr>
            <w:r>
              <w:rPr>
                <w:rFonts w:hint="eastAsia"/>
                <w:color w:val="auto"/>
                <w:highlight w:val="none"/>
              </w:rPr>
              <w:t>1</w:t>
            </w:r>
          </w:p>
        </w:tc>
        <w:tc>
          <w:tcPr>
            <w:tcW w:w="1000" w:type="dxa"/>
            <w:vMerge w:val="restart"/>
            <w:vAlign w:val="center"/>
          </w:tcPr>
          <w:p w14:paraId="33C7B723">
            <w:pPr>
              <w:rPr>
                <w:color w:val="auto"/>
                <w:highlight w:val="none"/>
              </w:rPr>
            </w:pPr>
          </w:p>
          <w:p w14:paraId="0DDB41F2">
            <w:pPr>
              <w:rPr>
                <w:color w:val="auto"/>
                <w:highlight w:val="none"/>
              </w:rPr>
            </w:pPr>
          </w:p>
          <w:p w14:paraId="0A70B362">
            <w:pPr>
              <w:rPr>
                <w:color w:val="auto"/>
                <w:highlight w:val="none"/>
              </w:rPr>
            </w:pPr>
          </w:p>
          <w:p w14:paraId="58A4DD92">
            <w:pPr>
              <w:ind w:firstLine="0" w:firstLineChars="0"/>
              <w:rPr>
                <w:color w:val="auto"/>
                <w:highlight w:val="none"/>
              </w:rPr>
            </w:pPr>
            <w:r>
              <w:rPr>
                <w:rFonts w:hint="eastAsia"/>
                <w:color w:val="auto"/>
                <w:highlight w:val="none"/>
              </w:rPr>
              <w:t>A020101计算机设备</w:t>
            </w:r>
          </w:p>
        </w:tc>
        <w:tc>
          <w:tcPr>
            <w:tcW w:w="1875" w:type="dxa"/>
            <w:vAlign w:val="center"/>
          </w:tcPr>
          <w:p w14:paraId="5258F2A6">
            <w:pPr>
              <w:ind w:firstLine="0" w:firstLineChars="0"/>
              <w:rPr>
                <w:color w:val="auto"/>
                <w:highlight w:val="none"/>
              </w:rPr>
            </w:pPr>
            <w:r>
              <w:rPr>
                <w:rFonts w:hint="eastAsia"/>
                <w:color w:val="auto"/>
                <w:highlight w:val="none"/>
              </w:rPr>
              <w:t>★A02010104台式计算机</w:t>
            </w:r>
          </w:p>
        </w:tc>
        <w:tc>
          <w:tcPr>
            <w:tcW w:w="1581" w:type="dxa"/>
            <w:vAlign w:val="center"/>
          </w:tcPr>
          <w:p w14:paraId="367736F5">
            <w:pPr>
              <w:rPr>
                <w:color w:val="auto"/>
                <w:highlight w:val="none"/>
              </w:rPr>
            </w:pPr>
          </w:p>
        </w:tc>
        <w:tc>
          <w:tcPr>
            <w:tcW w:w="4051" w:type="dxa"/>
            <w:vAlign w:val="center"/>
          </w:tcPr>
          <w:p w14:paraId="708BA9B3">
            <w:pPr>
              <w:rPr>
                <w:color w:val="auto"/>
                <w:highlight w:val="none"/>
              </w:rPr>
            </w:pPr>
            <w:r>
              <w:rPr>
                <w:rFonts w:hint="eastAsia"/>
                <w:color w:val="auto"/>
                <w:highlight w:val="none"/>
              </w:rPr>
              <w:t>《微型计算机能效限定值及能效等级》（GB28380）</w:t>
            </w:r>
          </w:p>
        </w:tc>
      </w:tr>
      <w:tr w14:paraId="4EAC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45AE1BD">
            <w:pPr>
              <w:rPr>
                <w:color w:val="auto"/>
                <w:highlight w:val="none"/>
              </w:rPr>
            </w:pPr>
          </w:p>
        </w:tc>
        <w:tc>
          <w:tcPr>
            <w:tcW w:w="1000" w:type="dxa"/>
            <w:vMerge w:val="continue"/>
            <w:vAlign w:val="center"/>
          </w:tcPr>
          <w:p w14:paraId="05028208">
            <w:pPr>
              <w:rPr>
                <w:color w:val="auto"/>
                <w:highlight w:val="none"/>
              </w:rPr>
            </w:pPr>
          </w:p>
        </w:tc>
        <w:tc>
          <w:tcPr>
            <w:tcW w:w="1875" w:type="dxa"/>
            <w:vAlign w:val="center"/>
          </w:tcPr>
          <w:p w14:paraId="4C3EB01F">
            <w:pPr>
              <w:ind w:firstLine="0" w:firstLineChars="0"/>
              <w:rPr>
                <w:color w:val="auto"/>
                <w:highlight w:val="none"/>
              </w:rPr>
            </w:pPr>
            <w:r>
              <w:rPr>
                <w:rFonts w:hint="eastAsia"/>
                <w:color w:val="auto"/>
                <w:highlight w:val="none"/>
              </w:rPr>
              <w:t>★A02010105便携式计算机</w:t>
            </w:r>
          </w:p>
        </w:tc>
        <w:tc>
          <w:tcPr>
            <w:tcW w:w="1581" w:type="dxa"/>
            <w:vAlign w:val="center"/>
          </w:tcPr>
          <w:p w14:paraId="6755E357">
            <w:pPr>
              <w:rPr>
                <w:color w:val="auto"/>
                <w:highlight w:val="none"/>
              </w:rPr>
            </w:pPr>
          </w:p>
        </w:tc>
        <w:tc>
          <w:tcPr>
            <w:tcW w:w="4051" w:type="dxa"/>
            <w:vAlign w:val="center"/>
          </w:tcPr>
          <w:p w14:paraId="6DD0F578">
            <w:pPr>
              <w:rPr>
                <w:color w:val="auto"/>
                <w:highlight w:val="none"/>
              </w:rPr>
            </w:pPr>
            <w:r>
              <w:rPr>
                <w:rFonts w:hint="eastAsia"/>
                <w:color w:val="auto"/>
                <w:highlight w:val="none"/>
              </w:rPr>
              <w:t>《微型计算机能效限定值及能效等级》（GB28380）</w:t>
            </w:r>
          </w:p>
        </w:tc>
      </w:tr>
      <w:tr w14:paraId="6F71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01E55C2">
            <w:pPr>
              <w:rPr>
                <w:color w:val="auto"/>
                <w:highlight w:val="none"/>
              </w:rPr>
            </w:pPr>
          </w:p>
        </w:tc>
        <w:tc>
          <w:tcPr>
            <w:tcW w:w="1000" w:type="dxa"/>
            <w:vMerge w:val="continue"/>
            <w:vAlign w:val="center"/>
          </w:tcPr>
          <w:p w14:paraId="60F56FFF">
            <w:pPr>
              <w:rPr>
                <w:color w:val="auto"/>
                <w:highlight w:val="none"/>
              </w:rPr>
            </w:pPr>
          </w:p>
        </w:tc>
        <w:tc>
          <w:tcPr>
            <w:tcW w:w="1875" w:type="dxa"/>
            <w:vAlign w:val="center"/>
          </w:tcPr>
          <w:p w14:paraId="6E2C0EE8">
            <w:pPr>
              <w:ind w:firstLine="0" w:firstLineChars="0"/>
              <w:rPr>
                <w:color w:val="auto"/>
                <w:highlight w:val="none"/>
              </w:rPr>
            </w:pPr>
            <w:r>
              <w:rPr>
                <w:rFonts w:hint="eastAsia"/>
                <w:color w:val="auto"/>
                <w:highlight w:val="none"/>
              </w:rPr>
              <w:t>★A02010107平板式微型计算机</w:t>
            </w:r>
          </w:p>
        </w:tc>
        <w:tc>
          <w:tcPr>
            <w:tcW w:w="1581" w:type="dxa"/>
            <w:vAlign w:val="center"/>
          </w:tcPr>
          <w:p w14:paraId="532139C9">
            <w:pPr>
              <w:rPr>
                <w:color w:val="auto"/>
                <w:highlight w:val="none"/>
              </w:rPr>
            </w:pPr>
          </w:p>
        </w:tc>
        <w:tc>
          <w:tcPr>
            <w:tcW w:w="4051" w:type="dxa"/>
            <w:vAlign w:val="center"/>
          </w:tcPr>
          <w:p w14:paraId="4CAD7174">
            <w:pPr>
              <w:rPr>
                <w:color w:val="auto"/>
                <w:highlight w:val="none"/>
              </w:rPr>
            </w:pPr>
            <w:r>
              <w:rPr>
                <w:rFonts w:hint="eastAsia"/>
                <w:color w:val="auto"/>
                <w:highlight w:val="none"/>
              </w:rPr>
              <w:t>《微型计算机能效限定值及能效等级》（GB28380）</w:t>
            </w:r>
          </w:p>
        </w:tc>
      </w:tr>
      <w:tr w14:paraId="56DC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7C794DDB">
            <w:pPr>
              <w:ind w:firstLine="0" w:firstLineChars="0"/>
              <w:rPr>
                <w:color w:val="auto"/>
                <w:highlight w:val="none"/>
              </w:rPr>
            </w:pPr>
            <w:r>
              <w:rPr>
                <w:rFonts w:hint="eastAsia"/>
                <w:color w:val="auto"/>
                <w:highlight w:val="none"/>
              </w:rPr>
              <w:t>2</w:t>
            </w:r>
          </w:p>
        </w:tc>
        <w:tc>
          <w:tcPr>
            <w:tcW w:w="1000" w:type="dxa"/>
            <w:vMerge w:val="restart"/>
            <w:vAlign w:val="center"/>
          </w:tcPr>
          <w:p w14:paraId="06E687C4">
            <w:pPr>
              <w:ind w:firstLine="0" w:firstLineChars="0"/>
              <w:rPr>
                <w:color w:val="auto"/>
                <w:highlight w:val="none"/>
              </w:rPr>
            </w:pPr>
            <w:r>
              <w:rPr>
                <w:rFonts w:hint="eastAsia"/>
                <w:color w:val="auto"/>
                <w:highlight w:val="none"/>
              </w:rPr>
              <w:t>A020106输入输出设备</w:t>
            </w:r>
          </w:p>
        </w:tc>
        <w:tc>
          <w:tcPr>
            <w:tcW w:w="1875" w:type="dxa"/>
            <w:vMerge w:val="restart"/>
            <w:vAlign w:val="center"/>
          </w:tcPr>
          <w:p w14:paraId="0E4B1571">
            <w:pPr>
              <w:ind w:firstLine="0" w:firstLineChars="0"/>
              <w:rPr>
                <w:color w:val="auto"/>
                <w:highlight w:val="none"/>
              </w:rPr>
            </w:pPr>
            <w:r>
              <w:rPr>
                <w:rFonts w:hint="eastAsia"/>
                <w:color w:val="auto"/>
                <w:highlight w:val="none"/>
              </w:rPr>
              <w:t>A02010601打印设备</w:t>
            </w:r>
          </w:p>
        </w:tc>
        <w:tc>
          <w:tcPr>
            <w:tcW w:w="1581" w:type="dxa"/>
            <w:vAlign w:val="center"/>
          </w:tcPr>
          <w:p w14:paraId="2345BCDF">
            <w:pPr>
              <w:ind w:firstLine="0" w:firstLineChars="0"/>
              <w:rPr>
                <w:color w:val="auto"/>
                <w:highlight w:val="none"/>
              </w:rPr>
            </w:pPr>
            <w:r>
              <w:rPr>
                <w:rFonts w:hint="eastAsia"/>
                <w:color w:val="auto"/>
                <w:highlight w:val="none"/>
              </w:rPr>
              <w:t>A0201060101喷墨打印机</w:t>
            </w:r>
          </w:p>
        </w:tc>
        <w:tc>
          <w:tcPr>
            <w:tcW w:w="4051" w:type="dxa"/>
            <w:vAlign w:val="center"/>
          </w:tcPr>
          <w:p w14:paraId="55505716">
            <w:pPr>
              <w:rPr>
                <w:color w:val="auto"/>
                <w:highlight w:val="none"/>
              </w:rPr>
            </w:pPr>
            <w:r>
              <w:rPr>
                <w:rFonts w:hint="eastAsia"/>
                <w:color w:val="auto"/>
                <w:highlight w:val="none"/>
              </w:rPr>
              <w:t>《复印机、打印机和传真机能效限定值及能效等级》（GB21521）</w:t>
            </w:r>
          </w:p>
        </w:tc>
      </w:tr>
      <w:tr w14:paraId="7911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B9B82E7">
            <w:pPr>
              <w:rPr>
                <w:color w:val="auto"/>
                <w:highlight w:val="none"/>
              </w:rPr>
            </w:pPr>
          </w:p>
        </w:tc>
        <w:tc>
          <w:tcPr>
            <w:tcW w:w="1000" w:type="dxa"/>
            <w:vMerge w:val="continue"/>
            <w:vAlign w:val="center"/>
          </w:tcPr>
          <w:p w14:paraId="26222597">
            <w:pPr>
              <w:rPr>
                <w:color w:val="auto"/>
                <w:highlight w:val="none"/>
              </w:rPr>
            </w:pPr>
          </w:p>
        </w:tc>
        <w:tc>
          <w:tcPr>
            <w:tcW w:w="1875" w:type="dxa"/>
            <w:vMerge w:val="continue"/>
            <w:vAlign w:val="center"/>
          </w:tcPr>
          <w:p w14:paraId="7D5D1893">
            <w:pPr>
              <w:rPr>
                <w:color w:val="auto"/>
                <w:highlight w:val="none"/>
              </w:rPr>
            </w:pPr>
          </w:p>
        </w:tc>
        <w:tc>
          <w:tcPr>
            <w:tcW w:w="1581" w:type="dxa"/>
            <w:vAlign w:val="center"/>
          </w:tcPr>
          <w:p w14:paraId="37AA09EF">
            <w:pPr>
              <w:ind w:firstLine="0" w:firstLineChars="0"/>
              <w:rPr>
                <w:color w:val="auto"/>
                <w:highlight w:val="none"/>
              </w:rPr>
            </w:pPr>
            <w:r>
              <w:rPr>
                <w:rFonts w:hint="eastAsia"/>
                <w:color w:val="auto"/>
                <w:highlight w:val="none"/>
              </w:rPr>
              <w:t>★A0201060102激光打印机</w:t>
            </w:r>
          </w:p>
        </w:tc>
        <w:tc>
          <w:tcPr>
            <w:tcW w:w="4051" w:type="dxa"/>
            <w:vAlign w:val="center"/>
          </w:tcPr>
          <w:p w14:paraId="0194A0DA">
            <w:pPr>
              <w:rPr>
                <w:color w:val="auto"/>
                <w:highlight w:val="none"/>
              </w:rPr>
            </w:pPr>
            <w:r>
              <w:rPr>
                <w:rFonts w:hint="eastAsia"/>
                <w:color w:val="auto"/>
                <w:highlight w:val="none"/>
              </w:rPr>
              <w:t>《复印机、打印机和传真机能效限定值及能效等级》（GB21521）</w:t>
            </w:r>
          </w:p>
        </w:tc>
      </w:tr>
      <w:tr w14:paraId="1E1A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BEFFF13">
            <w:pPr>
              <w:rPr>
                <w:color w:val="auto"/>
                <w:highlight w:val="none"/>
              </w:rPr>
            </w:pPr>
          </w:p>
        </w:tc>
        <w:tc>
          <w:tcPr>
            <w:tcW w:w="1000" w:type="dxa"/>
            <w:vMerge w:val="continue"/>
            <w:vAlign w:val="center"/>
          </w:tcPr>
          <w:p w14:paraId="382D60C2">
            <w:pPr>
              <w:rPr>
                <w:color w:val="auto"/>
                <w:highlight w:val="none"/>
              </w:rPr>
            </w:pPr>
          </w:p>
        </w:tc>
        <w:tc>
          <w:tcPr>
            <w:tcW w:w="1875" w:type="dxa"/>
            <w:vMerge w:val="continue"/>
            <w:vAlign w:val="center"/>
          </w:tcPr>
          <w:p w14:paraId="71C2A58A">
            <w:pPr>
              <w:rPr>
                <w:color w:val="auto"/>
                <w:highlight w:val="none"/>
              </w:rPr>
            </w:pPr>
          </w:p>
        </w:tc>
        <w:tc>
          <w:tcPr>
            <w:tcW w:w="1581" w:type="dxa"/>
            <w:vAlign w:val="center"/>
          </w:tcPr>
          <w:p w14:paraId="5EA0BD00">
            <w:pPr>
              <w:ind w:firstLine="0" w:firstLineChars="0"/>
              <w:rPr>
                <w:color w:val="auto"/>
                <w:highlight w:val="none"/>
              </w:rPr>
            </w:pPr>
            <w:r>
              <w:rPr>
                <w:rFonts w:hint="eastAsia"/>
                <w:color w:val="auto"/>
                <w:highlight w:val="none"/>
              </w:rPr>
              <w:t>★A0201060104针式打印机</w:t>
            </w:r>
          </w:p>
        </w:tc>
        <w:tc>
          <w:tcPr>
            <w:tcW w:w="4051" w:type="dxa"/>
            <w:vAlign w:val="center"/>
          </w:tcPr>
          <w:p w14:paraId="36FE64AD">
            <w:pPr>
              <w:rPr>
                <w:color w:val="auto"/>
                <w:highlight w:val="none"/>
              </w:rPr>
            </w:pPr>
            <w:r>
              <w:rPr>
                <w:rFonts w:hint="eastAsia"/>
                <w:color w:val="auto"/>
                <w:highlight w:val="none"/>
              </w:rPr>
              <w:t>《复印机、打印机和传真机能效限定值及能效等级》（GB21521）</w:t>
            </w:r>
          </w:p>
        </w:tc>
      </w:tr>
      <w:tr w14:paraId="560A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858D98D">
            <w:pPr>
              <w:rPr>
                <w:color w:val="auto"/>
                <w:highlight w:val="none"/>
              </w:rPr>
            </w:pPr>
          </w:p>
        </w:tc>
        <w:tc>
          <w:tcPr>
            <w:tcW w:w="1000" w:type="dxa"/>
            <w:vMerge w:val="continue"/>
            <w:vAlign w:val="center"/>
          </w:tcPr>
          <w:p w14:paraId="1C70FA5A">
            <w:pPr>
              <w:rPr>
                <w:color w:val="auto"/>
                <w:highlight w:val="none"/>
              </w:rPr>
            </w:pPr>
          </w:p>
        </w:tc>
        <w:tc>
          <w:tcPr>
            <w:tcW w:w="1875" w:type="dxa"/>
            <w:vAlign w:val="center"/>
          </w:tcPr>
          <w:p w14:paraId="4CCD8B93">
            <w:pPr>
              <w:ind w:firstLine="0" w:firstLineChars="0"/>
              <w:rPr>
                <w:color w:val="auto"/>
                <w:highlight w:val="none"/>
              </w:rPr>
            </w:pPr>
            <w:r>
              <w:rPr>
                <w:rFonts w:hint="eastAsia"/>
                <w:color w:val="auto"/>
                <w:highlight w:val="none"/>
              </w:rPr>
              <w:t>A02010604显示设备</w:t>
            </w:r>
          </w:p>
        </w:tc>
        <w:tc>
          <w:tcPr>
            <w:tcW w:w="1581" w:type="dxa"/>
            <w:vAlign w:val="center"/>
          </w:tcPr>
          <w:p w14:paraId="349A5225">
            <w:pPr>
              <w:ind w:firstLine="0" w:firstLineChars="0"/>
              <w:rPr>
                <w:color w:val="auto"/>
                <w:highlight w:val="none"/>
              </w:rPr>
            </w:pPr>
            <w:r>
              <w:rPr>
                <w:rFonts w:hint="eastAsia"/>
                <w:color w:val="auto"/>
                <w:highlight w:val="none"/>
              </w:rPr>
              <w:t>★A0201060401液晶显示器</w:t>
            </w:r>
          </w:p>
        </w:tc>
        <w:tc>
          <w:tcPr>
            <w:tcW w:w="4051" w:type="dxa"/>
            <w:vAlign w:val="center"/>
          </w:tcPr>
          <w:p w14:paraId="491BEFF2">
            <w:pPr>
              <w:rPr>
                <w:color w:val="auto"/>
                <w:highlight w:val="none"/>
              </w:rPr>
            </w:pPr>
            <w:r>
              <w:rPr>
                <w:rFonts w:hint="eastAsia"/>
                <w:color w:val="auto"/>
                <w:highlight w:val="none"/>
              </w:rPr>
              <w:t>《计算机显示器能效限定值及能效等级》（GB21520）</w:t>
            </w:r>
          </w:p>
        </w:tc>
      </w:tr>
      <w:tr w14:paraId="0A25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78A2101A">
            <w:pPr>
              <w:rPr>
                <w:color w:val="auto"/>
                <w:highlight w:val="none"/>
              </w:rPr>
            </w:pPr>
          </w:p>
        </w:tc>
        <w:tc>
          <w:tcPr>
            <w:tcW w:w="1000" w:type="dxa"/>
            <w:vMerge w:val="continue"/>
            <w:vAlign w:val="center"/>
          </w:tcPr>
          <w:p w14:paraId="19E8231D">
            <w:pPr>
              <w:rPr>
                <w:color w:val="auto"/>
                <w:highlight w:val="none"/>
              </w:rPr>
            </w:pPr>
          </w:p>
        </w:tc>
        <w:tc>
          <w:tcPr>
            <w:tcW w:w="1875" w:type="dxa"/>
            <w:vAlign w:val="center"/>
          </w:tcPr>
          <w:p w14:paraId="5CE4D7C6">
            <w:pPr>
              <w:ind w:firstLine="0" w:firstLineChars="0"/>
              <w:rPr>
                <w:color w:val="auto"/>
                <w:highlight w:val="none"/>
              </w:rPr>
            </w:pPr>
            <w:r>
              <w:rPr>
                <w:rFonts w:hint="eastAsia"/>
                <w:color w:val="auto"/>
                <w:highlight w:val="none"/>
              </w:rPr>
              <w:t>A02010609图形图像输入设备</w:t>
            </w:r>
          </w:p>
        </w:tc>
        <w:tc>
          <w:tcPr>
            <w:tcW w:w="1581" w:type="dxa"/>
            <w:vAlign w:val="center"/>
          </w:tcPr>
          <w:p w14:paraId="4BDD0E9C">
            <w:pPr>
              <w:ind w:firstLine="0" w:firstLineChars="0"/>
              <w:rPr>
                <w:color w:val="auto"/>
                <w:highlight w:val="none"/>
              </w:rPr>
            </w:pPr>
            <w:r>
              <w:rPr>
                <w:rFonts w:hint="eastAsia"/>
                <w:color w:val="auto"/>
                <w:highlight w:val="none"/>
              </w:rPr>
              <w:t>A0201060901扫描仪</w:t>
            </w:r>
          </w:p>
        </w:tc>
        <w:tc>
          <w:tcPr>
            <w:tcW w:w="4051" w:type="dxa"/>
            <w:vAlign w:val="center"/>
          </w:tcPr>
          <w:p w14:paraId="5B211A6E">
            <w:pPr>
              <w:rPr>
                <w:color w:val="auto"/>
                <w:highlight w:val="none"/>
              </w:rPr>
            </w:pPr>
            <w:r>
              <w:rPr>
                <w:rFonts w:hint="eastAsia"/>
                <w:color w:val="auto"/>
                <w:highlight w:val="none"/>
              </w:rPr>
              <w:t>参照《复印机、打印机和传真机能效限定值及能效等级》（GB21521</w:t>
            </w:r>
          </w:p>
          <w:p w14:paraId="7BD33427">
            <w:pPr>
              <w:rPr>
                <w:color w:val="auto"/>
                <w:highlight w:val="none"/>
              </w:rPr>
            </w:pPr>
            <w:r>
              <w:rPr>
                <w:rFonts w:hint="eastAsia"/>
                <w:color w:val="auto"/>
                <w:highlight w:val="none"/>
              </w:rPr>
              <w:t>中打印速度为15页/分的针式打印机相关要求</w:t>
            </w:r>
          </w:p>
        </w:tc>
      </w:tr>
      <w:tr w14:paraId="1AED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96710C9">
            <w:pPr>
              <w:ind w:firstLine="0" w:firstLineChars="0"/>
              <w:rPr>
                <w:color w:val="auto"/>
                <w:highlight w:val="none"/>
              </w:rPr>
            </w:pPr>
            <w:r>
              <w:rPr>
                <w:rFonts w:hint="eastAsia"/>
                <w:color w:val="auto"/>
                <w:highlight w:val="none"/>
              </w:rPr>
              <w:t>3</w:t>
            </w:r>
          </w:p>
        </w:tc>
        <w:tc>
          <w:tcPr>
            <w:tcW w:w="1000" w:type="dxa"/>
            <w:vAlign w:val="center"/>
          </w:tcPr>
          <w:p w14:paraId="528672E6">
            <w:pPr>
              <w:ind w:firstLine="0" w:firstLineChars="0"/>
              <w:rPr>
                <w:color w:val="auto"/>
                <w:highlight w:val="none"/>
              </w:rPr>
            </w:pPr>
            <w:r>
              <w:rPr>
                <w:rFonts w:hint="eastAsia"/>
                <w:color w:val="auto"/>
                <w:highlight w:val="none"/>
              </w:rPr>
              <w:t>A020202投影仪</w:t>
            </w:r>
          </w:p>
        </w:tc>
        <w:tc>
          <w:tcPr>
            <w:tcW w:w="1875" w:type="dxa"/>
            <w:vAlign w:val="center"/>
          </w:tcPr>
          <w:p w14:paraId="5A5B1AC6">
            <w:pPr>
              <w:rPr>
                <w:color w:val="auto"/>
                <w:highlight w:val="none"/>
              </w:rPr>
            </w:pPr>
          </w:p>
        </w:tc>
        <w:tc>
          <w:tcPr>
            <w:tcW w:w="1581" w:type="dxa"/>
            <w:vAlign w:val="center"/>
          </w:tcPr>
          <w:p w14:paraId="12EB32D7">
            <w:pPr>
              <w:rPr>
                <w:color w:val="auto"/>
                <w:highlight w:val="none"/>
              </w:rPr>
            </w:pPr>
          </w:p>
        </w:tc>
        <w:tc>
          <w:tcPr>
            <w:tcW w:w="4051" w:type="dxa"/>
            <w:vAlign w:val="center"/>
          </w:tcPr>
          <w:p w14:paraId="023E50FD">
            <w:pPr>
              <w:rPr>
                <w:color w:val="auto"/>
                <w:highlight w:val="none"/>
              </w:rPr>
            </w:pPr>
            <w:r>
              <w:rPr>
                <w:rFonts w:hint="eastAsia"/>
                <w:color w:val="auto"/>
                <w:highlight w:val="none"/>
              </w:rPr>
              <w:t>《投影机能效限定值及能效等级</w:t>
            </w:r>
          </w:p>
          <w:p w14:paraId="5BADA9AC">
            <w:pPr>
              <w:rPr>
                <w:color w:val="auto"/>
                <w:highlight w:val="none"/>
              </w:rPr>
            </w:pPr>
            <w:r>
              <w:rPr>
                <w:rFonts w:hint="eastAsia"/>
                <w:color w:val="auto"/>
                <w:highlight w:val="none"/>
              </w:rPr>
              <w:t>（GB32028）</w:t>
            </w:r>
          </w:p>
        </w:tc>
      </w:tr>
      <w:tr w14:paraId="17D6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85BE0FC">
            <w:pPr>
              <w:rPr>
                <w:color w:val="auto"/>
                <w:highlight w:val="none"/>
              </w:rPr>
            </w:pPr>
          </w:p>
          <w:p w14:paraId="4B68DF38">
            <w:pPr>
              <w:ind w:firstLine="0" w:firstLineChars="0"/>
              <w:rPr>
                <w:color w:val="auto"/>
                <w:highlight w:val="none"/>
              </w:rPr>
            </w:pPr>
            <w:r>
              <w:rPr>
                <w:rFonts w:hint="eastAsia"/>
                <w:color w:val="auto"/>
                <w:highlight w:val="none"/>
              </w:rPr>
              <w:t>4</w:t>
            </w:r>
          </w:p>
        </w:tc>
        <w:tc>
          <w:tcPr>
            <w:tcW w:w="1000" w:type="dxa"/>
            <w:vAlign w:val="center"/>
          </w:tcPr>
          <w:p w14:paraId="747CB1F5">
            <w:pPr>
              <w:ind w:firstLine="0" w:firstLineChars="0"/>
              <w:rPr>
                <w:color w:val="auto"/>
                <w:highlight w:val="none"/>
              </w:rPr>
            </w:pPr>
            <w:r>
              <w:rPr>
                <w:rFonts w:hint="eastAsia"/>
                <w:color w:val="auto"/>
                <w:highlight w:val="none"/>
              </w:rPr>
              <w:t>A020204多功能一体机</w:t>
            </w:r>
          </w:p>
        </w:tc>
        <w:tc>
          <w:tcPr>
            <w:tcW w:w="1875" w:type="dxa"/>
            <w:vAlign w:val="center"/>
          </w:tcPr>
          <w:p w14:paraId="1CB87907">
            <w:pPr>
              <w:rPr>
                <w:color w:val="auto"/>
                <w:highlight w:val="none"/>
              </w:rPr>
            </w:pPr>
          </w:p>
        </w:tc>
        <w:tc>
          <w:tcPr>
            <w:tcW w:w="1581" w:type="dxa"/>
            <w:vAlign w:val="center"/>
          </w:tcPr>
          <w:p w14:paraId="53AC0B9F">
            <w:pPr>
              <w:rPr>
                <w:color w:val="auto"/>
                <w:highlight w:val="none"/>
              </w:rPr>
            </w:pPr>
          </w:p>
        </w:tc>
        <w:tc>
          <w:tcPr>
            <w:tcW w:w="4051" w:type="dxa"/>
            <w:vAlign w:val="center"/>
          </w:tcPr>
          <w:p w14:paraId="169B1410">
            <w:pPr>
              <w:rPr>
                <w:color w:val="auto"/>
                <w:highlight w:val="none"/>
              </w:rPr>
            </w:pPr>
            <w:r>
              <w:rPr>
                <w:rFonts w:hint="eastAsia"/>
                <w:color w:val="auto"/>
                <w:highlight w:val="none"/>
              </w:rPr>
              <w:t>《复印机、打印机和传真机能效限定值及能效等级》（GB21521）</w:t>
            </w:r>
          </w:p>
        </w:tc>
      </w:tr>
      <w:tr w14:paraId="181E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6A14EB1">
            <w:pPr>
              <w:ind w:firstLine="0" w:firstLineChars="0"/>
              <w:rPr>
                <w:color w:val="auto"/>
                <w:highlight w:val="none"/>
              </w:rPr>
            </w:pPr>
            <w:r>
              <w:rPr>
                <w:rFonts w:hint="eastAsia"/>
                <w:color w:val="auto"/>
                <w:highlight w:val="none"/>
              </w:rPr>
              <w:t>5</w:t>
            </w:r>
          </w:p>
        </w:tc>
        <w:tc>
          <w:tcPr>
            <w:tcW w:w="1000" w:type="dxa"/>
            <w:vAlign w:val="center"/>
          </w:tcPr>
          <w:p w14:paraId="42927291">
            <w:pPr>
              <w:ind w:firstLine="0" w:firstLineChars="0"/>
              <w:rPr>
                <w:color w:val="auto"/>
                <w:highlight w:val="none"/>
              </w:rPr>
            </w:pPr>
            <w:r>
              <w:rPr>
                <w:rFonts w:hint="eastAsia"/>
                <w:color w:val="auto"/>
                <w:highlight w:val="none"/>
              </w:rPr>
              <w:t>A020519泵</w:t>
            </w:r>
          </w:p>
        </w:tc>
        <w:tc>
          <w:tcPr>
            <w:tcW w:w="1875" w:type="dxa"/>
            <w:vAlign w:val="center"/>
          </w:tcPr>
          <w:p w14:paraId="69EA6453">
            <w:pPr>
              <w:ind w:firstLine="0" w:firstLineChars="0"/>
              <w:rPr>
                <w:color w:val="auto"/>
                <w:highlight w:val="none"/>
              </w:rPr>
            </w:pPr>
            <w:r>
              <w:rPr>
                <w:rFonts w:hint="eastAsia"/>
                <w:color w:val="auto"/>
                <w:highlight w:val="none"/>
              </w:rPr>
              <w:t>A02051901离心泵</w:t>
            </w:r>
          </w:p>
        </w:tc>
        <w:tc>
          <w:tcPr>
            <w:tcW w:w="1581" w:type="dxa"/>
            <w:vAlign w:val="center"/>
          </w:tcPr>
          <w:p w14:paraId="095C7A12">
            <w:pPr>
              <w:rPr>
                <w:color w:val="auto"/>
                <w:highlight w:val="none"/>
              </w:rPr>
            </w:pPr>
          </w:p>
        </w:tc>
        <w:tc>
          <w:tcPr>
            <w:tcW w:w="4051" w:type="dxa"/>
            <w:vAlign w:val="center"/>
          </w:tcPr>
          <w:p w14:paraId="313FB519">
            <w:pPr>
              <w:rPr>
                <w:color w:val="auto"/>
                <w:highlight w:val="none"/>
              </w:rPr>
            </w:pPr>
            <w:r>
              <w:rPr>
                <w:rFonts w:hint="eastAsia"/>
                <w:color w:val="auto"/>
                <w:highlight w:val="none"/>
              </w:rPr>
              <w:t>《清水离心泵能效限定值及节能评价值》（GB19762）</w:t>
            </w:r>
          </w:p>
        </w:tc>
      </w:tr>
      <w:tr w14:paraId="548C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448C1C49">
            <w:pPr>
              <w:rPr>
                <w:color w:val="auto"/>
                <w:highlight w:val="none"/>
              </w:rPr>
            </w:pPr>
          </w:p>
          <w:p w14:paraId="103CD81D">
            <w:pPr>
              <w:rPr>
                <w:color w:val="auto"/>
                <w:highlight w:val="none"/>
              </w:rPr>
            </w:pPr>
          </w:p>
          <w:p w14:paraId="06396578">
            <w:pPr>
              <w:rPr>
                <w:color w:val="auto"/>
                <w:highlight w:val="none"/>
              </w:rPr>
            </w:pPr>
          </w:p>
          <w:p w14:paraId="4B3CA6CA">
            <w:pPr>
              <w:ind w:firstLine="0" w:firstLineChars="0"/>
              <w:rPr>
                <w:color w:val="auto"/>
                <w:highlight w:val="none"/>
              </w:rPr>
            </w:pPr>
            <w:r>
              <w:rPr>
                <w:rFonts w:hint="eastAsia"/>
                <w:color w:val="auto"/>
                <w:highlight w:val="none"/>
              </w:rPr>
              <w:t>6</w:t>
            </w:r>
          </w:p>
        </w:tc>
        <w:tc>
          <w:tcPr>
            <w:tcW w:w="1000" w:type="dxa"/>
            <w:vMerge w:val="restart"/>
            <w:vAlign w:val="center"/>
          </w:tcPr>
          <w:p w14:paraId="213F2CCE">
            <w:pPr>
              <w:rPr>
                <w:color w:val="auto"/>
                <w:highlight w:val="none"/>
              </w:rPr>
            </w:pPr>
          </w:p>
          <w:p w14:paraId="16648C17">
            <w:pPr>
              <w:ind w:firstLine="0" w:firstLineChars="0"/>
              <w:rPr>
                <w:color w:val="auto"/>
                <w:highlight w:val="none"/>
              </w:rPr>
            </w:pPr>
            <w:r>
              <w:rPr>
                <w:rFonts w:hint="eastAsia"/>
                <w:color w:val="auto"/>
                <w:highlight w:val="none"/>
              </w:rPr>
              <w:t>A020523制冷空调设备</w:t>
            </w:r>
          </w:p>
        </w:tc>
        <w:tc>
          <w:tcPr>
            <w:tcW w:w="1875" w:type="dxa"/>
            <w:vMerge w:val="restart"/>
            <w:vAlign w:val="center"/>
          </w:tcPr>
          <w:p w14:paraId="0158ACC2">
            <w:pPr>
              <w:ind w:firstLine="0" w:firstLineChars="0"/>
              <w:rPr>
                <w:color w:val="auto"/>
                <w:highlight w:val="none"/>
              </w:rPr>
            </w:pPr>
            <w:r>
              <w:rPr>
                <w:rFonts w:hint="eastAsia"/>
                <w:color w:val="auto"/>
                <w:highlight w:val="none"/>
              </w:rPr>
              <w:t>★A02052301制冷压缩机</w:t>
            </w:r>
          </w:p>
        </w:tc>
        <w:tc>
          <w:tcPr>
            <w:tcW w:w="1581" w:type="dxa"/>
            <w:vAlign w:val="center"/>
          </w:tcPr>
          <w:p w14:paraId="3976DC3E">
            <w:pPr>
              <w:ind w:firstLine="0" w:firstLineChars="0"/>
              <w:rPr>
                <w:color w:val="auto"/>
                <w:highlight w:val="none"/>
              </w:rPr>
            </w:pPr>
            <w:r>
              <w:rPr>
                <w:rFonts w:hint="eastAsia"/>
                <w:color w:val="auto"/>
                <w:highlight w:val="none"/>
              </w:rPr>
              <w:t>冷水机组</w:t>
            </w:r>
          </w:p>
        </w:tc>
        <w:tc>
          <w:tcPr>
            <w:tcW w:w="4051" w:type="dxa"/>
            <w:vAlign w:val="center"/>
          </w:tcPr>
          <w:p w14:paraId="78CA9DE3">
            <w:pPr>
              <w:rPr>
                <w:color w:val="auto"/>
                <w:highlight w:val="none"/>
              </w:rPr>
            </w:pPr>
            <w:r>
              <w:rPr>
                <w:rFonts w:hint="eastAsia"/>
                <w:color w:val="auto"/>
                <w:highlight w:val="none"/>
              </w:rPr>
              <w:t>《冷水机组能效限定值及能效等级》（GB19577），《低环境温度空气源热泵（冷水）机组能效限定值及能效等级》（GB37480）</w:t>
            </w:r>
          </w:p>
        </w:tc>
      </w:tr>
      <w:tr w14:paraId="61F0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357B2B5">
            <w:pPr>
              <w:rPr>
                <w:color w:val="auto"/>
                <w:highlight w:val="none"/>
              </w:rPr>
            </w:pPr>
          </w:p>
        </w:tc>
        <w:tc>
          <w:tcPr>
            <w:tcW w:w="1000" w:type="dxa"/>
            <w:vMerge w:val="continue"/>
            <w:vAlign w:val="center"/>
          </w:tcPr>
          <w:p w14:paraId="7D8DFE56">
            <w:pPr>
              <w:rPr>
                <w:color w:val="auto"/>
                <w:highlight w:val="none"/>
              </w:rPr>
            </w:pPr>
          </w:p>
        </w:tc>
        <w:tc>
          <w:tcPr>
            <w:tcW w:w="1875" w:type="dxa"/>
            <w:vMerge w:val="continue"/>
            <w:vAlign w:val="center"/>
          </w:tcPr>
          <w:p w14:paraId="5192C91D">
            <w:pPr>
              <w:rPr>
                <w:color w:val="auto"/>
                <w:highlight w:val="none"/>
              </w:rPr>
            </w:pPr>
          </w:p>
        </w:tc>
        <w:tc>
          <w:tcPr>
            <w:tcW w:w="1581" w:type="dxa"/>
            <w:vAlign w:val="center"/>
          </w:tcPr>
          <w:p w14:paraId="24F70C58">
            <w:pPr>
              <w:ind w:firstLine="0" w:firstLineChars="0"/>
              <w:rPr>
                <w:color w:val="auto"/>
                <w:highlight w:val="none"/>
              </w:rPr>
            </w:pPr>
            <w:r>
              <w:rPr>
                <w:rFonts w:hint="eastAsia"/>
                <w:color w:val="auto"/>
                <w:highlight w:val="none"/>
              </w:rPr>
              <w:t>水源热泵机组</w:t>
            </w:r>
          </w:p>
        </w:tc>
        <w:tc>
          <w:tcPr>
            <w:tcW w:w="4051" w:type="dxa"/>
            <w:vAlign w:val="center"/>
          </w:tcPr>
          <w:p w14:paraId="5707AE95">
            <w:pPr>
              <w:rPr>
                <w:color w:val="auto"/>
                <w:highlight w:val="none"/>
              </w:rPr>
            </w:pPr>
            <w:r>
              <w:rPr>
                <w:rFonts w:hint="eastAsia"/>
                <w:color w:val="auto"/>
                <w:highlight w:val="none"/>
              </w:rPr>
              <w:t>《水（地）源热泵机组能效限定值及能效等级》（GB30721）</w:t>
            </w:r>
          </w:p>
        </w:tc>
      </w:tr>
      <w:tr w14:paraId="4422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368C6C6">
            <w:pPr>
              <w:rPr>
                <w:color w:val="auto"/>
                <w:highlight w:val="none"/>
              </w:rPr>
            </w:pPr>
          </w:p>
        </w:tc>
        <w:tc>
          <w:tcPr>
            <w:tcW w:w="1000" w:type="dxa"/>
            <w:vMerge w:val="continue"/>
            <w:vAlign w:val="center"/>
          </w:tcPr>
          <w:p w14:paraId="6D503618">
            <w:pPr>
              <w:rPr>
                <w:color w:val="auto"/>
                <w:highlight w:val="none"/>
              </w:rPr>
            </w:pPr>
          </w:p>
        </w:tc>
        <w:tc>
          <w:tcPr>
            <w:tcW w:w="1875" w:type="dxa"/>
            <w:vMerge w:val="continue"/>
            <w:vAlign w:val="center"/>
          </w:tcPr>
          <w:p w14:paraId="623A4996">
            <w:pPr>
              <w:rPr>
                <w:color w:val="auto"/>
                <w:highlight w:val="none"/>
              </w:rPr>
            </w:pPr>
          </w:p>
        </w:tc>
        <w:tc>
          <w:tcPr>
            <w:tcW w:w="1581" w:type="dxa"/>
            <w:vAlign w:val="center"/>
          </w:tcPr>
          <w:p w14:paraId="50A8AACC">
            <w:pPr>
              <w:ind w:firstLine="0" w:firstLineChars="0"/>
              <w:rPr>
                <w:color w:val="auto"/>
                <w:highlight w:val="none"/>
              </w:rPr>
            </w:pPr>
            <w:r>
              <w:rPr>
                <w:rFonts w:hint="eastAsia"/>
                <w:color w:val="auto"/>
                <w:highlight w:val="none"/>
              </w:rPr>
              <w:t>溴化锂吸收式冷水机组</w:t>
            </w:r>
          </w:p>
        </w:tc>
        <w:tc>
          <w:tcPr>
            <w:tcW w:w="4051" w:type="dxa"/>
            <w:vAlign w:val="center"/>
          </w:tcPr>
          <w:p w14:paraId="1BEC2E75">
            <w:pPr>
              <w:rPr>
                <w:color w:val="auto"/>
                <w:highlight w:val="none"/>
              </w:rPr>
            </w:pPr>
            <w:r>
              <w:rPr>
                <w:rFonts w:hint="eastAsia"/>
                <w:color w:val="auto"/>
                <w:highlight w:val="none"/>
              </w:rPr>
              <w:t>《溴化锂吸收式冷水机组能效限</w:t>
            </w:r>
          </w:p>
          <w:p w14:paraId="69CED907">
            <w:pPr>
              <w:rPr>
                <w:color w:val="auto"/>
                <w:highlight w:val="none"/>
              </w:rPr>
            </w:pPr>
            <w:r>
              <w:rPr>
                <w:rFonts w:hint="eastAsia"/>
                <w:color w:val="auto"/>
                <w:highlight w:val="none"/>
              </w:rPr>
              <w:t>定值及能效等级》（GB29540）</w:t>
            </w:r>
          </w:p>
        </w:tc>
      </w:tr>
      <w:tr w14:paraId="0D22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F397C61">
            <w:pPr>
              <w:rPr>
                <w:color w:val="auto"/>
                <w:highlight w:val="none"/>
              </w:rPr>
            </w:pPr>
          </w:p>
        </w:tc>
        <w:tc>
          <w:tcPr>
            <w:tcW w:w="1000" w:type="dxa"/>
            <w:vMerge w:val="continue"/>
            <w:vAlign w:val="center"/>
          </w:tcPr>
          <w:p w14:paraId="3EF76921">
            <w:pPr>
              <w:rPr>
                <w:color w:val="auto"/>
                <w:highlight w:val="none"/>
              </w:rPr>
            </w:pPr>
          </w:p>
        </w:tc>
        <w:tc>
          <w:tcPr>
            <w:tcW w:w="1875" w:type="dxa"/>
            <w:vMerge w:val="restart"/>
            <w:vAlign w:val="center"/>
          </w:tcPr>
          <w:p w14:paraId="6078F816">
            <w:pPr>
              <w:ind w:firstLine="0" w:firstLineChars="0"/>
              <w:rPr>
                <w:color w:val="auto"/>
                <w:highlight w:val="none"/>
              </w:rPr>
            </w:pPr>
            <w:r>
              <w:rPr>
                <w:rFonts w:hint="eastAsia"/>
                <w:color w:val="auto"/>
                <w:highlight w:val="none"/>
              </w:rPr>
              <w:t>★A02052305空调机组</w:t>
            </w:r>
          </w:p>
        </w:tc>
        <w:tc>
          <w:tcPr>
            <w:tcW w:w="1581" w:type="dxa"/>
            <w:vAlign w:val="center"/>
          </w:tcPr>
          <w:p w14:paraId="155B755C">
            <w:pPr>
              <w:ind w:firstLine="0" w:firstLineChars="0"/>
              <w:rPr>
                <w:color w:val="auto"/>
                <w:highlight w:val="none"/>
              </w:rPr>
            </w:pPr>
            <w:r>
              <w:rPr>
                <w:rFonts w:hint="eastAsia"/>
                <w:color w:val="auto"/>
                <w:highlight w:val="none"/>
              </w:rPr>
              <w:t>多联式空调（热泵）机组(制冷量&gt;14000W)</w:t>
            </w:r>
          </w:p>
        </w:tc>
        <w:tc>
          <w:tcPr>
            <w:tcW w:w="4051" w:type="dxa"/>
            <w:vAlign w:val="center"/>
          </w:tcPr>
          <w:p w14:paraId="6234F16A">
            <w:pPr>
              <w:rPr>
                <w:color w:val="auto"/>
                <w:highlight w:val="none"/>
              </w:rPr>
            </w:pPr>
            <w:r>
              <w:rPr>
                <w:rFonts w:hint="eastAsia"/>
                <w:color w:val="auto"/>
                <w:highlight w:val="none"/>
              </w:rPr>
              <w:t>《多联式空调（热泵）机组能效限定值及能源效率等级》（GB21454）</w:t>
            </w:r>
          </w:p>
        </w:tc>
      </w:tr>
      <w:tr w14:paraId="54E5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DCF9249">
            <w:pPr>
              <w:rPr>
                <w:color w:val="auto"/>
                <w:highlight w:val="none"/>
              </w:rPr>
            </w:pPr>
          </w:p>
        </w:tc>
        <w:tc>
          <w:tcPr>
            <w:tcW w:w="1000" w:type="dxa"/>
            <w:vMerge w:val="continue"/>
            <w:vAlign w:val="center"/>
          </w:tcPr>
          <w:p w14:paraId="2647BD89">
            <w:pPr>
              <w:rPr>
                <w:color w:val="auto"/>
                <w:highlight w:val="none"/>
              </w:rPr>
            </w:pPr>
          </w:p>
        </w:tc>
        <w:tc>
          <w:tcPr>
            <w:tcW w:w="1875" w:type="dxa"/>
            <w:vMerge w:val="continue"/>
            <w:vAlign w:val="center"/>
          </w:tcPr>
          <w:p w14:paraId="166E6927">
            <w:pPr>
              <w:rPr>
                <w:color w:val="auto"/>
                <w:highlight w:val="none"/>
              </w:rPr>
            </w:pPr>
          </w:p>
        </w:tc>
        <w:tc>
          <w:tcPr>
            <w:tcW w:w="1581" w:type="dxa"/>
            <w:vAlign w:val="center"/>
          </w:tcPr>
          <w:p w14:paraId="47EE5D16">
            <w:pPr>
              <w:ind w:firstLine="0" w:firstLineChars="0"/>
              <w:rPr>
                <w:color w:val="auto"/>
                <w:highlight w:val="none"/>
              </w:rPr>
            </w:pPr>
            <w:r>
              <w:rPr>
                <w:rFonts w:hint="eastAsia"/>
                <w:color w:val="auto"/>
                <w:highlight w:val="none"/>
              </w:rPr>
              <w:t>单元式空气调节机(制冷量&gt;14000W)</w:t>
            </w:r>
          </w:p>
        </w:tc>
        <w:tc>
          <w:tcPr>
            <w:tcW w:w="4051" w:type="dxa"/>
            <w:vAlign w:val="center"/>
          </w:tcPr>
          <w:p w14:paraId="6C5F73A6">
            <w:pPr>
              <w:rPr>
                <w:color w:val="auto"/>
                <w:highlight w:val="none"/>
              </w:rPr>
            </w:pPr>
            <w:r>
              <w:rPr>
                <w:rFonts w:hint="eastAsia"/>
                <w:color w:val="auto"/>
                <w:highlight w:val="none"/>
              </w:rPr>
              <w:t>《单元式空气调节机能效限定值及能效等级》（GB19576）《风管送风式空调机组能效限定值及能效等级》（GB37479）</w:t>
            </w:r>
          </w:p>
        </w:tc>
      </w:tr>
      <w:tr w14:paraId="3ECA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1C88E9B">
            <w:pPr>
              <w:rPr>
                <w:color w:val="auto"/>
                <w:highlight w:val="none"/>
              </w:rPr>
            </w:pPr>
          </w:p>
        </w:tc>
        <w:tc>
          <w:tcPr>
            <w:tcW w:w="1000" w:type="dxa"/>
            <w:vMerge w:val="continue"/>
            <w:vAlign w:val="center"/>
          </w:tcPr>
          <w:p w14:paraId="44782641">
            <w:pPr>
              <w:rPr>
                <w:color w:val="auto"/>
                <w:highlight w:val="none"/>
              </w:rPr>
            </w:pPr>
          </w:p>
        </w:tc>
        <w:tc>
          <w:tcPr>
            <w:tcW w:w="1875" w:type="dxa"/>
            <w:vAlign w:val="center"/>
          </w:tcPr>
          <w:p w14:paraId="35A8ADCE">
            <w:pPr>
              <w:ind w:firstLine="0" w:firstLineChars="0"/>
              <w:rPr>
                <w:color w:val="auto"/>
                <w:highlight w:val="none"/>
              </w:rPr>
            </w:pPr>
            <w:r>
              <w:rPr>
                <w:rFonts w:hint="eastAsia"/>
                <w:color w:val="auto"/>
                <w:highlight w:val="none"/>
              </w:rPr>
              <w:t>★A02052309专用制冷、空调设备</w:t>
            </w:r>
          </w:p>
        </w:tc>
        <w:tc>
          <w:tcPr>
            <w:tcW w:w="1581" w:type="dxa"/>
            <w:vAlign w:val="center"/>
          </w:tcPr>
          <w:p w14:paraId="0EA9FE99">
            <w:pPr>
              <w:ind w:firstLine="0" w:firstLineChars="0"/>
              <w:rPr>
                <w:color w:val="auto"/>
                <w:highlight w:val="none"/>
              </w:rPr>
            </w:pPr>
            <w:r>
              <w:rPr>
                <w:rFonts w:hint="eastAsia"/>
                <w:color w:val="auto"/>
                <w:highlight w:val="none"/>
              </w:rPr>
              <w:t>机房空调</w:t>
            </w:r>
          </w:p>
        </w:tc>
        <w:tc>
          <w:tcPr>
            <w:tcW w:w="4051" w:type="dxa"/>
            <w:vAlign w:val="center"/>
          </w:tcPr>
          <w:p w14:paraId="4631B037">
            <w:pPr>
              <w:rPr>
                <w:color w:val="auto"/>
                <w:highlight w:val="none"/>
              </w:rPr>
            </w:pPr>
            <w:r>
              <w:rPr>
                <w:rFonts w:hint="eastAsia"/>
                <w:color w:val="auto"/>
                <w:highlight w:val="none"/>
              </w:rPr>
              <w:t>《单元式空气调节机能效限定值及能效等级》（GB19576）</w:t>
            </w:r>
          </w:p>
        </w:tc>
      </w:tr>
      <w:tr w14:paraId="0763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3C447EB">
            <w:pPr>
              <w:rPr>
                <w:color w:val="auto"/>
                <w:highlight w:val="none"/>
              </w:rPr>
            </w:pPr>
          </w:p>
        </w:tc>
        <w:tc>
          <w:tcPr>
            <w:tcW w:w="1000" w:type="dxa"/>
            <w:vMerge w:val="continue"/>
            <w:vAlign w:val="center"/>
          </w:tcPr>
          <w:p w14:paraId="120CD29A">
            <w:pPr>
              <w:rPr>
                <w:color w:val="auto"/>
                <w:highlight w:val="none"/>
              </w:rPr>
            </w:pPr>
          </w:p>
        </w:tc>
        <w:tc>
          <w:tcPr>
            <w:tcW w:w="1875" w:type="dxa"/>
            <w:vAlign w:val="center"/>
          </w:tcPr>
          <w:p w14:paraId="3F6F7BD8">
            <w:pPr>
              <w:ind w:firstLine="0" w:firstLineChars="0"/>
              <w:rPr>
                <w:color w:val="auto"/>
                <w:highlight w:val="none"/>
              </w:rPr>
            </w:pPr>
            <w:r>
              <w:rPr>
                <w:rFonts w:hint="eastAsia"/>
                <w:color w:val="auto"/>
                <w:highlight w:val="none"/>
              </w:rPr>
              <w:t>A02052399其他制冷空调设备</w:t>
            </w:r>
          </w:p>
        </w:tc>
        <w:tc>
          <w:tcPr>
            <w:tcW w:w="1581" w:type="dxa"/>
            <w:vAlign w:val="center"/>
          </w:tcPr>
          <w:p w14:paraId="3E821124">
            <w:pPr>
              <w:ind w:firstLine="0" w:firstLineChars="0"/>
              <w:rPr>
                <w:color w:val="auto"/>
                <w:highlight w:val="none"/>
              </w:rPr>
            </w:pPr>
            <w:r>
              <w:rPr>
                <w:rFonts w:hint="eastAsia"/>
                <w:color w:val="auto"/>
                <w:highlight w:val="none"/>
              </w:rPr>
              <w:t>冷却塔</w:t>
            </w:r>
          </w:p>
        </w:tc>
        <w:tc>
          <w:tcPr>
            <w:tcW w:w="4051" w:type="dxa"/>
            <w:vAlign w:val="center"/>
          </w:tcPr>
          <w:p w14:paraId="2F442877">
            <w:pPr>
              <w:rPr>
                <w:color w:val="auto"/>
                <w:highlight w:val="none"/>
              </w:rPr>
            </w:pPr>
          </w:p>
          <w:p w14:paraId="2A83C4D8">
            <w:pPr>
              <w:rPr>
                <w:color w:val="auto"/>
                <w:highlight w:val="none"/>
              </w:rPr>
            </w:pPr>
            <w:r>
              <w:rPr>
                <w:rFonts w:hint="eastAsia"/>
                <w:color w:val="auto"/>
                <w:highlight w:val="none"/>
              </w:rPr>
              <w:t>《机械通风冷却塔第1部分：中小型开式冷却塔》（GB/T7190.1）《机械通风冷却塔第2部分：大型开式冷却塔》（GB/T7190.2</w:t>
            </w:r>
          </w:p>
        </w:tc>
      </w:tr>
      <w:tr w14:paraId="6ED1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550CAFE">
            <w:pPr>
              <w:rPr>
                <w:color w:val="auto"/>
                <w:highlight w:val="none"/>
              </w:rPr>
            </w:pPr>
          </w:p>
          <w:p w14:paraId="098D182E">
            <w:pPr>
              <w:ind w:firstLine="0" w:firstLineChars="0"/>
              <w:rPr>
                <w:color w:val="auto"/>
                <w:highlight w:val="none"/>
              </w:rPr>
            </w:pPr>
            <w:r>
              <w:rPr>
                <w:rFonts w:hint="eastAsia"/>
                <w:color w:val="auto"/>
                <w:highlight w:val="none"/>
              </w:rPr>
              <w:t>7</w:t>
            </w:r>
          </w:p>
        </w:tc>
        <w:tc>
          <w:tcPr>
            <w:tcW w:w="1000" w:type="dxa"/>
            <w:vAlign w:val="center"/>
          </w:tcPr>
          <w:p w14:paraId="76D3E67C">
            <w:pPr>
              <w:ind w:firstLine="0" w:firstLineChars="0"/>
              <w:rPr>
                <w:color w:val="auto"/>
                <w:highlight w:val="none"/>
              </w:rPr>
            </w:pPr>
            <w:r>
              <w:rPr>
                <w:rFonts w:hint="eastAsia"/>
                <w:color w:val="auto"/>
                <w:highlight w:val="none"/>
              </w:rPr>
              <w:t>A020601电机</w:t>
            </w:r>
          </w:p>
        </w:tc>
        <w:tc>
          <w:tcPr>
            <w:tcW w:w="1875" w:type="dxa"/>
            <w:vAlign w:val="center"/>
          </w:tcPr>
          <w:p w14:paraId="004DC911">
            <w:pPr>
              <w:rPr>
                <w:color w:val="auto"/>
                <w:highlight w:val="none"/>
              </w:rPr>
            </w:pPr>
          </w:p>
        </w:tc>
        <w:tc>
          <w:tcPr>
            <w:tcW w:w="1581" w:type="dxa"/>
            <w:vAlign w:val="center"/>
          </w:tcPr>
          <w:p w14:paraId="51C1348D">
            <w:pPr>
              <w:rPr>
                <w:color w:val="auto"/>
                <w:highlight w:val="none"/>
              </w:rPr>
            </w:pPr>
          </w:p>
        </w:tc>
        <w:tc>
          <w:tcPr>
            <w:tcW w:w="4051" w:type="dxa"/>
            <w:vAlign w:val="center"/>
          </w:tcPr>
          <w:p w14:paraId="244B8C4F">
            <w:pPr>
              <w:rPr>
                <w:color w:val="auto"/>
                <w:highlight w:val="none"/>
              </w:rPr>
            </w:pPr>
            <w:r>
              <w:rPr>
                <w:rFonts w:hint="eastAsia"/>
                <w:color w:val="auto"/>
                <w:highlight w:val="none"/>
              </w:rPr>
              <w:t>《中小型三相异步电动机能效限定值及能效等级》（GB18613）</w:t>
            </w:r>
          </w:p>
        </w:tc>
      </w:tr>
      <w:tr w14:paraId="70A9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9FADB01">
            <w:pPr>
              <w:rPr>
                <w:color w:val="auto"/>
                <w:highlight w:val="none"/>
              </w:rPr>
            </w:pPr>
          </w:p>
          <w:p w14:paraId="74555DF3">
            <w:pPr>
              <w:ind w:firstLine="0" w:firstLineChars="0"/>
              <w:rPr>
                <w:color w:val="auto"/>
                <w:highlight w:val="none"/>
              </w:rPr>
            </w:pPr>
            <w:r>
              <w:rPr>
                <w:rFonts w:hint="eastAsia"/>
                <w:color w:val="auto"/>
                <w:highlight w:val="none"/>
              </w:rPr>
              <w:t>8</w:t>
            </w:r>
          </w:p>
        </w:tc>
        <w:tc>
          <w:tcPr>
            <w:tcW w:w="1000" w:type="dxa"/>
            <w:vAlign w:val="center"/>
          </w:tcPr>
          <w:p w14:paraId="067F0832">
            <w:pPr>
              <w:ind w:firstLine="0" w:firstLineChars="0"/>
              <w:rPr>
                <w:color w:val="auto"/>
                <w:highlight w:val="none"/>
              </w:rPr>
            </w:pPr>
            <w:r>
              <w:rPr>
                <w:rFonts w:hint="eastAsia"/>
                <w:color w:val="auto"/>
                <w:highlight w:val="none"/>
              </w:rPr>
              <w:t>A020602变压器</w:t>
            </w:r>
          </w:p>
        </w:tc>
        <w:tc>
          <w:tcPr>
            <w:tcW w:w="1875" w:type="dxa"/>
            <w:vAlign w:val="center"/>
          </w:tcPr>
          <w:p w14:paraId="1FA546A3">
            <w:pPr>
              <w:rPr>
                <w:color w:val="auto"/>
                <w:highlight w:val="none"/>
              </w:rPr>
            </w:pPr>
            <w:r>
              <w:rPr>
                <w:rFonts w:hint="eastAsia"/>
                <w:color w:val="auto"/>
                <w:highlight w:val="none"/>
              </w:rPr>
              <w:t>配电变压器</w:t>
            </w:r>
          </w:p>
        </w:tc>
        <w:tc>
          <w:tcPr>
            <w:tcW w:w="1581" w:type="dxa"/>
            <w:vAlign w:val="center"/>
          </w:tcPr>
          <w:p w14:paraId="3BEC6643">
            <w:pPr>
              <w:rPr>
                <w:color w:val="auto"/>
                <w:highlight w:val="none"/>
              </w:rPr>
            </w:pPr>
          </w:p>
        </w:tc>
        <w:tc>
          <w:tcPr>
            <w:tcW w:w="4051" w:type="dxa"/>
            <w:vAlign w:val="center"/>
          </w:tcPr>
          <w:p w14:paraId="4215A7BE">
            <w:pPr>
              <w:rPr>
                <w:color w:val="auto"/>
                <w:highlight w:val="none"/>
              </w:rPr>
            </w:pPr>
            <w:r>
              <w:rPr>
                <w:rFonts w:hint="eastAsia"/>
                <w:color w:val="auto"/>
                <w:highlight w:val="none"/>
              </w:rPr>
              <w:t>《三相配电变压器能效限定值及能效等级》（GB20052）</w:t>
            </w:r>
          </w:p>
        </w:tc>
      </w:tr>
      <w:tr w14:paraId="13E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4CFE2F6">
            <w:pPr>
              <w:rPr>
                <w:color w:val="auto"/>
                <w:highlight w:val="none"/>
              </w:rPr>
            </w:pPr>
          </w:p>
          <w:p w14:paraId="1641476E">
            <w:pPr>
              <w:ind w:firstLine="0" w:firstLineChars="0"/>
              <w:rPr>
                <w:color w:val="auto"/>
                <w:highlight w:val="none"/>
              </w:rPr>
            </w:pPr>
            <w:r>
              <w:rPr>
                <w:rFonts w:hint="eastAsia"/>
                <w:color w:val="auto"/>
                <w:highlight w:val="none"/>
              </w:rPr>
              <w:t>9</w:t>
            </w:r>
          </w:p>
        </w:tc>
        <w:tc>
          <w:tcPr>
            <w:tcW w:w="1000" w:type="dxa"/>
            <w:vAlign w:val="center"/>
          </w:tcPr>
          <w:p w14:paraId="4020957E">
            <w:pPr>
              <w:ind w:firstLine="0" w:firstLineChars="0"/>
              <w:rPr>
                <w:color w:val="auto"/>
                <w:highlight w:val="none"/>
              </w:rPr>
            </w:pPr>
            <w:r>
              <w:rPr>
                <w:rFonts w:hint="eastAsia"/>
                <w:color w:val="auto"/>
                <w:highlight w:val="none"/>
              </w:rPr>
              <w:t>A020609镇流器</w:t>
            </w:r>
          </w:p>
        </w:tc>
        <w:tc>
          <w:tcPr>
            <w:tcW w:w="1875" w:type="dxa"/>
            <w:vAlign w:val="center"/>
          </w:tcPr>
          <w:p w14:paraId="4C89D3D5">
            <w:pPr>
              <w:ind w:firstLine="0" w:firstLineChars="0"/>
              <w:rPr>
                <w:color w:val="auto"/>
                <w:highlight w:val="none"/>
              </w:rPr>
            </w:pPr>
            <w:r>
              <w:rPr>
                <w:rFonts w:hint="eastAsia"/>
                <w:color w:val="auto"/>
                <w:highlight w:val="none"/>
              </w:rPr>
              <w:t>管型荧光灯镇流器</w:t>
            </w:r>
          </w:p>
        </w:tc>
        <w:tc>
          <w:tcPr>
            <w:tcW w:w="1581" w:type="dxa"/>
            <w:vAlign w:val="center"/>
          </w:tcPr>
          <w:p w14:paraId="69006D9E">
            <w:pPr>
              <w:rPr>
                <w:color w:val="auto"/>
                <w:highlight w:val="none"/>
              </w:rPr>
            </w:pPr>
          </w:p>
        </w:tc>
        <w:tc>
          <w:tcPr>
            <w:tcW w:w="4051" w:type="dxa"/>
            <w:vAlign w:val="center"/>
          </w:tcPr>
          <w:p w14:paraId="54046A20">
            <w:pPr>
              <w:rPr>
                <w:color w:val="auto"/>
                <w:highlight w:val="none"/>
              </w:rPr>
            </w:pPr>
            <w:r>
              <w:rPr>
                <w:rFonts w:hint="eastAsia"/>
                <w:color w:val="auto"/>
                <w:highlight w:val="none"/>
              </w:rPr>
              <w:t>《管形荧光灯镇流器能效限定值及能效等级》（GB17896）</w:t>
            </w:r>
          </w:p>
        </w:tc>
      </w:tr>
      <w:tr w14:paraId="075F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67" w:type="dxa"/>
            <w:vMerge w:val="restart"/>
            <w:vAlign w:val="center"/>
          </w:tcPr>
          <w:p w14:paraId="0EAB0D32">
            <w:pPr>
              <w:ind w:firstLine="0" w:firstLineChars="0"/>
              <w:rPr>
                <w:color w:val="auto"/>
                <w:highlight w:val="none"/>
              </w:rPr>
            </w:pPr>
            <w:r>
              <w:rPr>
                <w:rFonts w:hint="eastAsia"/>
                <w:color w:val="auto"/>
                <w:highlight w:val="none"/>
              </w:rPr>
              <w:t>10</w:t>
            </w:r>
          </w:p>
        </w:tc>
        <w:tc>
          <w:tcPr>
            <w:tcW w:w="1000" w:type="dxa"/>
            <w:vMerge w:val="restart"/>
            <w:vAlign w:val="center"/>
          </w:tcPr>
          <w:p w14:paraId="348796FF">
            <w:pPr>
              <w:ind w:firstLine="0" w:firstLineChars="0"/>
              <w:rPr>
                <w:color w:val="auto"/>
                <w:highlight w:val="none"/>
              </w:rPr>
            </w:pPr>
            <w:r>
              <w:rPr>
                <w:rFonts w:hint="eastAsia"/>
                <w:color w:val="auto"/>
                <w:highlight w:val="none"/>
              </w:rPr>
              <w:t>A020618生活用电器</w:t>
            </w:r>
          </w:p>
        </w:tc>
        <w:tc>
          <w:tcPr>
            <w:tcW w:w="1875" w:type="dxa"/>
            <w:vAlign w:val="center"/>
          </w:tcPr>
          <w:p w14:paraId="1BF9E0F5">
            <w:pPr>
              <w:ind w:firstLine="0" w:firstLineChars="0"/>
              <w:rPr>
                <w:color w:val="auto"/>
                <w:highlight w:val="none"/>
              </w:rPr>
            </w:pPr>
            <w:r>
              <w:rPr>
                <w:rFonts w:hint="eastAsia"/>
                <w:color w:val="auto"/>
                <w:highlight w:val="none"/>
              </w:rPr>
              <w:t>A0206180101电冰箱</w:t>
            </w:r>
          </w:p>
        </w:tc>
        <w:tc>
          <w:tcPr>
            <w:tcW w:w="1581" w:type="dxa"/>
            <w:vAlign w:val="center"/>
          </w:tcPr>
          <w:p w14:paraId="58A1A7C5">
            <w:pPr>
              <w:rPr>
                <w:color w:val="auto"/>
                <w:highlight w:val="none"/>
              </w:rPr>
            </w:pPr>
          </w:p>
        </w:tc>
        <w:tc>
          <w:tcPr>
            <w:tcW w:w="4051" w:type="dxa"/>
            <w:vAlign w:val="center"/>
          </w:tcPr>
          <w:p w14:paraId="51BEB7A5">
            <w:pPr>
              <w:rPr>
                <w:color w:val="auto"/>
                <w:highlight w:val="none"/>
              </w:rPr>
            </w:pPr>
            <w:r>
              <w:rPr>
                <w:rFonts w:hint="eastAsia"/>
                <w:color w:val="auto"/>
                <w:highlight w:val="none"/>
              </w:rPr>
              <w:t>《家用电冰箱耗电量限定值及能效等级》（GB</w:t>
            </w:r>
            <w:r>
              <w:rPr>
                <w:rFonts w:hint="eastAsia"/>
                <w:color w:val="auto"/>
                <w:highlight w:val="none"/>
              </w:rPr>
              <w:tab/>
            </w:r>
            <w:r>
              <w:rPr>
                <w:rFonts w:hint="eastAsia"/>
                <w:color w:val="auto"/>
                <w:highlight w:val="none"/>
              </w:rPr>
              <w:t>12021.2）</w:t>
            </w:r>
          </w:p>
        </w:tc>
      </w:tr>
      <w:tr w14:paraId="5005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EFE023E">
            <w:pPr>
              <w:rPr>
                <w:color w:val="auto"/>
                <w:highlight w:val="none"/>
              </w:rPr>
            </w:pPr>
          </w:p>
        </w:tc>
        <w:tc>
          <w:tcPr>
            <w:tcW w:w="1000" w:type="dxa"/>
            <w:vMerge w:val="continue"/>
            <w:vAlign w:val="center"/>
          </w:tcPr>
          <w:p w14:paraId="56BE76D6">
            <w:pPr>
              <w:rPr>
                <w:color w:val="auto"/>
                <w:highlight w:val="none"/>
              </w:rPr>
            </w:pPr>
          </w:p>
        </w:tc>
        <w:tc>
          <w:tcPr>
            <w:tcW w:w="1875" w:type="dxa"/>
            <w:vMerge w:val="restart"/>
            <w:vAlign w:val="center"/>
          </w:tcPr>
          <w:p w14:paraId="6780CAEF">
            <w:pPr>
              <w:ind w:firstLine="0" w:firstLineChars="0"/>
              <w:rPr>
                <w:color w:val="auto"/>
                <w:highlight w:val="none"/>
              </w:rPr>
            </w:pPr>
            <w:r>
              <w:rPr>
                <w:rFonts w:hint="eastAsia"/>
                <w:color w:val="auto"/>
                <w:highlight w:val="none"/>
              </w:rPr>
              <w:t>★A0206180203空调机</w:t>
            </w:r>
          </w:p>
        </w:tc>
        <w:tc>
          <w:tcPr>
            <w:tcW w:w="1581" w:type="dxa"/>
            <w:vAlign w:val="center"/>
          </w:tcPr>
          <w:p w14:paraId="3F5FE33B">
            <w:pPr>
              <w:ind w:firstLine="0" w:firstLineChars="0"/>
              <w:rPr>
                <w:color w:val="auto"/>
                <w:highlight w:val="none"/>
              </w:rPr>
            </w:pPr>
            <w:r>
              <w:rPr>
                <w:rFonts w:hint="eastAsia"/>
                <w:color w:val="auto"/>
                <w:highlight w:val="none"/>
              </w:rPr>
              <w:t>房间空气调节器</w:t>
            </w:r>
          </w:p>
        </w:tc>
        <w:tc>
          <w:tcPr>
            <w:tcW w:w="4051" w:type="dxa"/>
            <w:vAlign w:val="center"/>
          </w:tcPr>
          <w:p w14:paraId="4800AC9B">
            <w:pPr>
              <w:rPr>
                <w:color w:val="auto"/>
                <w:highlight w:val="none"/>
              </w:rPr>
            </w:pPr>
            <w:r>
              <w:rPr>
                <w:rFonts w:hint="eastAsia"/>
                <w:color w:val="auto"/>
                <w:highlight w:val="none"/>
              </w:rPr>
              <w:t>《转速可控型房间空气调节器能效限定值及能效等级》（GB21455-2013），待2019年修订发布后，按《房间空气调节器能效限定值及能效等级》（GB21455-2019实施。</w:t>
            </w:r>
          </w:p>
        </w:tc>
      </w:tr>
      <w:tr w14:paraId="3648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40CF79F">
            <w:pPr>
              <w:rPr>
                <w:color w:val="auto"/>
                <w:highlight w:val="none"/>
              </w:rPr>
            </w:pPr>
          </w:p>
        </w:tc>
        <w:tc>
          <w:tcPr>
            <w:tcW w:w="1000" w:type="dxa"/>
            <w:vMerge w:val="continue"/>
            <w:vAlign w:val="center"/>
          </w:tcPr>
          <w:p w14:paraId="1684A2A6">
            <w:pPr>
              <w:rPr>
                <w:color w:val="auto"/>
                <w:highlight w:val="none"/>
              </w:rPr>
            </w:pPr>
          </w:p>
        </w:tc>
        <w:tc>
          <w:tcPr>
            <w:tcW w:w="1875" w:type="dxa"/>
            <w:vMerge w:val="continue"/>
            <w:vAlign w:val="center"/>
          </w:tcPr>
          <w:p w14:paraId="0CE29AE8">
            <w:pPr>
              <w:rPr>
                <w:color w:val="auto"/>
                <w:highlight w:val="none"/>
              </w:rPr>
            </w:pPr>
          </w:p>
        </w:tc>
        <w:tc>
          <w:tcPr>
            <w:tcW w:w="1581" w:type="dxa"/>
            <w:vAlign w:val="center"/>
          </w:tcPr>
          <w:p w14:paraId="36261E19">
            <w:pPr>
              <w:ind w:firstLine="0" w:firstLineChars="0"/>
              <w:rPr>
                <w:color w:val="auto"/>
                <w:highlight w:val="none"/>
              </w:rPr>
            </w:pPr>
            <w:r>
              <w:rPr>
                <w:rFonts w:hint="eastAsia"/>
                <w:color w:val="auto"/>
                <w:highlight w:val="none"/>
              </w:rPr>
              <w:t>多联式空调（热泵）机组（制冷量≤ 14000W）</w:t>
            </w:r>
          </w:p>
        </w:tc>
        <w:tc>
          <w:tcPr>
            <w:tcW w:w="4051" w:type="dxa"/>
            <w:vAlign w:val="center"/>
          </w:tcPr>
          <w:p w14:paraId="4AD177F8">
            <w:pPr>
              <w:rPr>
                <w:color w:val="auto"/>
                <w:highlight w:val="none"/>
              </w:rPr>
            </w:pPr>
            <w:r>
              <w:rPr>
                <w:rFonts w:hint="eastAsia"/>
                <w:color w:val="auto"/>
                <w:highlight w:val="none"/>
              </w:rPr>
              <w:t>《多联式空调（热泵）机组能效限定值及能源效率等级》（GB21454</w:t>
            </w:r>
          </w:p>
        </w:tc>
      </w:tr>
      <w:tr w14:paraId="63D3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67" w:type="dxa"/>
            <w:vMerge w:val="continue"/>
            <w:vAlign w:val="center"/>
          </w:tcPr>
          <w:p w14:paraId="55D62BF1">
            <w:pPr>
              <w:rPr>
                <w:color w:val="auto"/>
                <w:highlight w:val="none"/>
              </w:rPr>
            </w:pPr>
          </w:p>
        </w:tc>
        <w:tc>
          <w:tcPr>
            <w:tcW w:w="1000" w:type="dxa"/>
            <w:vMerge w:val="continue"/>
            <w:vAlign w:val="center"/>
          </w:tcPr>
          <w:p w14:paraId="694F1492">
            <w:pPr>
              <w:rPr>
                <w:color w:val="auto"/>
                <w:highlight w:val="none"/>
              </w:rPr>
            </w:pPr>
          </w:p>
        </w:tc>
        <w:tc>
          <w:tcPr>
            <w:tcW w:w="1875" w:type="dxa"/>
            <w:vMerge w:val="continue"/>
            <w:vAlign w:val="center"/>
          </w:tcPr>
          <w:p w14:paraId="78100A16">
            <w:pPr>
              <w:rPr>
                <w:color w:val="auto"/>
                <w:highlight w:val="none"/>
              </w:rPr>
            </w:pPr>
          </w:p>
        </w:tc>
        <w:tc>
          <w:tcPr>
            <w:tcW w:w="1581" w:type="dxa"/>
            <w:vAlign w:val="center"/>
          </w:tcPr>
          <w:p w14:paraId="33C2536E">
            <w:pPr>
              <w:ind w:firstLine="0" w:firstLineChars="0"/>
              <w:rPr>
                <w:color w:val="auto"/>
                <w:highlight w:val="none"/>
              </w:rPr>
            </w:pPr>
            <w:r>
              <w:rPr>
                <w:rFonts w:hint="eastAsia"/>
                <w:color w:val="auto"/>
                <w:highlight w:val="none"/>
              </w:rPr>
              <w:t>单元式空气调节机(制冷量≤14000W)</w:t>
            </w:r>
          </w:p>
        </w:tc>
        <w:tc>
          <w:tcPr>
            <w:tcW w:w="4051" w:type="dxa"/>
            <w:vAlign w:val="center"/>
          </w:tcPr>
          <w:p w14:paraId="1A633073">
            <w:pPr>
              <w:rPr>
                <w:color w:val="auto"/>
                <w:highlight w:val="none"/>
              </w:rPr>
            </w:pPr>
            <w:r>
              <w:rPr>
                <w:rFonts w:hint="eastAsia"/>
                <w:color w:val="auto"/>
                <w:highlight w:val="none"/>
              </w:rPr>
              <w:t>《单元式空气调节机能效限定值及能源效率等级》（GB19576）《风管送风式空调机组能效限定值及能效等级》（GB37479）</w:t>
            </w:r>
          </w:p>
        </w:tc>
      </w:tr>
      <w:tr w14:paraId="44B0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05131F3">
            <w:pPr>
              <w:rPr>
                <w:color w:val="auto"/>
                <w:highlight w:val="none"/>
              </w:rPr>
            </w:pPr>
          </w:p>
        </w:tc>
        <w:tc>
          <w:tcPr>
            <w:tcW w:w="1000" w:type="dxa"/>
            <w:vMerge w:val="continue"/>
            <w:vAlign w:val="center"/>
          </w:tcPr>
          <w:p w14:paraId="57836E86">
            <w:pPr>
              <w:rPr>
                <w:color w:val="auto"/>
                <w:highlight w:val="none"/>
              </w:rPr>
            </w:pPr>
          </w:p>
        </w:tc>
        <w:tc>
          <w:tcPr>
            <w:tcW w:w="1875" w:type="dxa"/>
            <w:vAlign w:val="center"/>
          </w:tcPr>
          <w:p w14:paraId="12C96BBA">
            <w:pPr>
              <w:ind w:firstLine="0" w:firstLineChars="0"/>
              <w:rPr>
                <w:color w:val="auto"/>
                <w:highlight w:val="none"/>
              </w:rPr>
            </w:pPr>
            <w:r>
              <w:rPr>
                <w:rFonts w:hint="eastAsia"/>
                <w:color w:val="auto"/>
                <w:highlight w:val="none"/>
              </w:rPr>
              <w:t>A0206180301洗衣机</w:t>
            </w:r>
          </w:p>
        </w:tc>
        <w:tc>
          <w:tcPr>
            <w:tcW w:w="1581" w:type="dxa"/>
            <w:vAlign w:val="center"/>
          </w:tcPr>
          <w:p w14:paraId="4591E806">
            <w:pPr>
              <w:rPr>
                <w:color w:val="auto"/>
                <w:highlight w:val="none"/>
              </w:rPr>
            </w:pPr>
          </w:p>
        </w:tc>
        <w:tc>
          <w:tcPr>
            <w:tcW w:w="4051" w:type="dxa"/>
            <w:vAlign w:val="center"/>
          </w:tcPr>
          <w:p w14:paraId="0BE3747A">
            <w:pPr>
              <w:rPr>
                <w:color w:val="auto"/>
                <w:highlight w:val="none"/>
              </w:rPr>
            </w:pPr>
            <w:r>
              <w:rPr>
                <w:rFonts w:hint="eastAsia"/>
                <w:color w:val="auto"/>
                <w:highlight w:val="none"/>
              </w:rPr>
              <w:t>《电动洗衣机能效水效限定值及等级》（GB12021.4）</w:t>
            </w:r>
          </w:p>
        </w:tc>
      </w:tr>
      <w:tr w14:paraId="2F27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6A9BB7C">
            <w:pPr>
              <w:rPr>
                <w:color w:val="auto"/>
                <w:highlight w:val="none"/>
              </w:rPr>
            </w:pPr>
          </w:p>
        </w:tc>
        <w:tc>
          <w:tcPr>
            <w:tcW w:w="1000" w:type="dxa"/>
            <w:vMerge w:val="continue"/>
            <w:vAlign w:val="center"/>
          </w:tcPr>
          <w:p w14:paraId="59373FD6">
            <w:pPr>
              <w:rPr>
                <w:color w:val="auto"/>
                <w:highlight w:val="none"/>
              </w:rPr>
            </w:pPr>
          </w:p>
        </w:tc>
        <w:tc>
          <w:tcPr>
            <w:tcW w:w="1875" w:type="dxa"/>
            <w:vMerge w:val="restart"/>
            <w:vAlign w:val="center"/>
          </w:tcPr>
          <w:p w14:paraId="31A725DF">
            <w:pPr>
              <w:ind w:firstLine="0" w:firstLineChars="0"/>
              <w:rPr>
                <w:color w:val="auto"/>
                <w:highlight w:val="none"/>
              </w:rPr>
            </w:pPr>
            <w:r>
              <w:rPr>
                <w:rFonts w:hint="eastAsia"/>
                <w:color w:val="auto"/>
                <w:highlight w:val="none"/>
              </w:rPr>
              <w:t>A02061808热水器</w:t>
            </w:r>
          </w:p>
        </w:tc>
        <w:tc>
          <w:tcPr>
            <w:tcW w:w="1581" w:type="dxa"/>
            <w:vAlign w:val="center"/>
          </w:tcPr>
          <w:p w14:paraId="59FA0534">
            <w:pPr>
              <w:rPr>
                <w:color w:val="auto"/>
                <w:highlight w:val="none"/>
              </w:rPr>
            </w:pPr>
          </w:p>
          <w:p w14:paraId="20E14CA9">
            <w:pPr>
              <w:ind w:firstLine="0" w:firstLineChars="0"/>
              <w:rPr>
                <w:color w:val="auto"/>
                <w:highlight w:val="none"/>
              </w:rPr>
            </w:pPr>
            <w:r>
              <w:rPr>
                <w:rFonts w:hint="eastAsia"/>
                <w:color w:val="auto"/>
                <w:highlight w:val="none"/>
              </w:rPr>
              <w:t>★电热水器</w:t>
            </w:r>
          </w:p>
        </w:tc>
        <w:tc>
          <w:tcPr>
            <w:tcW w:w="4051" w:type="dxa"/>
            <w:vAlign w:val="center"/>
          </w:tcPr>
          <w:p w14:paraId="371A13F4">
            <w:pPr>
              <w:rPr>
                <w:color w:val="auto"/>
                <w:highlight w:val="none"/>
              </w:rPr>
            </w:pPr>
            <w:r>
              <w:rPr>
                <w:rFonts w:hint="eastAsia"/>
                <w:color w:val="auto"/>
                <w:highlight w:val="none"/>
              </w:rPr>
              <w:t>《储水式电热水器能效限定值及能效等级》（GB21519）</w:t>
            </w:r>
          </w:p>
        </w:tc>
      </w:tr>
      <w:tr w14:paraId="0ADC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3F84952">
            <w:pPr>
              <w:rPr>
                <w:color w:val="auto"/>
                <w:highlight w:val="none"/>
              </w:rPr>
            </w:pPr>
          </w:p>
        </w:tc>
        <w:tc>
          <w:tcPr>
            <w:tcW w:w="1000" w:type="dxa"/>
            <w:vMerge w:val="continue"/>
            <w:vAlign w:val="center"/>
          </w:tcPr>
          <w:p w14:paraId="0427601F">
            <w:pPr>
              <w:rPr>
                <w:color w:val="auto"/>
                <w:highlight w:val="none"/>
              </w:rPr>
            </w:pPr>
          </w:p>
        </w:tc>
        <w:tc>
          <w:tcPr>
            <w:tcW w:w="1875" w:type="dxa"/>
            <w:vMerge w:val="continue"/>
            <w:vAlign w:val="center"/>
          </w:tcPr>
          <w:p w14:paraId="29C58CA6">
            <w:pPr>
              <w:rPr>
                <w:color w:val="auto"/>
                <w:highlight w:val="none"/>
              </w:rPr>
            </w:pPr>
          </w:p>
        </w:tc>
        <w:tc>
          <w:tcPr>
            <w:tcW w:w="1581" w:type="dxa"/>
            <w:vAlign w:val="center"/>
          </w:tcPr>
          <w:p w14:paraId="3F01D5AC">
            <w:pPr>
              <w:ind w:firstLine="0" w:firstLineChars="0"/>
              <w:rPr>
                <w:color w:val="auto"/>
                <w:highlight w:val="none"/>
              </w:rPr>
            </w:pPr>
            <w:r>
              <w:rPr>
                <w:rFonts w:hint="eastAsia"/>
                <w:color w:val="auto"/>
                <w:highlight w:val="none"/>
              </w:rPr>
              <w:t>燃气热水器</w:t>
            </w:r>
          </w:p>
        </w:tc>
        <w:tc>
          <w:tcPr>
            <w:tcW w:w="4051" w:type="dxa"/>
            <w:vAlign w:val="center"/>
          </w:tcPr>
          <w:p w14:paraId="5171568A">
            <w:pPr>
              <w:rPr>
                <w:color w:val="auto"/>
                <w:highlight w:val="none"/>
              </w:rPr>
            </w:pPr>
            <w:r>
              <w:rPr>
                <w:rFonts w:hint="eastAsia"/>
                <w:color w:val="auto"/>
                <w:highlight w:val="none"/>
              </w:rPr>
              <w:t>《家用燃气快速热水器和燃气采暖热水炉能效限定值及能效等级（GB20665）</w:t>
            </w:r>
          </w:p>
        </w:tc>
      </w:tr>
      <w:tr w14:paraId="0BCA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6ACF3D1">
            <w:pPr>
              <w:rPr>
                <w:color w:val="auto"/>
                <w:highlight w:val="none"/>
              </w:rPr>
            </w:pPr>
          </w:p>
        </w:tc>
        <w:tc>
          <w:tcPr>
            <w:tcW w:w="1000" w:type="dxa"/>
            <w:vMerge w:val="continue"/>
            <w:vAlign w:val="center"/>
          </w:tcPr>
          <w:p w14:paraId="45B1124D">
            <w:pPr>
              <w:rPr>
                <w:color w:val="auto"/>
                <w:highlight w:val="none"/>
              </w:rPr>
            </w:pPr>
          </w:p>
        </w:tc>
        <w:tc>
          <w:tcPr>
            <w:tcW w:w="1875" w:type="dxa"/>
            <w:vMerge w:val="continue"/>
            <w:vAlign w:val="center"/>
          </w:tcPr>
          <w:p w14:paraId="294EF3F9">
            <w:pPr>
              <w:rPr>
                <w:color w:val="auto"/>
                <w:highlight w:val="none"/>
              </w:rPr>
            </w:pPr>
          </w:p>
        </w:tc>
        <w:tc>
          <w:tcPr>
            <w:tcW w:w="1581" w:type="dxa"/>
            <w:vAlign w:val="center"/>
          </w:tcPr>
          <w:p w14:paraId="759F09EA">
            <w:pPr>
              <w:ind w:firstLine="0" w:firstLineChars="0"/>
              <w:rPr>
                <w:color w:val="auto"/>
                <w:highlight w:val="none"/>
              </w:rPr>
            </w:pPr>
            <w:r>
              <w:rPr>
                <w:rFonts w:hint="eastAsia"/>
                <w:color w:val="auto"/>
                <w:highlight w:val="none"/>
              </w:rPr>
              <w:t>热泵热水器</w:t>
            </w:r>
          </w:p>
        </w:tc>
        <w:tc>
          <w:tcPr>
            <w:tcW w:w="4051" w:type="dxa"/>
            <w:vAlign w:val="center"/>
          </w:tcPr>
          <w:p w14:paraId="69455C01">
            <w:pPr>
              <w:rPr>
                <w:color w:val="auto"/>
                <w:highlight w:val="none"/>
              </w:rPr>
            </w:pPr>
            <w:r>
              <w:rPr>
                <w:rFonts w:hint="eastAsia"/>
                <w:color w:val="auto"/>
                <w:highlight w:val="none"/>
              </w:rPr>
              <w:t>《热泵热水机（器）能效限定值及能效等级》（GB29541）</w:t>
            </w:r>
          </w:p>
        </w:tc>
      </w:tr>
      <w:tr w14:paraId="59C4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FE1AFC4">
            <w:pPr>
              <w:rPr>
                <w:color w:val="auto"/>
                <w:highlight w:val="none"/>
              </w:rPr>
            </w:pPr>
          </w:p>
        </w:tc>
        <w:tc>
          <w:tcPr>
            <w:tcW w:w="1000" w:type="dxa"/>
            <w:vMerge w:val="continue"/>
            <w:vAlign w:val="center"/>
          </w:tcPr>
          <w:p w14:paraId="0CD084A2">
            <w:pPr>
              <w:rPr>
                <w:color w:val="auto"/>
                <w:highlight w:val="none"/>
              </w:rPr>
            </w:pPr>
          </w:p>
        </w:tc>
        <w:tc>
          <w:tcPr>
            <w:tcW w:w="1875" w:type="dxa"/>
            <w:vMerge w:val="continue"/>
            <w:vAlign w:val="center"/>
          </w:tcPr>
          <w:p w14:paraId="2119FB84">
            <w:pPr>
              <w:rPr>
                <w:color w:val="auto"/>
                <w:highlight w:val="none"/>
              </w:rPr>
            </w:pPr>
          </w:p>
        </w:tc>
        <w:tc>
          <w:tcPr>
            <w:tcW w:w="1581" w:type="dxa"/>
            <w:vAlign w:val="center"/>
          </w:tcPr>
          <w:p w14:paraId="01D0F16E">
            <w:pPr>
              <w:ind w:firstLine="0" w:firstLineChars="0"/>
              <w:rPr>
                <w:color w:val="auto"/>
                <w:highlight w:val="none"/>
              </w:rPr>
            </w:pPr>
            <w:r>
              <w:rPr>
                <w:rFonts w:hint="eastAsia"/>
                <w:color w:val="auto"/>
                <w:highlight w:val="none"/>
              </w:rPr>
              <w:t>太阳能热水系统</w:t>
            </w:r>
          </w:p>
        </w:tc>
        <w:tc>
          <w:tcPr>
            <w:tcW w:w="4051" w:type="dxa"/>
            <w:vAlign w:val="center"/>
          </w:tcPr>
          <w:p w14:paraId="56502C04">
            <w:pPr>
              <w:rPr>
                <w:color w:val="auto"/>
                <w:highlight w:val="none"/>
              </w:rPr>
            </w:pPr>
            <w:r>
              <w:rPr>
                <w:rFonts w:hint="eastAsia"/>
                <w:color w:val="auto"/>
                <w:highlight w:val="none"/>
              </w:rPr>
              <w:t>《家用太阳能热水系统能效限定值及能效等级》（GB26969）</w:t>
            </w:r>
          </w:p>
        </w:tc>
      </w:tr>
      <w:tr w14:paraId="71F0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60E17AA8">
            <w:pPr>
              <w:ind w:firstLine="0" w:firstLineChars="0"/>
              <w:rPr>
                <w:color w:val="auto"/>
                <w:highlight w:val="none"/>
              </w:rPr>
            </w:pPr>
            <w:r>
              <w:rPr>
                <w:rFonts w:hint="eastAsia"/>
                <w:color w:val="auto"/>
                <w:highlight w:val="none"/>
              </w:rPr>
              <w:t>11</w:t>
            </w:r>
          </w:p>
        </w:tc>
        <w:tc>
          <w:tcPr>
            <w:tcW w:w="1000" w:type="dxa"/>
            <w:vMerge w:val="restart"/>
            <w:vAlign w:val="center"/>
          </w:tcPr>
          <w:p w14:paraId="09A3C40E">
            <w:pPr>
              <w:ind w:firstLine="0" w:firstLineChars="0"/>
              <w:rPr>
                <w:color w:val="auto"/>
                <w:highlight w:val="none"/>
              </w:rPr>
            </w:pPr>
            <w:r>
              <w:rPr>
                <w:rFonts w:hint="eastAsia"/>
                <w:color w:val="auto"/>
                <w:highlight w:val="none"/>
              </w:rPr>
              <w:t>A020619照明设备</w:t>
            </w:r>
          </w:p>
        </w:tc>
        <w:tc>
          <w:tcPr>
            <w:tcW w:w="1875" w:type="dxa"/>
            <w:vAlign w:val="center"/>
          </w:tcPr>
          <w:p w14:paraId="5160E85C">
            <w:pPr>
              <w:ind w:firstLine="0" w:firstLineChars="0"/>
              <w:rPr>
                <w:color w:val="auto"/>
                <w:highlight w:val="none"/>
              </w:rPr>
            </w:pPr>
            <w:r>
              <w:rPr>
                <w:rFonts w:hint="eastAsia"/>
                <w:color w:val="auto"/>
                <w:highlight w:val="none"/>
              </w:rPr>
              <w:t>★普通照明用双端荧光灯</w:t>
            </w:r>
          </w:p>
        </w:tc>
        <w:tc>
          <w:tcPr>
            <w:tcW w:w="1581" w:type="dxa"/>
            <w:vAlign w:val="center"/>
          </w:tcPr>
          <w:p w14:paraId="31877190">
            <w:pPr>
              <w:rPr>
                <w:color w:val="auto"/>
                <w:highlight w:val="none"/>
              </w:rPr>
            </w:pPr>
          </w:p>
        </w:tc>
        <w:tc>
          <w:tcPr>
            <w:tcW w:w="4051" w:type="dxa"/>
            <w:vAlign w:val="center"/>
          </w:tcPr>
          <w:p w14:paraId="1BE21118">
            <w:pPr>
              <w:rPr>
                <w:color w:val="auto"/>
                <w:highlight w:val="none"/>
              </w:rPr>
            </w:pPr>
            <w:r>
              <w:rPr>
                <w:rFonts w:hint="eastAsia"/>
                <w:color w:val="auto"/>
                <w:highlight w:val="none"/>
              </w:rPr>
              <w:t>《普通照明用双端荧光灯能效限定值及能效等级》（GB19043）</w:t>
            </w:r>
          </w:p>
        </w:tc>
      </w:tr>
      <w:tr w14:paraId="4109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F2573D3">
            <w:pPr>
              <w:rPr>
                <w:color w:val="auto"/>
                <w:highlight w:val="none"/>
              </w:rPr>
            </w:pPr>
          </w:p>
        </w:tc>
        <w:tc>
          <w:tcPr>
            <w:tcW w:w="1000" w:type="dxa"/>
            <w:vMerge w:val="continue"/>
            <w:vAlign w:val="center"/>
          </w:tcPr>
          <w:p w14:paraId="200FE24C">
            <w:pPr>
              <w:rPr>
                <w:color w:val="auto"/>
                <w:highlight w:val="none"/>
              </w:rPr>
            </w:pPr>
          </w:p>
        </w:tc>
        <w:tc>
          <w:tcPr>
            <w:tcW w:w="1875" w:type="dxa"/>
            <w:vAlign w:val="center"/>
          </w:tcPr>
          <w:p w14:paraId="2CA86EDF">
            <w:pPr>
              <w:ind w:firstLine="0" w:firstLineChars="0"/>
              <w:rPr>
                <w:color w:val="auto"/>
                <w:highlight w:val="none"/>
              </w:rPr>
            </w:pPr>
            <w:r>
              <w:rPr>
                <w:rFonts w:hint="eastAsia"/>
                <w:color w:val="auto"/>
                <w:highlight w:val="none"/>
              </w:rPr>
              <w:t>LED道路/隧道照明产品</w:t>
            </w:r>
          </w:p>
        </w:tc>
        <w:tc>
          <w:tcPr>
            <w:tcW w:w="1581" w:type="dxa"/>
            <w:vAlign w:val="center"/>
          </w:tcPr>
          <w:p w14:paraId="64ABDC47">
            <w:pPr>
              <w:rPr>
                <w:color w:val="auto"/>
                <w:highlight w:val="none"/>
              </w:rPr>
            </w:pPr>
          </w:p>
        </w:tc>
        <w:tc>
          <w:tcPr>
            <w:tcW w:w="4051" w:type="dxa"/>
            <w:vAlign w:val="center"/>
          </w:tcPr>
          <w:p w14:paraId="139059AD">
            <w:pPr>
              <w:rPr>
                <w:color w:val="auto"/>
                <w:highlight w:val="none"/>
              </w:rPr>
            </w:pPr>
            <w:r>
              <w:rPr>
                <w:rFonts w:hint="eastAsia"/>
                <w:color w:val="auto"/>
                <w:highlight w:val="none"/>
              </w:rPr>
              <w:t>《道路和隧道照明用LED灯具能效限定值及能效等级》（GB37478</w:t>
            </w:r>
          </w:p>
        </w:tc>
      </w:tr>
      <w:tr w14:paraId="648B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E859DF2">
            <w:pPr>
              <w:rPr>
                <w:color w:val="auto"/>
                <w:highlight w:val="none"/>
              </w:rPr>
            </w:pPr>
          </w:p>
        </w:tc>
        <w:tc>
          <w:tcPr>
            <w:tcW w:w="1000" w:type="dxa"/>
            <w:vMerge w:val="continue"/>
            <w:vAlign w:val="center"/>
          </w:tcPr>
          <w:p w14:paraId="44DBAA10">
            <w:pPr>
              <w:rPr>
                <w:color w:val="auto"/>
                <w:highlight w:val="none"/>
              </w:rPr>
            </w:pPr>
          </w:p>
        </w:tc>
        <w:tc>
          <w:tcPr>
            <w:tcW w:w="1875" w:type="dxa"/>
            <w:vAlign w:val="center"/>
          </w:tcPr>
          <w:p w14:paraId="748E68EC">
            <w:pPr>
              <w:rPr>
                <w:color w:val="auto"/>
                <w:highlight w:val="none"/>
              </w:rPr>
            </w:pPr>
          </w:p>
          <w:p w14:paraId="7AF6B1DA">
            <w:pPr>
              <w:ind w:firstLine="0" w:firstLineChars="0"/>
              <w:rPr>
                <w:color w:val="auto"/>
                <w:highlight w:val="none"/>
              </w:rPr>
            </w:pPr>
            <w:r>
              <w:rPr>
                <w:rFonts w:hint="eastAsia"/>
                <w:color w:val="auto"/>
                <w:highlight w:val="none"/>
              </w:rPr>
              <w:t>LED筒灯</w:t>
            </w:r>
          </w:p>
        </w:tc>
        <w:tc>
          <w:tcPr>
            <w:tcW w:w="1581" w:type="dxa"/>
            <w:vAlign w:val="center"/>
          </w:tcPr>
          <w:p w14:paraId="2CFD56CB">
            <w:pPr>
              <w:rPr>
                <w:color w:val="auto"/>
                <w:highlight w:val="none"/>
              </w:rPr>
            </w:pPr>
          </w:p>
        </w:tc>
        <w:tc>
          <w:tcPr>
            <w:tcW w:w="4051" w:type="dxa"/>
            <w:vAlign w:val="center"/>
          </w:tcPr>
          <w:p w14:paraId="2F9FE04C">
            <w:pPr>
              <w:rPr>
                <w:color w:val="auto"/>
                <w:highlight w:val="none"/>
              </w:rPr>
            </w:pPr>
            <w:r>
              <w:rPr>
                <w:rFonts w:hint="eastAsia"/>
                <w:color w:val="auto"/>
                <w:highlight w:val="none"/>
              </w:rPr>
              <w:t>《室内照明用LED产品能效限定值及能效等级》（GB30255）</w:t>
            </w:r>
          </w:p>
        </w:tc>
      </w:tr>
      <w:tr w14:paraId="5222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FAEED53">
            <w:pPr>
              <w:rPr>
                <w:color w:val="auto"/>
                <w:highlight w:val="none"/>
              </w:rPr>
            </w:pPr>
          </w:p>
        </w:tc>
        <w:tc>
          <w:tcPr>
            <w:tcW w:w="1000" w:type="dxa"/>
            <w:vMerge w:val="continue"/>
            <w:vAlign w:val="center"/>
          </w:tcPr>
          <w:p w14:paraId="547FD7C5">
            <w:pPr>
              <w:rPr>
                <w:color w:val="auto"/>
                <w:highlight w:val="none"/>
              </w:rPr>
            </w:pPr>
          </w:p>
        </w:tc>
        <w:tc>
          <w:tcPr>
            <w:tcW w:w="1875" w:type="dxa"/>
            <w:vAlign w:val="center"/>
          </w:tcPr>
          <w:p w14:paraId="23ED0861">
            <w:pPr>
              <w:ind w:firstLine="0" w:firstLineChars="0"/>
              <w:rPr>
                <w:color w:val="auto"/>
                <w:highlight w:val="none"/>
              </w:rPr>
            </w:pPr>
            <w:r>
              <w:rPr>
                <w:rFonts w:hint="eastAsia"/>
                <w:color w:val="auto"/>
                <w:highlight w:val="none"/>
              </w:rPr>
              <w:t>普通照明用非定向自镇流LED灯</w:t>
            </w:r>
          </w:p>
        </w:tc>
        <w:tc>
          <w:tcPr>
            <w:tcW w:w="1581" w:type="dxa"/>
            <w:vAlign w:val="center"/>
          </w:tcPr>
          <w:p w14:paraId="04D65605">
            <w:pPr>
              <w:rPr>
                <w:color w:val="auto"/>
                <w:highlight w:val="none"/>
              </w:rPr>
            </w:pPr>
          </w:p>
        </w:tc>
        <w:tc>
          <w:tcPr>
            <w:tcW w:w="4051" w:type="dxa"/>
            <w:vAlign w:val="center"/>
          </w:tcPr>
          <w:p w14:paraId="7AAF613A">
            <w:pPr>
              <w:rPr>
                <w:color w:val="auto"/>
                <w:highlight w:val="none"/>
              </w:rPr>
            </w:pPr>
            <w:r>
              <w:rPr>
                <w:rFonts w:hint="eastAsia"/>
                <w:color w:val="auto"/>
                <w:highlight w:val="none"/>
              </w:rPr>
              <w:t>《室内照明用LED产品能效限定值及能效等级》（GB30255）</w:t>
            </w:r>
          </w:p>
        </w:tc>
      </w:tr>
      <w:tr w14:paraId="3032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4655B88">
            <w:pPr>
              <w:rPr>
                <w:color w:val="auto"/>
                <w:highlight w:val="none"/>
              </w:rPr>
            </w:pPr>
          </w:p>
          <w:p w14:paraId="0255C4D5">
            <w:pPr>
              <w:ind w:firstLine="0" w:firstLineChars="0"/>
              <w:rPr>
                <w:color w:val="auto"/>
                <w:highlight w:val="none"/>
              </w:rPr>
            </w:pPr>
            <w:r>
              <w:rPr>
                <w:rFonts w:hint="eastAsia"/>
                <w:color w:val="auto"/>
                <w:highlight w:val="none"/>
              </w:rPr>
              <w:t>12</w:t>
            </w:r>
          </w:p>
        </w:tc>
        <w:tc>
          <w:tcPr>
            <w:tcW w:w="1000" w:type="dxa"/>
            <w:vAlign w:val="center"/>
          </w:tcPr>
          <w:p w14:paraId="4AA2E220">
            <w:pPr>
              <w:ind w:firstLine="0" w:firstLineChars="0"/>
              <w:rPr>
                <w:color w:val="auto"/>
                <w:highlight w:val="none"/>
              </w:rPr>
            </w:pPr>
            <w:r>
              <w:rPr>
                <w:rFonts w:hint="eastAsia"/>
                <w:color w:val="auto"/>
                <w:highlight w:val="none"/>
              </w:rPr>
              <w:t>★A020910电视设备</w:t>
            </w:r>
          </w:p>
        </w:tc>
        <w:tc>
          <w:tcPr>
            <w:tcW w:w="1875" w:type="dxa"/>
            <w:vAlign w:val="center"/>
          </w:tcPr>
          <w:p w14:paraId="4C8F0436">
            <w:pPr>
              <w:ind w:firstLine="0" w:firstLineChars="0"/>
              <w:rPr>
                <w:color w:val="auto"/>
                <w:highlight w:val="none"/>
              </w:rPr>
            </w:pPr>
            <w:r>
              <w:rPr>
                <w:rFonts w:hint="eastAsia"/>
                <w:color w:val="auto"/>
                <w:highlight w:val="none"/>
              </w:rPr>
              <w:t>A02091001普通电视设备（电视机）</w:t>
            </w:r>
          </w:p>
        </w:tc>
        <w:tc>
          <w:tcPr>
            <w:tcW w:w="1581" w:type="dxa"/>
            <w:vAlign w:val="center"/>
          </w:tcPr>
          <w:p w14:paraId="65474C3B">
            <w:pPr>
              <w:rPr>
                <w:color w:val="auto"/>
                <w:highlight w:val="none"/>
              </w:rPr>
            </w:pPr>
          </w:p>
        </w:tc>
        <w:tc>
          <w:tcPr>
            <w:tcW w:w="4051" w:type="dxa"/>
            <w:vAlign w:val="center"/>
          </w:tcPr>
          <w:p w14:paraId="5327D3AB">
            <w:pPr>
              <w:rPr>
                <w:color w:val="auto"/>
                <w:highlight w:val="none"/>
              </w:rPr>
            </w:pPr>
            <w:r>
              <w:rPr>
                <w:rFonts w:hint="eastAsia"/>
                <w:color w:val="auto"/>
                <w:highlight w:val="none"/>
              </w:rPr>
              <w:t>《平板电视能效限定值及能效等级》（GB24850）</w:t>
            </w:r>
          </w:p>
        </w:tc>
      </w:tr>
      <w:tr w14:paraId="35F3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B464C87">
            <w:pPr>
              <w:ind w:firstLine="0" w:firstLineChars="0"/>
              <w:rPr>
                <w:color w:val="auto"/>
                <w:highlight w:val="none"/>
              </w:rPr>
            </w:pPr>
            <w:r>
              <w:rPr>
                <w:rFonts w:hint="eastAsia"/>
                <w:color w:val="auto"/>
                <w:highlight w:val="none"/>
              </w:rPr>
              <w:t>13</w:t>
            </w:r>
          </w:p>
        </w:tc>
        <w:tc>
          <w:tcPr>
            <w:tcW w:w="1000" w:type="dxa"/>
            <w:vAlign w:val="center"/>
          </w:tcPr>
          <w:p w14:paraId="5C2A47AA">
            <w:pPr>
              <w:ind w:firstLine="0" w:firstLineChars="0"/>
              <w:rPr>
                <w:color w:val="auto"/>
                <w:highlight w:val="none"/>
              </w:rPr>
            </w:pPr>
            <w:r>
              <w:rPr>
                <w:rFonts w:hint="eastAsia"/>
                <w:color w:val="auto"/>
                <w:highlight w:val="none"/>
              </w:rPr>
              <w:t>★A020911视频设备</w:t>
            </w:r>
          </w:p>
        </w:tc>
        <w:tc>
          <w:tcPr>
            <w:tcW w:w="1875" w:type="dxa"/>
            <w:vAlign w:val="center"/>
          </w:tcPr>
          <w:p w14:paraId="39774A97">
            <w:pPr>
              <w:ind w:firstLine="0" w:firstLineChars="0"/>
              <w:rPr>
                <w:color w:val="auto"/>
                <w:highlight w:val="none"/>
              </w:rPr>
            </w:pPr>
            <w:r>
              <w:rPr>
                <w:rFonts w:hint="eastAsia"/>
                <w:color w:val="auto"/>
                <w:highlight w:val="none"/>
              </w:rPr>
              <w:t>A02091107视频监控设备</w:t>
            </w:r>
          </w:p>
        </w:tc>
        <w:tc>
          <w:tcPr>
            <w:tcW w:w="1581" w:type="dxa"/>
            <w:vAlign w:val="center"/>
          </w:tcPr>
          <w:p w14:paraId="11F5F392">
            <w:pPr>
              <w:rPr>
                <w:color w:val="auto"/>
                <w:highlight w:val="none"/>
              </w:rPr>
            </w:pPr>
            <w:r>
              <w:rPr>
                <w:rFonts w:hint="eastAsia"/>
                <w:color w:val="auto"/>
                <w:highlight w:val="none"/>
              </w:rPr>
              <w:t>监视器</w:t>
            </w:r>
          </w:p>
        </w:tc>
        <w:tc>
          <w:tcPr>
            <w:tcW w:w="4051" w:type="dxa"/>
            <w:vAlign w:val="center"/>
          </w:tcPr>
          <w:p w14:paraId="62278E29">
            <w:pPr>
              <w:rPr>
                <w:color w:val="auto"/>
                <w:highlight w:val="none"/>
              </w:rPr>
            </w:pPr>
            <w:r>
              <w:rPr>
                <w:rFonts w:hint="eastAsia"/>
                <w:color w:val="auto"/>
                <w:highlight w:val="none"/>
              </w:rPr>
              <w:t>以射频信号为主要信号输入的监视器应符合《平板电视能效限定值及能效等级》（GB24850），以数字信号为主要信号输入的监视器应符合《计算机显示器能效限定值及能效等级》（GB21520）</w:t>
            </w:r>
          </w:p>
        </w:tc>
      </w:tr>
      <w:tr w14:paraId="344D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9F6A83A">
            <w:pPr>
              <w:rPr>
                <w:color w:val="auto"/>
                <w:highlight w:val="none"/>
              </w:rPr>
            </w:pPr>
          </w:p>
          <w:p w14:paraId="1E8F8778">
            <w:pPr>
              <w:ind w:firstLine="0" w:firstLineChars="0"/>
              <w:rPr>
                <w:color w:val="auto"/>
                <w:highlight w:val="none"/>
              </w:rPr>
            </w:pPr>
            <w:r>
              <w:rPr>
                <w:rFonts w:hint="eastAsia"/>
                <w:color w:val="auto"/>
                <w:highlight w:val="none"/>
              </w:rPr>
              <w:t>14</w:t>
            </w:r>
          </w:p>
        </w:tc>
        <w:tc>
          <w:tcPr>
            <w:tcW w:w="1000" w:type="dxa"/>
            <w:vAlign w:val="center"/>
          </w:tcPr>
          <w:p w14:paraId="00167CE9">
            <w:pPr>
              <w:ind w:firstLine="0" w:firstLineChars="0"/>
              <w:rPr>
                <w:color w:val="auto"/>
                <w:highlight w:val="none"/>
              </w:rPr>
            </w:pPr>
            <w:r>
              <w:rPr>
                <w:rFonts w:hint="eastAsia"/>
                <w:color w:val="auto"/>
                <w:highlight w:val="none"/>
              </w:rPr>
              <w:t>A031210饮食炊事机械</w:t>
            </w:r>
          </w:p>
        </w:tc>
        <w:tc>
          <w:tcPr>
            <w:tcW w:w="1875" w:type="dxa"/>
            <w:vAlign w:val="center"/>
          </w:tcPr>
          <w:p w14:paraId="4DB013C8">
            <w:pPr>
              <w:ind w:firstLine="0" w:firstLineChars="0"/>
              <w:rPr>
                <w:color w:val="auto"/>
                <w:highlight w:val="none"/>
              </w:rPr>
            </w:pPr>
            <w:r>
              <w:rPr>
                <w:rFonts w:hint="eastAsia"/>
                <w:color w:val="auto"/>
                <w:highlight w:val="none"/>
              </w:rPr>
              <w:t>商用燃气灶具</w:t>
            </w:r>
          </w:p>
        </w:tc>
        <w:tc>
          <w:tcPr>
            <w:tcW w:w="1581" w:type="dxa"/>
            <w:vAlign w:val="center"/>
          </w:tcPr>
          <w:p w14:paraId="497D077C">
            <w:pPr>
              <w:rPr>
                <w:color w:val="auto"/>
                <w:highlight w:val="none"/>
              </w:rPr>
            </w:pPr>
          </w:p>
        </w:tc>
        <w:tc>
          <w:tcPr>
            <w:tcW w:w="4051" w:type="dxa"/>
            <w:vAlign w:val="center"/>
          </w:tcPr>
          <w:p w14:paraId="180CAFE9">
            <w:pPr>
              <w:rPr>
                <w:color w:val="auto"/>
                <w:highlight w:val="none"/>
              </w:rPr>
            </w:pPr>
            <w:r>
              <w:rPr>
                <w:rFonts w:hint="eastAsia"/>
                <w:color w:val="auto"/>
                <w:highlight w:val="none"/>
              </w:rPr>
              <w:t>《商用燃气灶具能效限定值及能效等级》（GB30531）</w:t>
            </w:r>
          </w:p>
        </w:tc>
      </w:tr>
      <w:tr w14:paraId="0C4C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5CB963F8">
            <w:pPr>
              <w:ind w:firstLine="0" w:firstLineChars="0"/>
              <w:rPr>
                <w:color w:val="auto"/>
                <w:highlight w:val="none"/>
              </w:rPr>
            </w:pPr>
            <w:r>
              <w:rPr>
                <w:rFonts w:hint="eastAsia"/>
                <w:color w:val="auto"/>
                <w:highlight w:val="none"/>
              </w:rPr>
              <w:t>15</w:t>
            </w:r>
          </w:p>
          <w:p w14:paraId="14863D94">
            <w:pPr>
              <w:rPr>
                <w:color w:val="auto"/>
                <w:highlight w:val="none"/>
              </w:rPr>
            </w:pPr>
          </w:p>
        </w:tc>
        <w:tc>
          <w:tcPr>
            <w:tcW w:w="1000" w:type="dxa"/>
            <w:vMerge w:val="restart"/>
            <w:vAlign w:val="center"/>
          </w:tcPr>
          <w:p w14:paraId="63493796">
            <w:pPr>
              <w:ind w:firstLine="0" w:firstLineChars="0"/>
              <w:rPr>
                <w:color w:val="auto"/>
                <w:highlight w:val="none"/>
                <w:lang w:eastAsia="en-US"/>
              </w:rPr>
            </w:pPr>
            <w:r>
              <w:rPr>
                <w:rFonts w:hint="eastAsia"/>
                <w:color w:val="auto"/>
                <w:highlight w:val="none"/>
              </w:rPr>
              <w:t>★A060805便器</w:t>
            </w:r>
          </w:p>
          <w:p w14:paraId="4D999420">
            <w:pPr>
              <w:rPr>
                <w:color w:val="auto"/>
                <w:highlight w:val="none"/>
              </w:rPr>
            </w:pPr>
          </w:p>
        </w:tc>
        <w:tc>
          <w:tcPr>
            <w:tcW w:w="1875" w:type="dxa"/>
            <w:vAlign w:val="center"/>
          </w:tcPr>
          <w:p w14:paraId="3C1FCBDB">
            <w:pPr>
              <w:rPr>
                <w:color w:val="auto"/>
                <w:highlight w:val="none"/>
              </w:rPr>
            </w:pPr>
          </w:p>
          <w:p w14:paraId="30510575">
            <w:pPr>
              <w:rPr>
                <w:color w:val="auto"/>
                <w:highlight w:val="none"/>
              </w:rPr>
            </w:pPr>
            <w:r>
              <w:rPr>
                <w:rFonts w:hint="eastAsia"/>
                <w:color w:val="auto"/>
                <w:highlight w:val="none"/>
              </w:rPr>
              <w:t>坐便器</w:t>
            </w:r>
          </w:p>
        </w:tc>
        <w:tc>
          <w:tcPr>
            <w:tcW w:w="1581" w:type="dxa"/>
            <w:vAlign w:val="center"/>
          </w:tcPr>
          <w:p w14:paraId="34CE3ADD">
            <w:pPr>
              <w:rPr>
                <w:color w:val="auto"/>
                <w:highlight w:val="none"/>
              </w:rPr>
            </w:pPr>
          </w:p>
        </w:tc>
        <w:tc>
          <w:tcPr>
            <w:tcW w:w="4051" w:type="dxa"/>
            <w:vAlign w:val="center"/>
          </w:tcPr>
          <w:p w14:paraId="739C88A1">
            <w:pPr>
              <w:rPr>
                <w:color w:val="auto"/>
                <w:highlight w:val="none"/>
              </w:rPr>
            </w:pPr>
            <w:r>
              <w:rPr>
                <w:rFonts w:hint="eastAsia"/>
                <w:color w:val="auto"/>
                <w:highlight w:val="none"/>
              </w:rPr>
              <w:t>《坐便器水效限定值及水效等级</w:t>
            </w:r>
          </w:p>
          <w:p w14:paraId="1305A2B8">
            <w:pPr>
              <w:rPr>
                <w:color w:val="auto"/>
                <w:highlight w:val="none"/>
              </w:rPr>
            </w:pPr>
            <w:r>
              <w:rPr>
                <w:rFonts w:hint="eastAsia"/>
                <w:color w:val="auto"/>
                <w:highlight w:val="none"/>
              </w:rPr>
              <w:t>（GB25502）</w:t>
            </w:r>
          </w:p>
        </w:tc>
      </w:tr>
      <w:tr w14:paraId="4C2A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EDE8AEC">
            <w:pPr>
              <w:rPr>
                <w:color w:val="auto"/>
                <w:highlight w:val="none"/>
              </w:rPr>
            </w:pPr>
          </w:p>
        </w:tc>
        <w:tc>
          <w:tcPr>
            <w:tcW w:w="1000" w:type="dxa"/>
            <w:vMerge w:val="continue"/>
            <w:vAlign w:val="center"/>
          </w:tcPr>
          <w:p w14:paraId="6F607611">
            <w:pPr>
              <w:rPr>
                <w:color w:val="auto"/>
                <w:highlight w:val="none"/>
              </w:rPr>
            </w:pPr>
          </w:p>
        </w:tc>
        <w:tc>
          <w:tcPr>
            <w:tcW w:w="1875" w:type="dxa"/>
            <w:vAlign w:val="center"/>
          </w:tcPr>
          <w:p w14:paraId="7F234642">
            <w:pPr>
              <w:rPr>
                <w:color w:val="auto"/>
                <w:highlight w:val="none"/>
              </w:rPr>
            </w:pPr>
          </w:p>
          <w:p w14:paraId="26646B5D">
            <w:pPr>
              <w:rPr>
                <w:color w:val="auto"/>
                <w:highlight w:val="none"/>
              </w:rPr>
            </w:pPr>
            <w:r>
              <w:rPr>
                <w:rFonts w:hint="eastAsia"/>
                <w:color w:val="auto"/>
                <w:highlight w:val="none"/>
              </w:rPr>
              <w:t>蹲便器</w:t>
            </w:r>
          </w:p>
        </w:tc>
        <w:tc>
          <w:tcPr>
            <w:tcW w:w="1581" w:type="dxa"/>
            <w:vAlign w:val="center"/>
          </w:tcPr>
          <w:p w14:paraId="16735E16">
            <w:pPr>
              <w:rPr>
                <w:color w:val="auto"/>
                <w:highlight w:val="none"/>
              </w:rPr>
            </w:pPr>
          </w:p>
        </w:tc>
        <w:tc>
          <w:tcPr>
            <w:tcW w:w="4051" w:type="dxa"/>
            <w:vAlign w:val="center"/>
          </w:tcPr>
          <w:p w14:paraId="2B03E56C">
            <w:pPr>
              <w:rPr>
                <w:color w:val="auto"/>
                <w:highlight w:val="none"/>
              </w:rPr>
            </w:pPr>
            <w:r>
              <w:rPr>
                <w:rFonts w:hint="eastAsia"/>
                <w:color w:val="auto"/>
                <w:highlight w:val="none"/>
              </w:rPr>
              <w:t>《蹲便器用水效率限定值及用水效率等级》（GB30717）</w:t>
            </w:r>
          </w:p>
        </w:tc>
      </w:tr>
      <w:tr w14:paraId="5B53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14:paraId="0738B9B0">
            <w:pPr>
              <w:rPr>
                <w:color w:val="auto"/>
                <w:highlight w:val="none"/>
              </w:rPr>
            </w:pPr>
          </w:p>
        </w:tc>
        <w:tc>
          <w:tcPr>
            <w:tcW w:w="1000" w:type="dxa"/>
            <w:vMerge w:val="continue"/>
            <w:vAlign w:val="center"/>
          </w:tcPr>
          <w:p w14:paraId="4282FBA3">
            <w:pPr>
              <w:rPr>
                <w:color w:val="auto"/>
                <w:highlight w:val="none"/>
              </w:rPr>
            </w:pPr>
          </w:p>
        </w:tc>
        <w:tc>
          <w:tcPr>
            <w:tcW w:w="1875" w:type="dxa"/>
            <w:vAlign w:val="center"/>
          </w:tcPr>
          <w:p w14:paraId="520580C7">
            <w:pPr>
              <w:rPr>
                <w:color w:val="auto"/>
                <w:highlight w:val="none"/>
              </w:rPr>
            </w:pPr>
          </w:p>
          <w:p w14:paraId="307DB509">
            <w:pPr>
              <w:rPr>
                <w:color w:val="auto"/>
                <w:highlight w:val="none"/>
              </w:rPr>
            </w:pPr>
            <w:r>
              <w:rPr>
                <w:rFonts w:hint="eastAsia"/>
                <w:color w:val="auto"/>
                <w:highlight w:val="none"/>
              </w:rPr>
              <w:t>小便器</w:t>
            </w:r>
          </w:p>
        </w:tc>
        <w:tc>
          <w:tcPr>
            <w:tcW w:w="1581" w:type="dxa"/>
            <w:vAlign w:val="center"/>
          </w:tcPr>
          <w:p w14:paraId="776E0E04">
            <w:pPr>
              <w:rPr>
                <w:color w:val="auto"/>
                <w:highlight w:val="none"/>
              </w:rPr>
            </w:pPr>
          </w:p>
        </w:tc>
        <w:tc>
          <w:tcPr>
            <w:tcW w:w="4051" w:type="dxa"/>
            <w:vAlign w:val="center"/>
          </w:tcPr>
          <w:p w14:paraId="1149177B">
            <w:pPr>
              <w:rPr>
                <w:color w:val="auto"/>
                <w:highlight w:val="none"/>
              </w:rPr>
            </w:pPr>
            <w:r>
              <w:rPr>
                <w:rFonts w:hint="eastAsia"/>
                <w:color w:val="auto"/>
                <w:highlight w:val="none"/>
              </w:rPr>
              <w:t>《小便器用水效率限定值及用水效率等级》（GB28377）</w:t>
            </w:r>
          </w:p>
        </w:tc>
      </w:tr>
      <w:tr w14:paraId="56D6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AEEDE6C">
            <w:pPr>
              <w:ind w:firstLine="0" w:firstLineChars="0"/>
              <w:rPr>
                <w:color w:val="auto"/>
                <w:highlight w:val="none"/>
              </w:rPr>
            </w:pPr>
            <w:r>
              <w:rPr>
                <w:rFonts w:hint="eastAsia"/>
                <w:color w:val="auto"/>
                <w:highlight w:val="none"/>
              </w:rPr>
              <w:t>16</w:t>
            </w:r>
          </w:p>
        </w:tc>
        <w:tc>
          <w:tcPr>
            <w:tcW w:w="1000" w:type="dxa"/>
            <w:vAlign w:val="center"/>
          </w:tcPr>
          <w:p w14:paraId="1967B79C">
            <w:pPr>
              <w:ind w:firstLine="0" w:firstLineChars="0"/>
              <w:rPr>
                <w:color w:val="auto"/>
                <w:highlight w:val="none"/>
              </w:rPr>
            </w:pPr>
            <w:r>
              <w:rPr>
                <w:rFonts w:hint="eastAsia"/>
                <w:color w:val="auto"/>
                <w:highlight w:val="none"/>
              </w:rPr>
              <w:t>★A060806水嘴</w:t>
            </w:r>
          </w:p>
        </w:tc>
        <w:tc>
          <w:tcPr>
            <w:tcW w:w="1875" w:type="dxa"/>
            <w:vAlign w:val="center"/>
          </w:tcPr>
          <w:p w14:paraId="20FAF7DF">
            <w:pPr>
              <w:rPr>
                <w:color w:val="auto"/>
                <w:highlight w:val="none"/>
              </w:rPr>
            </w:pPr>
          </w:p>
        </w:tc>
        <w:tc>
          <w:tcPr>
            <w:tcW w:w="1581" w:type="dxa"/>
            <w:vAlign w:val="center"/>
          </w:tcPr>
          <w:p w14:paraId="3AA3BDF9">
            <w:pPr>
              <w:rPr>
                <w:color w:val="auto"/>
                <w:highlight w:val="none"/>
              </w:rPr>
            </w:pPr>
          </w:p>
        </w:tc>
        <w:tc>
          <w:tcPr>
            <w:tcW w:w="4051" w:type="dxa"/>
            <w:vAlign w:val="center"/>
          </w:tcPr>
          <w:p w14:paraId="49CA44F9">
            <w:pPr>
              <w:rPr>
                <w:color w:val="auto"/>
                <w:highlight w:val="none"/>
              </w:rPr>
            </w:pPr>
            <w:r>
              <w:rPr>
                <w:rFonts w:hint="eastAsia"/>
                <w:color w:val="auto"/>
                <w:highlight w:val="none"/>
              </w:rPr>
              <w:t>《水嘴用水效率限定值及用水效率等级》（GB 25501）</w:t>
            </w:r>
          </w:p>
        </w:tc>
      </w:tr>
      <w:tr w14:paraId="3992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08C032F">
            <w:pPr>
              <w:rPr>
                <w:color w:val="auto"/>
                <w:highlight w:val="none"/>
              </w:rPr>
            </w:pPr>
          </w:p>
          <w:p w14:paraId="0FADAF64">
            <w:pPr>
              <w:ind w:firstLine="0" w:firstLineChars="0"/>
              <w:rPr>
                <w:color w:val="auto"/>
                <w:highlight w:val="none"/>
              </w:rPr>
            </w:pPr>
            <w:r>
              <w:rPr>
                <w:rFonts w:hint="eastAsia"/>
                <w:color w:val="auto"/>
                <w:highlight w:val="none"/>
              </w:rPr>
              <w:t>17</w:t>
            </w:r>
          </w:p>
        </w:tc>
        <w:tc>
          <w:tcPr>
            <w:tcW w:w="1000" w:type="dxa"/>
            <w:vAlign w:val="center"/>
          </w:tcPr>
          <w:p w14:paraId="4566F86B">
            <w:pPr>
              <w:ind w:firstLine="0" w:firstLineChars="0"/>
              <w:rPr>
                <w:color w:val="auto"/>
                <w:highlight w:val="none"/>
              </w:rPr>
            </w:pPr>
            <w:r>
              <w:rPr>
                <w:rFonts w:hint="eastAsia"/>
                <w:color w:val="auto"/>
                <w:highlight w:val="none"/>
              </w:rPr>
              <w:t>A060807便器冲洗阀</w:t>
            </w:r>
          </w:p>
        </w:tc>
        <w:tc>
          <w:tcPr>
            <w:tcW w:w="1875" w:type="dxa"/>
            <w:vAlign w:val="center"/>
          </w:tcPr>
          <w:p w14:paraId="5124A452">
            <w:pPr>
              <w:rPr>
                <w:color w:val="auto"/>
                <w:highlight w:val="none"/>
              </w:rPr>
            </w:pPr>
          </w:p>
        </w:tc>
        <w:tc>
          <w:tcPr>
            <w:tcW w:w="1581" w:type="dxa"/>
            <w:vAlign w:val="center"/>
          </w:tcPr>
          <w:p w14:paraId="659B0314">
            <w:pPr>
              <w:rPr>
                <w:color w:val="auto"/>
                <w:highlight w:val="none"/>
              </w:rPr>
            </w:pPr>
          </w:p>
        </w:tc>
        <w:tc>
          <w:tcPr>
            <w:tcW w:w="4051" w:type="dxa"/>
            <w:vAlign w:val="center"/>
          </w:tcPr>
          <w:p w14:paraId="0FA08347">
            <w:pPr>
              <w:rPr>
                <w:color w:val="auto"/>
                <w:highlight w:val="none"/>
              </w:rPr>
            </w:pPr>
            <w:r>
              <w:rPr>
                <w:rFonts w:hint="eastAsia"/>
                <w:color w:val="auto"/>
                <w:highlight w:val="none"/>
              </w:rPr>
              <w:t>《便器冲洗阀用水效率限定值及用水效率等级》（GB28379）</w:t>
            </w:r>
          </w:p>
        </w:tc>
      </w:tr>
      <w:tr w14:paraId="07F6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23E81A4">
            <w:pPr>
              <w:rPr>
                <w:color w:val="auto"/>
                <w:highlight w:val="none"/>
              </w:rPr>
            </w:pPr>
          </w:p>
          <w:p w14:paraId="329C50D7">
            <w:pPr>
              <w:ind w:firstLine="0" w:firstLineChars="0"/>
              <w:rPr>
                <w:color w:val="auto"/>
                <w:highlight w:val="none"/>
              </w:rPr>
            </w:pPr>
            <w:r>
              <w:rPr>
                <w:rFonts w:hint="eastAsia"/>
                <w:color w:val="auto"/>
                <w:highlight w:val="none"/>
              </w:rPr>
              <w:t>18</w:t>
            </w:r>
          </w:p>
        </w:tc>
        <w:tc>
          <w:tcPr>
            <w:tcW w:w="1000" w:type="dxa"/>
            <w:vAlign w:val="center"/>
          </w:tcPr>
          <w:p w14:paraId="2BC7FA84">
            <w:pPr>
              <w:ind w:firstLine="0" w:firstLineChars="0"/>
              <w:rPr>
                <w:color w:val="auto"/>
                <w:highlight w:val="none"/>
              </w:rPr>
            </w:pPr>
            <w:r>
              <w:rPr>
                <w:rFonts w:hint="eastAsia"/>
                <w:color w:val="auto"/>
                <w:highlight w:val="none"/>
              </w:rPr>
              <w:t>A060810淋浴器</w:t>
            </w:r>
          </w:p>
        </w:tc>
        <w:tc>
          <w:tcPr>
            <w:tcW w:w="1875" w:type="dxa"/>
            <w:vAlign w:val="center"/>
          </w:tcPr>
          <w:p w14:paraId="3FFE4D2D">
            <w:pPr>
              <w:rPr>
                <w:color w:val="auto"/>
                <w:highlight w:val="none"/>
              </w:rPr>
            </w:pPr>
          </w:p>
        </w:tc>
        <w:tc>
          <w:tcPr>
            <w:tcW w:w="1581" w:type="dxa"/>
            <w:vAlign w:val="center"/>
          </w:tcPr>
          <w:p w14:paraId="32984FC1">
            <w:pPr>
              <w:rPr>
                <w:color w:val="auto"/>
                <w:highlight w:val="none"/>
              </w:rPr>
            </w:pPr>
          </w:p>
        </w:tc>
        <w:tc>
          <w:tcPr>
            <w:tcW w:w="4051" w:type="dxa"/>
            <w:vAlign w:val="center"/>
          </w:tcPr>
          <w:p w14:paraId="37BEE61C">
            <w:pPr>
              <w:rPr>
                <w:color w:val="auto"/>
                <w:highlight w:val="none"/>
              </w:rPr>
            </w:pPr>
            <w:r>
              <w:rPr>
                <w:rFonts w:hint="eastAsia"/>
                <w:color w:val="auto"/>
                <w:highlight w:val="none"/>
              </w:rPr>
              <w:t>《淋浴器用水效率限定值及用水效率等级》（GB28378）</w:t>
            </w:r>
          </w:p>
        </w:tc>
      </w:tr>
    </w:tbl>
    <w:p w14:paraId="43CDD5CC">
      <w:pPr>
        <w:rPr>
          <w:color w:val="auto"/>
          <w:kern w:val="0"/>
          <w:highlight w:val="none"/>
        </w:rPr>
      </w:pPr>
      <w:r>
        <w:rPr>
          <w:rFonts w:hint="eastAsia"/>
          <w:color w:val="auto"/>
          <w:kern w:val="0"/>
          <w:highlight w:val="none"/>
        </w:rPr>
        <w:t>注：1.节能产品认证应依据相关国家标准的最新版本，依据国家标准中二级能效（水效）指标。</w:t>
      </w:r>
    </w:p>
    <w:p w14:paraId="7DBB9732">
      <w:pPr>
        <w:rPr>
          <w:color w:val="auto"/>
          <w:kern w:val="0"/>
          <w:highlight w:val="none"/>
        </w:rPr>
      </w:pPr>
      <w:r>
        <w:rPr>
          <w:rFonts w:hint="eastAsia"/>
          <w:color w:val="auto"/>
          <w:kern w:val="0"/>
          <w:highlight w:val="none"/>
        </w:rPr>
        <w:t xml:space="preserve">    2.上述产品中认证标准发生变更的，依据原认证标准获得的、仍在有效期内的认证证书可使用至2019年6月1日。</w:t>
      </w:r>
    </w:p>
    <w:p w14:paraId="4ECB75E8">
      <w:pPr>
        <w:rPr>
          <w:color w:val="auto"/>
          <w:highlight w:val="none"/>
        </w:rPr>
      </w:pPr>
      <w:r>
        <w:rPr>
          <w:rFonts w:hint="eastAsia"/>
          <w:color w:val="auto"/>
          <w:highlight w:val="none"/>
        </w:rPr>
        <w:t xml:space="preserve">    3.以“★”标注的为政府强制采购产品。</w:t>
      </w:r>
    </w:p>
    <w:p w14:paraId="6B4B8959">
      <w:pPr>
        <w:rPr>
          <w:color w:val="auto"/>
          <w:highlight w:val="none"/>
        </w:rPr>
        <w:sectPr>
          <w:footerReference r:id="rId11" w:type="default"/>
          <w:pgSz w:w="11906" w:h="16838"/>
          <w:pgMar w:top="1304" w:right="1418" w:bottom="1304" w:left="1418" w:header="851" w:footer="992" w:gutter="0"/>
          <w:cols w:space="720" w:num="1"/>
          <w:docGrid w:linePitch="312" w:charSpace="0"/>
        </w:sectPr>
      </w:pPr>
    </w:p>
    <w:p w14:paraId="78AFE41D">
      <w:pPr>
        <w:rPr>
          <w:color w:val="auto"/>
          <w:highlight w:val="none"/>
        </w:rPr>
      </w:pPr>
      <w:r>
        <w:rPr>
          <w:rFonts w:hint="eastAsia"/>
          <w:color w:val="auto"/>
          <w:highlight w:val="none"/>
        </w:rPr>
        <w:t>附件4：</w:t>
      </w:r>
    </w:p>
    <w:p w14:paraId="45A41DBF">
      <w:pPr>
        <w:jc w:val="center"/>
        <w:rPr>
          <w:color w:val="auto"/>
          <w:kern w:val="0"/>
          <w:highlight w:val="none"/>
        </w:rPr>
      </w:pPr>
      <w:r>
        <w:rPr>
          <w:rFonts w:hint="eastAsia"/>
          <w:color w:val="auto"/>
          <w:kern w:val="0"/>
          <w:highlight w:val="none"/>
        </w:rPr>
        <w:t>中小企业划型标准规定</w:t>
      </w:r>
    </w:p>
    <w:p w14:paraId="50A03E1A">
      <w:pPr>
        <w:jc w:val="center"/>
        <w:rPr>
          <w:color w:val="auto"/>
          <w:kern w:val="0"/>
          <w:highlight w:val="none"/>
        </w:rPr>
      </w:pPr>
      <w:r>
        <w:rPr>
          <w:rFonts w:hint="eastAsia"/>
          <w:color w:val="auto"/>
          <w:kern w:val="0"/>
          <w:highlight w:val="none"/>
        </w:rPr>
        <w:t>工信部联企业[2011]300号</w:t>
      </w:r>
    </w:p>
    <w:p w14:paraId="04C35CCF">
      <w:pPr>
        <w:rPr>
          <w:color w:val="auto"/>
          <w:kern w:val="0"/>
          <w:highlight w:val="none"/>
        </w:rPr>
      </w:pPr>
    </w:p>
    <w:p w14:paraId="0B00D71D">
      <w:pPr>
        <w:rPr>
          <w:color w:val="auto"/>
          <w:kern w:val="0"/>
          <w:highlight w:val="none"/>
        </w:rPr>
      </w:pPr>
      <w:r>
        <w:rPr>
          <w:rFonts w:hint="eastAsia"/>
          <w:color w:val="auto"/>
          <w:kern w:val="0"/>
          <w:highlight w:val="none"/>
        </w:rPr>
        <w:t>一、根据《中华人民共和国中小企业促进法》和《国务院关于进一步促进中小企业发展的若干意见》(国发[2009]36号)，制定本规定。</w:t>
      </w:r>
    </w:p>
    <w:p w14:paraId="5AB22902">
      <w:pPr>
        <w:rPr>
          <w:color w:val="auto"/>
          <w:kern w:val="0"/>
          <w:highlight w:val="none"/>
        </w:rPr>
      </w:pPr>
      <w:r>
        <w:rPr>
          <w:rFonts w:hint="eastAsia"/>
          <w:color w:val="auto"/>
          <w:kern w:val="0"/>
          <w:highlight w:val="none"/>
        </w:rPr>
        <w:t>二、中小企业划分为中型、小型、微型三种类型，具体标准根据企业从业人员、营业收入、资产总额等指标，结合行业特点制定。</w:t>
      </w:r>
    </w:p>
    <w:p w14:paraId="2DD320B3">
      <w:pPr>
        <w:rPr>
          <w:color w:val="auto"/>
          <w:kern w:val="0"/>
          <w:highlight w:val="none"/>
        </w:rPr>
      </w:pPr>
      <w:r>
        <w:rPr>
          <w:rFonts w:hint="eastAsia"/>
          <w:color w:val="auto"/>
          <w:kern w:val="0"/>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D036DD5">
      <w:pPr>
        <w:rPr>
          <w:color w:val="auto"/>
          <w:kern w:val="0"/>
          <w:highlight w:val="none"/>
        </w:rPr>
      </w:pPr>
      <w:r>
        <w:rPr>
          <w:rFonts w:hint="eastAsia"/>
          <w:color w:val="auto"/>
          <w:kern w:val="0"/>
          <w:highlight w:val="none"/>
        </w:rPr>
        <w:t>四、各行业划型标准为：</w:t>
      </w:r>
    </w:p>
    <w:p w14:paraId="348574AB">
      <w:pPr>
        <w:rPr>
          <w:color w:val="auto"/>
          <w:kern w:val="0"/>
          <w:highlight w:val="none"/>
        </w:rPr>
      </w:pPr>
      <w:r>
        <w:rPr>
          <w:rFonts w:hint="eastAsia"/>
          <w:color w:val="auto"/>
          <w:kern w:val="0"/>
          <w:highlight w:val="none"/>
        </w:rPr>
        <w:t>（一）农、林、牧、渔业。营业收入20000万元以下的为中小微型企业。其中，营业收入500万元及以上的为中型企业，营业收入50万元及以上的为小型企业，营业收入50万元以下的为微型企业。</w:t>
      </w:r>
    </w:p>
    <w:p w14:paraId="7313BAEA">
      <w:pPr>
        <w:rPr>
          <w:color w:val="auto"/>
          <w:kern w:val="0"/>
          <w:highlight w:val="none"/>
        </w:rPr>
      </w:pPr>
      <w:r>
        <w:rPr>
          <w:rFonts w:hint="eastAsia"/>
          <w:color w:val="auto"/>
          <w:kern w:val="0"/>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334D0D">
      <w:pPr>
        <w:rPr>
          <w:color w:val="auto"/>
          <w:kern w:val="0"/>
          <w:highlight w:val="none"/>
        </w:rPr>
      </w:pPr>
      <w:r>
        <w:rPr>
          <w:rFonts w:hint="eastAsia"/>
          <w:color w:val="auto"/>
          <w:kern w:val="0"/>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AE68F34">
      <w:pPr>
        <w:rPr>
          <w:color w:val="auto"/>
          <w:kern w:val="0"/>
          <w:highlight w:val="none"/>
        </w:rPr>
      </w:pPr>
      <w:r>
        <w:rPr>
          <w:rFonts w:hint="eastAsia"/>
          <w:color w:val="auto"/>
          <w:kern w:val="0"/>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021770">
      <w:pPr>
        <w:rPr>
          <w:color w:val="auto"/>
          <w:kern w:val="0"/>
          <w:highlight w:val="none"/>
        </w:rPr>
      </w:pPr>
      <w:r>
        <w:rPr>
          <w:rFonts w:hint="eastAsia"/>
          <w:color w:val="auto"/>
          <w:kern w:val="0"/>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68D0EB">
      <w:pPr>
        <w:rPr>
          <w:color w:val="auto"/>
          <w:kern w:val="0"/>
          <w:highlight w:val="none"/>
        </w:rPr>
      </w:pPr>
      <w:r>
        <w:rPr>
          <w:rFonts w:hint="eastAsia"/>
          <w:color w:val="auto"/>
          <w:kern w:val="0"/>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988CEE">
      <w:pPr>
        <w:rPr>
          <w:color w:val="auto"/>
          <w:kern w:val="0"/>
          <w:highlight w:val="none"/>
        </w:rPr>
      </w:pPr>
      <w:r>
        <w:rPr>
          <w:rFonts w:hint="eastAsia"/>
          <w:color w:val="auto"/>
          <w:kern w:val="0"/>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7340D5">
      <w:pPr>
        <w:rPr>
          <w:color w:val="auto"/>
          <w:kern w:val="0"/>
          <w:highlight w:val="none"/>
        </w:rPr>
      </w:pPr>
      <w:r>
        <w:rPr>
          <w:rFonts w:hint="eastAsia"/>
          <w:color w:val="auto"/>
          <w:kern w:val="0"/>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A57E0FB">
      <w:pPr>
        <w:rPr>
          <w:color w:val="auto"/>
          <w:kern w:val="0"/>
          <w:highlight w:val="none"/>
        </w:rPr>
      </w:pPr>
      <w:r>
        <w:rPr>
          <w:rFonts w:hint="eastAsia"/>
          <w:color w:val="auto"/>
          <w:kern w:val="0"/>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A71335">
      <w:pPr>
        <w:rPr>
          <w:color w:val="auto"/>
          <w:kern w:val="0"/>
          <w:highlight w:val="none"/>
        </w:rPr>
      </w:pPr>
      <w:r>
        <w:rPr>
          <w:rFonts w:hint="eastAsia"/>
          <w:color w:val="auto"/>
          <w:kern w:val="0"/>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2D0472">
      <w:pPr>
        <w:rPr>
          <w:color w:val="auto"/>
          <w:kern w:val="0"/>
          <w:highlight w:val="none"/>
        </w:rPr>
      </w:pPr>
      <w:r>
        <w:rPr>
          <w:rFonts w:hint="eastAsia"/>
          <w:color w:val="auto"/>
          <w:kern w:val="0"/>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56BFF6">
      <w:pPr>
        <w:rPr>
          <w:color w:val="auto"/>
          <w:kern w:val="0"/>
          <w:highlight w:val="none"/>
        </w:rPr>
      </w:pPr>
      <w:r>
        <w:rPr>
          <w:rFonts w:hint="eastAsia"/>
          <w:color w:val="auto"/>
          <w:kern w:val="0"/>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6FD0C1">
      <w:pPr>
        <w:rPr>
          <w:color w:val="auto"/>
          <w:kern w:val="0"/>
          <w:highlight w:val="none"/>
        </w:rPr>
      </w:pPr>
      <w:r>
        <w:rPr>
          <w:rFonts w:hint="eastAsia"/>
          <w:color w:val="auto"/>
          <w:kern w:val="0"/>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E69135">
      <w:pPr>
        <w:rPr>
          <w:color w:val="auto"/>
          <w:kern w:val="0"/>
          <w:highlight w:val="none"/>
        </w:rPr>
      </w:pPr>
      <w:r>
        <w:rPr>
          <w:rFonts w:hint="eastAsia"/>
          <w:color w:val="auto"/>
          <w:kern w:val="0"/>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A0B68F">
      <w:pPr>
        <w:rPr>
          <w:color w:val="auto"/>
          <w:kern w:val="0"/>
          <w:highlight w:val="none"/>
        </w:rPr>
      </w:pPr>
      <w:r>
        <w:rPr>
          <w:rFonts w:hint="eastAsia"/>
          <w:color w:val="auto"/>
          <w:kern w:val="0"/>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AC480A">
      <w:pPr>
        <w:rPr>
          <w:color w:val="auto"/>
          <w:kern w:val="0"/>
          <w:highlight w:val="none"/>
        </w:rPr>
      </w:pPr>
      <w:r>
        <w:rPr>
          <w:rFonts w:hint="eastAsia"/>
          <w:color w:val="auto"/>
          <w:kern w:val="0"/>
          <w:highlight w:val="none"/>
        </w:rPr>
        <w:t>（十六）其他未列明行业。从业人员300人以下的为中小微型企业。其中，从业人员100人及以上的为中型企业；从业人员10人及以上的为小型企业；从业人员10人以下的为微型企业。</w:t>
      </w:r>
    </w:p>
    <w:p w14:paraId="4F29B25D">
      <w:pPr>
        <w:rPr>
          <w:color w:val="auto"/>
          <w:kern w:val="0"/>
          <w:highlight w:val="none"/>
        </w:rPr>
      </w:pPr>
      <w:r>
        <w:rPr>
          <w:rFonts w:hint="eastAsia"/>
          <w:color w:val="auto"/>
          <w:kern w:val="0"/>
          <w:highlight w:val="none"/>
        </w:rPr>
        <w:t>五、企业类型的划分以统计部门的统计数据为依据。</w:t>
      </w:r>
    </w:p>
    <w:p w14:paraId="5C8F1008">
      <w:pPr>
        <w:rPr>
          <w:color w:val="auto"/>
          <w:kern w:val="0"/>
          <w:highlight w:val="none"/>
        </w:rPr>
      </w:pPr>
      <w:r>
        <w:rPr>
          <w:rFonts w:hint="eastAsia"/>
          <w:color w:val="auto"/>
          <w:kern w:val="0"/>
          <w:highlight w:val="none"/>
        </w:rPr>
        <w:t>六、本规定适用于在中华人民共和国境内依法设立的各类所有制和各种组织形式的企业。个体工商户和本规定以外的行业，参照本规定进行划型。</w:t>
      </w:r>
    </w:p>
    <w:p w14:paraId="6229FC6E">
      <w:pPr>
        <w:rPr>
          <w:color w:val="auto"/>
          <w:kern w:val="0"/>
          <w:highlight w:val="none"/>
        </w:rPr>
      </w:pPr>
      <w:r>
        <w:rPr>
          <w:rFonts w:hint="eastAsia"/>
          <w:color w:val="auto"/>
          <w:kern w:val="0"/>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F88EDB0">
      <w:pPr>
        <w:rPr>
          <w:color w:val="auto"/>
          <w:kern w:val="0"/>
          <w:highlight w:val="none"/>
        </w:rPr>
      </w:pPr>
      <w:r>
        <w:rPr>
          <w:rFonts w:hint="eastAsia"/>
          <w:color w:val="auto"/>
          <w:kern w:val="0"/>
          <w:highlight w:val="none"/>
        </w:rPr>
        <w:t>八、本规定由工业和信息化部、国家统计局会同有关部门根据《国民经济行业分类》修订情况和企业发展变化情况适时修订。</w:t>
      </w:r>
    </w:p>
    <w:p w14:paraId="3837B74C">
      <w:pPr>
        <w:rPr>
          <w:color w:val="auto"/>
          <w:kern w:val="0"/>
          <w:highlight w:val="none"/>
        </w:rPr>
      </w:pPr>
      <w:r>
        <w:rPr>
          <w:rFonts w:hint="eastAsia"/>
          <w:color w:val="auto"/>
          <w:kern w:val="0"/>
          <w:highlight w:val="none"/>
        </w:rPr>
        <w:t>九、本规定由工业和信息化部、国家统计局会同有关部门负责解释。</w:t>
      </w:r>
    </w:p>
    <w:p w14:paraId="51300F23">
      <w:pPr>
        <w:rPr>
          <w:color w:val="auto"/>
          <w:kern w:val="0"/>
          <w:highlight w:val="none"/>
        </w:rPr>
      </w:pPr>
      <w:r>
        <w:rPr>
          <w:rFonts w:hint="eastAsia"/>
          <w:color w:val="auto"/>
          <w:kern w:val="0"/>
          <w:highlight w:val="none"/>
        </w:rPr>
        <w:t>十、本规定自发布之日起执行，原国家经贸委、原国家计委、财政部和国家统计局2003年颁布的《中小企业标准暂行规定》同时废止。</w:t>
      </w:r>
    </w:p>
    <w:p w14:paraId="28DA37E8">
      <w:pPr>
        <w:rPr>
          <w:color w:val="auto"/>
          <w:kern w:val="44"/>
          <w:highlight w:val="none"/>
        </w:rPr>
        <w:sectPr>
          <w:pgSz w:w="11906" w:h="16838"/>
          <w:pgMar w:top="1304" w:right="1418" w:bottom="1304" w:left="1418" w:header="851" w:footer="992" w:gutter="0"/>
          <w:cols w:space="720" w:num="1"/>
          <w:docGrid w:linePitch="312" w:charSpace="0"/>
        </w:sectPr>
      </w:pPr>
    </w:p>
    <w:p w14:paraId="01C4800C">
      <w:pPr>
        <w:pStyle w:val="3"/>
        <w:ind w:firstLine="643"/>
        <w:jc w:val="center"/>
        <w:rPr>
          <w:color w:val="auto"/>
          <w:highlight w:val="none"/>
        </w:rPr>
      </w:pPr>
      <w:bookmarkStart w:id="44" w:name="_Toc3452"/>
      <w:r>
        <w:rPr>
          <w:rFonts w:hint="eastAsia"/>
          <w:color w:val="auto"/>
          <w:highlight w:val="none"/>
        </w:rPr>
        <w:t>第三章  投标人须知</w:t>
      </w:r>
      <w:bookmarkEnd w:id="44"/>
    </w:p>
    <w:p w14:paraId="63107CDC">
      <w:pPr>
        <w:jc w:val="center"/>
        <w:rPr>
          <w:color w:val="auto"/>
          <w:highlight w:val="none"/>
        </w:rPr>
      </w:pPr>
      <w:bookmarkStart w:id="45" w:name="_Toc254970526"/>
      <w:bookmarkStart w:id="46" w:name="_Toc254970667"/>
      <w:r>
        <w:rPr>
          <w:rFonts w:hint="eastAsia"/>
          <w:color w:val="auto"/>
          <w:highlight w:val="none"/>
        </w:rPr>
        <w:t>投标人须知前附表</w:t>
      </w:r>
      <w:bookmarkEnd w:id="45"/>
      <w:bookmarkEnd w:id="46"/>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7654"/>
      </w:tblGrid>
      <w:tr w14:paraId="793BA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10DAD8B">
            <w:pPr>
              <w:ind w:firstLine="0" w:firstLineChars="0"/>
              <w:rPr>
                <w:color w:val="auto"/>
                <w:highlight w:val="none"/>
              </w:rPr>
            </w:pPr>
            <w:r>
              <w:rPr>
                <w:rFonts w:hint="eastAsia"/>
                <w:color w:val="auto"/>
                <w:highlight w:val="none"/>
              </w:rPr>
              <w:t>条款号</w:t>
            </w:r>
          </w:p>
        </w:tc>
        <w:tc>
          <w:tcPr>
            <w:tcW w:w="7654" w:type="dxa"/>
            <w:tcBorders>
              <w:top w:val="single" w:color="auto" w:sz="4" w:space="0"/>
              <w:left w:val="single" w:color="auto" w:sz="4" w:space="0"/>
              <w:bottom w:val="single" w:color="auto" w:sz="4" w:space="0"/>
              <w:right w:val="single" w:color="auto" w:sz="4" w:space="0"/>
            </w:tcBorders>
            <w:vAlign w:val="center"/>
          </w:tcPr>
          <w:p w14:paraId="5E74ACB8">
            <w:pPr>
              <w:rPr>
                <w:color w:val="auto"/>
                <w:highlight w:val="none"/>
              </w:rPr>
            </w:pPr>
            <w:r>
              <w:rPr>
                <w:rFonts w:hint="eastAsia"/>
                <w:color w:val="auto"/>
                <w:highlight w:val="none"/>
              </w:rPr>
              <w:t>编列内容</w:t>
            </w:r>
          </w:p>
        </w:tc>
      </w:tr>
      <w:tr w14:paraId="262F1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B197957">
            <w:pPr>
              <w:ind w:firstLine="0" w:firstLineChars="0"/>
              <w:rPr>
                <w:color w:val="auto"/>
                <w:highlight w:val="none"/>
              </w:rPr>
            </w:pPr>
            <w:r>
              <w:rPr>
                <w:rFonts w:hint="eastAsia"/>
                <w:color w:val="auto"/>
                <w:highlight w:val="none"/>
              </w:rPr>
              <w:t>3</w:t>
            </w:r>
          </w:p>
        </w:tc>
        <w:tc>
          <w:tcPr>
            <w:tcW w:w="7654" w:type="dxa"/>
            <w:tcBorders>
              <w:top w:val="single" w:color="auto" w:sz="4" w:space="0"/>
              <w:left w:val="single" w:color="auto" w:sz="4" w:space="0"/>
              <w:bottom w:val="single" w:color="auto" w:sz="4" w:space="0"/>
              <w:right w:val="single" w:color="auto" w:sz="4" w:space="0"/>
            </w:tcBorders>
            <w:vAlign w:val="center"/>
          </w:tcPr>
          <w:p w14:paraId="63B33C29">
            <w:pPr>
              <w:rPr>
                <w:color w:val="auto"/>
                <w:highlight w:val="none"/>
              </w:rPr>
            </w:pPr>
            <w:r>
              <w:rPr>
                <w:rFonts w:hint="eastAsia"/>
                <w:color w:val="auto"/>
                <w:highlight w:val="none"/>
              </w:rPr>
              <w:t>1</w:t>
            </w:r>
            <w:r>
              <w:rPr>
                <w:color w:val="auto"/>
                <w:highlight w:val="none"/>
              </w:rPr>
              <w:t>.</w:t>
            </w:r>
            <w:r>
              <w:rPr>
                <w:rFonts w:hint="eastAsia"/>
                <w:color w:val="auto"/>
                <w:highlight w:val="none"/>
              </w:rPr>
              <w:t>投标人的资格要求详见招标公告。</w:t>
            </w:r>
          </w:p>
          <w:p w14:paraId="4B81FE23">
            <w:pPr>
              <w:rPr>
                <w:color w:val="auto"/>
                <w:highlight w:val="none"/>
              </w:rPr>
            </w:pPr>
            <w:r>
              <w:rPr>
                <w:rFonts w:hint="eastAsia"/>
                <w:color w:val="auto"/>
                <w:highlight w:val="none"/>
              </w:rPr>
              <w:t>2</w:t>
            </w:r>
            <w:r>
              <w:rPr>
                <w:color w:val="auto"/>
                <w:highlight w:val="none"/>
              </w:rPr>
              <w:t>.</w:t>
            </w:r>
            <w:r>
              <w:rPr>
                <w:rFonts w:hint="eastAsia"/>
                <w:color w:val="auto"/>
                <w:highlight w:val="none"/>
              </w:rPr>
              <w:t>投标人出现下列情形之一的，不得参加政府采购活动：</w:t>
            </w:r>
          </w:p>
          <w:p w14:paraId="12A609C4">
            <w:pPr>
              <w:rPr>
                <w:color w:val="auto"/>
                <w:highlight w:val="none"/>
              </w:rPr>
            </w:pPr>
            <w:r>
              <w:rPr>
                <w:color w:val="auto"/>
                <w:highlight w:val="none"/>
              </w:rPr>
              <w:t>2.1</w:t>
            </w:r>
            <w:r>
              <w:rPr>
                <w:rFonts w:hint="eastAsia"/>
                <w:color w:val="auto"/>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F343AA6">
            <w:pPr>
              <w:rPr>
                <w:color w:val="auto"/>
                <w:highlight w:val="none"/>
              </w:rPr>
            </w:pPr>
            <w:r>
              <w:rPr>
                <w:color w:val="auto"/>
                <w:highlight w:val="none"/>
              </w:rPr>
              <w:t>2.2</w:t>
            </w:r>
            <w:r>
              <w:rPr>
                <w:rFonts w:hint="eastAsia"/>
                <w:color w:val="auto"/>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271FE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59" w:type="dxa"/>
            <w:tcBorders>
              <w:top w:val="single" w:color="auto" w:sz="4" w:space="0"/>
              <w:left w:val="single" w:color="auto" w:sz="4" w:space="0"/>
              <w:bottom w:val="single" w:color="auto" w:sz="4" w:space="0"/>
              <w:right w:val="single" w:color="auto" w:sz="4" w:space="0"/>
            </w:tcBorders>
            <w:vAlign w:val="center"/>
          </w:tcPr>
          <w:p w14:paraId="167E170C">
            <w:pPr>
              <w:ind w:firstLine="0" w:firstLineChars="0"/>
              <w:rPr>
                <w:color w:val="auto"/>
                <w:highlight w:val="none"/>
              </w:rPr>
            </w:pPr>
            <w:bookmarkStart w:id="47" w:name="_9.2"/>
            <w:bookmarkEnd w:id="47"/>
            <w:bookmarkStart w:id="48" w:name="_5"/>
            <w:bookmarkEnd w:id="48"/>
            <w:bookmarkStart w:id="49" w:name="_8.1"/>
            <w:bookmarkEnd w:id="49"/>
            <w:r>
              <w:rPr>
                <w:rFonts w:hint="eastAsia"/>
                <w:color w:val="auto"/>
                <w:highlight w:val="none"/>
              </w:rPr>
              <w:t>6.1</w:t>
            </w:r>
          </w:p>
        </w:tc>
        <w:tc>
          <w:tcPr>
            <w:tcW w:w="7654" w:type="dxa"/>
            <w:tcBorders>
              <w:top w:val="single" w:color="auto" w:sz="4" w:space="0"/>
              <w:left w:val="single" w:color="auto" w:sz="4" w:space="0"/>
              <w:bottom w:val="single" w:color="auto" w:sz="4" w:space="0"/>
              <w:right w:val="single" w:color="auto" w:sz="4" w:space="0"/>
            </w:tcBorders>
            <w:vAlign w:val="center"/>
          </w:tcPr>
          <w:p w14:paraId="6B3572D7">
            <w:pPr>
              <w:rPr>
                <w:color w:val="auto"/>
                <w:highlight w:val="none"/>
              </w:rPr>
            </w:pPr>
            <w:r>
              <w:rPr>
                <w:rFonts w:hint="eastAsia"/>
                <w:color w:val="auto"/>
                <w:highlight w:val="none"/>
              </w:rPr>
              <w:t>本项目是否接受联合体投标：详见招标公告。</w:t>
            </w:r>
          </w:p>
        </w:tc>
      </w:tr>
      <w:tr w14:paraId="729A4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E929C9D">
            <w:pPr>
              <w:ind w:firstLine="0" w:firstLineChars="0"/>
              <w:rPr>
                <w:color w:val="auto"/>
                <w:highlight w:val="none"/>
              </w:rPr>
            </w:pPr>
            <w:r>
              <w:rPr>
                <w:color w:val="auto"/>
                <w:highlight w:val="none"/>
              </w:rPr>
              <w:t>6.2</w:t>
            </w:r>
          </w:p>
        </w:tc>
        <w:tc>
          <w:tcPr>
            <w:tcW w:w="7654" w:type="dxa"/>
            <w:tcBorders>
              <w:top w:val="single" w:color="auto" w:sz="4" w:space="0"/>
              <w:left w:val="single" w:color="auto" w:sz="4" w:space="0"/>
              <w:bottom w:val="single" w:color="auto" w:sz="4" w:space="0"/>
              <w:right w:val="single" w:color="auto" w:sz="4" w:space="0"/>
            </w:tcBorders>
            <w:vAlign w:val="center"/>
          </w:tcPr>
          <w:p w14:paraId="79C3B136">
            <w:pPr>
              <w:rPr>
                <w:color w:val="auto"/>
                <w:highlight w:val="none"/>
              </w:rPr>
            </w:pPr>
            <w:bookmarkStart w:id="50" w:name="_Hlk54105293"/>
            <w:r>
              <w:rPr>
                <w:rFonts w:hint="eastAsia"/>
                <w:color w:val="auto"/>
                <w:highlight w:val="none"/>
              </w:rPr>
              <w:t>如接受联合体投标，</w:t>
            </w:r>
            <w:bookmarkEnd w:id="50"/>
            <w:r>
              <w:rPr>
                <w:rFonts w:hint="eastAsia"/>
                <w:color w:val="auto"/>
                <w:highlight w:val="none"/>
              </w:rPr>
              <w:t>联合体投标要求如下：</w:t>
            </w:r>
          </w:p>
          <w:p w14:paraId="2837FFA2">
            <w:pPr>
              <w:rPr>
                <w:color w:val="auto"/>
                <w:highlight w:val="none"/>
              </w:rPr>
            </w:pPr>
            <w:r>
              <w:rPr>
                <w:rFonts w:hint="eastAsia"/>
                <w:color w:val="auto"/>
                <w:highlight w:val="none"/>
              </w:rPr>
              <w:t>1</w:t>
            </w:r>
            <w:r>
              <w:rPr>
                <w:color w:val="auto"/>
                <w:highlight w:val="none"/>
              </w:rPr>
              <w:t>.</w:t>
            </w:r>
            <w:r>
              <w:rPr>
                <w:rFonts w:hint="eastAsia"/>
                <w:color w:val="auto"/>
                <w:highlight w:val="none"/>
              </w:rPr>
              <w:t>两个以上投标人可以组成一个投标联合体，以一个投标人的身份共同参加投标。联合体投标的，须提供《联合体投标协议书》（格式后附）。</w:t>
            </w:r>
          </w:p>
          <w:p w14:paraId="3CA85FB1">
            <w:pPr>
              <w:rPr>
                <w:color w:val="auto"/>
                <w:highlight w:val="none"/>
              </w:rPr>
            </w:pPr>
            <w:r>
              <w:rPr>
                <w:rFonts w:hint="eastAsia"/>
                <w:color w:val="auto"/>
                <w:highlight w:val="none"/>
              </w:rPr>
              <w:t>2</w:t>
            </w:r>
            <w:r>
              <w:rPr>
                <w:color w:val="auto"/>
                <w:highlight w:val="none"/>
              </w:rPr>
              <w:t>.</w:t>
            </w:r>
            <w:r>
              <w:rPr>
                <w:rFonts w:hint="eastAsia"/>
                <w:color w:val="auto"/>
                <w:highlight w:val="none"/>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170AE466">
            <w:pPr>
              <w:rPr>
                <w:color w:val="auto"/>
                <w:highlight w:val="none"/>
              </w:rPr>
            </w:pPr>
            <w:r>
              <w:rPr>
                <w:rFonts w:hint="eastAsia"/>
                <w:color w:val="auto"/>
                <w:highlight w:val="none"/>
              </w:rPr>
              <w:t>3</w:t>
            </w:r>
            <w:r>
              <w:rPr>
                <w:color w:val="auto"/>
                <w:highlight w:val="none"/>
              </w:rPr>
              <w:t>.</w:t>
            </w:r>
            <w:r>
              <w:rPr>
                <w:rFonts w:hint="eastAsia"/>
                <w:color w:val="auto"/>
                <w:highlight w:val="none"/>
              </w:rPr>
              <w:t>联合体各方之间必须签订联合投标协议，协议书必须明确主体方（或者牵头方）并明确约定联合体各方承担的工作和相应的责任（各方承担责任与义务的分工必须符合采购需求，否则，</w:t>
            </w:r>
            <w:r>
              <w:rPr>
                <w:rFonts w:hint="eastAsia"/>
                <w:b/>
                <w:bCs/>
                <w:color w:val="auto"/>
                <w:highlight w:val="none"/>
              </w:rPr>
              <w:t>联合体投标无效</w:t>
            </w:r>
            <w:r>
              <w:rPr>
                <w:rFonts w:hint="eastAsia"/>
                <w:color w:val="auto"/>
                <w:highlight w:val="none"/>
              </w:rPr>
              <w:t>），并将联合投标协议放入投标文件。联合体各方必须共同与采购人签订采购合同，就采购合同约定的事项对采购人承担连带责任。</w:t>
            </w:r>
          </w:p>
          <w:p w14:paraId="29936F64">
            <w:pPr>
              <w:rPr>
                <w:color w:val="auto"/>
                <w:highlight w:val="none"/>
              </w:rPr>
            </w:pPr>
            <w:r>
              <w:rPr>
                <w:rFonts w:hint="eastAsia"/>
                <w:color w:val="auto"/>
                <w:highlight w:val="none"/>
              </w:rPr>
              <w:t>4</w:t>
            </w:r>
            <w:r>
              <w:rPr>
                <w:color w:val="auto"/>
                <w:highlight w:val="none"/>
              </w:rPr>
              <w:t>.</w:t>
            </w:r>
            <w:r>
              <w:rPr>
                <w:rFonts w:hint="eastAsia"/>
                <w:color w:val="auto"/>
                <w:highlight w:val="none"/>
              </w:rPr>
              <w:t>以联合体形式参加政府采购活动的，联合体各方不得再单独参加或者与其他投标人另外组成联合体参加同一合同项下的政府采购活动。</w:t>
            </w:r>
          </w:p>
          <w:p w14:paraId="51660341">
            <w:pPr>
              <w:rPr>
                <w:color w:val="auto"/>
                <w:highlight w:val="none"/>
              </w:rPr>
            </w:pPr>
            <w:r>
              <w:rPr>
                <w:rFonts w:hint="eastAsia"/>
                <w:color w:val="auto"/>
                <w:highlight w:val="none"/>
              </w:rPr>
              <w:t>5</w:t>
            </w:r>
            <w:r>
              <w:rPr>
                <w:color w:val="auto"/>
                <w:highlight w:val="none"/>
              </w:rPr>
              <w:t>.</w:t>
            </w:r>
            <w:r>
              <w:rPr>
                <w:rFonts w:hint="eastAsia"/>
                <w:color w:val="auto"/>
                <w:highlight w:val="none"/>
              </w:rPr>
              <w:t>联合体中有同类资质的投标人按照联合体分工承担相同工作的，应当按照资质等级较低的投标人确定资质等级。</w:t>
            </w:r>
          </w:p>
          <w:p w14:paraId="2303F70A">
            <w:pPr>
              <w:rPr>
                <w:color w:val="auto"/>
                <w:highlight w:val="none"/>
              </w:rPr>
            </w:pPr>
            <w:r>
              <w:rPr>
                <w:rFonts w:hint="eastAsia"/>
                <w:color w:val="auto"/>
                <w:highlight w:val="none"/>
              </w:rPr>
              <w:t>6</w:t>
            </w:r>
            <w:r>
              <w:rPr>
                <w:color w:val="auto"/>
                <w:highlight w:val="none"/>
              </w:rPr>
              <w:t>.</w:t>
            </w:r>
            <w:r>
              <w:rPr>
                <w:rFonts w:hint="eastAsia"/>
                <w:color w:val="auto"/>
                <w:highlight w:val="none"/>
              </w:rPr>
              <w:t>联合体投标业绩、履约能力按照联合体各方其中较高的一方认定并计算（招标文件另有规定的除外）。</w:t>
            </w:r>
          </w:p>
          <w:p w14:paraId="28EBEE95">
            <w:pPr>
              <w:rPr>
                <w:color w:val="auto"/>
                <w:highlight w:val="none"/>
              </w:rPr>
            </w:pPr>
            <w:r>
              <w:rPr>
                <w:rFonts w:hint="eastAsia"/>
                <w:color w:val="auto"/>
                <w:highlight w:val="none"/>
              </w:rPr>
              <w:t>7</w:t>
            </w:r>
            <w:r>
              <w:rPr>
                <w:color w:val="auto"/>
                <w:highlight w:val="none"/>
              </w:rPr>
              <w:t>.</w:t>
            </w:r>
            <w:r>
              <w:rPr>
                <w:rFonts w:hint="eastAsia"/>
                <w:color w:val="auto"/>
                <w:highlight w:val="none"/>
              </w:rPr>
              <w:t>投标人为联合体的，可以由联合体中的一方或者多方共同交纳投标保证金，其交纳的保证金对联合体各方均具有约束力。</w:t>
            </w:r>
          </w:p>
          <w:p w14:paraId="223620B9">
            <w:pPr>
              <w:rPr>
                <w:color w:val="auto"/>
                <w:highlight w:val="none"/>
              </w:rPr>
            </w:pPr>
            <w:r>
              <w:rPr>
                <w:rFonts w:hint="eastAsia"/>
                <w:color w:val="auto"/>
                <w:highlight w:val="none"/>
              </w:rPr>
              <w:t>8</w:t>
            </w:r>
            <w:r>
              <w:rPr>
                <w:color w:val="auto"/>
                <w:highlight w:val="none"/>
              </w:rPr>
              <w:t>.</w:t>
            </w:r>
            <w:r>
              <w:rPr>
                <w:rFonts w:hint="eastAsia"/>
                <w:color w:val="auto"/>
                <w:highlight w:val="none"/>
              </w:rPr>
              <w:t>联合体各方均应按照招标文件的规定提交资格证明文件。</w:t>
            </w:r>
          </w:p>
        </w:tc>
      </w:tr>
      <w:tr w14:paraId="09647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946A14E">
            <w:pPr>
              <w:ind w:firstLine="0" w:firstLineChars="0"/>
              <w:rPr>
                <w:color w:val="auto"/>
                <w:highlight w:val="none"/>
              </w:rPr>
            </w:pPr>
            <w:r>
              <w:rPr>
                <w:rFonts w:hint="eastAsia"/>
                <w:color w:val="auto"/>
                <w:highlight w:val="none"/>
              </w:rPr>
              <w:t>7.2</w:t>
            </w:r>
          </w:p>
        </w:tc>
        <w:tc>
          <w:tcPr>
            <w:tcW w:w="7654" w:type="dxa"/>
            <w:tcBorders>
              <w:top w:val="single" w:color="auto" w:sz="4" w:space="0"/>
              <w:left w:val="single" w:color="auto" w:sz="4" w:space="0"/>
              <w:bottom w:val="single" w:color="auto" w:sz="4" w:space="0"/>
              <w:right w:val="single" w:color="auto" w:sz="4" w:space="0"/>
            </w:tcBorders>
            <w:vAlign w:val="center"/>
          </w:tcPr>
          <w:p w14:paraId="5B0F1D50">
            <w:pPr>
              <w:rPr>
                <w:color w:val="auto"/>
                <w:highlight w:val="none"/>
              </w:rPr>
            </w:pPr>
            <w:r>
              <w:rPr>
                <w:rFonts w:hint="eastAsia"/>
                <w:color w:val="auto"/>
                <w:highlight w:val="none"/>
                <w:lang w:eastAsia="zh-CN"/>
              </w:rPr>
              <w:t>☑</w:t>
            </w:r>
            <w:r>
              <w:rPr>
                <w:rFonts w:hint="eastAsia"/>
                <w:color w:val="auto"/>
                <w:highlight w:val="none"/>
              </w:rPr>
              <w:t>不允许分包</w:t>
            </w:r>
          </w:p>
          <w:p w14:paraId="466A198A">
            <w:pPr>
              <w:rPr>
                <w:color w:val="auto"/>
                <w:highlight w:val="none"/>
              </w:rPr>
            </w:pPr>
            <w:r>
              <w:rPr>
                <w:rFonts w:hint="eastAsia"/>
                <w:color w:val="auto"/>
                <w:highlight w:val="none"/>
              </w:rPr>
              <w:t>□允许分包</w:t>
            </w:r>
          </w:p>
          <w:p w14:paraId="344BD2C4">
            <w:pPr>
              <w:rPr>
                <w:color w:val="auto"/>
                <w:highlight w:val="none"/>
              </w:rPr>
            </w:pPr>
            <w:r>
              <w:rPr>
                <w:rFonts w:hint="eastAsia"/>
                <w:color w:val="auto"/>
                <w:highlight w:val="none"/>
              </w:rPr>
              <w:t>分包内容：</w:t>
            </w:r>
            <w:r>
              <w:rPr>
                <w:rFonts w:hint="eastAsia"/>
                <w:color w:val="auto"/>
                <w:highlight w:val="none"/>
                <w:u w:val="single"/>
              </w:rPr>
              <w:t xml:space="preserve">                                     </w:t>
            </w:r>
            <w:r>
              <w:rPr>
                <w:rFonts w:hint="eastAsia"/>
                <w:color w:val="auto"/>
                <w:highlight w:val="none"/>
              </w:rPr>
              <w:t>。</w:t>
            </w:r>
          </w:p>
          <w:p w14:paraId="00535130">
            <w:pPr>
              <w:rPr>
                <w:color w:val="auto"/>
                <w:highlight w:val="none"/>
              </w:rPr>
            </w:pPr>
            <w:r>
              <w:rPr>
                <w:rFonts w:hint="eastAsia"/>
                <w:color w:val="auto"/>
                <w:highlight w:val="none"/>
              </w:rPr>
              <w:t>分包金额或者比例：</w:t>
            </w:r>
            <w:r>
              <w:rPr>
                <w:rFonts w:hint="eastAsia"/>
                <w:color w:val="auto"/>
                <w:highlight w:val="none"/>
                <w:u w:val="single"/>
              </w:rPr>
              <w:t xml:space="preserve">                                     </w:t>
            </w:r>
            <w:r>
              <w:rPr>
                <w:rFonts w:hint="eastAsia"/>
                <w:color w:val="auto"/>
                <w:highlight w:val="none"/>
              </w:rPr>
              <w:t>。</w:t>
            </w:r>
          </w:p>
        </w:tc>
      </w:tr>
      <w:tr w14:paraId="7B355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6F6FF8C">
            <w:pPr>
              <w:ind w:firstLine="0" w:firstLineChars="0"/>
              <w:rPr>
                <w:color w:val="auto"/>
                <w:highlight w:val="none"/>
              </w:rPr>
            </w:pPr>
            <w:r>
              <w:rPr>
                <w:rFonts w:hint="eastAsia"/>
                <w:color w:val="auto"/>
                <w:highlight w:val="none"/>
              </w:rPr>
              <w:t>8.1</w:t>
            </w:r>
          </w:p>
        </w:tc>
        <w:tc>
          <w:tcPr>
            <w:tcW w:w="7654" w:type="dxa"/>
            <w:tcBorders>
              <w:top w:val="single" w:color="auto" w:sz="4" w:space="0"/>
              <w:left w:val="single" w:color="auto" w:sz="4" w:space="0"/>
              <w:bottom w:val="single" w:color="auto" w:sz="4" w:space="0"/>
              <w:right w:val="single" w:color="auto" w:sz="4" w:space="0"/>
            </w:tcBorders>
            <w:vAlign w:val="center"/>
          </w:tcPr>
          <w:p w14:paraId="65B363B8">
            <w:pPr>
              <w:rPr>
                <w:color w:val="auto"/>
                <w:highlight w:val="none"/>
              </w:rPr>
            </w:pPr>
            <w:r>
              <w:rPr>
                <w:rFonts w:hint="eastAsia"/>
                <w:color w:val="auto"/>
                <w:highlight w:val="none"/>
              </w:rPr>
              <w:t>采用综合评分法的采购项目，提供相同品牌产品（非单一产品采购项目的，指核心产品）的不同投标人评审得分相同时，按照下列方式确定一个投标人获得中标人推荐资格：</w:t>
            </w:r>
          </w:p>
          <w:p w14:paraId="75D078AE">
            <w:pPr>
              <w:rPr>
                <w:color w:val="auto"/>
                <w:highlight w:val="none"/>
              </w:rPr>
            </w:pPr>
            <w:r>
              <w:rPr>
                <w:rFonts w:hint="eastAsia"/>
                <w:color w:val="auto"/>
                <w:highlight w:val="none"/>
                <w:lang w:eastAsia="zh-CN"/>
              </w:rPr>
              <w:t>☑</w:t>
            </w:r>
            <w:r>
              <w:rPr>
                <w:rFonts w:hint="eastAsia"/>
                <w:color w:val="auto"/>
                <w:highlight w:val="none"/>
              </w:rPr>
              <w:t>依次按投标报价低的优先、政策分得分高的优先、技术评分高的优先、商务评分高的优先、保修期长优先、交货期短优先、故障响应时间短优先的顺序推荐；</w:t>
            </w:r>
          </w:p>
          <w:p w14:paraId="576727C9">
            <w:pPr>
              <w:rPr>
                <w:color w:val="auto"/>
                <w:highlight w:val="none"/>
              </w:rPr>
            </w:pPr>
            <w:r>
              <w:rPr>
                <w:rFonts w:hint="eastAsia"/>
                <w:color w:val="auto"/>
                <w:highlight w:val="none"/>
              </w:rPr>
              <w:t>□随机抽取；</w:t>
            </w:r>
          </w:p>
        </w:tc>
      </w:tr>
      <w:tr w14:paraId="6969F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restart"/>
            <w:tcBorders>
              <w:top w:val="single" w:color="auto" w:sz="4" w:space="0"/>
              <w:left w:val="single" w:color="auto" w:sz="4" w:space="0"/>
              <w:right w:val="single" w:color="auto" w:sz="4" w:space="0"/>
            </w:tcBorders>
            <w:vAlign w:val="center"/>
          </w:tcPr>
          <w:p w14:paraId="0A1A9732">
            <w:pPr>
              <w:ind w:firstLine="0" w:firstLineChars="0"/>
              <w:rPr>
                <w:color w:val="auto"/>
                <w:highlight w:val="none"/>
              </w:rPr>
            </w:pPr>
            <w:r>
              <w:rPr>
                <w:rFonts w:hint="eastAsia"/>
                <w:color w:val="auto"/>
                <w:highlight w:val="none"/>
              </w:rPr>
              <w:t>1</w:t>
            </w:r>
            <w:r>
              <w:rPr>
                <w:color w:val="auto"/>
                <w:highlight w:val="none"/>
              </w:rPr>
              <w:t>1.2</w:t>
            </w:r>
          </w:p>
        </w:tc>
        <w:tc>
          <w:tcPr>
            <w:tcW w:w="7654" w:type="dxa"/>
            <w:tcBorders>
              <w:top w:val="single" w:color="auto" w:sz="4" w:space="0"/>
              <w:left w:val="single" w:color="auto" w:sz="4" w:space="0"/>
              <w:bottom w:val="single" w:color="auto" w:sz="4" w:space="0"/>
              <w:right w:val="single" w:color="auto" w:sz="4" w:space="0"/>
            </w:tcBorders>
            <w:vAlign w:val="center"/>
          </w:tcPr>
          <w:p w14:paraId="0E68042E">
            <w:pPr>
              <w:rPr>
                <w:color w:val="auto"/>
                <w:highlight w:val="none"/>
              </w:rPr>
            </w:pPr>
            <w:r>
              <w:rPr>
                <w:rFonts w:hint="eastAsia"/>
                <w:color w:val="auto"/>
                <w:highlight w:val="none"/>
              </w:rPr>
              <w:t>是否组织现场考察详见第二章《采购需求》中的《涉及项目的其他要求及说明》。</w:t>
            </w:r>
          </w:p>
        </w:tc>
      </w:tr>
      <w:tr w14:paraId="22C82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959" w:type="dxa"/>
            <w:vMerge w:val="continue"/>
            <w:tcBorders>
              <w:left w:val="single" w:color="auto" w:sz="4" w:space="0"/>
              <w:bottom w:val="single" w:color="auto" w:sz="4" w:space="0"/>
              <w:right w:val="single" w:color="auto" w:sz="4" w:space="0"/>
            </w:tcBorders>
            <w:vAlign w:val="center"/>
          </w:tcPr>
          <w:p w14:paraId="66091085">
            <w:pPr>
              <w:rPr>
                <w:color w:val="auto"/>
                <w:highlight w:val="none"/>
              </w:rPr>
            </w:pPr>
          </w:p>
        </w:tc>
        <w:tc>
          <w:tcPr>
            <w:tcW w:w="7654" w:type="dxa"/>
            <w:tcBorders>
              <w:top w:val="single" w:color="auto" w:sz="4" w:space="0"/>
              <w:left w:val="single" w:color="auto" w:sz="4" w:space="0"/>
              <w:bottom w:val="single" w:color="auto" w:sz="4" w:space="0"/>
              <w:right w:val="single" w:color="auto" w:sz="4" w:space="0"/>
            </w:tcBorders>
            <w:vAlign w:val="center"/>
          </w:tcPr>
          <w:p w14:paraId="4D71259B">
            <w:pPr>
              <w:rPr>
                <w:color w:val="auto"/>
                <w:highlight w:val="none"/>
              </w:rPr>
            </w:pPr>
            <w:r>
              <w:rPr>
                <w:rFonts w:hint="eastAsia"/>
                <w:color w:val="auto"/>
                <w:highlight w:val="none"/>
                <w:lang w:eastAsia="zh-CN"/>
              </w:rPr>
              <w:t>☑</w:t>
            </w:r>
            <w:r>
              <w:rPr>
                <w:rFonts w:hint="eastAsia"/>
                <w:color w:val="auto"/>
                <w:highlight w:val="none"/>
              </w:rPr>
              <w:t>不组织召开开标前答疑会</w:t>
            </w:r>
          </w:p>
          <w:p w14:paraId="62819205">
            <w:pPr>
              <w:rPr>
                <w:color w:val="auto"/>
                <w:highlight w:val="none"/>
              </w:rPr>
            </w:pPr>
            <w:r>
              <w:rPr>
                <w:rFonts w:hint="eastAsia"/>
                <w:color w:val="auto"/>
                <w:highlight w:val="none"/>
              </w:rPr>
              <w:t>□组织召开开标前答疑会</w:t>
            </w:r>
          </w:p>
          <w:p w14:paraId="1257283D">
            <w:pPr>
              <w:rPr>
                <w:color w:val="auto"/>
                <w:highlight w:val="none"/>
              </w:rPr>
            </w:pPr>
            <w:r>
              <w:rPr>
                <w:rFonts w:hint="eastAsia"/>
                <w:color w:val="auto"/>
                <w:highlight w:val="none"/>
              </w:rPr>
              <w:t>会议开始时间：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 xml:space="preserve">日 </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分</w:t>
            </w:r>
            <w:r>
              <w:rPr>
                <w:rFonts w:hint="eastAsia"/>
                <w:color w:val="auto"/>
                <w:highlight w:val="none"/>
              </w:rPr>
              <w:t>，逾期后果自负。会议地点：</w:t>
            </w:r>
            <w:r>
              <w:rPr>
                <w:rFonts w:hint="eastAsia"/>
                <w:color w:val="auto"/>
                <w:highlight w:val="none"/>
                <w:u w:val="single"/>
              </w:rPr>
              <w:t xml:space="preserve"> </w:t>
            </w:r>
            <w:r>
              <w:rPr>
                <w:color w:val="auto"/>
                <w:highlight w:val="none"/>
                <w:u w:val="single"/>
              </w:rPr>
              <w:t xml:space="preserve">             </w:t>
            </w:r>
          </w:p>
        </w:tc>
      </w:tr>
      <w:tr w14:paraId="65A7D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14:paraId="65C83D1D">
            <w:pPr>
              <w:ind w:firstLine="0" w:firstLineChars="0"/>
              <w:rPr>
                <w:color w:val="auto"/>
                <w:highlight w:val="none"/>
              </w:rPr>
            </w:pPr>
            <w:bookmarkStart w:id="51" w:name="_13.1"/>
            <w:bookmarkEnd w:id="51"/>
            <w:r>
              <w:rPr>
                <w:rFonts w:hint="eastAsia"/>
                <w:color w:val="auto"/>
                <w:highlight w:val="none"/>
              </w:rPr>
              <w:t>13</w:t>
            </w:r>
          </w:p>
        </w:tc>
        <w:tc>
          <w:tcPr>
            <w:tcW w:w="7654" w:type="dxa"/>
            <w:tcBorders>
              <w:top w:val="single" w:color="auto" w:sz="4" w:space="0"/>
              <w:left w:val="single" w:color="auto" w:sz="4" w:space="0"/>
              <w:bottom w:val="single" w:color="auto" w:sz="4" w:space="0"/>
              <w:right w:val="single" w:color="auto" w:sz="4" w:space="0"/>
            </w:tcBorders>
            <w:vAlign w:val="center"/>
          </w:tcPr>
          <w:p w14:paraId="3DB96044">
            <w:pPr>
              <w:rPr>
                <w:color w:val="auto"/>
                <w:highlight w:val="none"/>
              </w:rPr>
            </w:pPr>
            <w:r>
              <w:rPr>
                <w:rFonts w:hint="eastAsia"/>
                <w:b/>
                <w:bCs/>
                <w:color w:val="auto"/>
                <w:highlight w:val="none"/>
              </w:rPr>
              <w:t>报价文件</w:t>
            </w:r>
            <w:r>
              <w:rPr>
                <w:rFonts w:hint="eastAsia"/>
                <w:color w:val="auto"/>
                <w:highlight w:val="none"/>
              </w:rPr>
              <w:t>：</w:t>
            </w:r>
          </w:p>
          <w:p w14:paraId="198A3124">
            <w:pPr>
              <w:rPr>
                <w:color w:val="auto"/>
                <w:highlight w:val="none"/>
              </w:rPr>
            </w:pPr>
            <w:r>
              <w:rPr>
                <w:color w:val="auto"/>
                <w:highlight w:val="none"/>
              </w:rPr>
              <w:t>1.</w:t>
            </w:r>
            <w:r>
              <w:rPr>
                <w:rFonts w:hint="eastAsia"/>
                <w:color w:val="auto"/>
                <w:highlight w:val="none"/>
              </w:rPr>
              <w:t>投标函（格式后附）；</w:t>
            </w:r>
            <w:r>
              <w:rPr>
                <w:rFonts w:hint="eastAsia"/>
                <w:b/>
                <w:bCs/>
                <w:color w:val="auto"/>
                <w:highlight w:val="none"/>
              </w:rPr>
              <w:t>（必须提供，否则按无效投标处理）</w:t>
            </w:r>
          </w:p>
          <w:p w14:paraId="573413FD">
            <w:pPr>
              <w:rPr>
                <w:color w:val="auto"/>
                <w:highlight w:val="none"/>
              </w:rPr>
            </w:pPr>
            <w:bookmarkStart w:id="52" w:name="_Hlk71299233"/>
            <w:r>
              <w:rPr>
                <w:color w:val="auto"/>
                <w:highlight w:val="none"/>
              </w:rPr>
              <w:t>2.</w:t>
            </w:r>
            <w:r>
              <w:rPr>
                <w:rFonts w:hint="eastAsia"/>
                <w:color w:val="auto"/>
                <w:highlight w:val="none"/>
              </w:rPr>
              <w:t>开标一览表</w:t>
            </w:r>
            <w:bookmarkEnd w:id="52"/>
            <w:r>
              <w:rPr>
                <w:rFonts w:hint="eastAsia"/>
                <w:color w:val="auto"/>
                <w:highlight w:val="none"/>
              </w:rPr>
              <w:t>（格式后附）； （</w:t>
            </w:r>
            <w:r>
              <w:rPr>
                <w:rFonts w:hint="eastAsia"/>
                <w:b/>
                <w:color w:val="auto"/>
                <w:highlight w:val="none"/>
              </w:rPr>
              <w:t>必须提供，否则按无效投标处理</w:t>
            </w:r>
            <w:r>
              <w:rPr>
                <w:rFonts w:hint="eastAsia"/>
                <w:color w:val="auto"/>
                <w:highlight w:val="none"/>
              </w:rPr>
              <w:t>）</w:t>
            </w:r>
          </w:p>
          <w:p w14:paraId="36C23E3C">
            <w:pPr>
              <w:rPr>
                <w:color w:val="auto"/>
                <w:highlight w:val="none"/>
              </w:rPr>
            </w:pPr>
            <w:r>
              <w:rPr>
                <w:color w:val="auto"/>
                <w:highlight w:val="none"/>
              </w:rPr>
              <w:t>3.</w:t>
            </w:r>
            <w:r>
              <w:rPr>
                <w:rFonts w:hint="eastAsia"/>
                <w:color w:val="auto"/>
                <w:highlight w:val="none"/>
              </w:rPr>
              <w:t>投标人针对报价需要说明的其他文件和说明（</w:t>
            </w:r>
            <w:r>
              <w:rPr>
                <w:rFonts w:hint="eastAsia"/>
                <w:color w:val="auto"/>
                <w:highlight w:val="none"/>
                <w:lang w:eastAsia="zh-CN"/>
              </w:rPr>
              <w:t>如有，</w:t>
            </w:r>
            <w:r>
              <w:rPr>
                <w:rFonts w:hint="eastAsia"/>
                <w:color w:val="auto"/>
                <w:highlight w:val="none"/>
              </w:rPr>
              <w:t>格式自拟）。</w:t>
            </w:r>
          </w:p>
          <w:p w14:paraId="082743B7">
            <w:pPr>
              <w:rPr>
                <w:color w:val="auto"/>
                <w:highlight w:val="none"/>
              </w:rPr>
            </w:pPr>
            <w:r>
              <w:rPr>
                <w:rFonts w:hint="eastAsia"/>
                <w:color w:val="auto"/>
                <w:highlight w:val="none"/>
              </w:rPr>
              <w:t>注：投标函、开标一览表必须由法定代表人（或负责人）或者委托代理人在规定签章处逐一签字或者电子签名并加盖投标人公章，否则按无效投标</w:t>
            </w:r>
            <w:r>
              <w:rPr>
                <w:rFonts w:hint="eastAsia" w:cs="Courier New"/>
                <w:color w:val="auto"/>
                <w:highlight w:val="none"/>
              </w:rPr>
              <w:t>处理</w:t>
            </w:r>
            <w:r>
              <w:rPr>
                <w:rFonts w:hint="eastAsia"/>
                <w:color w:val="auto"/>
                <w:highlight w:val="none"/>
              </w:rPr>
              <w:t>。</w:t>
            </w:r>
          </w:p>
        </w:tc>
      </w:tr>
      <w:tr w14:paraId="5BDB5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14:paraId="2C95FCA8">
            <w:pPr>
              <w:rPr>
                <w:color w:val="auto"/>
                <w:highlight w:val="none"/>
              </w:rPr>
            </w:pPr>
            <w:bookmarkStart w:id="53" w:name="_13.2"/>
            <w:bookmarkEnd w:id="53"/>
          </w:p>
        </w:tc>
        <w:tc>
          <w:tcPr>
            <w:tcW w:w="7654" w:type="dxa"/>
            <w:tcBorders>
              <w:top w:val="single" w:color="auto" w:sz="4" w:space="0"/>
              <w:left w:val="single" w:color="auto" w:sz="4" w:space="0"/>
              <w:bottom w:val="single" w:color="auto" w:sz="4" w:space="0"/>
              <w:right w:val="single" w:color="auto" w:sz="4" w:space="0"/>
            </w:tcBorders>
            <w:vAlign w:val="center"/>
          </w:tcPr>
          <w:p w14:paraId="470950D0">
            <w:pPr>
              <w:rPr>
                <w:rFonts w:hint="eastAsia" w:eastAsia="宋体"/>
                <w:b/>
                <w:bCs/>
                <w:color w:val="auto"/>
                <w:highlight w:val="none"/>
                <w:lang w:eastAsia="zh-CN"/>
              </w:rPr>
            </w:pPr>
            <w:r>
              <w:rPr>
                <w:rFonts w:hint="eastAsia"/>
                <w:b/>
                <w:bCs/>
                <w:color w:val="auto"/>
                <w:highlight w:val="none"/>
              </w:rPr>
              <w:t>资格证明文件</w:t>
            </w:r>
            <w:r>
              <w:rPr>
                <w:rFonts w:hint="eastAsia"/>
                <w:b/>
                <w:bCs/>
                <w:color w:val="auto"/>
                <w:highlight w:val="none"/>
                <w:lang w:eastAsia="zh-CN"/>
              </w:rPr>
              <w:t>：</w:t>
            </w:r>
          </w:p>
          <w:p w14:paraId="61408426">
            <w:pPr>
              <w:rPr>
                <w:rFonts w:cs="Courier New"/>
                <w:b/>
                <w:color w:val="auto"/>
                <w:highlight w:val="none"/>
              </w:rPr>
            </w:pPr>
            <w:r>
              <w:rPr>
                <w:rFonts w:hint="eastAsia"/>
                <w:color w:val="auto"/>
                <w:highlight w:val="none"/>
              </w:rPr>
              <w:t>1.投标人为法人或者其他组织的，提供营业执照等证明文件（如营业执照或者事业单位法人证书或者</w:t>
            </w:r>
            <w:r>
              <w:rPr>
                <w:color w:val="auto"/>
                <w:sz w:val="22"/>
                <w:highlight w:val="none"/>
                <w:lang w:val="zh-CN" w:bidi="zh-CN"/>
              </w:rPr>
              <w:t>执业许可证</w:t>
            </w:r>
            <w:r>
              <w:rPr>
                <w:rFonts w:hint="eastAsia"/>
                <w:color w:val="auto"/>
                <w:highlight w:val="none"/>
              </w:rPr>
              <w:t>或者登记证书等），投标人为自然人的，提供身份证复印件；（</w:t>
            </w:r>
            <w:r>
              <w:rPr>
                <w:rFonts w:hint="eastAsia"/>
                <w:b/>
                <w:color w:val="auto"/>
                <w:highlight w:val="none"/>
              </w:rPr>
              <w:t>必须提供，否则按无效投标处理</w:t>
            </w:r>
            <w:r>
              <w:rPr>
                <w:rFonts w:hint="eastAsia"/>
                <w:color w:val="auto"/>
                <w:highlight w:val="none"/>
              </w:rPr>
              <w:t>）</w:t>
            </w:r>
          </w:p>
          <w:p w14:paraId="3C442288">
            <w:pPr>
              <w:rPr>
                <w:rFonts w:cs="Courier New"/>
                <w:b/>
                <w:color w:val="auto"/>
                <w:highlight w:val="none"/>
              </w:rPr>
            </w:pPr>
            <w:r>
              <w:rPr>
                <w:rFonts w:hint="eastAsia"/>
                <w:color w:val="auto"/>
                <w:highlight w:val="none"/>
              </w:rPr>
              <w:t>2.投标人依法缴纳税收的相关材料（</w:t>
            </w:r>
            <w:r>
              <w:rPr>
                <w:rFonts w:hint="eastAsia"/>
                <w:color w:val="auto"/>
                <w:highlight w:val="none"/>
                <w:lang w:eastAsia="zh-CN"/>
              </w:rPr>
              <w:t>2025年2月至2025年4月</w:t>
            </w:r>
            <w:r>
              <w:rPr>
                <w:rFonts w:hint="eastAsia"/>
                <w:color w:val="auto"/>
                <w:highlight w:val="none"/>
              </w:rPr>
              <w:t>内任意</w:t>
            </w:r>
            <w:r>
              <w:rPr>
                <w:rFonts w:hint="eastAsia"/>
                <w:color w:val="auto"/>
                <w:highlight w:val="none"/>
                <w:u w:val="single"/>
              </w:rPr>
              <w:t xml:space="preserve"> 1</w:t>
            </w:r>
            <w:r>
              <w:rPr>
                <w:rFonts w:hint="eastAsia"/>
                <w:color w:val="auto"/>
                <w:highlight w:val="none"/>
              </w:rPr>
              <w:t>个月的依法缴纳税收的凭据复印件；</w:t>
            </w:r>
            <w:r>
              <w:rPr>
                <w:rFonts w:hint="eastAsia" w:cs="Times New Roman"/>
                <w:color w:val="auto"/>
                <w:highlight w:val="none"/>
              </w:rPr>
              <w:t>依法免税的供应商，必须提供相应文件证明其依法免税。</w:t>
            </w:r>
            <w:r>
              <w:rPr>
                <w:rFonts w:hint="eastAsia"/>
                <w:color w:val="auto"/>
                <w:highlight w:val="none"/>
              </w:rPr>
              <w:t>从</w:t>
            </w:r>
            <w:r>
              <w:rPr>
                <w:rFonts w:hint="eastAsia" w:cs="Times New Roman"/>
                <w:color w:val="auto"/>
                <w:highlight w:val="none"/>
              </w:rPr>
              <w:t>成立之日</w:t>
            </w:r>
            <w:r>
              <w:rPr>
                <w:rFonts w:hint="eastAsia"/>
                <w:color w:val="auto"/>
                <w:highlight w:val="none"/>
              </w:rPr>
              <w:t>起到投标文件提交截止时间止不足要求月数的，只需提供从</w:t>
            </w:r>
            <w:r>
              <w:rPr>
                <w:rFonts w:hint="eastAsia" w:cs="Times New Roman"/>
                <w:color w:val="auto"/>
                <w:highlight w:val="none"/>
              </w:rPr>
              <w:t>成立之日起</w:t>
            </w:r>
            <w:r>
              <w:rPr>
                <w:rFonts w:hint="eastAsia"/>
                <w:color w:val="auto"/>
                <w:highlight w:val="none"/>
              </w:rPr>
              <w:t>的依法缴纳税收</w:t>
            </w:r>
            <w:r>
              <w:rPr>
                <w:rFonts w:hint="eastAsia" w:cs="Times New Roman"/>
                <w:color w:val="auto"/>
                <w:highlight w:val="none"/>
              </w:rPr>
              <w:t>相应证明文件</w:t>
            </w:r>
            <w:r>
              <w:rPr>
                <w:rFonts w:hint="eastAsia"/>
                <w:color w:val="auto"/>
                <w:highlight w:val="none"/>
              </w:rPr>
              <w:t>）</w:t>
            </w:r>
            <w:r>
              <w:rPr>
                <w:rFonts w:hint="eastAsia" w:cs="Times New Roman"/>
                <w:color w:val="auto"/>
                <w:highlight w:val="none"/>
              </w:rPr>
              <w:t>；（</w:t>
            </w:r>
            <w:r>
              <w:rPr>
                <w:rFonts w:hint="eastAsia" w:cs="Times New Roman"/>
                <w:b/>
                <w:color w:val="auto"/>
                <w:highlight w:val="none"/>
              </w:rPr>
              <w:t>必须提供，否则按无效投标处理</w:t>
            </w:r>
            <w:r>
              <w:rPr>
                <w:rFonts w:hint="eastAsia" w:cs="Times New Roman"/>
                <w:color w:val="auto"/>
                <w:highlight w:val="none"/>
              </w:rPr>
              <w:t>）</w:t>
            </w:r>
          </w:p>
          <w:p w14:paraId="73960253">
            <w:pPr>
              <w:rPr>
                <w:rFonts w:cs="Courier New"/>
                <w:b/>
                <w:color w:val="auto"/>
                <w:highlight w:val="none"/>
              </w:rPr>
            </w:pPr>
            <w:r>
              <w:rPr>
                <w:rFonts w:hint="eastAsia"/>
                <w:color w:val="auto"/>
                <w:highlight w:val="none"/>
              </w:rPr>
              <w:t>3.投标人依法缴纳社会保障资金的相关材料</w:t>
            </w:r>
            <w:r>
              <w:rPr>
                <w:rFonts w:hint="eastAsia"/>
                <w:color w:val="auto"/>
                <w:highlight w:val="none"/>
                <w:lang w:eastAsia="zh-CN"/>
              </w:rPr>
              <w:t>2025年2月至2025年4月</w:t>
            </w:r>
            <w:r>
              <w:rPr>
                <w:rFonts w:hint="eastAsia"/>
                <w:color w:val="auto"/>
                <w:highlight w:val="none"/>
              </w:rPr>
              <w:t>内任意</w:t>
            </w:r>
            <w:r>
              <w:rPr>
                <w:rFonts w:hint="eastAsia"/>
                <w:color w:val="auto"/>
                <w:highlight w:val="none"/>
                <w:u w:val="single"/>
              </w:rPr>
              <w:t>1</w:t>
            </w:r>
            <w:r>
              <w:rPr>
                <w:rFonts w:hint="eastAsia"/>
                <w:color w:val="auto"/>
                <w:highlight w:val="none"/>
              </w:rPr>
              <w:t>个月的依法缴纳社会保障资金的缴费凭证（专用收据或者社会保险缴纳清单）复印件；</w:t>
            </w:r>
            <w:r>
              <w:rPr>
                <w:rFonts w:hint="eastAsia" w:cs="Times New Roman"/>
                <w:color w:val="auto"/>
                <w:highlight w:val="none"/>
              </w:rPr>
              <w:t>依法不需要缴纳社会保障资金的供应商，必须提供相应文件证明不需要缴纳社会保障资金。</w:t>
            </w:r>
            <w:r>
              <w:rPr>
                <w:rFonts w:hint="eastAsia"/>
                <w:color w:val="auto"/>
                <w:highlight w:val="none"/>
              </w:rPr>
              <w:t>从</w:t>
            </w:r>
            <w:r>
              <w:rPr>
                <w:rFonts w:hint="eastAsia" w:cs="Times New Roman"/>
                <w:color w:val="auto"/>
                <w:highlight w:val="none"/>
              </w:rPr>
              <w:t>成立之日起</w:t>
            </w:r>
            <w:r>
              <w:rPr>
                <w:rFonts w:hint="eastAsia"/>
                <w:color w:val="auto"/>
                <w:highlight w:val="none"/>
              </w:rPr>
              <w:t>到投标文件提交截止时间止不足要求月数的只需提供从</w:t>
            </w:r>
            <w:r>
              <w:rPr>
                <w:rFonts w:hint="eastAsia" w:cs="Times New Roman"/>
                <w:color w:val="auto"/>
                <w:highlight w:val="none"/>
              </w:rPr>
              <w:t>成立之日起</w:t>
            </w:r>
            <w:r>
              <w:rPr>
                <w:rFonts w:hint="eastAsia"/>
                <w:color w:val="auto"/>
                <w:highlight w:val="none"/>
              </w:rPr>
              <w:t>的依法缴纳社会保障资金的</w:t>
            </w:r>
            <w:r>
              <w:rPr>
                <w:rFonts w:hint="eastAsia" w:cs="Times New Roman"/>
                <w:color w:val="auto"/>
                <w:highlight w:val="none"/>
              </w:rPr>
              <w:t>相应证明文件</w:t>
            </w:r>
            <w:r>
              <w:rPr>
                <w:rFonts w:hint="eastAsia"/>
                <w:color w:val="auto"/>
                <w:highlight w:val="none"/>
              </w:rPr>
              <w:t>]</w:t>
            </w:r>
            <w:r>
              <w:rPr>
                <w:rFonts w:hint="eastAsia" w:cs="Times New Roman"/>
                <w:color w:val="auto"/>
                <w:highlight w:val="none"/>
              </w:rPr>
              <w:t>；（</w:t>
            </w:r>
            <w:r>
              <w:rPr>
                <w:rFonts w:hint="eastAsia" w:cs="Times New Roman"/>
                <w:b/>
                <w:color w:val="auto"/>
                <w:highlight w:val="none"/>
              </w:rPr>
              <w:t>必须提供，否则按无效投标处理</w:t>
            </w:r>
            <w:r>
              <w:rPr>
                <w:rFonts w:hint="eastAsia" w:cs="Times New Roman"/>
                <w:color w:val="auto"/>
                <w:highlight w:val="none"/>
              </w:rPr>
              <w:t>）</w:t>
            </w:r>
          </w:p>
          <w:p w14:paraId="2C81EFB7">
            <w:pPr>
              <w:rPr>
                <w:rFonts w:cs="Courier New"/>
                <w:b/>
                <w:color w:val="auto"/>
                <w:highlight w:val="none"/>
              </w:rPr>
            </w:pPr>
            <w:r>
              <w:rPr>
                <w:rFonts w:hint="eastAsia"/>
                <w:color w:val="auto"/>
                <w:highlight w:val="none"/>
              </w:rPr>
              <w:t>4.投标人财务状况报告（</w:t>
            </w:r>
            <w:r>
              <w:rPr>
                <w:rFonts w:hint="eastAsia"/>
                <w:color w:val="auto"/>
                <w:highlight w:val="none"/>
                <w:u w:val="single"/>
                <w:lang w:eastAsia="zh-CN"/>
              </w:rPr>
              <w:t>2024年度</w:t>
            </w:r>
            <w:r>
              <w:rPr>
                <w:rFonts w:hint="eastAsia"/>
                <w:color w:val="auto"/>
                <w:highlight w:val="none"/>
              </w:rPr>
              <w:t>财务报表复印件或者银行出具的资信证明；投标人属于成立时间</w:t>
            </w:r>
            <w:r>
              <w:rPr>
                <w:rFonts w:hint="eastAsia"/>
                <w:color w:val="auto"/>
                <w:kern w:val="0"/>
                <w:highlight w:val="none"/>
              </w:rPr>
              <w:t>在规定年度之后</w:t>
            </w:r>
            <w:r>
              <w:rPr>
                <w:rFonts w:hint="eastAsia"/>
                <w:color w:val="auto"/>
                <w:highlight w:val="none"/>
              </w:rPr>
              <w:t>的法人或其他组织，需提供成立之日起至投标截止时间前的月报表或银行出具的资信证明；资信证明应在有效期内，未注明有效期的，银行出具时间至投标截止时间不超过一年）；（</w:t>
            </w:r>
            <w:r>
              <w:rPr>
                <w:rFonts w:hint="eastAsia"/>
                <w:b/>
                <w:color w:val="auto"/>
                <w:highlight w:val="none"/>
              </w:rPr>
              <w:t>必须提供，否则按无效投标处理</w:t>
            </w:r>
            <w:r>
              <w:rPr>
                <w:rFonts w:hint="eastAsia"/>
                <w:color w:val="auto"/>
                <w:highlight w:val="none"/>
              </w:rPr>
              <w:t>）</w:t>
            </w:r>
          </w:p>
          <w:p w14:paraId="3B94F9A4">
            <w:pPr>
              <w:rPr>
                <w:color w:val="auto"/>
                <w:highlight w:val="none"/>
              </w:rPr>
            </w:pPr>
            <w:r>
              <w:rPr>
                <w:rFonts w:hint="eastAsia"/>
                <w:color w:val="auto"/>
                <w:highlight w:val="none"/>
              </w:rPr>
              <w:t>5.投标人直接控股、管理关系信息表（格式后附）；（</w:t>
            </w:r>
            <w:r>
              <w:rPr>
                <w:rFonts w:hint="eastAsia"/>
                <w:b/>
                <w:color w:val="auto"/>
                <w:highlight w:val="none"/>
              </w:rPr>
              <w:t>必须提供，否则按无效投标处理</w:t>
            </w:r>
            <w:r>
              <w:rPr>
                <w:rFonts w:hint="eastAsia"/>
                <w:color w:val="auto"/>
                <w:highlight w:val="none"/>
              </w:rPr>
              <w:t>）</w:t>
            </w:r>
          </w:p>
          <w:p w14:paraId="3E7617B0">
            <w:pPr>
              <w:rPr>
                <w:color w:val="auto"/>
                <w:highlight w:val="none"/>
              </w:rPr>
            </w:pPr>
            <w:r>
              <w:rPr>
                <w:rFonts w:hint="eastAsia"/>
                <w:color w:val="auto"/>
                <w:highlight w:val="none"/>
              </w:rPr>
              <w:t>6.投标声明（格式后附）；（</w:t>
            </w:r>
            <w:r>
              <w:rPr>
                <w:rFonts w:hint="eastAsia"/>
                <w:b/>
                <w:color w:val="auto"/>
                <w:highlight w:val="none"/>
              </w:rPr>
              <w:t>必须提供，否则按无效投标处理</w:t>
            </w:r>
            <w:r>
              <w:rPr>
                <w:rFonts w:hint="eastAsia"/>
                <w:color w:val="auto"/>
                <w:highlight w:val="none"/>
              </w:rPr>
              <w:t>）</w:t>
            </w:r>
          </w:p>
          <w:p w14:paraId="351E8743">
            <w:pPr>
              <w:rPr>
                <w:rFonts w:cs="Courier New"/>
                <w:color w:val="auto"/>
                <w:highlight w:val="none"/>
              </w:rPr>
            </w:pPr>
            <w:r>
              <w:rPr>
                <w:rFonts w:hint="eastAsia"/>
                <w:color w:val="auto"/>
                <w:highlight w:val="none"/>
              </w:rPr>
              <w:t>7.联合体协议书（格式后附）；（联合体投标时必须提供，否则按无效投标处理）</w:t>
            </w:r>
          </w:p>
          <w:p w14:paraId="65090FCE">
            <w:pPr>
              <w:rPr>
                <w:rFonts w:cs="Courier New"/>
                <w:b/>
                <w:color w:val="auto"/>
                <w:highlight w:val="none"/>
              </w:rPr>
            </w:pPr>
            <w:r>
              <w:rPr>
                <w:rFonts w:hint="eastAsia"/>
                <w:color w:val="auto"/>
                <w:highlight w:val="none"/>
              </w:rPr>
              <w:t>8.除招标文件规定必须提供以外，投标人认为需要提供的其他</w:t>
            </w:r>
            <w:r>
              <w:rPr>
                <w:rFonts w:hint="eastAsia"/>
                <w:color w:val="auto"/>
                <w:highlight w:val="none"/>
                <w:lang w:eastAsia="zh-CN"/>
              </w:rPr>
              <w:t>资格</w:t>
            </w:r>
            <w:r>
              <w:rPr>
                <w:rFonts w:hint="eastAsia"/>
                <w:color w:val="auto"/>
                <w:highlight w:val="none"/>
              </w:rPr>
              <w:t>证明材料。</w:t>
            </w:r>
          </w:p>
          <w:p w14:paraId="67111284">
            <w:pPr>
              <w:rPr>
                <w:rFonts w:hint="eastAsia"/>
                <w:color w:val="auto"/>
                <w:highlight w:val="none"/>
              </w:rPr>
            </w:pPr>
          </w:p>
          <w:p w14:paraId="61E37253">
            <w:pPr>
              <w:rPr>
                <w:rFonts w:cs="Courier New"/>
                <w:color w:val="auto"/>
                <w:highlight w:val="none"/>
              </w:rPr>
            </w:pPr>
            <w:r>
              <w:rPr>
                <w:rFonts w:hint="eastAsia"/>
                <w:color w:val="auto"/>
                <w:highlight w:val="none"/>
              </w:rPr>
              <w:t>注：1. 以上标明“必须提供”的材料属于复印件的，必须加盖投标人公章，否则按无效投标</w:t>
            </w:r>
            <w:r>
              <w:rPr>
                <w:rFonts w:hint="eastAsia" w:cs="Courier New"/>
                <w:color w:val="auto"/>
                <w:highlight w:val="none"/>
              </w:rPr>
              <w:t>处理。</w:t>
            </w:r>
          </w:p>
          <w:p w14:paraId="5E591F73">
            <w:pPr>
              <w:rPr>
                <w:color w:val="auto"/>
                <w:highlight w:val="none"/>
              </w:rPr>
            </w:pPr>
            <w:r>
              <w:rPr>
                <w:rFonts w:hint="eastAsia" w:cs="Courier New"/>
                <w:color w:val="auto"/>
                <w:highlight w:val="none"/>
              </w:rPr>
              <w:t>2.</w:t>
            </w:r>
            <w:r>
              <w:rPr>
                <w:rFonts w:hint="eastAsia"/>
                <w:color w:val="auto"/>
                <w:highlight w:val="none"/>
              </w:rPr>
              <w:t>投标声明必须由法定代表人（或负责人）在规定签章处签字或者电子签名并加盖投标人公章，否则按无效投标处理。</w:t>
            </w:r>
          </w:p>
          <w:p w14:paraId="4048D0B7">
            <w:pPr>
              <w:rPr>
                <w:color w:val="auto"/>
                <w:highlight w:val="none"/>
              </w:rPr>
            </w:pPr>
            <w:r>
              <w:rPr>
                <w:rFonts w:hint="eastAsia"/>
                <w:color w:val="auto"/>
                <w:highlight w:val="none"/>
              </w:rPr>
              <w:t>3.投标人直接控股、管理关系信息表必须由法定代表人（或负责人）或者委托代理人在规定签章处签字或者电子签名并加盖投标人公章，否则按无效投标</w:t>
            </w:r>
            <w:r>
              <w:rPr>
                <w:rFonts w:hint="eastAsia" w:cs="Courier New"/>
                <w:color w:val="auto"/>
                <w:highlight w:val="none"/>
              </w:rPr>
              <w:t>处理</w:t>
            </w:r>
            <w:r>
              <w:rPr>
                <w:rFonts w:hint="eastAsia"/>
                <w:color w:val="auto"/>
                <w:highlight w:val="none"/>
              </w:rPr>
              <w:t>。</w:t>
            </w:r>
          </w:p>
          <w:p w14:paraId="3BF375F0">
            <w:pPr>
              <w:rPr>
                <w:color w:val="auto"/>
                <w:highlight w:val="none"/>
              </w:rPr>
            </w:pPr>
            <w:r>
              <w:rPr>
                <w:rFonts w:hint="eastAsia"/>
                <w:color w:val="auto"/>
                <w:highlight w:val="none"/>
              </w:rPr>
              <w:t>4.联合体投标时，第1-5项资格证明文件联合体各方均必须分别提供，联合体各方分别盖章和签字（或者电子签名），否则按无效投标</w:t>
            </w:r>
            <w:r>
              <w:rPr>
                <w:rFonts w:hint="eastAsia" w:cs="Courier New"/>
                <w:color w:val="auto"/>
                <w:highlight w:val="none"/>
              </w:rPr>
              <w:t>处理</w:t>
            </w:r>
            <w:r>
              <w:rPr>
                <w:rFonts w:hint="eastAsia"/>
                <w:color w:val="auto"/>
                <w:highlight w:val="none"/>
              </w:rPr>
              <w:t>。</w:t>
            </w:r>
          </w:p>
          <w:p w14:paraId="65105E37">
            <w:pPr>
              <w:rPr>
                <w:color w:val="auto"/>
                <w:highlight w:val="none"/>
              </w:rPr>
            </w:pPr>
            <w:r>
              <w:rPr>
                <w:rFonts w:hint="eastAsia"/>
                <w:color w:val="auto"/>
                <w:highlight w:val="none"/>
              </w:rPr>
              <w:t>5.分公司参加投标的，应当取得总公司授权。</w:t>
            </w:r>
          </w:p>
        </w:tc>
      </w:tr>
      <w:tr w14:paraId="10101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14:paraId="279B400C">
            <w:pPr>
              <w:rPr>
                <w:color w:val="auto"/>
                <w:highlight w:val="none"/>
              </w:rPr>
            </w:pPr>
            <w:bookmarkStart w:id="54" w:name="_13.3"/>
            <w:bookmarkEnd w:id="54"/>
          </w:p>
        </w:tc>
        <w:tc>
          <w:tcPr>
            <w:tcW w:w="7654" w:type="dxa"/>
            <w:tcBorders>
              <w:top w:val="single" w:color="auto" w:sz="4" w:space="0"/>
              <w:left w:val="single" w:color="auto" w:sz="4" w:space="0"/>
              <w:bottom w:val="single" w:color="auto" w:sz="4" w:space="0"/>
              <w:right w:val="single" w:color="auto" w:sz="4" w:space="0"/>
            </w:tcBorders>
            <w:vAlign w:val="center"/>
          </w:tcPr>
          <w:p w14:paraId="000573CB">
            <w:pPr>
              <w:rPr>
                <w:b/>
                <w:bCs/>
                <w:color w:val="auto"/>
                <w:highlight w:val="none"/>
              </w:rPr>
            </w:pPr>
            <w:r>
              <w:rPr>
                <w:rFonts w:hint="eastAsia"/>
                <w:b/>
                <w:bCs/>
                <w:color w:val="auto"/>
                <w:highlight w:val="none"/>
              </w:rPr>
              <w:t>商务文件：</w:t>
            </w:r>
          </w:p>
          <w:p w14:paraId="588135B6">
            <w:pPr>
              <w:rPr>
                <w:color w:val="auto"/>
                <w:highlight w:val="none"/>
              </w:rPr>
            </w:pPr>
            <w:r>
              <w:rPr>
                <w:rFonts w:hint="eastAsia"/>
                <w:color w:val="auto"/>
                <w:highlight w:val="none"/>
              </w:rPr>
              <w:t>1.无围标串标行为的承诺函（格式后附）；（</w:t>
            </w:r>
            <w:r>
              <w:rPr>
                <w:rFonts w:hint="eastAsia"/>
                <w:b/>
                <w:color w:val="auto"/>
                <w:highlight w:val="none"/>
              </w:rPr>
              <w:t>必须提供，否则按无效投标处理</w:t>
            </w:r>
            <w:r>
              <w:rPr>
                <w:rFonts w:hint="eastAsia"/>
                <w:color w:val="auto"/>
                <w:highlight w:val="none"/>
              </w:rPr>
              <w:t>）</w:t>
            </w:r>
          </w:p>
          <w:p w14:paraId="31AF139C">
            <w:pPr>
              <w:rPr>
                <w:color w:val="auto"/>
                <w:highlight w:val="none"/>
              </w:rPr>
            </w:pPr>
            <w:r>
              <w:rPr>
                <w:rFonts w:hint="eastAsia"/>
                <w:color w:val="auto"/>
                <w:highlight w:val="none"/>
              </w:rPr>
              <w:t>2.投标保证金提交凭证；（必须提供，否则按无效投标处理）</w:t>
            </w:r>
          </w:p>
          <w:p w14:paraId="18F2B299">
            <w:pPr>
              <w:rPr>
                <w:color w:val="auto"/>
                <w:highlight w:val="none"/>
              </w:rPr>
            </w:pPr>
            <w:r>
              <w:rPr>
                <w:rFonts w:hint="eastAsia"/>
                <w:color w:val="auto"/>
                <w:highlight w:val="none"/>
              </w:rPr>
              <w:t>3.法定代表人（或负责人）身份证明及法定代表人（或负责人）有效身份证正反面复印件（格式后附）；</w:t>
            </w:r>
            <w:r>
              <w:rPr>
                <w:rFonts w:hint="eastAsia"/>
                <w:b/>
                <w:bCs/>
                <w:color w:val="auto"/>
                <w:highlight w:val="none"/>
              </w:rPr>
              <w:t>（除自然人投标外必须提供，否则按无效投标处理）</w:t>
            </w:r>
          </w:p>
          <w:p w14:paraId="417DCCB5">
            <w:pPr>
              <w:rPr>
                <w:color w:val="auto"/>
                <w:highlight w:val="none"/>
              </w:rPr>
            </w:pPr>
            <w:r>
              <w:rPr>
                <w:rFonts w:hint="eastAsia"/>
                <w:color w:val="auto"/>
                <w:highlight w:val="none"/>
              </w:rPr>
              <w:t>4.授权委托书及委托代理人有效身份证正反面复印件（格式后附）；（</w:t>
            </w:r>
            <w:r>
              <w:rPr>
                <w:rFonts w:hint="eastAsia"/>
                <w:b/>
                <w:color w:val="auto"/>
                <w:highlight w:val="none"/>
              </w:rPr>
              <w:t>委托时必须提供，否则按无效投标处理</w:t>
            </w:r>
            <w:r>
              <w:rPr>
                <w:rFonts w:hint="eastAsia"/>
                <w:color w:val="auto"/>
                <w:highlight w:val="none"/>
              </w:rPr>
              <w:t>）</w:t>
            </w:r>
          </w:p>
          <w:p w14:paraId="30D52B0D">
            <w:pPr>
              <w:rPr>
                <w:color w:val="auto"/>
                <w:szCs w:val="24"/>
                <w:highlight w:val="none"/>
              </w:rPr>
            </w:pPr>
            <w:r>
              <w:rPr>
                <w:rFonts w:hint="eastAsia"/>
                <w:color w:val="auto"/>
                <w:highlight w:val="none"/>
              </w:rPr>
              <w:t>5</w:t>
            </w:r>
            <w:r>
              <w:rPr>
                <w:color w:val="auto"/>
                <w:highlight w:val="none"/>
              </w:rPr>
              <w:t>.</w:t>
            </w:r>
            <w:r>
              <w:rPr>
                <w:rFonts w:hint="eastAsia"/>
                <w:color w:val="auto"/>
                <w:highlight w:val="none"/>
              </w:rPr>
              <w:t>商务要求偏离表（格式后附）；（</w:t>
            </w:r>
            <w:r>
              <w:rPr>
                <w:rFonts w:hint="eastAsia"/>
                <w:b/>
                <w:color w:val="auto"/>
                <w:highlight w:val="none"/>
              </w:rPr>
              <w:t>必须提供，否则按无效投标处理</w:t>
            </w:r>
            <w:r>
              <w:rPr>
                <w:rFonts w:hint="eastAsia"/>
                <w:color w:val="auto"/>
                <w:highlight w:val="none"/>
              </w:rPr>
              <w:t>）</w:t>
            </w:r>
          </w:p>
          <w:p w14:paraId="547807C6">
            <w:pPr>
              <w:rPr>
                <w:color w:val="auto"/>
                <w:highlight w:val="none"/>
              </w:rPr>
            </w:pPr>
            <w:r>
              <w:rPr>
                <w:rFonts w:hint="eastAsia"/>
                <w:color w:val="auto"/>
                <w:highlight w:val="none"/>
              </w:rPr>
              <w:t>6.投标人情况介绍（格式自拟）；</w:t>
            </w:r>
          </w:p>
          <w:p w14:paraId="323DDE59">
            <w:pPr>
              <w:rPr>
                <w:color w:val="auto"/>
                <w:highlight w:val="none"/>
              </w:rPr>
            </w:pPr>
            <w:r>
              <w:rPr>
                <w:rFonts w:hint="eastAsia"/>
                <w:color w:val="auto"/>
                <w:highlight w:val="none"/>
              </w:rPr>
              <w:t>7.除招标文件规定必须提供以外，投标人认为需要提供的其他</w:t>
            </w:r>
            <w:r>
              <w:rPr>
                <w:rFonts w:hint="eastAsia"/>
                <w:color w:val="auto"/>
                <w:highlight w:val="none"/>
                <w:lang w:eastAsia="zh-CN"/>
              </w:rPr>
              <w:t>商务</w:t>
            </w:r>
            <w:r>
              <w:rPr>
                <w:rFonts w:hint="eastAsia"/>
                <w:color w:val="auto"/>
                <w:highlight w:val="none"/>
              </w:rPr>
              <w:t>证明材料（格式自拟）。（投标人根据“第二章 采购需求”及“第四章 评标方法及评标标准”提供有关证明材料）。</w:t>
            </w:r>
          </w:p>
          <w:p w14:paraId="54E341DA">
            <w:pPr>
              <w:rPr>
                <w:color w:val="auto"/>
                <w:highlight w:val="none"/>
              </w:rPr>
            </w:pPr>
            <w:r>
              <w:rPr>
                <w:rFonts w:hint="eastAsia"/>
                <w:color w:val="auto"/>
                <w:highlight w:val="none"/>
              </w:rPr>
              <w:t>注：以上标明“必须提供”的材料属于复印件的，必须加盖投标人公章，否则按无效投标</w:t>
            </w:r>
            <w:r>
              <w:rPr>
                <w:rFonts w:hint="eastAsia" w:cs="Courier New"/>
                <w:color w:val="auto"/>
                <w:highlight w:val="none"/>
              </w:rPr>
              <w:t>处理</w:t>
            </w:r>
            <w:r>
              <w:rPr>
                <w:rFonts w:hint="eastAsia"/>
                <w:color w:val="auto"/>
                <w:highlight w:val="none"/>
              </w:rPr>
              <w:t>。</w:t>
            </w:r>
          </w:p>
        </w:tc>
      </w:tr>
      <w:tr w14:paraId="607DF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14:paraId="5BFC453F">
            <w:pPr>
              <w:rPr>
                <w:color w:val="auto"/>
                <w:highlight w:val="none"/>
              </w:rPr>
            </w:pPr>
            <w:bookmarkStart w:id="55" w:name="_13.4"/>
            <w:bookmarkEnd w:id="55"/>
          </w:p>
        </w:tc>
        <w:tc>
          <w:tcPr>
            <w:tcW w:w="7654" w:type="dxa"/>
            <w:tcBorders>
              <w:top w:val="single" w:color="auto" w:sz="4" w:space="0"/>
              <w:left w:val="single" w:color="auto" w:sz="4" w:space="0"/>
              <w:bottom w:val="single" w:color="auto" w:sz="4" w:space="0"/>
              <w:right w:val="single" w:color="auto" w:sz="4" w:space="0"/>
            </w:tcBorders>
            <w:vAlign w:val="center"/>
          </w:tcPr>
          <w:p w14:paraId="1586274C">
            <w:pPr>
              <w:rPr>
                <w:b/>
                <w:bCs/>
                <w:color w:val="auto"/>
                <w:highlight w:val="none"/>
              </w:rPr>
            </w:pPr>
            <w:r>
              <w:rPr>
                <w:rFonts w:hint="eastAsia"/>
                <w:b/>
                <w:bCs/>
                <w:color w:val="auto"/>
                <w:highlight w:val="none"/>
              </w:rPr>
              <w:t>技术文件：</w:t>
            </w:r>
          </w:p>
          <w:p w14:paraId="1F97FFC6">
            <w:pPr>
              <w:rPr>
                <w:color w:val="auto"/>
                <w:highlight w:val="none"/>
              </w:rPr>
            </w:pPr>
            <w:r>
              <w:rPr>
                <w:rFonts w:hint="eastAsia"/>
                <w:color w:val="auto"/>
                <w:highlight w:val="none"/>
              </w:rPr>
              <w:t>1.货物性能配置清单（格式后附）；（</w:t>
            </w:r>
            <w:r>
              <w:rPr>
                <w:rFonts w:hint="eastAsia"/>
                <w:b/>
                <w:color w:val="auto"/>
                <w:highlight w:val="none"/>
              </w:rPr>
              <w:t>必须提供，否则按无效投标处理</w:t>
            </w:r>
            <w:r>
              <w:rPr>
                <w:rFonts w:hint="eastAsia"/>
                <w:color w:val="auto"/>
                <w:highlight w:val="none"/>
              </w:rPr>
              <w:t>）</w:t>
            </w:r>
          </w:p>
          <w:p w14:paraId="502EE966">
            <w:pPr>
              <w:rPr>
                <w:color w:val="auto"/>
                <w:highlight w:val="none"/>
              </w:rPr>
            </w:pPr>
            <w:r>
              <w:rPr>
                <w:rFonts w:hint="eastAsia"/>
                <w:color w:val="auto"/>
                <w:highlight w:val="none"/>
              </w:rPr>
              <w:t>2.技术要求偏离表（格式后附）；（</w:t>
            </w:r>
            <w:r>
              <w:rPr>
                <w:rFonts w:hint="eastAsia"/>
                <w:b/>
                <w:color w:val="auto"/>
                <w:highlight w:val="none"/>
              </w:rPr>
              <w:t>必须提供，否则按无效投标处理</w:t>
            </w:r>
            <w:r>
              <w:rPr>
                <w:rFonts w:hint="eastAsia"/>
                <w:color w:val="auto"/>
                <w:highlight w:val="none"/>
              </w:rPr>
              <w:t>）</w:t>
            </w:r>
          </w:p>
          <w:p w14:paraId="3812BACC">
            <w:pPr>
              <w:rPr>
                <w:color w:val="auto"/>
                <w:highlight w:val="none"/>
              </w:rPr>
            </w:pPr>
            <w:r>
              <w:rPr>
                <w:rFonts w:hint="eastAsia"/>
                <w:color w:val="auto"/>
                <w:highlight w:val="none"/>
              </w:rPr>
              <w:t>3.项目实施方案（如有，请提供，格式自拟）；</w:t>
            </w:r>
          </w:p>
          <w:p w14:paraId="3F9E46DD">
            <w:pPr>
              <w:rPr>
                <w:color w:val="auto"/>
                <w:highlight w:val="none"/>
              </w:rPr>
            </w:pPr>
            <w:r>
              <w:rPr>
                <w:rFonts w:hint="eastAsia"/>
                <w:color w:val="auto"/>
                <w:highlight w:val="none"/>
              </w:rPr>
              <w:t>4.售后服务方案（如有，请提供，格式自拟）；</w:t>
            </w:r>
          </w:p>
          <w:p w14:paraId="48EC330C">
            <w:pPr>
              <w:rPr>
                <w:color w:val="auto"/>
                <w:highlight w:val="none"/>
              </w:rPr>
            </w:pPr>
            <w:r>
              <w:rPr>
                <w:rFonts w:hint="eastAsia"/>
                <w:color w:val="auto"/>
                <w:highlight w:val="none"/>
              </w:rPr>
              <w:t>5.拟投入人员一览表（如有，请提供，格式自拟）；</w:t>
            </w:r>
          </w:p>
          <w:p w14:paraId="2A7182DC">
            <w:pPr>
              <w:rPr>
                <w:color w:val="auto"/>
                <w:highlight w:val="none"/>
              </w:rPr>
            </w:pPr>
            <w:r>
              <w:rPr>
                <w:rFonts w:hint="eastAsia"/>
                <w:color w:val="auto"/>
                <w:highlight w:val="none"/>
              </w:rPr>
              <w:t>6.产品出厂标准、质量检测报告【其中有精度要求的仪器设备类政府采购项目，应当要求投标人提供精度数据（国家认可的有资质的第三方检测机构出具的检测报告复印件或者由采购人在投标前组织的实测获得）】（视项目情况设置是否必须提供）</w:t>
            </w:r>
          </w:p>
          <w:p w14:paraId="2B0BFFE1">
            <w:pPr>
              <w:rPr>
                <w:color w:val="auto"/>
                <w:highlight w:val="none"/>
              </w:rPr>
            </w:pPr>
            <w:r>
              <w:rPr>
                <w:rFonts w:hint="eastAsia"/>
                <w:color w:val="auto"/>
                <w:highlight w:val="none"/>
              </w:rPr>
              <w:t>7.优惠条件：投标人承诺给予招标人的各种优惠条件，包括售后服务、备品备件、专用耗材等方面的优惠；投标人不得给予赠品或者与采购无关的其他商品、服务；</w:t>
            </w:r>
          </w:p>
          <w:p w14:paraId="2F9FBE69">
            <w:pPr>
              <w:rPr>
                <w:color w:val="auto"/>
                <w:highlight w:val="none"/>
              </w:rPr>
            </w:pPr>
            <w:r>
              <w:rPr>
                <w:rFonts w:hint="eastAsia"/>
                <w:color w:val="auto"/>
                <w:highlight w:val="none"/>
              </w:rPr>
              <w:t>8.投标人对本项目的合理化建议和改进措施（格式自拟）；</w:t>
            </w:r>
          </w:p>
          <w:p w14:paraId="4EF8114A">
            <w:pPr>
              <w:rPr>
                <w:bCs/>
                <w:color w:val="auto"/>
                <w:highlight w:val="none"/>
              </w:rPr>
            </w:pPr>
            <w:r>
              <w:rPr>
                <w:rFonts w:hint="eastAsia"/>
                <w:color w:val="auto"/>
                <w:highlight w:val="none"/>
              </w:rPr>
              <w:t>9.除招标文件规定必须提供以外，投标人需要说明的其他</w:t>
            </w:r>
            <w:r>
              <w:rPr>
                <w:rFonts w:hint="eastAsia"/>
                <w:bCs/>
                <w:color w:val="auto"/>
                <w:sz w:val="21"/>
                <w:szCs w:val="21"/>
                <w:highlight w:val="none"/>
                <w:lang w:eastAsia="zh-CN"/>
              </w:rPr>
              <w:t>技术</w:t>
            </w:r>
            <w:r>
              <w:rPr>
                <w:rFonts w:hint="eastAsia"/>
                <w:color w:val="auto"/>
                <w:highlight w:val="none"/>
              </w:rPr>
              <w:t>文件和说明（格式自拟）。</w:t>
            </w:r>
          </w:p>
          <w:p w14:paraId="051294A8">
            <w:pPr>
              <w:rPr>
                <w:color w:val="auto"/>
                <w:highlight w:val="none"/>
              </w:rPr>
            </w:pPr>
            <w:r>
              <w:rPr>
                <w:rFonts w:hint="eastAsia"/>
                <w:color w:val="auto"/>
                <w:highlight w:val="none"/>
              </w:rPr>
              <w:t>注：以上标明“必须提供”的材料属于复印件的，必须加盖投标人公章，否则按无效投标</w:t>
            </w:r>
            <w:r>
              <w:rPr>
                <w:rFonts w:hint="eastAsia" w:cs="Courier New"/>
                <w:color w:val="auto"/>
                <w:highlight w:val="none"/>
              </w:rPr>
              <w:t>处理</w:t>
            </w:r>
            <w:r>
              <w:rPr>
                <w:rFonts w:hint="eastAsia"/>
                <w:color w:val="auto"/>
                <w:highlight w:val="none"/>
              </w:rPr>
              <w:t>。</w:t>
            </w:r>
          </w:p>
        </w:tc>
      </w:tr>
      <w:tr w14:paraId="7382E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7327D32">
            <w:pPr>
              <w:ind w:firstLine="0" w:firstLineChars="0"/>
              <w:rPr>
                <w:color w:val="auto"/>
                <w:highlight w:val="none"/>
              </w:rPr>
            </w:pPr>
            <w:bookmarkStart w:id="56" w:name="_13.5"/>
            <w:bookmarkEnd w:id="56"/>
            <w:bookmarkStart w:id="57" w:name="_16.2"/>
            <w:bookmarkEnd w:id="57"/>
            <w:r>
              <w:rPr>
                <w:rFonts w:hint="eastAsia"/>
                <w:color w:val="auto"/>
                <w:highlight w:val="none"/>
              </w:rPr>
              <w:t>16</w:t>
            </w:r>
            <w:bookmarkStart w:id="58" w:name="_Hlt19693758"/>
            <w:bookmarkStart w:id="59" w:name="_Hlt19194066"/>
            <w:bookmarkStart w:id="60" w:name="_Hlt19693759"/>
            <w:bookmarkStart w:id="61" w:name="_Hlt19194067"/>
            <w:r>
              <w:rPr>
                <w:rFonts w:hint="eastAsia"/>
                <w:color w:val="auto"/>
                <w:highlight w:val="none"/>
              </w:rPr>
              <w:t>.</w:t>
            </w:r>
            <w:bookmarkEnd w:id="58"/>
            <w:bookmarkEnd w:id="59"/>
            <w:bookmarkEnd w:id="60"/>
            <w:bookmarkEnd w:id="61"/>
            <w:r>
              <w:rPr>
                <w:rFonts w:hint="eastAsia"/>
                <w:color w:val="auto"/>
                <w:highlight w:val="none"/>
              </w:rPr>
              <w:t>2</w:t>
            </w:r>
          </w:p>
        </w:tc>
        <w:tc>
          <w:tcPr>
            <w:tcW w:w="7654" w:type="dxa"/>
            <w:tcBorders>
              <w:top w:val="single" w:color="auto" w:sz="4" w:space="0"/>
              <w:left w:val="single" w:color="auto" w:sz="4" w:space="0"/>
              <w:bottom w:val="single" w:color="auto" w:sz="4" w:space="0"/>
              <w:right w:val="single" w:color="auto" w:sz="4" w:space="0"/>
            </w:tcBorders>
            <w:vAlign w:val="center"/>
          </w:tcPr>
          <w:p w14:paraId="622612BA">
            <w:pPr>
              <w:rPr>
                <w:color w:val="auto"/>
                <w:kern w:val="0"/>
                <w:highlight w:val="none"/>
              </w:rPr>
            </w:pPr>
            <w:r>
              <w:rPr>
                <w:rFonts w:hint="eastAsia"/>
                <w:color w:val="auto"/>
                <w:kern w:val="0"/>
                <w:highlight w:val="none"/>
              </w:rPr>
              <w:t>投标报价包含货物、货物标准附件、备品备件、专用工具、设备安装辅材、</w:t>
            </w:r>
          </w:p>
          <w:p w14:paraId="5F564B5B">
            <w:pPr>
              <w:rPr>
                <w:rFonts w:cs="Times New Roman"/>
                <w:b/>
                <w:color w:val="auto"/>
                <w:highlight w:val="none"/>
              </w:rPr>
            </w:pPr>
            <w:r>
              <w:rPr>
                <w:rFonts w:hint="eastAsia"/>
                <w:color w:val="auto"/>
                <w:highlight w:val="none"/>
              </w:rPr>
              <w:t>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bCs/>
                <w:color w:val="auto"/>
                <w:highlight w:val="none"/>
              </w:rPr>
              <w:t>调试、系统集成，及投入使用后质量保修期内的维护、保养、人员培训、售后服务</w:t>
            </w:r>
            <w:r>
              <w:rPr>
                <w:rFonts w:hint="eastAsia"/>
                <w:color w:val="auto"/>
                <w:highlight w:val="none"/>
              </w:rPr>
              <w:t>及其他所有成本费用，以及合同明示或暗示的所有责任、义务和一般风险等一切费用。</w:t>
            </w:r>
          </w:p>
        </w:tc>
      </w:tr>
      <w:tr w14:paraId="2ECE8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4D59660">
            <w:pPr>
              <w:ind w:firstLine="0" w:firstLineChars="0"/>
              <w:rPr>
                <w:color w:val="auto"/>
                <w:highlight w:val="none"/>
              </w:rPr>
            </w:pPr>
            <w:bookmarkStart w:id="62" w:name="_17.1"/>
            <w:bookmarkEnd w:id="62"/>
            <w:r>
              <w:rPr>
                <w:rFonts w:hint="eastAsia"/>
                <w:color w:val="auto"/>
                <w:highlight w:val="none"/>
              </w:rPr>
              <w:t>17.</w:t>
            </w:r>
            <w:r>
              <w:rPr>
                <w:color w:val="auto"/>
                <w:highlight w:val="none"/>
              </w:rPr>
              <w:t>2</w:t>
            </w:r>
          </w:p>
        </w:tc>
        <w:tc>
          <w:tcPr>
            <w:tcW w:w="7654" w:type="dxa"/>
            <w:tcBorders>
              <w:top w:val="single" w:color="auto" w:sz="4" w:space="0"/>
              <w:left w:val="single" w:color="auto" w:sz="4" w:space="0"/>
              <w:bottom w:val="single" w:color="auto" w:sz="4" w:space="0"/>
              <w:right w:val="single" w:color="auto" w:sz="4" w:space="0"/>
            </w:tcBorders>
            <w:vAlign w:val="center"/>
          </w:tcPr>
          <w:p w14:paraId="0AE7A3DF">
            <w:pPr>
              <w:rPr>
                <w:color w:val="auto"/>
                <w:highlight w:val="none"/>
              </w:rPr>
            </w:pPr>
            <w:r>
              <w:rPr>
                <w:rFonts w:hint="eastAsia"/>
                <w:color w:val="auto"/>
                <w:highlight w:val="none"/>
              </w:rPr>
              <w:t>投标有效期：自投标截止之日起</w:t>
            </w:r>
            <w:r>
              <w:rPr>
                <w:rFonts w:hint="eastAsia"/>
                <w:color w:val="auto"/>
                <w:highlight w:val="none"/>
                <w:u w:val="single"/>
              </w:rPr>
              <w:t>120</w:t>
            </w:r>
            <w:r>
              <w:rPr>
                <w:rFonts w:hint="eastAsia"/>
                <w:color w:val="auto"/>
                <w:highlight w:val="none"/>
              </w:rPr>
              <w:t>日。</w:t>
            </w:r>
          </w:p>
        </w:tc>
      </w:tr>
      <w:tr w14:paraId="71E9F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782240A">
            <w:pPr>
              <w:ind w:firstLine="0" w:firstLineChars="0"/>
              <w:rPr>
                <w:color w:val="auto"/>
                <w:highlight w:val="none"/>
              </w:rPr>
            </w:pPr>
            <w:bookmarkStart w:id="63" w:name="_18"/>
            <w:bookmarkEnd w:id="63"/>
            <w:r>
              <w:rPr>
                <w:rFonts w:hint="eastAsia"/>
                <w:color w:val="auto"/>
                <w:highlight w:val="none"/>
              </w:rPr>
              <w:t>18</w:t>
            </w:r>
            <w:r>
              <w:rPr>
                <w:color w:val="auto"/>
                <w:highlight w:val="none"/>
              </w:rPr>
              <w:t>.1</w:t>
            </w:r>
          </w:p>
        </w:tc>
        <w:tc>
          <w:tcPr>
            <w:tcW w:w="7654" w:type="dxa"/>
            <w:tcBorders>
              <w:top w:val="single" w:color="auto" w:sz="4" w:space="0"/>
              <w:left w:val="single" w:color="auto" w:sz="4" w:space="0"/>
              <w:bottom w:val="single" w:color="auto" w:sz="4" w:space="0"/>
              <w:right w:val="single" w:color="auto" w:sz="4" w:space="0"/>
            </w:tcBorders>
            <w:vAlign w:val="center"/>
          </w:tcPr>
          <w:p w14:paraId="1DD934E4">
            <w:pPr>
              <w:rPr>
                <w:color w:val="auto"/>
                <w:highlight w:val="none"/>
              </w:rPr>
            </w:pPr>
            <w:r>
              <w:rPr>
                <w:rFonts w:hint="eastAsia"/>
                <w:color w:val="auto"/>
                <w:highlight w:val="none"/>
              </w:rPr>
              <w:t>□本项目不收取投标保证金。</w:t>
            </w:r>
          </w:p>
          <w:p w14:paraId="01AA0B2C">
            <w:pPr>
              <w:rPr>
                <w:color w:val="auto"/>
                <w:highlight w:val="none"/>
              </w:rPr>
            </w:pPr>
            <w:r>
              <w:rPr>
                <w:rFonts w:hAnsi="Segoe UI Symbol" w:cs="Segoe UI Symbol"/>
                <w:color w:val="auto"/>
                <w:highlight w:val="none"/>
              </w:rPr>
              <w:t>☑</w:t>
            </w:r>
            <w:r>
              <w:rPr>
                <w:rFonts w:hint="eastAsia"/>
                <w:color w:val="auto"/>
                <w:highlight w:val="none"/>
              </w:rPr>
              <w:t>本项目收取投标保证金，具体规定如下：</w:t>
            </w:r>
          </w:p>
          <w:p w14:paraId="74142D8F">
            <w:pPr>
              <w:rPr>
                <w:color w:val="auto"/>
                <w:kern w:val="0"/>
                <w:highlight w:val="none"/>
              </w:rPr>
            </w:pPr>
            <w:r>
              <w:rPr>
                <w:rFonts w:hint="eastAsia"/>
                <w:color w:val="auto"/>
                <w:kern w:val="0"/>
                <w:highlight w:val="none"/>
              </w:rPr>
              <w:t>投标保证金：</w:t>
            </w:r>
            <w:r>
              <w:rPr>
                <w:rFonts w:hint="eastAsia"/>
                <w:b/>
                <w:bCs/>
                <w:color w:val="auto"/>
                <w:kern w:val="0"/>
                <w:highlight w:val="none"/>
              </w:rPr>
              <w:t>人民币</w:t>
            </w:r>
            <w:r>
              <w:rPr>
                <w:rFonts w:hint="eastAsia"/>
                <w:b/>
                <w:bCs/>
                <w:color w:val="auto"/>
                <w:kern w:val="0"/>
                <w:highlight w:val="none"/>
                <w:lang w:val="en-US" w:eastAsia="zh-CN"/>
              </w:rPr>
              <w:t>3.8</w:t>
            </w:r>
            <w:r>
              <w:rPr>
                <w:rFonts w:hint="eastAsia"/>
                <w:b/>
                <w:bCs/>
                <w:color w:val="auto"/>
                <w:kern w:val="0"/>
                <w:highlight w:val="none"/>
              </w:rPr>
              <w:t>万元</w:t>
            </w:r>
          </w:p>
          <w:p w14:paraId="32041013">
            <w:pPr>
              <w:rPr>
                <w:rFonts w:cs="Times New Roman"/>
                <w:b/>
                <w:bCs/>
                <w:color w:val="auto"/>
                <w:highlight w:val="none"/>
              </w:rPr>
            </w:pPr>
            <w:r>
              <w:rPr>
                <w:rFonts w:hint="eastAsia"/>
                <w:color w:val="auto"/>
                <w:kern w:val="0"/>
                <w:highlight w:val="none"/>
              </w:rPr>
              <w:t>投标保证金的交纳方式：</w:t>
            </w:r>
            <w:r>
              <w:rPr>
                <w:rFonts w:hint="eastAsia"/>
                <w:color w:val="auto"/>
                <w:szCs w:val="24"/>
                <w:highlight w:val="none"/>
              </w:rPr>
              <w:t>支票、汇票、本票、银行转账或者金融机构、担保机构出具的保函（含电子保函）</w:t>
            </w:r>
            <w:r>
              <w:rPr>
                <w:rFonts w:hint="eastAsia"/>
                <w:color w:val="auto"/>
                <w:kern w:val="0"/>
                <w:highlight w:val="none"/>
              </w:rPr>
              <w:t>，禁止采用现钞方式。采用银行转账方式的，在投标截止时间前交至指定账户并且到账【</w:t>
            </w:r>
            <w:r>
              <w:rPr>
                <w:rFonts w:hint="eastAsia" w:ascii="宋体" w:hAnsi="宋体"/>
                <w:color w:val="auto"/>
                <w:kern w:val="0"/>
                <w:szCs w:val="21"/>
                <w:highlight w:val="none"/>
                <w:u w:val="single"/>
              </w:rPr>
              <w:t>开户名称：中资国际工程咨询集团有限责任公司广西分公司，开户银行：招商银行南宁分行东葛路支行，银行账号：771901372110211</w:t>
            </w:r>
            <w:r>
              <w:rPr>
                <w:rFonts w:hint="eastAsia"/>
                <w:color w:val="auto"/>
                <w:kern w:val="0"/>
                <w:highlight w:val="none"/>
              </w:rPr>
              <w:t>】；采用支票、汇票、本票</w:t>
            </w:r>
            <w:r>
              <w:rPr>
                <w:rFonts w:hint="eastAsia"/>
                <w:color w:val="auto"/>
                <w:szCs w:val="24"/>
                <w:highlight w:val="none"/>
              </w:rPr>
              <w:t>或者金融机构、担保机构出具的保函（含电子保函）</w:t>
            </w:r>
            <w:r>
              <w:rPr>
                <w:rFonts w:hint="eastAsia"/>
                <w:color w:val="auto"/>
                <w:kern w:val="0"/>
                <w:highlight w:val="none"/>
              </w:rPr>
              <w:t>，在投标截止时间前，投标人必须递交单独密封的支票、汇票、本票</w:t>
            </w:r>
            <w:r>
              <w:rPr>
                <w:rFonts w:hint="eastAsia"/>
                <w:color w:val="auto"/>
                <w:szCs w:val="24"/>
                <w:highlight w:val="none"/>
              </w:rPr>
              <w:t>或者金融机构、担保机构出具的保函（含电子保函）</w:t>
            </w:r>
            <w:r>
              <w:rPr>
                <w:rFonts w:hint="eastAsia"/>
                <w:color w:val="auto"/>
                <w:kern w:val="0"/>
                <w:highlight w:val="none"/>
              </w:rPr>
              <w:t>原件。否则视为无效投标保证金。</w:t>
            </w:r>
            <w:r>
              <w:rPr>
                <w:rFonts w:hint="eastAsia"/>
                <w:b/>
                <w:bCs/>
                <w:color w:val="auto"/>
                <w:kern w:val="0"/>
                <w:highlight w:val="none"/>
              </w:rPr>
              <w:t>注：投标保证金转账时请备注“项目编号”等字样。</w:t>
            </w:r>
          </w:p>
          <w:p w14:paraId="1E468673">
            <w:pPr>
              <w:rPr>
                <w:color w:val="auto"/>
                <w:highlight w:val="none"/>
              </w:rPr>
            </w:pPr>
            <w:r>
              <w:rPr>
                <w:rFonts w:hint="eastAsia"/>
                <w:color w:val="auto"/>
                <w:highlight w:val="none"/>
              </w:rPr>
              <w:t>相关要求：</w:t>
            </w:r>
          </w:p>
          <w:p w14:paraId="43184AC7">
            <w:pPr>
              <w:rPr>
                <w:color w:val="auto"/>
                <w:highlight w:val="none"/>
              </w:rPr>
            </w:pPr>
            <w:r>
              <w:rPr>
                <w:rFonts w:hint="eastAsia"/>
                <w:color w:val="auto"/>
                <w:highlight w:val="none"/>
              </w:rPr>
              <w:t>1.投标保证金采用银行转账交纳方式的，在投标截止时间前交至指定账户并且到账，投标人应将银行转账底单的复印件作为投标保证金提交凭证，</w:t>
            </w:r>
            <w:r>
              <w:rPr>
                <w:color w:val="auto"/>
                <w:highlight w:val="none"/>
              </w:rPr>
              <w:t>放置于</w:t>
            </w:r>
            <w:r>
              <w:rPr>
                <w:rFonts w:hint="eastAsia"/>
                <w:color w:val="auto"/>
                <w:highlight w:val="none"/>
              </w:rPr>
              <w:t>商务文件</w:t>
            </w:r>
            <w:r>
              <w:rPr>
                <w:color w:val="auto"/>
                <w:highlight w:val="none"/>
              </w:rPr>
              <w:t>中</w:t>
            </w:r>
            <w:r>
              <w:rPr>
                <w:rFonts w:hint="eastAsia"/>
                <w:color w:val="auto"/>
                <w:highlight w:val="none"/>
              </w:rPr>
              <w:t>，</w:t>
            </w:r>
            <w:r>
              <w:rPr>
                <w:rFonts w:hint="eastAsia"/>
                <w:b/>
                <w:color w:val="auto"/>
                <w:highlight w:val="none"/>
              </w:rPr>
              <w:t>否则投标无效</w:t>
            </w:r>
            <w:r>
              <w:rPr>
                <w:rFonts w:hint="eastAsia"/>
                <w:color w:val="auto"/>
                <w:highlight w:val="none"/>
              </w:rPr>
              <w:t>。</w:t>
            </w:r>
          </w:p>
          <w:p w14:paraId="22798A60">
            <w:pPr>
              <w:rPr>
                <w:color w:val="auto"/>
                <w:highlight w:val="none"/>
              </w:rPr>
            </w:pPr>
            <w:r>
              <w:rPr>
                <w:rFonts w:hint="eastAsia"/>
                <w:color w:val="auto"/>
                <w:highlight w:val="none"/>
              </w:rPr>
              <w:t>2.投标保证金采用支票、汇票、本票或者</w:t>
            </w:r>
            <w:r>
              <w:rPr>
                <w:rFonts w:hint="eastAsia"/>
                <w:color w:val="auto"/>
                <w:szCs w:val="24"/>
                <w:highlight w:val="none"/>
              </w:rPr>
              <w:t>金融机构、担保机构出具</w:t>
            </w:r>
            <w:r>
              <w:rPr>
                <w:rFonts w:hint="eastAsia"/>
                <w:color w:val="auto"/>
                <w:highlight w:val="none"/>
              </w:rPr>
              <w:t>的保函（含电子保函）交纳方式的，投标人应在投标截止时间前采用现场或邮寄方式（现场提交地址：</w:t>
            </w:r>
            <w:r>
              <w:rPr>
                <w:rFonts w:hint="eastAsia"/>
                <w:color w:val="auto"/>
                <w:highlight w:val="none"/>
                <w:lang w:eastAsia="zh-CN"/>
              </w:rPr>
              <w:t>中资国际工程咨询集团有限责任公司</w:t>
            </w:r>
            <w:r>
              <w:rPr>
                <w:rFonts w:hint="eastAsia"/>
                <w:color w:val="auto"/>
                <w:highlight w:val="none"/>
              </w:rPr>
              <w:t>（</w:t>
            </w:r>
            <w:r>
              <w:rPr>
                <w:rFonts w:hint="eastAsia"/>
                <w:color w:val="auto"/>
                <w:highlight w:val="none"/>
                <w:lang w:eastAsia="zh-CN"/>
              </w:rPr>
              <w:t>南宁市青秀区长园路8号大地华城S3-01号商场三楼</w:t>
            </w:r>
            <w:r>
              <w:rPr>
                <w:rFonts w:hint="eastAsia"/>
                <w:color w:val="auto"/>
                <w:highlight w:val="none"/>
              </w:rPr>
              <w:t>）；邮寄地址：</w:t>
            </w:r>
            <w:r>
              <w:rPr>
                <w:rFonts w:hint="eastAsia"/>
                <w:color w:val="auto"/>
                <w:highlight w:val="none"/>
                <w:lang w:eastAsia="zh-CN"/>
              </w:rPr>
              <w:t>南宁市青秀区长园路8号大地华城S3-01号商场三楼</w:t>
            </w:r>
            <w:r>
              <w:rPr>
                <w:rFonts w:hint="eastAsia"/>
                <w:color w:val="auto"/>
                <w:highlight w:val="none"/>
              </w:rPr>
              <w:t>，收件人：</w:t>
            </w:r>
            <w:r>
              <w:rPr>
                <w:rFonts w:hint="eastAsia"/>
                <w:color w:val="auto"/>
                <w:highlight w:val="none"/>
                <w:lang w:eastAsia="zh-CN"/>
              </w:rPr>
              <w:t>覃国腰</w:t>
            </w:r>
            <w:r>
              <w:rPr>
                <w:rFonts w:hint="eastAsia"/>
                <w:color w:val="auto"/>
                <w:highlight w:val="none"/>
              </w:rPr>
              <w:t>，联系方式：</w:t>
            </w:r>
            <w:r>
              <w:rPr>
                <w:rFonts w:hint="eastAsia"/>
                <w:color w:val="auto"/>
                <w:highlight w:val="none"/>
                <w:lang w:eastAsia="zh-CN"/>
              </w:rPr>
              <w:t>0771-5675006</w:t>
            </w:r>
            <w:r>
              <w:rPr>
                <w:rFonts w:hint="eastAsia"/>
                <w:color w:val="auto"/>
                <w:highlight w:val="none"/>
              </w:rPr>
              <w:t>）将单独密封的支票、汇票、本票或者金融机构、担保机构出具的保函（含电子保函）原件提交给采购人或者采购代理机构，由采购人或者采购代理机构向投标人出具回执（邮寄方式的除外），并妥善保管。</w:t>
            </w:r>
          </w:p>
          <w:p w14:paraId="42BD92F5">
            <w:pPr>
              <w:rPr>
                <w:color w:val="auto"/>
                <w:highlight w:val="none"/>
              </w:rPr>
            </w:pPr>
            <w:r>
              <w:rPr>
                <w:rFonts w:hint="eastAsia"/>
                <w:color w:val="auto"/>
                <w:highlight w:val="none"/>
              </w:rPr>
              <w:t xml:space="preserve">备注： </w:t>
            </w:r>
          </w:p>
          <w:p w14:paraId="251CCCB4">
            <w:pPr>
              <w:rPr>
                <w:color w:val="auto"/>
                <w:highlight w:val="none"/>
              </w:rPr>
            </w:pPr>
            <w:r>
              <w:rPr>
                <w:rFonts w:hint="eastAsia"/>
                <w:color w:val="auto"/>
                <w:highlight w:val="none"/>
              </w:rPr>
              <w:t>1.投标保证金在投标截止时间后提交的，或者不按规定交纳方式交纳的，或者未足额交纳的（包含保函额度不足的），视为无效投标保证金。</w:t>
            </w:r>
          </w:p>
          <w:p w14:paraId="7745F5F5">
            <w:pPr>
              <w:rPr>
                <w:color w:val="auto"/>
                <w:highlight w:val="none"/>
              </w:rPr>
            </w:pPr>
            <w:r>
              <w:rPr>
                <w:rFonts w:hint="eastAsia"/>
                <w:color w:val="auto"/>
                <w:highlight w:val="none"/>
              </w:rPr>
              <w:t>2.投标人采用现钞方式或者从个人账户（自然人投标除外）转出的投标保证金，视为无效投标保证金。</w:t>
            </w:r>
          </w:p>
          <w:p w14:paraId="466D6FD3">
            <w:pPr>
              <w:rPr>
                <w:color w:val="auto"/>
                <w:highlight w:val="none"/>
              </w:rPr>
            </w:pPr>
            <w:r>
              <w:rPr>
                <w:rFonts w:hint="eastAsia"/>
                <w:color w:val="auto"/>
                <w:highlight w:val="none"/>
              </w:rPr>
              <w:t>3.支票、汇票或者本票出现无效或者背书情形的，视为无效投标保证金。</w:t>
            </w:r>
          </w:p>
          <w:p w14:paraId="572251A7">
            <w:pPr>
              <w:rPr>
                <w:color w:val="auto"/>
                <w:highlight w:val="none"/>
              </w:rPr>
            </w:pPr>
            <w:r>
              <w:rPr>
                <w:rFonts w:hint="eastAsia"/>
                <w:color w:val="auto"/>
                <w:highlight w:val="none"/>
              </w:rPr>
              <w:t>4.保函（含电子包含）有效期低于投标有效期的，视为无效投标保证金。</w:t>
            </w:r>
          </w:p>
          <w:p w14:paraId="54D44B67">
            <w:pPr>
              <w:rPr>
                <w:color w:val="auto"/>
                <w:szCs w:val="24"/>
                <w:highlight w:val="none"/>
              </w:rPr>
            </w:pPr>
            <w:r>
              <w:rPr>
                <w:rFonts w:hint="eastAsia"/>
                <w:color w:val="auto"/>
                <w:highlight w:val="none"/>
              </w:rPr>
              <w:t>5.采用银行、保险机构出具保函（含电子保函）的，必须为无条件保函，否则视为无效投标保证金。</w:t>
            </w:r>
          </w:p>
        </w:tc>
      </w:tr>
      <w:tr w14:paraId="07A5A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50587B3">
            <w:pPr>
              <w:ind w:firstLine="0" w:firstLineChars="0"/>
              <w:rPr>
                <w:color w:val="auto"/>
                <w:highlight w:val="none"/>
              </w:rPr>
            </w:pPr>
            <w:bookmarkStart w:id="64" w:name="_19.2"/>
            <w:bookmarkEnd w:id="64"/>
            <w:r>
              <w:rPr>
                <w:rFonts w:hint="eastAsia"/>
                <w:color w:val="auto"/>
                <w:highlight w:val="none"/>
              </w:rPr>
              <w:t>20</w:t>
            </w:r>
          </w:p>
        </w:tc>
        <w:tc>
          <w:tcPr>
            <w:tcW w:w="7654" w:type="dxa"/>
            <w:tcBorders>
              <w:top w:val="single" w:color="auto" w:sz="4" w:space="0"/>
              <w:left w:val="single" w:color="auto" w:sz="4" w:space="0"/>
              <w:bottom w:val="single" w:color="auto" w:sz="4" w:space="0"/>
              <w:right w:val="single" w:color="auto" w:sz="4" w:space="0"/>
            </w:tcBorders>
            <w:vAlign w:val="center"/>
          </w:tcPr>
          <w:p w14:paraId="6075415D">
            <w:pPr>
              <w:rPr>
                <w:color w:val="auto"/>
                <w:highlight w:val="none"/>
              </w:rPr>
            </w:pPr>
            <w:r>
              <w:rPr>
                <w:rFonts w:hint="eastAsia"/>
                <w:color w:val="auto"/>
                <w:highlight w:val="none"/>
                <w:lang w:eastAsia="zh-CN"/>
              </w:rPr>
              <w:t>☑</w:t>
            </w:r>
            <w:r>
              <w:rPr>
                <w:rFonts w:hint="eastAsia"/>
                <w:color w:val="auto"/>
                <w:highlight w:val="none"/>
              </w:rPr>
              <w:t>本项目不接受电子备份投标文件；</w:t>
            </w:r>
          </w:p>
          <w:p w14:paraId="7CFCF80C">
            <w:pPr>
              <w:rPr>
                <w:color w:val="auto"/>
                <w:highlight w:val="none"/>
              </w:rPr>
            </w:pPr>
            <w:r>
              <w:rPr>
                <w:rFonts w:hint="eastAsia"/>
                <w:color w:val="auto"/>
                <w:highlight w:val="none"/>
              </w:rPr>
              <w:t>□本项目接受电子备份投标文件。</w:t>
            </w:r>
          </w:p>
        </w:tc>
      </w:tr>
      <w:tr w14:paraId="01C93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59" w:type="dxa"/>
            <w:tcBorders>
              <w:top w:val="single" w:color="auto" w:sz="4" w:space="0"/>
              <w:left w:val="single" w:color="auto" w:sz="4" w:space="0"/>
              <w:bottom w:val="single" w:color="auto" w:sz="4" w:space="0"/>
              <w:right w:val="single" w:color="auto" w:sz="4" w:space="0"/>
            </w:tcBorders>
            <w:vAlign w:val="center"/>
          </w:tcPr>
          <w:p w14:paraId="285F1368">
            <w:pPr>
              <w:ind w:firstLine="0" w:firstLineChars="0"/>
              <w:rPr>
                <w:color w:val="auto"/>
                <w:highlight w:val="none"/>
              </w:rPr>
            </w:pPr>
            <w:bookmarkStart w:id="65" w:name="_21.1"/>
            <w:bookmarkEnd w:id="65"/>
            <w:r>
              <w:rPr>
                <w:rFonts w:hint="eastAsia"/>
                <w:color w:val="auto"/>
                <w:highlight w:val="none"/>
              </w:rPr>
              <w:t>21.1</w:t>
            </w:r>
          </w:p>
        </w:tc>
        <w:tc>
          <w:tcPr>
            <w:tcW w:w="7654" w:type="dxa"/>
            <w:tcBorders>
              <w:top w:val="single" w:color="auto" w:sz="4" w:space="0"/>
              <w:left w:val="single" w:color="auto" w:sz="4" w:space="0"/>
              <w:bottom w:val="single" w:color="auto" w:sz="4" w:space="0"/>
              <w:right w:val="single" w:color="auto" w:sz="4" w:space="0"/>
            </w:tcBorders>
            <w:vAlign w:val="center"/>
          </w:tcPr>
          <w:p w14:paraId="14090457">
            <w:pPr>
              <w:rPr>
                <w:color w:val="auto"/>
                <w:highlight w:val="none"/>
                <w:u w:val="single"/>
              </w:rPr>
            </w:pPr>
            <w:r>
              <w:rPr>
                <w:rFonts w:hint="eastAsia"/>
                <w:color w:val="auto"/>
                <w:highlight w:val="none"/>
              </w:rPr>
              <w:t>1.投标文件提交截止时间：详见招标公告</w:t>
            </w:r>
          </w:p>
          <w:p w14:paraId="50DF2989">
            <w:pPr>
              <w:rPr>
                <w:color w:val="auto"/>
                <w:highlight w:val="none"/>
              </w:rPr>
            </w:pPr>
            <w:r>
              <w:rPr>
                <w:rFonts w:hint="eastAsia"/>
                <w:color w:val="auto"/>
                <w:highlight w:val="none"/>
              </w:rPr>
              <w:t>2.投标地点：详见招标公告</w:t>
            </w:r>
          </w:p>
        </w:tc>
      </w:tr>
      <w:tr w14:paraId="609B5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2D007FF">
            <w:pPr>
              <w:ind w:firstLine="0" w:firstLineChars="0"/>
              <w:rPr>
                <w:color w:val="auto"/>
                <w:highlight w:val="none"/>
              </w:rPr>
            </w:pPr>
            <w:bookmarkStart w:id="66" w:name="_23"/>
            <w:bookmarkEnd w:id="66"/>
            <w:r>
              <w:rPr>
                <w:rFonts w:hint="eastAsia"/>
                <w:color w:val="auto"/>
                <w:highlight w:val="none"/>
              </w:rPr>
              <w:t>23</w:t>
            </w:r>
          </w:p>
        </w:tc>
        <w:tc>
          <w:tcPr>
            <w:tcW w:w="7654" w:type="dxa"/>
            <w:tcBorders>
              <w:top w:val="single" w:color="auto" w:sz="4" w:space="0"/>
              <w:left w:val="single" w:color="auto" w:sz="4" w:space="0"/>
              <w:bottom w:val="single" w:color="auto" w:sz="4" w:space="0"/>
              <w:right w:val="single" w:color="auto" w:sz="4" w:space="0"/>
            </w:tcBorders>
            <w:vAlign w:val="center"/>
          </w:tcPr>
          <w:p w14:paraId="1FF7E5B2">
            <w:pPr>
              <w:rPr>
                <w:color w:val="auto"/>
                <w:highlight w:val="none"/>
              </w:rPr>
            </w:pPr>
            <w:r>
              <w:rPr>
                <w:rFonts w:hint="eastAsia"/>
                <w:color w:val="auto"/>
                <w:highlight w:val="none"/>
              </w:rPr>
              <w:t>1.开标时间：详见招标公告</w:t>
            </w:r>
          </w:p>
          <w:p w14:paraId="6D7E0026">
            <w:pPr>
              <w:rPr>
                <w:color w:val="auto"/>
                <w:highlight w:val="none"/>
              </w:rPr>
            </w:pPr>
            <w:r>
              <w:rPr>
                <w:rFonts w:hint="eastAsia"/>
                <w:color w:val="auto"/>
                <w:highlight w:val="none"/>
              </w:rPr>
              <w:t>2.开标地点：详见招标公告</w:t>
            </w:r>
          </w:p>
        </w:tc>
      </w:tr>
      <w:tr w14:paraId="4317C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C992E90">
            <w:pPr>
              <w:ind w:firstLine="0" w:firstLineChars="0"/>
              <w:rPr>
                <w:color w:val="auto"/>
                <w:highlight w:val="none"/>
              </w:rPr>
            </w:pPr>
            <w:r>
              <w:rPr>
                <w:rFonts w:hint="eastAsia"/>
                <w:color w:val="auto"/>
                <w:highlight w:val="none"/>
              </w:rPr>
              <w:t>24.3（1）</w:t>
            </w:r>
          </w:p>
        </w:tc>
        <w:tc>
          <w:tcPr>
            <w:tcW w:w="7654" w:type="dxa"/>
            <w:tcBorders>
              <w:top w:val="single" w:color="auto" w:sz="4" w:space="0"/>
              <w:left w:val="single" w:color="auto" w:sz="4" w:space="0"/>
              <w:bottom w:val="single" w:color="auto" w:sz="4" w:space="0"/>
              <w:right w:val="single" w:color="auto" w:sz="4" w:space="0"/>
            </w:tcBorders>
            <w:vAlign w:val="center"/>
          </w:tcPr>
          <w:p w14:paraId="3C20ED67">
            <w:pPr>
              <w:rPr>
                <w:color w:val="auto"/>
                <w:highlight w:val="none"/>
                <w:u w:val="single"/>
              </w:rPr>
            </w:pPr>
            <w:r>
              <w:rPr>
                <w:rFonts w:hint="eastAsia"/>
                <w:color w:val="auto"/>
                <w:highlight w:val="none"/>
              </w:rPr>
              <w:t>电子投标文件解密时间：</w:t>
            </w:r>
            <w:r>
              <w:rPr>
                <w:rFonts w:hint="eastAsia"/>
                <w:color w:val="auto"/>
                <w:highlight w:val="none"/>
                <w:u w:val="single"/>
              </w:rPr>
              <w:t>30</w:t>
            </w:r>
            <w:r>
              <w:rPr>
                <w:rFonts w:hint="eastAsia"/>
                <w:color w:val="auto"/>
                <w:highlight w:val="none"/>
              </w:rPr>
              <w:t>分钟</w:t>
            </w:r>
          </w:p>
        </w:tc>
      </w:tr>
      <w:tr w14:paraId="682A0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36191F7">
            <w:pPr>
              <w:ind w:firstLine="0" w:firstLineChars="0"/>
              <w:rPr>
                <w:color w:val="auto"/>
                <w:highlight w:val="none"/>
              </w:rPr>
            </w:pPr>
            <w:r>
              <w:rPr>
                <w:rFonts w:hint="eastAsia"/>
                <w:color w:val="auto"/>
                <w:highlight w:val="none"/>
              </w:rPr>
              <w:t>24</w:t>
            </w:r>
            <w:r>
              <w:rPr>
                <w:color w:val="auto"/>
                <w:highlight w:val="none"/>
              </w:rPr>
              <w:t>.3</w:t>
            </w:r>
            <w:r>
              <w:rPr>
                <w:rFonts w:hint="eastAsia"/>
                <w:color w:val="auto"/>
                <w:highlight w:val="none"/>
              </w:rPr>
              <w:t>（</w:t>
            </w:r>
            <w:r>
              <w:rPr>
                <w:color w:val="auto"/>
                <w:highlight w:val="none"/>
              </w:rPr>
              <w:t>2</w:t>
            </w:r>
            <w:r>
              <w:rPr>
                <w:rFonts w:hint="eastAsia"/>
                <w:color w:val="auto"/>
                <w:highlight w:val="none"/>
              </w:rPr>
              <w:t>）</w:t>
            </w:r>
          </w:p>
        </w:tc>
        <w:tc>
          <w:tcPr>
            <w:tcW w:w="7654" w:type="dxa"/>
            <w:tcBorders>
              <w:top w:val="single" w:color="auto" w:sz="4" w:space="0"/>
              <w:left w:val="single" w:color="auto" w:sz="4" w:space="0"/>
              <w:bottom w:val="single" w:color="auto" w:sz="4" w:space="0"/>
              <w:right w:val="single" w:color="auto" w:sz="4" w:space="0"/>
            </w:tcBorders>
            <w:vAlign w:val="center"/>
          </w:tcPr>
          <w:p w14:paraId="3BA31A15">
            <w:pPr>
              <w:rPr>
                <w:color w:val="auto"/>
                <w:highlight w:val="none"/>
              </w:rPr>
            </w:pPr>
            <w:r>
              <w:rPr>
                <w:rFonts w:hint="eastAsia"/>
                <w:color w:val="auto"/>
                <w:highlight w:val="none"/>
              </w:rPr>
              <w:t>公布的内容：投标人名称、投标价格</w:t>
            </w:r>
            <w:r>
              <w:rPr>
                <w:color w:val="auto"/>
                <w:highlight w:val="none"/>
              </w:rPr>
              <w:t xml:space="preserve"> </w:t>
            </w:r>
          </w:p>
        </w:tc>
      </w:tr>
      <w:tr w14:paraId="731E7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228ACBE">
            <w:pPr>
              <w:ind w:firstLine="0" w:firstLineChars="0"/>
              <w:rPr>
                <w:color w:val="auto"/>
                <w:highlight w:val="none"/>
              </w:rPr>
            </w:pPr>
            <w:bookmarkStart w:id="67" w:name="_25.3"/>
            <w:bookmarkEnd w:id="67"/>
            <w:r>
              <w:rPr>
                <w:rFonts w:hint="eastAsia"/>
                <w:color w:val="auto"/>
                <w:highlight w:val="none"/>
              </w:rPr>
              <w:t>25.3（</w:t>
            </w:r>
            <w:r>
              <w:rPr>
                <w:color w:val="auto"/>
                <w:highlight w:val="none"/>
              </w:rPr>
              <w:t>2</w:t>
            </w:r>
            <w:r>
              <w:rPr>
                <w:rFonts w:hint="eastAsia"/>
                <w:color w:val="auto"/>
                <w:highlight w:val="none"/>
              </w:rPr>
              <w:t>）</w:t>
            </w:r>
          </w:p>
        </w:tc>
        <w:tc>
          <w:tcPr>
            <w:tcW w:w="7654" w:type="dxa"/>
            <w:tcBorders>
              <w:top w:val="single" w:color="auto" w:sz="4" w:space="0"/>
              <w:left w:val="single" w:color="auto" w:sz="4" w:space="0"/>
              <w:bottom w:val="single" w:color="auto" w:sz="4" w:space="0"/>
              <w:right w:val="single" w:color="auto" w:sz="4" w:space="0"/>
            </w:tcBorders>
            <w:vAlign w:val="center"/>
          </w:tcPr>
          <w:p w14:paraId="3010EAAC">
            <w:pPr>
              <w:rPr>
                <w:color w:val="auto"/>
                <w:highlight w:val="none"/>
              </w:rPr>
            </w:pPr>
            <w:r>
              <w:rPr>
                <w:rFonts w:hint="eastAsia"/>
                <w:color w:val="auto"/>
                <w:highlight w:val="none"/>
              </w:rPr>
              <w:t>采购人或者采购代理机构在资格审查结束前，对投标人进行信用查询。</w:t>
            </w:r>
          </w:p>
          <w:p w14:paraId="28F04B92">
            <w:pPr>
              <w:rPr>
                <w:color w:val="auto"/>
                <w:highlight w:val="none"/>
              </w:rPr>
            </w:pPr>
            <w:r>
              <w:rPr>
                <w:rFonts w:hint="eastAsia"/>
                <w:color w:val="auto"/>
                <w:highlight w:val="none"/>
              </w:rPr>
              <w:t>查询渠道：“信用中国”网站（www.creditchina.gov.cn） 、中国政府采购网（www.ccgp.gov.cn）。</w:t>
            </w:r>
          </w:p>
          <w:p w14:paraId="3AA70A97">
            <w:pPr>
              <w:rPr>
                <w:color w:val="auto"/>
                <w:highlight w:val="none"/>
              </w:rPr>
            </w:pPr>
            <w:r>
              <w:rPr>
                <w:rFonts w:hint="eastAsia"/>
                <w:color w:val="auto"/>
                <w:highlight w:val="none"/>
              </w:rPr>
              <w:t>信用查询截止时点：资格审查结束前</w:t>
            </w:r>
          </w:p>
          <w:p w14:paraId="1131B25F">
            <w:pPr>
              <w:rPr>
                <w:color w:val="auto"/>
                <w:highlight w:val="none"/>
              </w:rPr>
            </w:pPr>
            <w:r>
              <w:rPr>
                <w:rFonts w:hint="eastAsia"/>
                <w:color w:val="auto"/>
                <w:highlight w:val="none"/>
              </w:rPr>
              <w:t>查询记录和证据留存方式：在查询网站中直接截图查询记录，截图作为在广西政府采购云平台作为附件上传保存。</w:t>
            </w:r>
          </w:p>
          <w:p w14:paraId="3F033A84">
            <w:pPr>
              <w:rPr>
                <w:b/>
                <w:color w:val="auto"/>
                <w:highlight w:val="none"/>
              </w:rPr>
            </w:pPr>
            <w:r>
              <w:rPr>
                <w:rFonts w:hint="eastAsia"/>
                <w:color w:val="auto"/>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57873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6341579">
            <w:pPr>
              <w:ind w:firstLine="0" w:firstLineChars="0"/>
              <w:rPr>
                <w:color w:val="auto"/>
                <w:highlight w:val="none"/>
              </w:rPr>
            </w:pPr>
            <w:bookmarkStart w:id="68" w:name="_26"/>
            <w:bookmarkEnd w:id="68"/>
            <w:r>
              <w:rPr>
                <w:rFonts w:hint="eastAsia"/>
                <w:color w:val="auto"/>
                <w:highlight w:val="none"/>
              </w:rPr>
              <w:t>26</w:t>
            </w:r>
            <w:r>
              <w:rPr>
                <w:color w:val="auto"/>
                <w:highlight w:val="none"/>
              </w:rPr>
              <w:t>.1</w:t>
            </w:r>
          </w:p>
        </w:tc>
        <w:tc>
          <w:tcPr>
            <w:tcW w:w="7654" w:type="dxa"/>
            <w:tcBorders>
              <w:top w:val="single" w:color="auto" w:sz="4" w:space="0"/>
              <w:left w:val="single" w:color="auto" w:sz="4" w:space="0"/>
              <w:bottom w:val="single" w:color="auto" w:sz="4" w:space="0"/>
              <w:right w:val="single" w:color="auto" w:sz="4" w:space="0"/>
            </w:tcBorders>
            <w:vAlign w:val="center"/>
          </w:tcPr>
          <w:p w14:paraId="6AE0886F">
            <w:pPr>
              <w:rPr>
                <w:color w:val="auto"/>
                <w:highlight w:val="none"/>
              </w:rPr>
            </w:pPr>
            <w:r>
              <w:rPr>
                <w:rFonts w:hint="eastAsia"/>
                <w:color w:val="auto"/>
                <w:highlight w:val="none"/>
              </w:rPr>
              <w:t>评标委员会的人数：5人或以上单数</w:t>
            </w:r>
          </w:p>
        </w:tc>
      </w:tr>
      <w:tr w14:paraId="4D9D0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0866A96">
            <w:pPr>
              <w:ind w:firstLine="0" w:firstLineChars="0"/>
              <w:rPr>
                <w:color w:val="auto"/>
                <w:highlight w:val="none"/>
              </w:rPr>
            </w:pPr>
            <w:bookmarkStart w:id="69" w:name="_28.3"/>
            <w:bookmarkEnd w:id="69"/>
            <w:r>
              <w:rPr>
                <w:color w:val="auto"/>
                <w:highlight w:val="none"/>
              </w:rPr>
              <w:t>29.1</w:t>
            </w:r>
          </w:p>
        </w:tc>
        <w:tc>
          <w:tcPr>
            <w:tcW w:w="7654" w:type="dxa"/>
            <w:tcBorders>
              <w:top w:val="single" w:color="auto" w:sz="4" w:space="0"/>
              <w:left w:val="single" w:color="auto" w:sz="4" w:space="0"/>
              <w:bottom w:val="single" w:color="auto" w:sz="4" w:space="0"/>
              <w:right w:val="single" w:color="auto" w:sz="4" w:space="0"/>
            </w:tcBorders>
            <w:vAlign w:val="center"/>
          </w:tcPr>
          <w:p w14:paraId="52CC3135">
            <w:pPr>
              <w:rPr>
                <w:color w:val="auto"/>
                <w:highlight w:val="none"/>
              </w:rPr>
            </w:pPr>
            <w:r>
              <w:rPr>
                <w:rFonts w:hint="eastAsia"/>
                <w:color w:val="auto"/>
                <w:highlight w:val="none"/>
              </w:rPr>
              <w:t>评标方法：</w:t>
            </w:r>
          </w:p>
          <w:p w14:paraId="0BFFC0F7">
            <w:pPr>
              <w:rPr>
                <w:color w:val="auto"/>
                <w:highlight w:val="none"/>
              </w:rPr>
            </w:pPr>
            <w:r>
              <w:rPr>
                <w:rFonts w:hint="eastAsia"/>
                <w:color w:val="auto"/>
                <w:highlight w:val="none"/>
                <w:lang w:eastAsia="zh-CN"/>
              </w:rPr>
              <w:t>☑</w:t>
            </w:r>
            <w:r>
              <w:rPr>
                <w:rFonts w:hint="eastAsia"/>
                <w:color w:val="auto"/>
                <w:highlight w:val="none"/>
              </w:rPr>
              <w:t>综合评分法</w:t>
            </w:r>
          </w:p>
          <w:p w14:paraId="16047928">
            <w:pPr>
              <w:rPr>
                <w:color w:val="auto"/>
                <w:highlight w:val="none"/>
              </w:rPr>
            </w:pPr>
            <w:r>
              <w:rPr>
                <w:rFonts w:hint="eastAsia"/>
                <w:color w:val="auto"/>
                <w:highlight w:val="none"/>
              </w:rPr>
              <w:t>□最低评标价法</w:t>
            </w:r>
          </w:p>
        </w:tc>
      </w:tr>
      <w:tr w14:paraId="00DEF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201BD0F">
            <w:pPr>
              <w:ind w:firstLine="0" w:firstLineChars="0"/>
              <w:rPr>
                <w:rFonts w:hint="default" w:eastAsia="宋体"/>
                <w:color w:val="auto"/>
                <w:highlight w:val="none"/>
                <w:lang w:val="en-US" w:eastAsia="zh-CN"/>
              </w:rPr>
            </w:pPr>
            <w:r>
              <w:rPr>
                <w:rFonts w:hint="eastAsia"/>
                <w:color w:val="auto"/>
                <w:highlight w:val="none"/>
                <w:lang w:val="en-US" w:eastAsia="zh-CN"/>
              </w:rPr>
              <w:t>29.2</w:t>
            </w:r>
          </w:p>
        </w:tc>
        <w:tc>
          <w:tcPr>
            <w:tcW w:w="7654" w:type="dxa"/>
            <w:tcBorders>
              <w:top w:val="single" w:color="auto" w:sz="4" w:space="0"/>
              <w:left w:val="single" w:color="auto" w:sz="4" w:space="0"/>
              <w:bottom w:val="single" w:color="auto" w:sz="4" w:space="0"/>
              <w:right w:val="single" w:color="auto" w:sz="4" w:space="0"/>
            </w:tcBorders>
            <w:vAlign w:val="center"/>
          </w:tcPr>
          <w:p w14:paraId="096195C1">
            <w:pPr>
              <w:snapToGrid w:val="0"/>
              <w:spacing w:line="360" w:lineRule="auto"/>
              <w:rPr>
                <w:rFonts w:ascii="宋体" w:hAnsi="宋体"/>
                <w:color w:val="auto"/>
                <w:szCs w:val="21"/>
                <w:highlight w:val="none"/>
              </w:rPr>
            </w:pPr>
            <w:r>
              <w:rPr>
                <w:rFonts w:hint="eastAsia" w:ascii="宋体" w:hAnsi="宋体" w:cs="宋体"/>
                <w:color w:val="auto"/>
                <w:szCs w:val="21"/>
                <w:highlight w:val="none"/>
              </w:rPr>
              <w:t>商务条款</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color w:val="auto"/>
                <w:szCs w:val="21"/>
                <w:highlight w:val="none"/>
                <w:u w:val="single"/>
                <w:lang w:val="en-US" w:eastAsia="zh-CN"/>
              </w:rPr>
              <w:t>0</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p w14:paraId="2A7EBA0A">
            <w:pPr>
              <w:rPr>
                <w:rFonts w:hint="eastAsia"/>
                <w:color w:val="auto"/>
                <w:highlight w:val="none"/>
              </w:rPr>
            </w:pPr>
            <w:r>
              <w:rPr>
                <w:rFonts w:hint="eastAsia" w:ascii="宋体" w:hAnsi="宋体" w:cs="宋体"/>
                <w:color w:val="auto"/>
                <w:szCs w:val="21"/>
                <w:highlight w:val="none"/>
              </w:rPr>
              <w:t>技术需求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hint="eastAsia"/>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14:paraId="53342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9" w:type="dxa"/>
            <w:tcBorders>
              <w:top w:val="single" w:color="auto" w:sz="4" w:space="0"/>
              <w:left w:val="single" w:color="auto" w:sz="4" w:space="0"/>
              <w:bottom w:val="single" w:color="auto" w:sz="4" w:space="0"/>
              <w:right w:val="single" w:color="auto" w:sz="4" w:space="0"/>
            </w:tcBorders>
            <w:vAlign w:val="center"/>
          </w:tcPr>
          <w:p w14:paraId="7BE6025B">
            <w:pPr>
              <w:ind w:firstLine="0" w:firstLineChars="0"/>
              <w:rPr>
                <w:color w:val="auto"/>
                <w:highlight w:val="none"/>
              </w:rPr>
            </w:pPr>
            <w:bookmarkStart w:id="70" w:name="_29.2.2（2）"/>
            <w:bookmarkEnd w:id="70"/>
            <w:r>
              <w:rPr>
                <w:rFonts w:hint="eastAsia"/>
                <w:color w:val="auto"/>
                <w:highlight w:val="none"/>
              </w:rPr>
              <w:t>2</w:t>
            </w:r>
            <w:r>
              <w:rPr>
                <w:color w:val="auto"/>
                <w:highlight w:val="none"/>
              </w:rPr>
              <w:t>9.3</w:t>
            </w:r>
          </w:p>
        </w:tc>
        <w:tc>
          <w:tcPr>
            <w:tcW w:w="7654" w:type="dxa"/>
            <w:tcBorders>
              <w:top w:val="single" w:color="auto" w:sz="4" w:space="0"/>
              <w:left w:val="single" w:color="auto" w:sz="4" w:space="0"/>
              <w:right w:val="single" w:color="auto" w:sz="4" w:space="0"/>
            </w:tcBorders>
            <w:vAlign w:val="center"/>
          </w:tcPr>
          <w:p w14:paraId="3098C758">
            <w:pPr>
              <w:rPr>
                <w:color w:val="auto"/>
                <w:highlight w:val="none"/>
              </w:rPr>
            </w:pPr>
            <w:r>
              <w:rPr>
                <w:color w:val="auto"/>
                <w:highlight w:val="none"/>
              </w:rPr>
              <w:t>中标候选人推荐数量</w:t>
            </w:r>
            <w:r>
              <w:rPr>
                <w:rFonts w:hint="eastAsia"/>
                <w:color w:val="auto"/>
                <w:highlight w:val="none"/>
              </w:rPr>
              <w:t>：</w:t>
            </w:r>
          </w:p>
          <w:p w14:paraId="60DE59EE">
            <w:pPr>
              <w:rPr>
                <w:color w:val="auto"/>
                <w:highlight w:val="none"/>
              </w:rPr>
            </w:pPr>
            <w:r>
              <w:rPr>
                <w:rFonts w:hint="eastAsia"/>
                <w:color w:val="auto"/>
                <w:highlight w:val="none"/>
                <w:lang w:eastAsia="zh-CN"/>
              </w:rPr>
              <w:t>☑</w:t>
            </w:r>
            <w:r>
              <w:rPr>
                <w:rFonts w:hint="eastAsia"/>
                <w:color w:val="auto"/>
                <w:highlight w:val="none"/>
                <w:u w:val="single"/>
              </w:rPr>
              <w:t>3</w:t>
            </w:r>
            <w:r>
              <w:rPr>
                <w:color w:val="auto"/>
                <w:highlight w:val="none"/>
              </w:rPr>
              <w:t>名</w:t>
            </w:r>
          </w:p>
          <w:p w14:paraId="262A904D">
            <w:pPr>
              <w:rPr>
                <w:color w:val="auto"/>
                <w:highlight w:val="none"/>
                <w:u w:val="single"/>
              </w:rPr>
            </w:pPr>
            <w:r>
              <w:rPr>
                <w:rFonts w:hint="eastAsia"/>
                <w:color w:val="auto"/>
                <w:highlight w:val="none"/>
              </w:rPr>
              <w:t>根据总得分由高到低排列次序并全部推荐为中标候选人</w:t>
            </w:r>
          </w:p>
        </w:tc>
      </w:tr>
      <w:tr w14:paraId="35BAA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E3BC3B5">
            <w:pPr>
              <w:ind w:firstLine="0" w:firstLineChars="0"/>
              <w:rPr>
                <w:color w:val="auto"/>
                <w:highlight w:val="none"/>
              </w:rPr>
            </w:pPr>
            <w:r>
              <w:rPr>
                <w:rFonts w:hint="eastAsia"/>
                <w:color w:val="auto"/>
                <w:highlight w:val="none"/>
              </w:rPr>
              <w:t>30</w:t>
            </w:r>
            <w:r>
              <w:rPr>
                <w:color w:val="auto"/>
                <w:highlight w:val="none"/>
              </w:rPr>
              <w:t>.1</w:t>
            </w:r>
          </w:p>
        </w:tc>
        <w:tc>
          <w:tcPr>
            <w:tcW w:w="7654" w:type="dxa"/>
            <w:tcBorders>
              <w:top w:val="single" w:color="auto" w:sz="4" w:space="0"/>
              <w:left w:val="single" w:color="auto" w:sz="4" w:space="0"/>
              <w:bottom w:val="single" w:color="auto" w:sz="4" w:space="0"/>
              <w:right w:val="single" w:color="auto" w:sz="4" w:space="0"/>
            </w:tcBorders>
            <w:vAlign w:val="center"/>
          </w:tcPr>
          <w:p w14:paraId="5598E77F">
            <w:pPr>
              <w:rPr>
                <w:color w:val="auto"/>
                <w:highlight w:val="none"/>
              </w:rPr>
            </w:pPr>
            <w:r>
              <w:rPr>
                <w:rFonts w:hint="eastAsia"/>
                <w:color w:val="auto"/>
                <w:highlight w:val="none"/>
              </w:rPr>
              <w:t>采用综合评分法的采购项目，采购人确定中标人时，出现中标候选人并列的情形，采购人按以下的方式确定中标人：</w:t>
            </w:r>
          </w:p>
          <w:p w14:paraId="5A193D27">
            <w:pPr>
              <w:rPr>
                <w:color w:val="auto"/>
                <w:highlight w:val="none"/>
              </w:rPr>
            </w:pPr>
            <w:r>
              <w:rPr>
                <w:rFonts w:hint="eastAsia"/>
                <w:color w:val="auto"/>
                <w:highlight w:val="none"/>
                <w:lang w:eastAsia="zh-CN"/>
              </w:rPr>
              <w:t>☑</w:t>
            </w:r>
            <w:r>
              <w:rPr>
                <w:rFonts w:hint="eastAsia"/>
                <w:color w:val="auto"/>
                <w:highlight w:val="none"/>
              </w:rPr>
              <w:t>依次按投标报价低的优先、政策分得分高的优先、技术评分高的优先、商务评分高的优先、保修期长优先、交货期短优先、故障响应时间短优先的顺序确定；</w:t>
            </w:r>
          </w:p>
          <w:p w14:paraId="7B52202E">
            <w:pPr>
              <w:rPr>
                <w:color w:val="auto"/>
                <w:highlight w:val="none"/>
              </w:rPr>
            </w:pPr>
            <w:r>
              <w:rPr>
                <w:rFonts w:hint="eastAsia"/>
                <w:color w:val="auto"/>
                <w:highlight w:val="none"/>
              </w:rPr>
              <w:t>□随机抽取；</w:t>
            </w:r>
          </w:p>
        </w:tc>
      </w:tr>
      <w:tr w14:paraId="420A1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auto" w:sz="4" w:space="0"/>
              <w:left w:val="single" w:color="auto" w:sz="4" w:space="0"/>
              <w:bottom w:val="single" w:color="auto" w:sz="4" w:space="0"/>
              <w:right w:val="single" w:color="auto" w:sz="4" w:space="0"/>
            </w:tcBorders>
            <w:vAlign w:val="center"/>
          </w:tcPr>
          <w:p w14:paraId="470EFDDC">
            <w:pPr>
              <w:ind w:firstLine="0" w:firstLineChars="0"/>
              <w:rPr>
                <w:color w:val="auto"/>
                <w:highlight w:val="none"/>
              </w:rPr>
            </w:pPr>
            <w:bookmarkStart w:id="71" w:name="_39.1"/>
            <w:bookmarkEnd w:id="71"/>
            <w:r>
              <w:rPr>
                <w:rFonts w:hint="eastAsia"/>
                <w:color w:val="auto"/>
                <w:highlight w:val="none"/>
              </w:rPr>
              <w:t>35</w:t>
            </w:r>
            <w:r>
              <w:rPr>
                <w:color w:val="auto"/>
                <w:highlight w:val="none"/>
              </w:rPr>
              <w:t>.1</w:t>
            </w:r>
          </w:p>
        </w:tc>
        <w:tc>
          <w:tcPr>
            <w:tcW w:w="7654" w:type="dxa"/>
            <w:tcBorders>
              <w:top w:val="single" w:color="auto" w:sz="4" w:space="0"/>
              <w:left w:val="single" w:color="auto" w:sz="4" w:space="0"/>
              <w:bottom w:val="single" w:color="auto" w:sz="4" w:space="0"/>
              <w:right w:val="single" w:color="auto" w:sz="4" w:space="0"/>
            </w:tcBorders>
            <w:vAlign w:val="center"/>
          </w:tcPr>
          <w:p w14:paraId="7335A781">
            <w:pPr>
              <w:rPr>
                <w:color w:val="auto"/>
                <w:highlight w:val="none"/>
              </w:rPr>
            </w:pPr>
            <w:r>
              <w:rPr>
                <w:rFonts w:hint="eastAsia"/>
                <w:color w:val="auto"/>
                <w:highlight w:val="none"/>
                <w:lang w:eastAsia="zh-CN"/>
              </w:rPr>
              <w:t>□</w:t>
            </w:r>
            <w:r>
              <w:rPr>
                <w:rFonts w:hint="eastAsia"/>
                <w:color w:val="auto"/>
                <w:highlight w:val="none"/>
              </w:rPr>
              <w:t>本项目不收取履约保证金。</w:t>
            </w:r>
          </w:p>
          <w:p w14:paraId="0A1BEC13">
            <w:pPr>
              <w:rPr>
                <w:color w:val="auto"/>
                <w:highlight w:val="none"/>
              </w:rPr>
            </w:pPr>
            <w:r>
              <w:rPr>
                <w:rFonts w:hint="eastAsia"/>
                <w:color w:val="auto"/>
                <w:highlight w:val="none"/>
                <w:lang w:eastAsia="zh-CN"/>
              </w:rPr>
              <w:t>☑</w:t>
            </w:r>
            <w:r>
              <w:rPr>
                <w:rFonts w:hint="eastAsia"/>
                <w:color w:val="auto"/>
                <w:highlight w:val="none"/>
              </w:rPr>
              <w:t>本项目收取履约保证金，具体规定如下：</w:t>
            </w:r>
          </w:p>
          <w:p w14:paraId="75BAF27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w:t>
            </w:r>
            <w:r>
              <w:rPr>
                <w:rFonts w:hint="eastAsia" w:ascii="宋体" w:hAnsi="宋体" w:eastAsia="宋体" w:cs="宋体"/>
                <w:color w:val="auto"/>
                <w:szCs w:val="21"/>
                <w:highlight w:val="none"/>
                <w:u w:val="single"/>
              </w:rPr>
              <w:t>按合同总金额的5</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（如成交供应商为中小企业，履约保证金为合同金额的2</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913B41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履约保证金提交方式：银行转账、支票、汇票、本票或者金融、担保机构出具的保函等非现金方式（参照磋商保证金）。</w:t>
            </w:r>
          </w:p>
          <w:p w14:paraId="1176414A">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szCs w:val="21"/>
                <w:highlight w:val="none"/>
                <w:u w:val="single"/>
              </w:rPr>
              <w:t>按合同约定质保期过后10个工作日内一次性无息返还给成交人</w:t>
            </w:r>
            <w:r>
              <w:rPr>
                <w:rFonts w:hint="eastAsia" w:ascii="宋体" w:hAnsi="宋体" w:eastAsia="宋体" w:cs="宋体"/>
                <w:color w:val="auto"/>
                <w:szCs w:val="21"/>
                <w:highlight w:val="none"/>
              </w:rPr>
              <w:t>。</w:t>
            </w:r>
          </w:p>
          <w:p w14:paraId="1E3805F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成交供应商向履约保证金收取单位提供《广西壮族自治区政府采购项目合同验收书》（详见附件1）及《政府采购项目履约保证金退付意见书》（详见附件2），保证金收取单位在收到合格材料后10个工作日内办理退还手续（不计利息）。</w:t>
            </w:r>
          </w:p>
          <w:p w14:paraId="7C7A7C4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履约保证金指定账户：</w:t>
            </w:r>
          </w:p>
          <w:p w14:paraId="1A57D493">
            <w:pPr>
              <w:adjustRightInd w:val="0"/>
              <w:snapToGrid w:val="0"/>
              <w:spacing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广西工业职业技术学院</w:t>
            </w:r>
          </w:p>
          <w:p w14:paraId="2BBFE0A0">
            <w:pPr>
              <w:adjustRightInd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1702012200017200</w:t>
            </w:r>
          </w:p>
          <w:p w14:paraId="2929C246">
            <w:pPr>
              <w:pStyle w:val="16"/>
              <w:spacing w:line="360" w:lineRule="auto"/>
              <w:rPr>
                <w:rFonts w:hint="eastAsia"/>
                <w:color w:val="auto"/>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广西北部湾银行南宁市衡阳路支行</w:t>
            </w:r>
          </w:p>
          <w:p w14:paraId="43B10D09">
            <w:pPr>
              <w:rPr>
                <w:color w:val="auto"/>
                <w:highlight w:val="none"/>
              </w:rPr>
            </w:pPr>
            <w:r>
              <w:rPr>
                <w:rFonts w:hint="eastAsia"/>
                <w:color w:val="auto"/>
                <w:highlight w:val="none"/>
              </w:rPr>
              <w:t>备注：</w:t>
            </w:r>
          </w:p>
          <w:p w14:paraId="679B1DCC">
            <w:pPr>
              <w:ind w:left="0" w:leftChars="0" w:firstLine="0" w:firstLineChars="0"/>
              <w:rPr>
                <w:color w:val="auto"/>
                <w:highlight w:val="none"/>
              </w:rPr>
            </w:pPr>
            <w:r>
              <w:rPr>
                <w:rFonts w:hint="eastAsia"/>
                <w:color w:val="auto"/>
                <w:highlight w:val="none"/>
              </w:rPr>
              <w:t>1.</w:t>
            </w:r>
            <w:bookmarkStart w:id="72" w:name="_Hlk54170335"/>
            <w:r>
              <w:rPr>
                <w:rFonts w:hint="eastAsia"/>
                <w:color w:val="auto"/>
                <w:highlight w:val="none"/>
              </w:rPr>
              <w:t>根据《广西壮族自治区财政厅关于持续优化政府采购营商环境推动高质量发展的通知》（桂财采〔2024〕55号）规定，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72"/>
          </w:p>
          <w:p w14:paraId="56AD5196">
            <w:pPr>
              <w:ind w:left="0" w:leftChars="0" w:firstLine="0" w:firstLineChars="0"/>
              <w:rPr>
                <w:color w:val="auto"/>
                <w:highlight w:val="none"/>
              </w:rPr>
            </w:pPr>
            <w:r>
              <w:rPr>
                <w:rFonts w:hint="eastAsia"/>
                <w:color w:val="auto"/>
                <w:highlight w:val="none"/>
              </w:rPr>
              <w:t>2</w:t>
            </w:r>
            <w:r>
              <w:rPr>
                <w:color w:val="auto"/>
                <w:highlight w:val="none"/>
              </w:rPr>
              <w:t>.</w:t>
            </w:r>
            <w:r>
              <w:rPr>
                <w:rFonts w:hint="eastAsia"/>
                <w:color w:val="auto"/>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EF1D2D4">
            <w:pPr>
              <w:ind w:left="0" w:leftChars="0" w:firstLine="0" w:firstLineChars="0"/>
              <w:rPr>
                <w:color w:val="auto"/>
                <w:highlight w:val="none"/>
              </w:rPr>
            </w:pPr>
            <w:r>
              <w:rPr>
                <w:rFonts w:hint="eastAsia"/>
                <w:color w:val="auto"/>
                <w:highlight w:val="none"/>
              </w:rPr>
              <w:t>3</w:t>
            </w:r>
            <w:r>
              <w:rPr>
                <w:color w:val="auto"/>
                <w:highlight w:val="none"/>
              </w:rPr>
              <w:t>.采用银行、保险机构出具的保函的，必须为无条件保函，否则不予签订合同。</w:t>
            </w:r>
          </w:p>
          <w:p w14:paraId="7776867E">
            <w:pPr>
              <w:ind w:left="0" w:leftChars="0" w:firstLine="0" w:firstLineChars="0"/>
              <w:rPr>
                <w:color w:val="auto"/>
                <w:kern w:val="0"/>
                <w:highlight w:val="none"/>
              </w:rPr>
            </w:pPr>
            <w:r>
              <w:rPr>
                <w:rFonts w:hint="eastAsia"/>
                <w:color w:val="auto"/>
                <w:highlight w:val="none"/>
              </w:rPr>
              <w:t>4</w:t>
            </w:r>
            <w:r>
              <w:rPr>
                <w:color w:val="auto"/>
                <w:highlight w:val="none"/>
              </w:rPr>
              <w:t>.</w:t>
            </w:r>
            <w:r>
              <w:rPr>
                <w:rFonts w:hint="eastAsia"/>
                <w:color w:val="auto"/>
                <w:highlight w:val="none"/>
              </w:rPr>
              <w:t>投标人为联合体的，由联合体其中一方按规定提交的履约保证金，视为有效履约保证金。</w:t>
            </w:r>
          </w:p>
        </w:tc>
      </w:tr>
      <w:tr w14:paraId="466B5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AF3BFC2">
            <w:pPr>
              <w:ind w:firstLine="0" w:firstLineChars="0"/>
              <w:rPr>
                <w:color w:val="auto"/>
                <w:highlight w:val="none"/>
              </w:rPr>
            </w:pPr>
            <w:bookmarkStart w:id="73" w:name="_40.1"/>
            <w:bookmarkEnd w:id="73"/>
            <w:r>
              <w:rPr>
                <w:rFonts w:hint="eastAsia"/>
                <w:color w:val="auto"/>
                <w:highlight w:val="none"/>
              </w:rPr>
              <w:t>36.1</w:t>
            </w:r>
          </w:p>
        </w:tc>
        <w:tc>
          <w:tcPr>
            <w:tcW w:w="7654" w:type="dxa"/>
            <w:tcBorders>
              <w:top w:val="single" w:color="auto" w:sz="4" w:space="0"/>
              <w:left w:val="single" w:color="auto" w:sz="4" w:space="0"/>
              <w:bottom w:val="single" w:color="auto" w:sz="4" w:space="0"/>
              <w:right w:val="single" w:color="auto" w:sz="4" w:space="0"/>
            </w:tcBorders>
            <w:vAlign w:val="center"/>
          </w:tcPr>
          <w:p w14:paraId="4289BA6E">
            <w:pPr>
              <w:rPr>
                <w:color w:val="auto"/>
                <w:highlight w:val="none"/>
              </w:rPr>
            </w:pPr>
            <w:r>
              <w:rPr>
                <w:rFonts w:hint="eastAsia"/>
                <w:color w:val="auto"/>
                <w:highlight w:val="none"/>
              </w:rPr>
              <w:t xml:space="preserve">签订合同携带的证明材料： </w:t>
            </w:r>
          </w:p>
          <w:p w14:paraId="76E280F5">
            <w:pPr>
              <w:rPr>
                <w:color w:val="auto"/>
                <w:highlight w:val="none"/>
              </w:rPr>
            </w:pPr>
            <w:r>
              <w:rPr>
                <w:rFonts w:hint="eastAsia"/>
                <w:color w:val="auto"/>
                <w:highlight w:val="none"/>
              </w:rPr>
              <w:t>委托代理人负责签订合同的，须携带授权委托书及委托代理人身份证原件等其他资格证件。</w:t>
            </w:r>
          </w:p>
          <w:p w14:paraId="0C90688F">
            <w:pPr>
              <w:rPr>
                <w:color w:val="auto"/>
                <w:highlight w:val="none"/>
              </w:rPr>
            </w:pPr>
            <w:r>
              <w:rPr>
                <w:rFonts w:hint="eastAsia"/>
                <w:color w:val="auto"/>
                <w:highlight w:val="none"/>
              </w:rPr>
              <w:t>法定代表人（或负责人）负责签订合同的，须携带法定代表人（或负责人）</w:t>
            </w:r>
            <w:r>
              <w:rPr>
                <w:color w:val="auto"/>
                <w:highlight w:val="none"/>
              </w:rPr>
              <w:t>身份证明原件</w:t>
            </w:r>
            <w:r>
              <w:rPr>
                <w:rFonts w:hint="eastAsia"/>
                <w:color w:val="auto"/>
                <w:highlight w:val="none"/>
              </w:rPr>
              <w:t>及</w:t>
            </w:r>
            <w:r>
              <w:rPr>
                <w:color w:val="auto"/>
                <w:highlight w:val="none"/>
              </w:rPr>
              <w:t>身份证原件</w:t>
            </w:r>
            <w:r>
              <w:rPr>
                <w:rFonts w:hint="eastAsia"/>
                <w:color w:val="auto"/>
                <w:highlight w:val="none"/>
              </w:rPr>
              <w:t>等其他证明材料。</w:t>
            </w:r>
          </w:p>
        </w:tc>
      </w:tr>
      <w:tr w14:paraId="32C36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BE6E796">
            <w:pPr>
              <w:ind w:firstLine="0" w:firstLineChars="0"/>
              <w:rPr>
                <w:color w:val="auto"/>
                <w:highlight w:val="none"/>
              </w:rPr>
            </w:pPr>
            <w:r>
              <w:rPr>
                <w:rFonts w:hint="eastAsia"/>
                <w:color w:val="auto"/>
                <w:highlight w:val="none"/>
              </w:rPr>
              <w:t>3</w:t>
            </w:r>
            <w:r>
              <w:rPr>
                <w:color w:val="auto"/>
                <w:highlight w:val="none"/>
              </w:rPr>
              <w:t>8.2</w:t>
            </w:r>
          </w:p>
        </w:tc>
        <w:tc>
          <w:tcPr>
            <w:tcW w:w="7654" w:type="dxa"/>
            <w:tcBorders>
              <w:top w:val="single" w:color="auto" w:sz="4" w:space="0"/>
              <w:left w:val="single" w:color="auto" w:sz="4" w:space="0"/>
              <w:bottom w:val="single" w:color="auto" w:sz="4" w:space="0"/>
              <w:right w:val="single" w:color="auto" w:sz="4" w:space="0"/>
            </w:tcBorders>
            <w:vAlign w:val="center"/>
          </w:tcPr>
          <w:p w14:paraId="1DEA357E">
            <w:pPr>
              <w:rPr>
                <w:color w:val="auto"/>
                <w:highlight w:val="none"/>
              </w:rPr>
            </w:pPr>
            <w:r>
              <w:rPr>
                <w:rFonts w:hint="eastAsia"/>
                <w:color w:val="auto"/>
                <w:highlight w:val="none"/>
              </w:rPr>
              <w:t>接收质疑函方式：以书面形式</w:t>
            </w:r>
          </w:p>
          <w:p w14:paraId="2A94D046">
            <w:pPr>
              <w:rPr>
                <w:color w:val="auto"/>
                <w:highlight w:val="none"/>
              </w:rPr>
            </w:pPr>
            <w:r>
              <w:rPr>
                <w:rFonts w:hint="eastAsia"/>
                <w:color w:val="auto"/>
                <w:highlight w:val="none"/>
              </w:rPr>
              <w:t>质疑联系部门及联系方式：</w:t>
            </w:r>
            <w:r>
              <w:rPr>
                <w:rFonts w:hint="eastAsia"/>
                <w:color w:val="auto"/>
                <w:highlight w:val="none"/>
                <w:lang w:eastAsia="zh-CN"/>
              </w:rPr>
              <w:t>中资国际工程咨询集团有限责任公司</w:t>
            </w:r>
            <w:r>
              <w:rPr>
                <w:rFonts w:hint="eastAsia"/>
                <w:color w:val="auto"/>
                <w:highlight w:val="none"/>
              </w:rPr>
              <w:t>，</w:t>
            </w:r>
            <w:r>
              <w:rPr>
                <w:color w:val="auto"/>
                <w:highlight w:val="none"/>
              </w:rPr>
              <w:t>联系电话</w:t>
            </w:r>
            <w:r>
              <w:rPr>
                <w:rFonts w:hint="eastAsia"/>
                <w:color w:val="auto"/>
                <w:highlight w:val="none"/>
              </w:rPr>
              <w:t>：</w:t>
            </w:r>
            <w:r>
              <w:rPr>
                <w:rFonts w:hint="eastAsia"/>
                <w:color w:val="auto"/>
                <w:highlight w:val="none"/>
                <w:lang w:eastAsia="zh-CN"/>
              </w:rPr>
              <w:t>0771-5675006</w:t>
            </w:r>
            <w:r>
              <w:rPr>
                <w:rFonts w:hint="eastAsia"/>
                <w:color w:val="auto"/>
                <w:highlight w:val="none"/>
              </w:rPr>
              <w:t>，</w:t>
            </w:r>
            <w:r>
              <w:rPr>
                <w:color w:val="auto"/>
                <w:highlight w:val="none"/>
              </w:rPr>
              <w:t>通讯地址</w:t>
            </w:r>
            <w:r>
              <w:rPr>
                <w:rFonts w:hint="eastAsia" w:cs="Helvetica"/>
                <w:color w:val="auto"/>
                <w:highlight w:val="none"/>
              </w:rPr>
              <w:t>：</w:t>
            </w:r>
            <w:r>
              <w:rPr>
                <w:rFonts w:hint="eastAsia"/>
                <w:color w:val="auto"/>
                <w:highlight w:val="none"/>
                <w:lang w:eastAsia="zh-CN"/>
              </w:rPr>
              <w:t>中资国际工程咨询集团有限责任公司</w:t>
            </w:r>
            <w:r>
              <w:rPr>
                <w:rFonts w:hint="eastAsia"/>
                <w:color w:val="auto"/>
                <w:highlight w:val="none"/>
              </w:rPr>
              <w:t>（</w:t>
            </w:r>
            <w:r>
              <w:rPr>
                <w:rFonts w:hint="eastAsia"/>
                <w:color w:val="auto"/>
                <w:highlight w:val="none"/>
                <w:lang w:eastAsia="zh-CN"/>
              </w:rPr>
              <w:t>南宁市青秀区长园路8号大地华城S3-01号商场三楼</w:t>
            </w:r>
            <w:r>
              <w:rPr>
                <w:rFonts w:hint="eastAsia"/>
                <w:color w:val="auto"/>
                <w:highlight w:val="none"/>
              </w:rPr>
              <w:t>）</w:t>
            </w:r>
          </w:p>
          <w:p w14:paraId="4F9B5F2F">
            <w:pPr>
              <w:rPr>
                <w:color w:val="auto"/>
                <w:highlight w:val="none"/>
              </w:rPr>
            </w:pPr>
            <w:r>
              <w:rPr>
                <w:rFonts w:hint="eastAsia"/>
                <w:color w:val="auto"/>
                <w:highlight w:val="none"/>
              </w:rPr>
              <w:t>现场提交质疑办理业务时间：每天8时</w:t>
            </w:r>
            <w:r>
              <w:rPr>
                <w:rFonts w:hint="eastAsia"/>
                <w:color w:val="auto"/>
                <w:highlight w:val="none"/>
                <w:lang w:val="en-US" w:eastAsia="zh-CN"/>
              </w:rPr>
              <w:t>3</w:t>
            </w:r>
            <w:r>
              <w:rPr>
                <w:rFonts w:hint="eastAsia"/>
                <w:color w:val="auto"/>
                <w:highlight w:val="none"/>
              </w:rPr>
              <w:t>0分到12时00分，15时00分到18时00分，业务时间以外、双休日和法定节假日不办理业务。</w:t>
            </w:r>
          </w:p>
        </w:tc>
      </w:tr>
      <w:tr w14:paraId="2D540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36584D4">
            <w:pPr>
              <w:ind w:firstLine="0" w:firstLineChars="0"/>
              <w:rPr>
                <w:color w:val="auto"/>
                <w:highlight w:val="none"/>
              </w:rPr>
            </w:pPr>
            <w:bookmarkStart w:id="74" w:name="_41"/>
            <w:bookmarkEnd w:id="74"/>
            <w:bookmarkStart w:id="75" w:name="_42"/>
            <w:bookmarkEnd w:id="75"/>
            <w:bookmarkStart w:id="76" w:name="_Hlt17709148"/>
            <w:r>
              <w:rPr>
                <w:rFonts w:hint="eastAsia"/>
                <w:color w:val="auto"/>
                <w:highlight w:val="none"/>
              </w:rPr>
              <w:t>3</w:t>
            </w:r>
            <w:bookmarkEnd w:id="76"/>
            <w:r>
              <w:rPr>
                <w:color w:val="auto"/>
                <w:highlight w:val="none"/>
              </w:rPr>
              <w:t>9.1</w:t>
            </w:r>
          </w:p>
        </w:tc>
        <w:tc>
          <w:tcPr>
            <w:tcW w:w="7654" w:type="dxa"/>
            <w:tcBorders>
              <w:top w:val="single" w:color="auto" w:sz="4" w:space="0"/>
              <w:left w:val="single" w:color="auto" w:sz="4" w:space="0"/>
              <w:bottom w:val="single" w:color="auto" w:sz="4" w:space="0"/>
              <w:right w:val="single" w:color="auto" w:sz="4" w:space="0"/>
            </w:tcBorders>
            <w:vAlign w:val="center"/>
          </w:tcPr>
          <w:p w14:paraId="6E4A0750">
            <w:pPr>
              <w:rPr>
                <w:color w:val="auto"/>
                <w:kern w:val="0"/>
                <w:highlight w:val="none"/>
              </w:rPr>
            </w:pPr>
            <w:r>
              <w:rPr>
                <w:rFonts w:hint="eastAsia"/>
                <w:color w:val="auto"/>
                <w:kern w:val="0"/>
                <w:highlight w:val="none"/>
              </w:rPr>
              <w:t>1.采购代理费支付方式：</w:t>
            </w:r>
          </w:p>
          <w:p w14:paraId="78B0633D">
            <w:pPr>
              <w:ind w:firstLine="400"/>
              <w:rPr>
                <w:color w:val="auto"/>
                <w:kern w:val="0"/>
                <w:highlight w:val="none"/>
              </w:rPr>
            </w:pPr>
            <w:r>
              <w:rPr>
                <w:rFonts w:hint="eastAsia"/>
                <w:color w:val="auto"/>
                <w:kern w:val="0"/>
                <w:highlight w:val="none"/>
                <w:lang w:eastAsia="zh-CN"/>
              </w:rPr>
              <w:t>☑</w:t>
            </w:r>
            <w:r>
              <w:rPr>
                <w:rFonts w:hint="eastAsia"/>
                <w:color w:val="auto"/>
                <w:kern w:val="0"/>
                <w:highlight w:val="none"/>
              </w:rPr>
              <w:t>本项目代理服务费由</w:t>
            </w:r>
            <w:r>
              <w:rPr>
                <w:rFonts w:hint="eastAsia"/>
                <w:color w:val="auto"/>
                <w:kern w:val="0"/>
                <w:highlight w:val="none"/>
                <w:u w:val="single"/>
              </w:rPr>
              <w:t>中标人</w:t>
            </w:r>
            <w:r>
              <w:rPr>
                <w:rFonts w:hint="eastAsia"/>
                <w:color w:val="auto"/>
                <w:kern w:val="0"/>
                <w:highlight w:val="none"/>
              </w:rPr>
              <w:t>在领取中标通知书前，一次性向采购代理机构支付。</w:t>
            </w:r>
          </w:p>
          <w:p w14:paraId="6C195C20">
            <w:pPr>
              <w:rPr>
                <w:color w:val="auto"/>
                <w:kern w:val="0"/>
                <w:highlight w:val="none"/>
              </w:rPr>
            </w:pPr>
            <w:r>
              <w:rPr>
                <w:rFonts w:hint="eastAsia"/>
                <w:color w:val="auto"/>
                <w:kern w:val="0"/>
                <w:highlight w:val="none"/>
              </w:rPr>
              <w:t>□采购人支付。</w:t>
            </w:r>
          </w:p>
          <w:p w14:paraId="26DC49AA">
            <w:pPr>
              <w:rPr>
                <w:color w:val="auto"/>
                <w:kern w:val="0"/>
                <w:highlight w:val="none"/>
              </w:rPr>
            </w:pPr>
            <w:r>
              <w:rPr>
                <w:rFonts w:hint="eastAsia"/>
                <w:color w:val="auto"/>
                <w:kern w:val="0"/>
                <w:highlight w:val="none"/>
              </w:rPr>
              <w:t>2.采购代理费收取标准：(</w:t>
            </w:r>
            <w:r>
              <w:rPr>
                <w:rFonts w:hint="eastAsia" w:ascii="MS Mincho" w:hAnsi="MS Mincho" w:eastAsia="MS Mincho" w:cs="MS Mincho"/>
                <w:color w:val="auto"/>
                <w:kern w:val="0"/>
                <w:highlight w:val="none"/>
              </w:rPr>
              <w:t>☑</w:t>
            </w:r>
            <w:r>
              <w:rPr>
                <w:rFonts w:hint="eastAsia"/>
                <w:color w:val="auto"/>
                <w:kern w:val="0"/>
                <w:highlight w:val="none"/>
              </w:rPr>
              <w:t>中标金额/□采购预算/□暂定中标金额/□其他</w:t>
            </w:r>
            <w:r>
              <w:rPr>
                <w:rFonts w:hint="eastAsia"/>
                <w:color w:val="auto"/>
                <w:kern w:val="0"/>
                <w:highlight w:val="none"/>
                <w:u w:val="single"/>
              </w:rPr>
              <w:t xml:space="preserve"> </w:t>
            </w:r>
            <w:r>
              <w:rPr>
                <w:color w:val="auto"/>
                <w:kern w:val="0"/>
                <w:highlight w:val="none"/>
                <w:u w:val="single"/>
              </w:rPr>
              <w:t xml:space="preserve">  </w:t>
            </w:r>
            <w:r>
              <w:rPr>
                <w:rFonts w:hint="eastAsia"/>
                <w:color w:val="auto"/>
                <w:kern w:val="0"/>
                <w:highlight w:val="none"/>
              </w:rPr>
              <w:t>）为计费额，按本须知正文第</w:t>
            </w:r>
            <w:r>
              <w:rPr>
                <w:color w:val="auto"/>
                <w:kern w:val="0"/>
                <w:highlight w:val="none"/>
              </w:rPr>
              <w:t>39</w:t>
            </w:r>
            <w:r>
              <w:rPr>
                <w:rFonts w:hint="eastAsia"/>
                <w:color w:val="auto"/>
                <w:kern w:val="0"/>
                <w:highlight w:val="none"/>
              </w:rPr>
              <w:t>.</w:t>
            </w:r>
            <w:r>
              <w:rPr>
                <w:color w:val="auto"/>
                <w:kern w:val="0"/>
                <w:highlight w:val="none"/>
              </w:rPr>
              <w:t>2</w:t>
            </w:r>
            <w:r>
              <w:rPr>
                <w:rFonts w:hint="eastAsia"/>
                <w:color w:val="auto"/>
                <w:kern w:val="0"/>
                <w:highlight w:val="none"/>
              </w:rPr>
              <w:t>条规定的收费计算标准（</w:t>
            </w:r>
            <w:r>
              <w:rPr>
                <w:rFonts w:hint="eastAsia" w:ascii="MS Mincho" w:hAnsi="MS Mincho" w:eastAsia="MS Mincho" w:cs="MS Mincho"/>
                <w:color w:val="auto"/>
                <w:kern w:val="0"/>
                <w:highlight w:val="none"/>
              </w:rPr>
              <w:t>☑</w:t>
            </w:r>
            <w:r>
              <w:rPr>
                <w:rFonts w:hint="eastAsia"/>
                <w:color w:val="auto"/>
                <w:kern w:val="0"/>
                <w:highlight w:val="none"/>
              </w:rPr>
              <w:t>货物招标/□服务招标/□工程招标）采用差额定率累进法计算出收费基准价格，采购代理收费以（</w:t>
            </w:r>
            <w:r>
              <w:rPr>
                <w:rFonts w:hint="eastAsia" w:ascii="MS Mincho" w:hAnsi="MS Mincho" w:eastAsia="MS Mincho" w:cs="MS Mincho"/>
                <w:color w:val="auto"/>
                <w:kern w:val="0"/>
                <w:highlight w:val="none"/>
              </w:rPr>
              <w:t>☑</w:t>
            </w:r>
            <w:r>
              <w:rPr>
                <w:rFonts w:hint="eastAsia"/>
                <w:color w:val="auto"/>
                <w:kern w:val="0"/>
                <w:highlight w:val="none"/>
              </w:rPr>
              <w:t>收费基准价格/□收费基准价格下浮</w:t>
            </w:r>
            <w:r>
              <w:rPr>
                <w:rFonts w:hint="eastAsia"/>
                <w:color w:val="auto"/>
                <w:kern w:val="0"/>
                <w:highlight w:val="none"/>
                <w:u w:val="single"/>
              </w:rPr>
              <w:t xml:space="preserve"> </w:t>
            </w:r>
            <w:r>
              <w:rPr>
                <w:color w:val="auto"/>
                <w:kern w:val="0"/>
                <w:highlight w:val="none"/>
                <w:u w:val="single"/>
              </w:rPr>
              <w:t xml:space="preserve"> </w:t>
            </w:r>
            <w:r>
              <w:rPr>
                <w:rFonts w:hint="eastAsia"/>
                <w:color w:val="auto"/>
                <w:kern w:val="0"/>
                <w:highlight w:val="none"/>
                <w:u w:val="single"/>
              </w:rPr>
              <w:t>%</w:t>
            </w:r>
            <w:r>
              <w:rPr>
                <w:color w:val="auto"/>
                <w:kern w:val="0"/>
                <w:highlight w:val="none"/>
              </w:rPr>
              <w:t>/</w:t>
            </w:r>
            <w:r>
              <w:rPr>
                <w:rFonts w:hint="eastAsia"/>
                <w:color w:val="auto"/>
                <w:kern w:val="0"/>
                <w:highlight w:val="none"/>
              </w:rPr>
              <w:t>□收费基准价格上浮</w:t>
            </w:r>
            <w:r>
              <w:rPr>
                <w:rFonts w:hint="eastAsia"/>
                <w:color w:val="auto"/>
                <w:kern w:val="0"/>
                <w:highlight w:val="none"/>
                <w:u w:val="single"/>
              </w:rPr>
              <w:t xml:space="preserve"> </w:t>
            </w:r>
            <w:r>
              <w:rPr>
                <w:color w:val="auto"/>
                <w:kern w:val="0"/>
                <w:highlight w:val="none"/>
                <w:u w:val="single"/>
              </w:rPr>
              <w:t xml:space="preserve">  </w:t>
            </w:r>
            <w:r>
              <w:rPr>
                <w:rFonts w:hint="eastAsia"/>
                <w:color w:val="auto"/>
                <w:kern w:val="0"/>
                <w:highlight w:val="none"/>
                <w:u w:val="single"/>
              </w:rPr>
              <w:t>%</w:t>
            </w:r>
            <w:r>
              <w:rPr>
                <w:rFonts w:hint="eastAsia"/>
                <w:color w:val="auto"/>
                <w:kern w:val="0"/>
                <w:highlight w:val="none"/>
              </w:rPr>
              <w:t>）收取。</w:t>
            </w:r>
          </w:p>
          <w:p w14:paraId="24267C9C">
            <w:pPr>
              <w:rPr>
                <w:color w:val="auto"/>
                <w:kern w:val="0"/>
                <w:highlight w:val="none"/>
              </w:rPr>
            </w:pPr>
            <w:r>
              <w:rPr>
                <w:rFonts w:hint="eastAsia"/>
                <w:color w:val="auto"/>
                <w:kern w:val="0"/>
                <w:highlight w:val="none"/>
              </w:rPr>
              <w:t>□固定采购代理收费</w:t>
            </w:r>
            <w:r>
              <w:rPr>
                <w:rFonts w:hint="eastAsia"/>
                <w:color w:val="auto"/>
                <w:kern w:val="0"/>
                <w:highlight w:val="none"/>
                <w:u w:val="single"/>
              </w:rPr>
              <w:t xml:space="preserve">              </w:t>
            </w:r>
            <w:r>
              <w:rPr>
                <w:rFonts w:hint="eastAsia"/>
                <w:color w:val="auto"/>
                <w:kern w:val="0"/>
                <w:highlight w:val="none"/>
              </w:rPr>
              <w:t>。</w:t>
            </w:r>
          </w:p>
          <w:p w14:paraId="3A01E14D">
            <w:pPr>
              <w:rPr>
                <w:rFonts w:hint="eastAsia" w:eastAsia="宋体"/>
                <w:color w:val="auto"/>
                <w:kern w:val="0"/>
                <w:highlight w:val="none"/>
                <w:lang w:eastAsia="zh-CN"/>
              </w:rPr>
            </w:pPr>
            <w:r>
              <w:rPr>
                <w:rFonts w:hint="eastAsia"/>
                <w:color w:val="auto"/>
                <w:kern w:val="0"/>
                <w:highlight w:val="none"/>
              </w:rPr>
              <w:t>3.账户名称：</w:t>
            </w:r>
            <w:r>
              <w:rPr>
                <w:rFonts w:hint="eastAsia"/>
                <w:color w:val="auto"/>
                <w:kern w:val="0"/>
                <w:highlight w:val="none"/>
                <w:lang w:eastAsia="zh-CN"/>
              </w:rPr>
              <w:t>中资国际工程咨询集团有限责任公司</w:t>
            </w:r>
          </w:p>
          <w:p w14:paraId="0030F834">
            <w:pPr>
              <w:rPr>
                <w:rFonts w:hint="eastAsia" w:eastAsia="宋体"/>
                <w:color w:val="auto"/>
                <w:kern w:val="0"/>
                <w:highlight w:val="none"/>
                <w:lang w:eastAsia="zh-CN"/>
              </w:rPr>
            </w:pPr>
            <w:r>
              <w:rPr>
                <w:rFonts w:hint="eastAsia"/>
                <w:color w:val="auto"/>
                <w:kern w:val="0"/>
                <w:highlight w:val="none"/>
              </w:rPr>
              <w:t>开户银行：</w:t>
            </w:r>
            <w:r>
              <w:rPr>
                <w:rFonts w:hint="eastAsia"/>
                <w:color w:val="auto"/>
                <w:kern w:val="0"/>
                <w:highlight w:val="none"/>
                <w:lang w:eastAsia="zh-CN"/>
              </w:rPr>
              <w:t>招商银行南宁分行东葛路支行</w:t>
            </w:r>
          </w:p>
          <w:p w14:paraId="3775884B">
            <w:pPr>
              <w:rPr>
                <w:rFonts w:hint="eastAsia" w:eastAsia="宋体"/>
                <w:color w:val="auto"/>
                <w:kern w:val="0"/>
                <w:highlight w:val="none"/>
                <w:lang w:eastAsia="zh-CN"/>
              </w:rPr>
            </w:pPr>
            <w:r>
              <w:rPr>
                <w:rFonts w:hint="eastAsia"/>
                <w:color w:val="auto"/>
                <w:kern w:val="0"/>
                <w:highlight w:val="none"/>
              </w:rPr>
              <w:t>银行账号：</w:t>
            </w:r>
            <w:r>
              <w:rPr>
                <w:rFonts w:hint="eastAsia"/>
                <w:color w:val="auto"/>
                <w:kern w:val="0"/>
                <w:highlight w:val="none"/>
                <w:lang w:eastAsia="zh-CN"/>
              </w:rPr>
              <w:t>771901372110211</w:t>
            </w:r>
          </w:p>
        </w:tc>
      </w:tr>
      <w:tr w14:paraId="083C9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4C62CC4">
            <w:pPr>
              <w:ind w:firstLine="0" w:firstLineChars="0"/>
              <w:rPr>
                <w:color w:val="auto"/>
                <w:highlight w:val="none"/>
              </w:rPr>
            </w:pPr>
            <w:r>
              <w:rPr>
                <w:color w:val="auto"/>
                <w:highlight w:val="none"/>
              </w:rPr>
              <w:t>40.1</w:t>
            </w:r>
          </w:p>
        </w:tc>
        <w:tc>
          <w:tcPr>
            <w:tcW w:w="7654" w:type="dxa"/>
            <w:tcBorders>
              <w:top w:val="single" w:color="auto" w:sz="4" w:space="0"/>
              <w:left w:val="single" w:color="auto" w:sz="4" w:space="0"/>
              <w:bottom w:val="single" w:color="auto" w:sz="4" w:space="0"/>
              <w:right w:val="single" w:color="auto" w:sz="4" w:space="0"/>
            </w:tcBorders>
            <w:vAlign w:val="center"/>
          </w:tcPr>
          <w:p w14:paraId="27E5E777">
            <w:pPr>
              <w:rPr>
                <w:color w:val="auto"/>
                <w:highlight w:val="none"/>
              </w:rPr>
            </w:pPr>
            <w:r>
              <w:rPr>
                <w:rFonts w:hint="eastAsia"/>
                <w:color w:val="auto"/>
                <w:highlight w:val="none"/>
              </w:rPr>
              <w:t>解释：</w:t>
            </w:r>
            <w:r>
              <w:rPr>
                <w:color w:val="auto"/>
                <w:highlight w:val="none"/>
              </w:rPr>
              <w:t>构成本招标文件的各个组成文件应互为解释，互为说明；除招标文件中有特别规定外，仅适用于招标投标阶段的规定，按</w:t>
            </w:r>
            <w:r>
              <w:rPr>
                <w:rFonts w:hint="eastAsia"/>
                <w:color w:val="auto"/>
                <w:highlight w:val="none"/>
              </w:rPr>
              <w:t>更正公告（澄清公告）</w:t>
            </w:r>
            <w:r>
              <w:rPr>
                <w:color w:val="auto"/>
                <w:highlight w:val="none"/>
              </w:rPr>
              <w:t>、招标公告、</w:t>
            </w:r>
            <w:r>
              <w:rPr>
                <w:rFonts w:hint="eastAsia"/>
                <w:color w:val="auto"/>
                <w:highlight w:val="none"/>
              </w:rPr>
              <w:t>采购需求、</w:t>
            </w:r>
            <w:r>
              <w:rPr>
                <w:color w:val="auto"/>
                <w:highlight w:val="none"/>
              </w:rPr>
              <w:t>投标人须知、</w:t>
            </w:r>
            <w:r>
              <w:rPr>
                <w:rFonts w:hint="eastAsia"/>
                <w:color w:val="auto"/>
                <w:highlight w:val="none"/>
              </w:rPr>
              <w:t>评标方法及评标标准</w:t>
            </w:r>
            <w:r>
              <w:rPr>
                <w:color w:val="auto"/>
                <w:highlight w:val="none"/>
              </w:rPr>
              <w:t>、</w:t>
            </w:r>
            <w:r>
              <w:rPr>
                <w:rFonts w:hint="eastAsia"/>
                <w:color w:val="auto"/>
                <w:highlight w:val="none"/>
              </w:rPr>
              <w:t>拟签订的合同文本、</w:t>
            </w:r>
            <w:r>
              <w:rPr>
                <w:color w:val="auto"/>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color w:val="auto"/>
                <w:highlight w:val="none"/>
              </w:rPr>
              <w:t>更正公告（澄清公告）</w:t>
            </w:r>
            <w:r>
              <w:rPr>
                <w:color w:val="auto"/>
                <w:highlight w:val="none"/>
              </w:rPr>
              <w:t>与同步更新的招标文件不一致时以</w:t>
            </w:r>
            <w:r>
              <w:rPr>
                <w:rFonts w:hint="eastAsia"/>
                <w:color w:val="auto"/>
                <w:highlight w:val="none"/>
              </w:rPr>
              <w:t>更正公告（澄清公告）</w:t>
            </w:r>
            <w:r>
              <w:rPr>
                <w:color w:val="auto"/>
                <w:highlight w:val="none"/>
              </w:rPr>
              <w:t>为准。按本款前述规定仍不能形成结论的，由</w:t>
            </w:r>
            <w:r>
              <w:rPr>
                <w:rFonts w:hint="eastAsia"/>
                <w:color w:val="auto"/>
                <w:highlight w:val="none"/>
              </w:rPr>
              <w:t>采购</w:t>
            </w:r>
            <w:r>
              <w:rPr>
                <w:color w:val="auto"/>
                <w:highlight w:val="none"/>
              </w:rPr>
              <w:t>人</w:t>
            </w:r>
            <w:r>
              <w:rPr>
                <w:rFonts w:hint="eastAsia"/>
                <w:color w:val="auto"/>
                <w:highlight w:val="none"/>
              </w:rPr>
              <w:t>或者采购代理机构</w:t>
            </w:r>
            <w:r>
              <w:rPr>
                <w:color w:val="auto"/>
                <w:highlight w:val="none"/>
              </w:rPr>
              <w:t>负责解释。</w:t>
            </w:r>
          </w:p>
        </w:tc>
      </w:tr>
      <w:tr w14:paraId="6D31F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D83EE77">
            <w:pPr>
              <w:ind w:firstLine="0" w:firstLineChars="0"/>
              <w:rPr>
                <w:color w:val="auto"/>
                <w:highlight w:val="none"/>
              </w:rPr>
            </w:pPr>
            <w:r>
              <w:rPr>
                <w:color w:val="auto"/>
                <w:highlight w:val="none"/>
              </w:rPr>
              <w:t>40.2</w:t>
            </w:r>
          </w:p>
        </w:tc>
        <w:tc>
          <w:tcPr>
            <w:tcW w:w="7654" w:type="dxa"/>
            <w:tcBorders>
              <w:top w:val="single" w:color="auto" w:sz="4" w:space="0"/>
              <w:left w:val="single" w:color="auto" w:sz="4" w:space="0"/>
              <w:bottom w:val="single" w:color="auto" w:sz="4" w:space="0"/>
              <w:right w:val="single" w:color="auto" w:sz="4" w:space="0"/>
            </w:tcBorders>
            <w:vAlign w:val="center"/>
          </w:tcPr>
          <w:p w14:paraId="2174B77B">
            <w:pPr>
              <w:rPr>
                <w:color w:val="auto"/>
                <w:kern w:val="0"/>
                <w:highlight w:val="none"/>
              </w:rPr>
            </w:pPr>
            <w:r>
              <w:rPr>
                <w:rFonts w:hint="eastAsia"/>
                <w:color w:val="auto"/>
                <w:kern w:val="0"/>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8C0FDAA">
            <w:pPr>
              <w:rPr>
                <w:bCs/>
                <w:color w:val="auto"/>
                <w:kern w:val="0"/>
                <w:highlight w:val="none"/>
              </w:rPr>
            </w:pPr>
            <w:r>
              <w:rPr>
                <w:rFonts w:hint="eastAsia"/>
                <w:bCs/>
                <w:color w:val="auto"/>
                <w:kern w:val="0"/>
                <w:highlight w:val="none"/>
              </w:rPr>
              <w:t>2.本招标文件所称的“</w:t>
            </w:r>
            <w:r>
              <w:rPr>
                <w:rFonts w:hint="eastAsia"/>
                <w:color w:val="auto"/>
                <w:kern w:val="0"/>
                <w:highlight w:val="none"/>
              </w:rPr>
              <w:t>电子签章</w:t>
            </w:r>
            <w:r>
              <w:rPr>
                <w:rFonts w:hint="eastAsia"/>
                <w:bCs/>
                <w:color w:val="auto"/>
                <w:kern w:val="0"/>
                <w:highlight w:val="none"/>
              </w:rPr>
              <w:t>”“电子签名”</w:t>
            </w:r>
            <w:r>
              <w:rPr>
                <w:rFonts w:hint="eastAsia"/>
                <w:color w:val="auto"/>
                <w:kern w:val="0"/>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160A3062">
            <w:pPr>
              <w:rPr>
                <w:color w:val="auto"/>
                <w:kern w:val="0"/>
                <w:highlight w:val="none"/>
              </w:rPr>
            </w:pPr>
            <w:r>
              <w:rPr>
                <w:rFonts w:hint="eastAsia"/>
                <w:color w:val="auto"/>
                <w:kern w:val="0"/>
                <w:highlight w:val="none"/>
              </w:rPr>
              <w:t>3.投标人为其他组织或者自然人时，本招标文件规定的法定代表人（或负责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75EF9E49">
            <w:pPr>
              <w:rPr>
                <w:color w:val="auto"/>
                <w:kern w:val="0"/>
                <w:highlight w:val="none"/>
              </w:rPr>
            </w:pPr>
            <w:r>
              <w:rPr>
                <w:rFonts w:hint="eastAsia"/>
                <w:color w:val="auto"/>
                <w:kern w:val="0"/>
                <w:highlight w:val="none"/>
              </w:rPr>
              <w:t>4.本招标文件中描述投标人的“签字”是指投标人的法定代表人（或负责人）或者委托代理人亲自在文件规定签字处亲笔写上个人的名字的行为，私章、签字章、印鉴、影印等其他形式均不能代替亲笔签字。</w:t>
            </w:r>
          </w:p>
          <w:p w14:paraId="224C69DC">
            <w:pPr>
              <w:rPr>
                <w:rFonts w:cs="Times New Roman"/>
                <w:color w:val="auto"/>
                <w:kern w:val="0"/>
                <w:highlight w:val="none"/>
              </w:rPr>
            </w:pPr>
            <w:r>
              <w:rPr>
                <w:rFonts w:hint="eastAsia"/>
                <w:color w:val="auto"/>
                <w:kern w:val="0"/>
                <w:highlight w:val="none"/>
              </w:rPr>
              <w:t>5.本招标文件所称的“以上”“以下”“以内”“届满”，包括本数；所称的“不满”“超过”“以外”，不包括本数。</w:t>
            </w:r>
          </w:p>
        </w:tc>
      </w:tr>
    </w:tbl>
    <w:p w14:paraId="3CF199D1">
      <w:pPr>
        <w:rPr>
          <w:color w:val="auto"/>
          <w:highlight w:val="none"/>
        </w:rPr>
      </w:pPr>
    </w:p>
    <w:p w14:paraId="5B9FF7A1">
      <w:pPr>
        <w:widowControl/>
        <w:spacing w:line="240" w:lineRule="auto"/>
        <w:ind w:firstLine="0" w:firstLineChars="0"/>
        <w:jc w:val="left"/>
        <w:rPr>
          <w:rFonts w:ascii="Times New Roman" w:hAnsi="Times New Roman" w:cs="Times New Roman"/>
          <w:b/>
          <w:bCs/>
          <w:color w:val="auto"/>
          <w:kern w:val="0"/>
          <w:sz w:val="32"/>
          <w:szCs w:val="32"/>
          <w:highlight w:val="none"/>
        </w:rPr>
      </w:pPr>
      <w:r>
        <w:rPr>
          <w:color w:val="auto"/>
          <w:highlight w:val="none"/>
        </w:rPr>
        <w:br w:type="page"/>
      </w:r>
    </w:p>
    <w:p w14:paraId="6CED4D8B">
      <w:pPr>
        <w:pStyle w:val="4"/>
        <w:ind w:firstLine="643"/>
        <w:jc w:val="center"/>
        <w:rPr>
          <w:color w:val="auto"/>
          <w:highlight w:val="none"/>
        </w:rPr>
      </w:pPr>
      <w:r>
        <w:rPr>
          <w:rFonts w:hint="eastAsia"/>
          <w:color w:val="auto"/>
          <w:highlight w:val="none"/>
        </w:rPr>
        <w:t>投标人须知正文</w:t>
      </w:r>
    </w:p>
    <w:p w14:paraId="45B251D3">
      <w:pPr>
        <w:ind w:firstLine="560"/>
        <w:jc w:val="center"/>
        <w:rPr>
          <w:color w:val="auto"/>
          <w:kern w:val="0"/>
          <w:sz w:val="28"/>
          <w:szCs w:val="28"/>
          <w:highlight w:val="none"/>
        </w:rPr>
      </w:pPr>
      <w:r>
        <w:rPr>
          <w:rFonts w:hint="eastAsia"/>
          <w:color w:val="auto"/>
          <w:kern w:val="0"/>
          <w:sz w:val="28"/>
          <w:szCs w:val="28"/>
          <w:highlight w:val="none"/>
        </w:rPr>
        <w:t>一、总  则</w:t>
      </w:r>
    </w:p>
    <w:p w14:paraId="71AAE3B2">
      <w:pPr>
        <w:rPr>
          <w:color w:val="auto"/>
          <w:highlight w:val="none"/>
        </w:rPr>
      </w:pPr>
      <w:bookmarkStart w:id="77" w:name="_Toc254970668"/>
      <w:bookmarkStart w:id="78" w:name="_Toc254970527"/>
      <w:r>
        <w:rPr>
          <w:rFonts w:hint="eastAsia"/>
          <w:color w:val="auto"/>
          <w:highlight w:val="none"/>
        </w:rPr>
        <w:t>1.适用范围</w:t>
      </w:r>
      <w:bookmarkEnd w:id="77"/>
      <w:bookmarkEnd w:id="78"/>
    </w:p>
    <w:p w14:paraId="72C23DB4">
      <w:pPr>
        <w:rPr>
          <w:color w:val="auto"/>
          <w:highlight w:val="none"/>
        </w:rPr>
      </w:pPr>
      <w:r>
        <w:rPr>
          <w:rFonts w:hint="eastAsia"/>
          <w:color w:val="auto"/>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32AE16F">
      <w:pPr>
        <w:rPr>
          <w:color w:val="auto"/>
          <w:highlight w:val="none"/>
        </w:rPr>
      </w:pPr>
      <w:r>
        <w:rPr>
          <w:rFonts w:hint="eastAsia" w:cs="Times New Roman"/>
          <w:color w:val="auto"/>
          <w:highlight w:val="none"/>
        </w:rPr>
        <w:t>1.2本招标文件</w:t>
      </w:r>
      <w:r>
        <w:rPr>
          <w:rFonts w:hint="eastAsia"/>
          <w:color w:val="auto"/>
          <w:highlight w:val="none"/>
        </w:rPr>
        <w:t>适用于本项目的所有采购程序和环节（法律、法规另有规定的，从其规定）。</w:t>
      </w:r>
    </w:p>
    <w:p w14:paraId="2688D549">
      <w:pPr>
        <w:rPr>
          <w:color w:val="auto"/>
          <w:highlight w:val="none"/>
        </w:rPr>
      </w:pPr>
      <w:bookmarkStart w:id="79" w:name="_Toc254970528"/>
      <w:bookmarkStart w:id="80" w:name="_Toc254970669"/>
      <w:r>
        <w:rPr>
          <w:rFonts w:hint="eastAsia"/>
          <w:color w:val="auto"/>
          <w:highlight w:val="none"/>
        </w:rPr>
        <w:t>2.定义</w:t>
      </w:r>
      <w:bookmarkEnd w:id="79"/>
      <w:bookmarkEnd w:id="80"/>
    </w:p>
    <w:p w14:paraId="55A3EF56">
      <w:pPr>
        <w:rPr>
          <w:color w:val="auto"/>
          <w:highlight w:val="none"/>
        </w:rPr>
      </w:pPr>
      <w:r>
        <w:rPr>
          <w:rFonts w:hint="eastAsia"/>
          <w:color w:val="auto"/>
          <w:highlight w:val="none"/>
        </w:rPr>
        <w:t>2.1“采购人”是指依法进行政府采购的国家机关、事业单位、团体组织。</w:t>
      </w:r>
    </w:p>
    <w:p w14:paraId="3E84605C">
      <w:pPr>
        <w:rPr>
          <w:color w:val="auto"/>
          <w:highlight w:val="none"/>
        </w:rPr>
      </w:pPr>
      <w:r>
        <w:rPr>
          <w:rFonts w:hint="eastAsia"/>
          <w:color w:val="auto"/>
          <w:highlight w:val="none"/>
        </w:rPr>
        <w:t>2.2“采购代理机构”是指政府采购集中采购机构和集中采购机构以外的采购代理机构。</w:t>
      </w:r>
    </w:p>
    <w:p w14:paraId="3EE164AD">
      <w:pPr>
        <w:rPr>
          <w:color w:val="auto"/>
          <w:highlight w:val="none"/>
        </w:rPr>
      </w:pPr>
      <w:r>
        <w:rPr>
          <w:rFonts w:hint="eastAsia"/>
          <w:color w:val="auto"/>
          <w:highlight w:val="none"/>
        </w:rPr>
        <w:t>2.3“供应商”是指向采购人提供货物、工程或者服务的法人、其他组织或者自然人。</w:t>
      </w:r>
    </w:p>
    <w:p w14:paraId="4C0F20EF">
      <w:pPr>
        <w:rPr>
          <w:color w:val="auto"/>
          <w:highlight w:val="none"/>
        </w:rPr>
      </w:pPr>
      <w:r>
        <w:rPr>
          <w:rFonts w:hint="eastAsia"/>
          <w:color w:val="auto"/>
          <w:highlight w:val="none"/>
        </w:rPr>
        <w:t>2.4“投标人”是指响应招标、参加投标竞争的法人、其他组织或者自然人。</w:t>
      </w:r>
    </w:p>
    <w:p w14:paraId="5BC18896">
      <w:pPr>
        <w:rPr>
          <w:color w:val="auto"/>
          <w:highlight w:val="none"/>
        </w:rPr>
      </w:pPr>
      <w:r>
        <w:rPr>
          <w:rFonts w:hint="eastAsia"/>
          <w:color w:val="auto"/>
          <w:highlight w:val="none"/>
        </w:rPr>
        <w:t>2.5“货物”是指各种形态和种类的物品，包括原材料、燃料、设备、产品等。</w:t>
      </w:r>
    </w:p>
    <w:p w14:paraId="5204DA36">
      <w:pPr>
        <w:rPr>
          <w:color w:val="auto"/>
          <w:highlight w:val="none"/>
        </w:rPr>
      </w:pPr>
      <w:r>
        <w:rPr>
          <w:rFonts w:hint="eastAsia"/>
          <w:color w:val="auto"/>
          <w:highlight w:val="none"/>
        </w:rPr>
        <w:t>2.6“售后服务” 是指商品出售以后所提供的各种服务，包含但不限于投标人须承担的备品备件、包装、运输、装卸、保险、货到就位以及安装、调试、培训、保修以及其他各种服务。</w:t>
      </w:r>
    </w:p>
    <w:p w14:paraId="1933E673">
      <w:pPr>
        <w:rPr>
          <w:color w:val="auto"/>
          <w:highlight w:val="none"/>
        </w:rPr>
      </w:pPr>
      <w:r>
        <w:rPr>
          <w:rFonts w:hint="eastAsia"/>
          <w:color w:val="auto"/>
          <w:highlight w:val="none"/>
        </w:rPr>
        <w:t>2.7“书面形式”是指合同书、信件和数据电文（包括电报、电传、传真、电子数据交换和电子邮件）等可以有形地表现所载内容的形式。</w:t>
      </w:r>
    </w:p>
    <w:p w14:paraId="43930026">
      <w:pPr>
        <w:rPr>
          <w:color w:val="auto"/>
          <w:highlight w:val="none"/>
        </w:rPr>
      </w:pPr>
      <w:r>
        <w:rPr>
          <w:rFonts w:hint="eastAsia"/>
          <w:color w:val="auto"/>
          <w:highlight w:val="none"/>
        </w:rPr>
        <w:t>2.8“实质性要求”是指招标文件中已经指明不满足则投标无效的条款，或者不能负偏离的条款，或者采购需求中带“▲”的条款。</w:t>
      </w:r>
    </w:p>
    <w:p w14:paraId="6CFBA1DC">
      <w:pPr>
        <w:rPr>
          <w:color w:val="auto"/>
          <w:highlight w:val="none"/>
        </w:rPr>
      </w:pPr>
      <w:r>
        <w:rPr>
          <w:rFonts w:hint="eastAsia" w:cs="Times New Roman"/>
          <w:color w:val="auto"/>
          <w:highlight w:val="none"/>
        </w:rPr>
        <w:t xml:space="preserve">2.9 </w:t>
      </w:r>
      <w:r>
        <w:rPr>
          <w:rFonts w:hint="eastAsia"/>
          <w:color w:val="auto"/>
          <w:highlight w:val="none"/>
        </w:rPr>
        <w:t>“正偏离”，是指投标文件对招标文件“采购需求”中有关条款作出的响应优于条款要求并有利于采购人的情形。</w:t>
      </w:r>
    </w:p>
    <w:p w14:paraId="35EA73EA">
      <w:pPr>
        <w:rPr>
          <w:color w:val="auto"/>
          <w:highlight w:val="none"/>
        </w:rPr>
      </w:pPr>
      <w:r>
        <w:rPr>
          <w:color w:val="auto"/>
          <w:highlight w:val="none"/>
        </w:rPr>
        <w:t>2.10</w:t>
      </w:r>
      <w:r>
        <w:rPr>
          <w:rFonts w:hint="eastAsia"/>
          <w:color w:val="auto"/>
          <w:highlight w:val="none"/>
        </w:rPr>
        <w:t>“负偏离”，是指投标文件对招标文件“采购需求”中有关条款作出的响应不满足条款要求，导致采购人要求不能得到满足的情形。</w:t>
      </w:r>
    </w:p>
    <w:p w14:paraId="176188CB">
      <w:pPr>
        <w:rPr>
          <w:color w:val="auto"/>
          <w:highlight w:val="none"/>
        </w:rPr>
      </w:pPr>
      <w:r>
        <w:rPr>
          <w:rFonts w:hint="eastAsia" w:cs="Times New Roman"/>
          <w:color w:val="auto"/>
          <w:highlight w:val="none"/>
        </w:rPr>
        <w:t>2.1</w:t>
      </w:r>
      <w:r>
        <w:rPr>
          <w:rFonts w:cs="Times New Roman"/>
          <w:color w:val="auto"/>
          <w:highlight w:val="none"/>
        </w:rPr>
        <w:t>1</w:t>
      </w:r>
      <w:r>
        <w:rPr>
          <w:rFonts w:hint="eastAsia"/>
          <w:color w:val="auto"/>
          <w:highlight w:val="none"/>
        </w:rPr>
        <w:t>“允许负偏离的条款”是指采购需求中的不属于“实质性要求”的条款。</w:t>
      </w:r>
      <w:bookmarkStart w:id="81" w:name="_Toc254970670"/>
      <w:bookmarkStart w:id="82" w:name="_Toc254970529"/>
    </w:p>
    <w:p w14:paraId="4790298E">
      <w:pPr>
        <w:rPr>
          <w:color w:val="auto"/>
          <w:highlight w:val="none"/>
        </w:rPr>
      </w:pPr>
      <w:r>
        <w:rPr>
          <w:rFonts w:hint="eastAsia"/>
          <w:color w:val="auto"/>
          <w:highlight w:val="none"/>
        </w:rPr>
        <w:t>3.</w:t>
      </w:r>
      <w:bookmarkEnd w:id="81"/>
      <w:bookmarkEnd w:id="82"/>
      <w:r>
        <w:rPr>
          <w:rFonts w:hint="eastAsia"/>
          <w:color w:val="auto"/>
          <w:highlight w:val="none"/>
        </w:rPr>
        <w:t>投标人的资格要求</w:t>
      </w:r>
    </w:p>
    <w:p w14:paraId="5BE0784F">
      <w:pPr>
        <w:rPr>
          <w:color w:val="auto"/>
          <w:highlight w:val="none"/>
        </w:rPr>
      </w:pPr>
      <w:r>
        <w:rPr>
          <w:rFonts w:hint="eastAsia"/>
          <w:color w:val="auto"/>
          <w:highlight w:val="none"/>
        </w:rPr>
        <w:t>投标人的资格要求详见“投标人须知前附表”。</w:t>
      </w:r>
    </w:p>
    <w:p w14:paraId="3D4EF7CB">
      <w:pPr>
        <w:rPr>
          <w:color w:val="auto"/>
          <w:highlight w:val="none"/>
        </w:rPr>
      </w:pPr>
      <w:bookmarkStart w:id="83" w:name="_Toc254970530"/>
      <w:bookmarkStart w:id="84" w:name="_Toc254970671"/>
      <w:r>
        <w:rPr>
          <w:rFonts w:hint="eastAsia"/>
          <w:color w:val="auto"/>
          <w:highlight w:val="none"/>
        </w:rPr>
        <w:t>4.投标委托</w:t>
      </w:r>
      <w:bookmarkEnd w:id="83"/>
      <w:bookmarkEnd w:id="84"/>
    </w:p>
    <w:p w14:paraId="6452F6BC">
      <w:pPr>
        <w:rPr>
          <w:color w:val="auto"/>
          <w:highlight w:val="none"/>
        </w:rPr>
      </w:pPr>
      <w:r>
        <w:rPr>
          <w:rFonts w:hint="eastAsia"/>
          <w:color w:val="auto"/>
          <w:highlight w:val="none"/>
        </w:rPr>
        <w:t>投标人代表参加投标活动过程中必须携带个人有效身份证件。如投标人代表不是法定代表人（或负责人），须持有授权委托书（按第六章要求格式填写）。</w:t>
      </w:r>
    </w:p>
    <w:p w14:paraId="186362CC">
      <w:pPr>
        <w:rPr>
          <w:color w:val="auto"/>
          <w:highlight w:val="none"/>
        </w:rPr>
      </w:pPr>
      <w:bookmarkStart w:id="85" w:name="_5.投标费用"/>
      <w:bookmarkEnd w:id="85"/>
      <w:bookmarkStart w:id="86" w:name="_Toc254970672"/>
      <w:bookmarkStart w:id="87" w:name="_Toc254970531"/>
      <w:r>
        <w:rPr>
          <w:rFonts w:hint="eastAsia"/>
          <w:color w:val="auto"/>
          <w:highlight w:val="none"/>
        </w:rPr>
        <w:t>5.投标费用</w:t>
      </w:r>
      <w:bookmarkEnd w:id="86"/>
      <w:bookmarkEnd w:id="87"/>
    </w:p>
    <w:p w14:paraId="3D76FB48">
      <w:pPr>
        <w:rPr>
          <w:rFonts w:cs="Times New Roman"/>
          <w:color w:val="auto"/>
          <w:highlight w:val="none"/>
        </w:rPr>
      </w:pPr>
      <w:r>
        <w:rPr>
          <w:rFonts w:hint="eastAsia"/>
          <w:color w:val="auto"/>
          <w:highlight w:val="none"/>
        </w:rPr>
        <w:t>投标费用：投标人应承担参与本次采购活动有关的所有费用，包括但不限于获取招标文件、勘查现场、编制和提交投标文件、参加澄清说明、签订合同等，不论投标结果如何，均应自行承担。</w:t>
      </w:r>
    </w:p>
    <w:p w14:paraId="5613BE08">
      <w:pPr>
        <w:rPr>
          <w:color w:val="auto"/>
          <w:highlight w:val="none"/>
        </w:rPr>
      </w:pPr>
      <w:r>
        <w:rPr>
          <w:rFonts w:hint="eastAsia"/>
          <w:color w:val="auto"/>
          <w:highlight w:val="none"/>
        </w:rPr>
        <w:t>6.联合体投标</w:t>
      </w:r>
    </w:p>
    <w:p w14:paraId="68B80B65">
      <w:pPr>
        <w:rPr>
          <w:color w:val="auto"/>
          <w:highlight w:val="none"/>
        </w:rPr>
      </w:pPr>
      <w:r>
        <w:rPr>
          <w:rFonts w:hint="eastAsia"/>
          <w:color w:val="auto"/>
          <w:highlight w:val="none"/>
        </w:rPr>
        <w:t>6.1本项目是否接受联合体投标，详见“投标人须知前附表”。</w:t>
      </w:r>
    </w:p>
    <w:p w14:paraId="400F957E">
      <w:pPr>
        <w:rPr>
          <w:color w:val="auto"/>
          <w:highlight w:val="none"/>
        </w:rPr>
      </w:pPr>
      <w:r>
        <w:rPr>
          <w:rFonts w:hint="eastAsia"/>
          <w:color w:val="auto"/>
          <w:highlight w:val="none"/>
        </w:rPr>
        <w:t>6.2如接受联合体投标，联合体投标要求详见“投标人须知前附表”。</w:t>
      </w:r>
    </w:p>
    <w:p w14:paraId="442DBB7A">
      <w:pPr>
        <w:rPr>
          <w:color w:val="auto"/>
          <w:highlight w:val="none"/>
        </w:rPr>
      </w:pPr>
      <w:r>
        <w:rPr>
          <w:rFonts w:hint="eastAsia"/>
          <w:color w:val="auto"/>
          <w:highlight w:val="none"/>
        </w:rPr>
        <w:t xml:space="preserve">6.3 </w:t>
      </w:r>
      <w:bookmarkStart w:id="88" w:name="_Hlk65857072"/>
      <w:r>
        <w:rPr>
          <w:rFonts w:hint="eastAsia"/>
          <w:color w:val="auto"/>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cs="Times New Roman"/>
          <w:bCs/>
          <w:color w:val="auto"/>
          <w:highlight w:val="none"/>
        </w:rPr>
        <w:t>4%-6%</w:t>
      </w:r>
      <w:r>
        <w:rPr>
          <w:rFonts w:hint="eastAsia"/>
          <w:color w:val="auto"/>
          <w:highlight w:val="none"/>
        </w:rPr>
        <w:t>的扣除，用扣除后的价格参加评审，具体详见《评标方法及评标标准》。</w:t>
      </w:r>
      <w:bookmarkEnd w:id="88"/>
    </w:p>
    <w:p w14:paraId="10940EF4">
      <w:pPr>
        <w:rPr>
          <w:color w:val="auto"/>
          <w:highlight w:val="none"/>
        </w:rPr>
      </w:pPr>
      <w:r>
        <w:rPr>
          <w:rFonts w:hint="eastAsia"/>
          <w:color w:val="auto"/>
          <w:highlight w:val="none"/>
        </w:rPr>
        <w:t xml:space="preserve">7.转包与分包             </w:t>
      </w:r>
    </w:p>
    <w:p w14:paraId="22F3F5AE">
      <w:pPr>
        <w:rPr>
          <w:color w:val="auto"/>
          <w:highlight w:val="none"/>
        </w:rPr>
      </w:pPr>
      <w:r>
        <w:rPr>
          <w:rFonts w:hint="eastAsia"/>
          <w:color w:val="auto"/>
          <w:highlight w:val="none"/>
        </w:rPr>
        <w:t>7.1本项目不允许转包。</w:t>
      </w:r>
    </w:p>
    <w:p w14:paraId="02B35F20">
      <w:pPr>
        <w:rPr>
          <w:color w:val="auto"/>
          <w:highlight w:val="none"/>
        </w:rPr>
      </w:pPr>
      <w:r>
        <w:rPr>
          <w:rFonts w:hint="eastAsia"/>
          <w:color w:val="auto"/>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4097A8F6">
      <w:pPr>
        <w:rPr>
          <w:color w:val="auto"/>
          <w:highlight w:val="none"/>
        </w:rPr>
      </w:pPr>
      <w:r>
        <w:rPr>
          <w:rFonts w:hint="eastAsia"/>
          <w:color w:val="auto"/>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5FE916F">
      <w:pPr>
        <w:rPr>
          <w:color w:val="auto"/>
          <w:highlight w:val="none"/>
        </w:rPr>
      </w:pPr>
      <w:bookmarkStart w:id="89" w:name="_Toc254970673"/>
      <w:bookmarkStart w:id="90" w:name="_Toc254970532"/>
      <w:r>
        <w:rPr>
          <w:rFonts w:hint="eastAsia"/>
          <w:color w:val="auto"/>
          <w:highlight w:val="none"/>
        </w:rPr>
        <w:t>8.特别说明</w:t>
      </w:r>
      <w:bookmarkEnd w:id="89"/>
      <w:bookmarkEnd w:id="90"/>
    </w:p>
    <w:p w14:paraId="449C1484">
      <w:pPr>
        <w:rPr>
          <w:color w:val="auto"/>
          <w:highlight w:val="none"/>
        </w:rPr>
      </w:pPr>
      <w:bookmarkStart w:id="91" w:name="_8.1提供相同品牌产品且通过资格审查、符合性审查的不同投标人参加同一合"/>
      <w:bookmarkEnd w:id="91"/>
      <w:r>
        <w:rPr>
          <w:rFonts w:hint="eastAsia"/>
          <w:color w:val="auto"/>
          <w:highlight w:val="none"/>
        </w:rPr>
        <w:t xml:space="preserve"> </w:t>
      </w:r>
      <w:r>
        <w:rPr>
          <w:color w:val="auto"/>
          <w:highlight w:val="none"/>
        </w:rPr>
        <w:fldChar w:fldCharType="begin"/>
      </w:r>
      <w:r>
        <w:rPr>
          <w:color w:val="auto"/>
          <w:highlight w:val="none"/>
        </w:rPr>
        <w:instrText xml:space="preserve"> HYPERLINK \l "_8.1" </w:instrText>
      </w:r>
      <w:r>
        <w:rPr>
          <w:color w:val="auto"/>
          <w:highlight w:val="none"/>
        </w:rPr>
        <w:fldChar w:fldCharType="separate"/>
      </w:r>
      <w:r>
        <w:rPr>
          <w:rFonts w:hint="eastAsia"/>
          <w:color w:val="auto"/>
          <w:highlight w:val="none"/>
        </w:rPr>
        <w:t>8.1</w:t>
      </w:r>
      <w:r>
        <w:rPr>
          <w:rFonts w:hint="eastAsia"/>
          <w:color w:val="auto"/>
          <w:highlight w:val="none"/>
        </w:rPr>
        <w:fldChar w:fldCharType="end"/>
      </w:r>
      <w:r>
        <w:rPr>
          <w:rFonts w:hint="eastAsia"/>
          <w:color w:val="auto"/>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66A297E0">
      <w:pPr>
        <w:rPr>
          <w:color w:val="auto"/>
          <w:highlight w:val="none"/>
        </w:rPr>
      </w:pPr>
      <w:r>
        <w:rPr>
          <w:rFonts w:hint="eastAsia"/>
          <w:color w:val="auto"/>
          <w:highlight w:val="none"/>
        </w:rPr>
        <w:t xml:space="preserve"> 8.2如果本招标文件要求提供投标人或制造商的资格、信誉、荣誉、业绩与企业认证等材料的，资格、信誉、荣誉、业绩与企业认证等必须为投标人或者制造商所拥有或自身获得 。</w:t>
      </w:r>
    </w:p>
    <w:p w14:paraId="0B3E1324">
      <w:pPr>
        <w:rPr>
          <w:color w:val="auto"/>
          <w:highlight w:val="none"/>
        </w:rPr>
      </w:pPr>
      <w:r>
        <w:rPr>
          <w:rFonts w:hint="eastAsia"/>
          <w:color w:val="auto"/>
          <w:highlight w:val="none"/>
        </w:rPr>
        <w:t xml:space="preserve"> 8.3投标人应仔细阅读招标文件的所有内容，按照招标文件的要求提交投标文件，并对所提供的全部资料的真实性承担法律责任。</w:t>
      </w:r>
    </w:p>
    <w:p w14:paraId="4F539FA3">
      <w:pPr>
        <w:rPr>
          <w:color w:val="auto"/>
          <w:highlight w:val="none"/>
        </w:rPr>
      </w:pPr>
      <w:r>
        <w:rPr>
          <w:rFonts w:hint="eastAsia"/>
          <w:color w:val="auto"/>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74E5FBBB">
      <w:pPr>
        <w:rPr>
          <w:color w:val="auto"/>
          <w:highlight w:val="none"/>
        </w:rPr>
      </w:pPr>
      <w:r>
        <w:rPr>
          <w:color w:val="auto"/>
          <w:highlight w:val="none"/>
        </w:rPr>
        <w:t>9.</w:t>
      </w:r>
      <w:r>
        <w:rPr>
          <w:rFonts w:hint="eastAsia"/>
          <w:color w:val="auto"/>
          <w:highlight w:val="none"/>
        </w:rPr>
        <w:t>回避与串通投标</w:t>
      </w:r>
    </w:p>
    <w:p w14:paraId="5E68F160">
      <w:pPr>
        <w:rPr>
          <w:color w:val="auto"/>
          <w:highlight w:val="none"/>
        </w:rPr>
      </w:pPr>
      <w:r>
        <w:rPr>
          <w:rFonts w:hint="eastAsia"/>
          <w:color w:val="auto"/>
          <w:highlight w:val="none"/>
        </w:rPr>
        <w:t>9</w:t>
      </w:r>
      <w:r>
        <w:rPr>
          <w:color w:val="auto"/>
          <w:highlight w:val="none"/>
        </w:rPr>
        <w:t>.1在政府采购活动中，采购人员及相关人员与</w:t>
      </w:r>
      <w:r>
        <w:rPr>
          <w:rFonts w:hint="eastAsia"/>
          <w:color w:val="auto"/>
          <w:highlight w:val="none"/>
        </w:rPr>
        <w:t>供应商</w:t>
      </w:r>
      <w:r>
        <w:rPr>
          <w:color w:val="auto"/>
          <w:highlight w:val="none"/>
        </w:rPr>
        <w:t>有下列利害关系之一的，应当回避：</w:t>
      </w:r>
    </w:p>
    <w:p w14:paraId="70ED91C0">
      <w:pPr>
        <w:rPr>
          <w:color w:val="auto"/>
          <w:highlight w:val="none"/>
        </w:rPr>
      </w:pPr>
      <w:r>
        <w:rPr>
          <w:color w:val="auto"/>
          <w:highlight w:val="none"/>
        </w:rPr>
        <w:t>（</w:t>
      </w:r>
      <w:r>
        <w:rPr>
          <w:rFonts w:hint="eastAsia"/>
          <w:color w:val="auto"/>
          <w:highlight w:val="none"/>
        </w:rPr>
        <w:t>1</w:t>
      </w:r>
      <w:r>
        <w:rPr>
          <w:color w:val="auto"/>
          <w:highlight w:val="none"/>
        </w:rPr>
        <w:t>）参加采购活动前3年内与</w:t>
      </w:r>
      <w:r>
        <w:rPr>
          <w:rFonts w:hint="eastAsia"/>
          <w:color w:val="auto"/>
          <w:highlight w:val="none"/>
        </w:rPr>
        <w:t>供应商</w:t>
      </w:r>
      <w:r>
        <w:rPr>
          <w:color w:val="auto"/>
          <w:highlight w:val="none"/>
        </w:rPr>
        <w:t>存在劳动关系；</w:t>
      </w:r>
    </w:p>
    <w:p w14:paraId="69C2FB4A">
      <w:pPr>
        <w:rPr>
          <w:color w:val="auto"/>
          <w:highlight w:val="none"/>
        </w:rPr>
      </w:pPr>
      <w:r>
        <w:rPr>
          <w:color w:val="auto"/>
          <w:highlight w:val="none"/>
        </w:rPr>
        <w:t>（</w:t>
      </w:r>
      <w:r>
        <w:rPr>
          <w:rFonts w:hint="eastAsia"/>
          <w:color w:val="auto"/>
          <w:highlight w:val="none"/>
        </w:rPr>
        <w:t>2</w:t>
      </w:r>
      <w:r>
        <w:rPr>
          <w:color w:val="auto"/>
          <w:highlight w:val="none"/>
        </w:rPr>
        <w:t>）参加采购活动前3年内担任</w:t>
      </w:r>
      <w:r>
        <w:rPr>
          <w:rFonts w:hint="eastAsia"/>
          <w:color w:val="auto"/>
          <w:highlight w:val="none"/>
        </w:rPr>
        <w:t>供应商</w:t>
      </w:r>
      <w:r>
        <w:rPr>
          <w:color w:val="auto"/>
          <w:highlight w:val="none"/>
        </w:rPr>
        <w:t>的董事、监事；</w:t>
      </w:r>
    </w:p>
    <w:p w14:paraId="339CA631">
      <w:pPr>
        <w:rPr>
          <w:color w:val="auto"/>
          <w:highlight w:val="none"/>
        </w:rPr>
      </w:pPr>
      <w:r>
        <w:rPr>
          <w:color w:val="auto"/>
          <w:highlight w:val="none"/>
        </w:rPr>
        <w:t>（</w:t>
      </w:r>
      <w:r>
        <w:rPr>
          <w:rFonts w:hint="eastAsia"/>
          <w:color w:val="auto"/>
          <w:highlight w:val="none"/>
        </w:rPr>
        <w:t>3</w:t>
      </w:r>
      <w:r>
        <w:rPr>
          <w:color w:val="auto"/>
          <w:highlight w:val="none"/>
        </w:rPr>
        <w:t>）参加采购活动前3年内是</w:t>
      </w:r>
      <w:r>
        <w:rPr>
          <w:rFonts w:hint="eastAsia"/>
          <w:color w:val="auto"/>
          <w:highlight w:val="none"/>
        </w:rPr>
        <w:t>供应商</w:t>
      </w:r>
      <w:r>
        <w:rPr>
          <w:color w:val="auto"/>
          <w:highlight w:val="none"/>
        </w:rPr>
        <w:t>的控股股东或者实际控制人；</w:t>
      </w:r>
    </w:p>
    <w:p w14:paraId="77218138">
      <w:pPr>
        <w:rPr>
          <w:color w:val="auto"/>
          <w:highlight w:val="none"/>
        </w:rPr>
      </w:pPr>
      <w:r>
        <w:rPr>
          <w:color w:val="auto"/>
          <w:highlight w:val="none"/>
        </w:rPr>
        <w:t>（</w:t>
      </w:r>
      <w:r>
        <w:rPr>
          <w:rFonts w:hint="eastAsia"/>
          <w:color w:val="auto"/>
          <w:highlight w:val="none"/>
        </w:rPr>
        <w:t>4</w:t>
      </w:r>
      <w:r>
        <w:rPr>
          <w:color w:val="auto"/>
          <w:highlight w:val="none"/>
        </w:rPr>
        <w:t>）与</w:t>
      </w:r>
      <w:r>
        <w:rPr>
          <w:rFonts w:hint="eastAsia"/>
          <w:color w:val="auto"/>
          <w:highlight w:val="none"/>
        </w:rPr>
        <w:t>供应商</w:t>
      </w:r>
      <w:r>
        <w:rPr>
          <w:color w:val="auto"/>
          <w:highlight w:val="none"/>
        </w:rPr>
        <w:t>的</w:t>
      </w:r>
      <w:r>
        <w:rPr>
          <w:rFonts w:hint="eastAsia"/>
          <w:color w:val="auto"/>
          <w:highlight w:val="none"/>
        </w:rPr>
        <w:t>法定代表人（或负责人）</w:t>
      </w:r>
      <w:r>
        <w:rPr>
          <w:color w:val="auto"/>
          <w:highlight w:val="none"/>
        </w:rPr>
        <w:t>或者负责人有夫妻、直系血亲、三代以内旁系血亲或者近姻亲关系；</w:t>
      </w:r>
    </w:p>
    <w:p w14:paraId="7F73B78C">
      <w:pPr>
        <w:rPr>
          <w:color w:val="auto"/>
          <w:highlight w:val="none"/>
        </w:rPr>
      </w:pPr>
      <w:r>
        <w:rPr>
          <w:color w:val="auto"/>
          <w:highlight w:val="none"/>
        </w:rPr>
        <w:t>（</w:t>
      </w:r>
      <w:r>
        <w:rPr>
          <w:rFonts w:hint="eastAsia"/>
          <w:color w:val="auto"/>
          <w:highlight w:val="none"/>
        </w:rPr>
        <w:t>5</w:t>
      </w:r>
      <w:r>
        <w:rPr>
          <w:color w:val="auto"/>
          <w:highlight w:val="none"/>
        </w:rPr>
        <w:t>）与</w:t>
      </w:r>
      <w:r>
        <w:rPr>
          <w:rFonts w:hint="eastAsia"/>
          <w:color w:val="auto"/>
          <w:highlight w:val="none"/>
        </w:rPr>
        <w:t>供应商</w:t>
      </w:r>
      <w:r>
        <w:rPr>
          <w:color w:val="auto"/>
          <w:highlight w:val="none"/>
        </w:rPr>
        <w:t>有其他可能影响政府采购活动公平、公正进行的关系。</w:t>
      </w:r>
    </w:p>
    <w:p w14:paraId="199DEA6A">
      <w:pPr>
        <w:rPr>
          <w:color w:val="auto"/>
          <w:highlight w:val="none"/>
        </w:rPr>
      </w:pPr>
      <w:r>
        <w:rPr>
          <w:rFonts w:hint="eastAsia"/>
          <w:color w:val="auto"/>
          <w:highlight w:val="none"/>
        </w:rPr>
        <w:t>供应商</w:t>
      </w:r>
      <w:r>
        <w:rPr>
          <w:color w:val="auto"/>
          <w:highlight w:val="none"/>
        </w:rPr>
        <w:t>认为采购人员及相关人员与其他</w:t>
      </w:r>
      <w:r>
        <w:rPr>
          <w:rFonts w:hint="eastAsia"/>
          <w:color w:val="auto"/>
          <w:highlight w:val="none"/>
        </w:rPr>
        <w:t>供应商</w:t>
      </w:r>
      <w:r>
        <w:rPr>
          <w:color w:val="auto"/>
          <w:highlight w:val="none"/>
        </w:rPr>
        <w:t>有利害关系的，可以向采购人或者采购代理机构书面提出回避申请，并说明理由。采购人或者采购代理机构应当及时询问被申请回避人员，有利害关系的被申请回避人员应当回避。</w:t>
      </w:r>
    </w:p>
    <w:p w14:paraId="0215A86F">
      <w:pPr>
        <w:rPr>
          <w:color w:val="auto"/>
          <w:highlight w:val="none"/>
        </w:rPr>
      </w:pPr>
      <w:r>
        <w:rPr>
          <w:color w:val="auto"/>
          <w:highlight w:val="none"/>
        </w:rPr>
        <w:t>9.2</w:t>
      </w:r>
      <w:r>
        <w:rPr>
          <w:rFonts w:hint="eastAsia"/>
          <w:color w:val="auto"/>
          <w:highlight w:val="none"/>
        </w:rPr>
        <w:t>有下列情形之一的视为投标人相互串通投标，投标文件将被视为无效：</w:t>
      </w:r>
    </w:p>
    <w:p w14:paraId="23D82FC7">
      <w:pPr>
        <w:rPr>
          <w:color w:val="auto"/>
          <w:highlight w:val="none"/>
        </w:rPr>
      </w:pPr>
      <w:r>
        <w:rPr>
          <w:rFonts w:hint="eastAsia"/>
          <w:color w:val="auto"/>
          <w:highlight w:val="none"/>
        </w:rPr>
        <w:t xml:space="preserve">（1）不同投标人的投标文件由同一单位或者个人编制； </w:t>
      </w:r>
    </w:p>
    <w:p w14:paraId="6982E6BC">
      <w:pPr>
        <w:rPr>
          <w:color w:val="auto"/>
          <w:highlight w:val="none"/>
        </w:rPr>
      </w:pPr>
      <w:r>
        <w:rPr>
          <w:rFonts w:hint="eastAsia"/>
          <w:color w:val="auto"/>
          <w:highlight w:val="none"/>
        </w:rPr>
        <w:t>（2）不同投标人委托同一单位或者个人办理投标事宜；</w:t>
      </w:r>
    </w:p>
    <w:p w14:paraId="66540FE6">
      <w:pPr>
        <w:rPr>
          <w:color w:val="auto"/>
          <w:highlight w:val="none"/>
        </w:rPr>
      </w:pPr>
      <w:r>
        <w:rPr>
          <w:rFonts w:hint="eastAsia"/>
          <w:color w:val="auto"/>
          <w:highlight w:val="none"/>
        </w:rPr>
        <w:t>（3）不同的投标人的投标文件载明的项目管理员为同一个人；</w:t>
      </w:r>
    </w:p>
    <w:p w14:paraId="54E86F6B">
      <w:pPr>
        <w:rPr>
          <w:color w:val="auto"/>
          <w:highlight w:val="none"/>
        </w:rPr>
      </w:pPr>
      <w:r>
        <w:rPr>
          <w:rFonts w:hint="eastAsia"/>
          <w:color w:val="auto"/>
          <w:highlight w:val="none"/>
        </w:rPr>
        <w:t>（4）不同投标人的投标文件异常一致或者投标报价呈规律性差异；</w:t>
      </w:r>
    </w:p>
    <w:p w14:paraId="39CAC3C1">
      <w:pPr>
        <w:rPr>
          <w:color w:val="auto"/>
          <w:highlight w:val="none"/>
        </w:rPr>
      </w:pPr>
      <w:r>
        <w:rPr>
          <w:rFonts w:hint="eastAsia"/>
          <w:color w:val="auto"/>
          <w:highlight w:val="none"/>
        </w:rPr>
        <w:t>（5）不同投标人的投标文件相互混装；</w:t>
      </w:r>
    </w:p>
    <w:p w14:paraId="288F1C47">
      <w:pPr>
        <w:rPr>
          <w:color w:val="auto"/>
          <w:highlight w:val="none"/>
        </w:rPr>
      </w:pPr>
      <w:r>
        <w:rPr>
          <w:rFonts w:hint="eastAsia"/>
          <w:color w:val="auto"/>
          <w:highlight w:val="none"/>
        </w:rPr>
        <w:t>（6）不同投标人的投标保证金从同一单位或者个人账户转出。</w:t>
      </w:r>
    </w:p>
    <w:p w14:paraId="389DFB88">
      <w:pPr>
        <w:rPr>
          <w:color w:val="auto"/>
          <w:highlight w:val="none"/>
        </w:rPr>
      </w:pPr>
      <w:r>
        <w:rPr>
          <w:color w:val="auto"/>
          <w:highlight w:val="none"/>
        </w:rPr>
        <w:t>9.3</w:t>
      </w:r>
      <w:r>
        <w:rPr>
          <w:rFonts w:hint="eastAsia"/>
          <w:color w:val="auto"/>
          <w:highlight w:val="none"/>
        </w:rPr>
        <w:t>供应商有下列情形之一的，属于恶意串通行为，将报同级监督管理部门：</w:t>
      </w:r>
    </w:p>
    <w:p w14:paraId="500332F9">
      <w:pPr>
        <w:rPr>
          <w:color w:val="auto"/>
          <w:highlight w:val="none"/>
        </w:rPr>
      </w:pPr>
      <w:r>
        <w:rPr>
          <w:rFonts w:hint="eastAsia"/>
          <w:color w:val="auto"/>
          <w:highlight w:val="none"/>
        </w:rPr>
        <w:t>（1）供应商直接或者间接从采购人或者采购代理机构处获得其他供应商的相关信息并修改其投标文件或者响应文件；</w:t>
      </w:r>
    </w:p>
    <w:p w14:paraId="61A64751">
      <w:pPr>
        <w:rPr>
          <w:color w:val="auto"/>
          <w:highlight w:val="none"/>
        </w:rPr>
      </w:pPr>
      <w:r>
        <w:rPr>
          <w:rFonts w:hint="eastAsia"/>
          <w:color w:val="auto"/>
          <w:highlight w:val="none"/>
        </w:rPr>
        <w:t>（2）供应商按照采购人或者采购代理机构的授意撤换、修改投标文件或者响应文件；</w:t>
      </w:r>
    </w:p>
    <w:p w14:paraId="45E0D57D">
      <w:pPr>
        <w:rPr>
          <w:color w:val="auto"/>
          <w:highlight w:val="none"/>
        </w:rPr>
      </w:pPr>
      <w:r>
        <w:rPr>
          <w:rFonts w:hint="eastAsia"/>
          <w:color w:val="auto"/>
          <w:highlight w:val="none"/>
        </w:rPr>
        <w:t>（3）供应商之间协商报价、技术方案等投标文件或者响应文件的实质性内容；</w:t>
      </w:r>
    </w:p>
    <w:p w14:paraId="29A23D1D">
      <w:pPr>
        <w:rPr>
          <w:color w:val="auto"/>
          <w:highlight w:val="none"/>
        </w:rPr>
      </w:pPr>
      <w:r>
        <w:rPr>
          <w:rFonts w:hint="eastAsia"/>
          <w:color w:val="auto"/>
          <w:highlight w:val="none"/>
        </w:rPr>
        <w:t>（4）属于同一集团、协会、商会等组织成员的供应商按照该组织要求协同参加政府采购活动；</w:t>
      </w:r>
    </w:p>
    <w:p w14:paraId="629F903F">
      <w:pPr>
        <w:rPr>
          <w:color w:val="auto"/>
          <w:highlight w:val="none"/>
        </w:rPr>
      </w:pPr>
      <w:r>
        <w:rPr>
          <w:rFonts w:hint="eastAsia"/>
          <w:color w:val="auto"/>
          <w:highlight w:val="none"/>
        </w:rPr>
        <w:t>（5）供应商之间事先约定一致抬高或者压低投标报价，或者在招标项目中事先约定轮流以高价位或者低价位中标，或者事先约定由某一特定供应商中标，然后再参加投标；</w:t>
      </w:r>
    </w:p>
    <w:p w14:paraId="5AD25CBA">
      <w:pPr>
        <w:rPr>
          <w:color w:val="auto"/>
          <w:highlight w:val="none"/>
        </w:rPr>
      </w:pPr>
      <w:r>
        <w:rPr>
          <w:rFonts w:hint="eastAsia"/>
          <w:color w:val="auto"/>
          <w:highlight w:val="none"/>
        </w:rPr>
        <w:t>（6）供应商之间商定部分供应商放弃参加政府采购活动或者放弃中标；</w:t>
      </w:r>
    </w:p>
    <w:p w14:paraId="55F03E15">
      <w:pPr>
        <w:rPr>
          <w:color w:val="auto"/>
          <w:highlight w:val="none"/>
        </w:rPr>
      </w:pPr>
      <w:r>
        <w:rPr>
          <w:rFonts w:hint="eastAsia"/>
          <w:color w:val="auto"/>
          <w:highlight w:val="none"/>
        </w:rPr>
        <w:t>（7）供应商与采购人或者采购代理机构之间、供应商相互之间，为谋求特定供应商中标或者排斥其他供应商的其他串通行为。</w:t>
      </w:r>
    </w:p>
    <w:p w14:paraId="3A5AE8BC">
      <w:pPr>
        <w:rPr>
          <w:color w:val="auto"/>
          <w:highlight w:val="none"/>
        </w:rPr>
      </w:pPr>
    </w:p>
    <w:p w14:paraId="19C168CE">
      <w:pPr>
        <w:ind w:firstLine="560"/>
        <w:jc w:val="center"/>
        <w:rPr>
          <w:color w:val="auto"/>
          <w:kern w:val="0"/>
          <w:sz w:val="28"/>
          <w:szCs w:val="28"/>
          <w:highlight w:val="none"/>
        </w:rPr>
      </w:pPr>
      <w:bookmarkStart w:id="92" w:name="_Toc254970675"/>
      <w:bookmarkStart w:id="93" w:name="_Toc254970534"/>
      <w:r>
        <w:rPr>
          <w:rFonts w:hint="eastAsia"/>
          <w:color w:val="auto"/>
          <w:kern w:val="0"/>
          <w:sz w:val="28"/>
          <w:szCs w:val="28"/>
          <w:highlight w:val="none"/>
        </w:rPr>
        <w:t>二、招标文件</w:t>
      </w:r>
      <w:bookmarkEnd w:id="92"/>
      <w:bookmarkEnd w:id="93"/>
    </w:p>
    <w:p w14:paraId="3B7955F5">
      <w:pPr>
        <w:rPr>
          <w:color w:val="auto"/>
          <w:highlight w:val="none"/>
        </w:rPr>
      </w:pPr>
      <w:r>
        <w:rPr>
          <w:rFonts w:hint="eastAsia"/>
          <w:color w:val="auto"/>
          <w:highlight w:val="none"/>
        </w:rPr>
        <w:t>10.招标文件的组成</w:t>
      </w:r>
    </w:p>
    <w:p w14:paraId="2E5C1C45">
      <w:pPr>
        <w:rPr>
          <w:color w:val="auto"/>
          <w:highlight w:val="none"/>
        </w:rPr>
      </w:pPr>
      <w:r>
        <w:rPr>
          <w:rFonts w:hint="eastAsia"/>
          <w:color w:val="auto"/>
          <w:highlight w:val="none"/>
        </w:rPr>
        <w:t>（1）招标公告；</w:t>
      </w:r>
    </w:p>
    <w:p w14:paraId="478E63A4">
      <w:pPr>
        <w:rPr>
          <w:color w:val="auto"/>
          <w:highlight w:val="none"/>
        </w:rPr>
      </w:pPr>
      <w:r>
        <w:rPr>
          <w:rFonts w:hint="eastAsia"/>
          <w:color w:val="auto"/>
          <w:highlight w:val="none"/>
        </w:rPr>
        <w:t xml:space="preserve">（2）采购需求； </w:t>
      </w:r>
    </w:p>
    <w:p w14:paraId="3A417F9B">
      <w:pPr>
        <w:rPr>
          <w:color w:val="auto"/>
          <w:highlight w:val="none"/>
        </w:rPr>
      </w:pPr>
      <w:r>
        <w:rPr>
          <w:rFonts w:hint="eastAsia"/>
          <w:color w:val="auto"/>
          <w:highlight w:val="none"/>
        </w:rPr>
        <w:t>（3）投标人须知；</w:t>
      </w:r>
    </w:p>
    <w:p w14:paraId="5E893C82">
      <w:pPr>
        <w:rPr>
          <w:color w:val="auto"/>
          <w:highlight w:val="none"/>
        </w:rPr>
      </w:pPr>
      <w:r>
        <w:rPr>
          <w:rFonts w:hint="eastAsia"/>
          <w:color w:val="auto"/>
          <w:highlight w:val="none"/>
        </w:rPr>
        <w:t>（4）评标方法及评标标准；</w:t>
      </w:r>
    </w:p>
    <w:p w14:paraId="2CF93C8F">
      <w:pPr>
        <w:rPr>
          <w:color w:val="auto"/>
          <w:highlight w:val="none"/>
        </w:rPr>
      </w:pPr>
      <w:r>
        <w:rPr>
          <w:rFonts w:hint="eastAsia"/>
          <w:color w:val="auto"/>
          <w:highlight w:val="none"/>
        </w:rPr>
        <w:t>（5）拟签订的合同文本；</w:t>
      </w:r>
    </w:p>
    <w:p w14:paraId="303B469F">
      <w:pPr>
        <w:rPr>
          <w:color w:val="auto"/>
          <w:highlight w:val="none"/>
        </w:rPr>
      </w:pPr>
      <w:r>
        <w:rPr>
          <w:rFonts w:hint="eastAsia"/>
          <w:color w:val="auto"/>
          <w:highlight w:val="none"/>
        </w:rPr>
        <w:t>（6）投标文件格式。</w:t>
      </w:r>
    </w:p>
    <w:p w14:paraId="17B2EE2F">
      <w:pPr>
        <w:rPr>
          <w:color w:val="auto"/>
          <w:highlight w:val="none"/>
        </w:rPr>
      </w:pPr>
      <w:r>
        <w:rPr>
          <w:rFonts w:hint="eastAsia"/>
          <w:color w:val="auto"/>
          <w:highlight w:val="none"/>
        </w:rPr>
        <w:t>11.招标文件的澄清、修改 、现场考察和答疑会</w:t>
      </w:r>
    </w:p>
    <w:p w14:paraId="064813F5">
      <w:pPr>
        <w:rPr>
          <w:color w:val="auto"/>
          <w:highlight w:val="none"/>
        </w:rPr>
      </w:pPr>
      <w:r>
        <w:rPr>
          <w:rFonts w:hint="eastAsia"/>
          <w:color w:val="auto"/>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28201AA">
      <w:pPr>
        <w:rPr>
          <w:color w:val="auto"/>
          <w:kern w:val="0"/>
          <w:highlight w:val="none"/>
        </w:rPr>
      </w:pPr>
      <w:r>
        <w:rPr>
          <w:rFonts w:hint="eastAsia"/>
          <w:color w:val="auto"/>
          <w:kern w:val="0"/>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7B91CBD">
      <w:pPr>
        <w:rPr>
          <w:color w:val="auto"/>
          <w:kern w:val="0"/>
          <w:highlight w:val="none"/>
        </w:rPr>
      </w:pPr>
      <w:r>
        <w:rPr>
          <w:rFonts w:hint="eastAsia"/>
          <w:color w:val="auto"/>
          <w:kern w:val="0"/>
          <w:highlight w:val="none"/>
        </w:rPr>
        <w:t>1</w:t>
      </w:r>
      <w:r>
        <w:rPr>
          <w:color w:val="auto"/>
          <w:kern w:val="0"/>
          <w:highlight w:val="none"/>
        </w:rPr>
        <w:t>1.2</w:t>
      </w:r>
      <w:bookmarkStart w:id="94" w:name="_Hlk53134511"/>
      <w:r>
        <w:rPr>
          <w:rFonts w:hint="eastAsia"/>
          <w:color w:val="auto"/>
          <w:kern w:val="0"/>
          <w:highlight w:val="none"/>
        </w:rPr>
        <w:t>采购人或者采购代理机构可以在招标文件提供期限截止后，组织已获取招标文件的潜在投标人现场考察或者召开开标前答疑会，具体详见“投标人须知前附表”。</w:t>
      </w:r>
    </w:p>
    <w:bookmarkEnd w:id="94"/>
    <w:p w14:paraId="5CA5A3B5">
      <w:pPr>
        <w:ind w:firstLine="560"/>
        <w:jc w:val="center"/>
        <w:rPr>
          <w:color w:val="auto"/>
          <w:kern w:val="0"/>
          <w:sz w:val="28"/>
          <w:szCs w:val="28"/>
          <w:highlight w:val="none"/>
        </w:rPr>
      </w:pPr>
      <w:bookmarkStart w:id="95" w:name="_Toc254970676"/>
      <w:bookmarkStart w:id="96" w:name="_Toc254970535"/>
      <w:r>
        <w:rPr>
          <w:rFonts w:hint="eastAsia"/>
          <w:color w:val="auto"/>
          <w:kern w:val="0"/>
          <w:sz w:val="28"/>
          <w:szCs w:val="28"/>
          <w:highlight w:val="none"/>
        </w:rPr>
        <w:t>三、投标文件的编制</w:t>
      </w:r>
      <w:bookmarkEnd w:id="95"/>
      <w:bookmarkEnd w:id="96"/>
    </w:p>
    <w:p w14:paraId="6FB2F48C">
      <w:pPr>
        <w:rPr>
          <w:color w:val="auto"/>
          <w:highlight w:val="none"/>
        </w:rPr>
      </w:pPr>
      <w:bookmarkStart w:id="97" w:name="_Toc254970677"/>
      <w:bookmarkStart w:id="98" w:name="_Toc254970536"/>
      <w:r>
        <w:rPr>
          <w:rFonts w:hint="eastAsia"/>
          <w:color w:val="auto"/>
          <w:highlight w:val="none"/>
        </w:rPr>
        <w:t>12.投标文件的编制原则</w:t>
      </w:r>
    </w:p>
    <w:p w14:paraId="0C9A93C0">
      <w:pPr>
        <w:rPr>
          <w:rFonts w:cs="Courier New"/>
          <w:color w:val="auto"/>
          <w:highlight w:val="none"/>
        </w:rPr>
      </w:pPr>
      <w:r>
        <w:rPr>
          <w:color w:val="auto"/>
          <w:highlight w:val="none"/>
        </w:rPr>
        <w:t>投标人必须按照招标文件的要求编制投标文件。投标文件必须对招标文件提出的要求和条件作出明确响应。</w:t>
      </w:r>
    </w:p>
    <w:p w14:paraId="21566D85">
      <w:pPr>
        <w:rPr>
          <w:color w:val="auto"/>
          <w:highlight w:val="none"/>
        </w:rPr>
      </w:pPr>
      <w:r>
        <w:rPr>
          <w:rFonts w:hint="eastAsia"/>
          <w:color w:val="auto"/>
          <w:highlight w:val="none"/>
        </w:rPr>
        <w:t>13.投标文件的组成</w:t>
      </w:r>
      <w:bookmarkEnd w:id="97"/>
      <w:bookmarkEnd w:id="98"/>
    </w:p>
    <w:p w14:paraId="5FCDEBF7">
      <w:pPr>
        <w:rPr>
          <w:color w:val="auto"/>
          <w:highlight w:val="none"/>
        </w:rPr>
      </w:pPr>
      <w:r>
        <w:rPr>
          <w:rFonts w:hint="eastAsia"/>
          <w:color w:val="auto"/>
          <w:highlight w:val="none"/>
        </w:rPr>
        <w:t>投标文件由报价文件、资格证明文件、商务文件、技术文件四部分组成。</w:t>
      </w:r>
    </w:p>
    <w:p w14:paraId="24C003B9">
      <w:pPr>
        <w:rPr>
          <w:color w:val="auto"/>
          <w:highlight w:val="none"/>
        </w:rPr>
      </w:pPr>
      <w:bookmarkStart w:id="99" w:name="_13.1报价文件:_具体材料见“投标人须知前附表”。"/>
      <w:bookmarkEnd w:id="99"/>
      <w:r>
        <w:rPr>
          <w:rFonts w:hint="eastAsia"/>
          <w:color w:val="auto"/>
          <w:highlight w:val="none"/>
        </w:rPr>
        <w:t>（1）报价文件：</w:t>
      </w:r>
      <w:r>
        <w:rPr>
          <w:color w:val="auto"/>
          <w:highlight w:val="none"/>
        </w:rPr>
        <w:t>具体材料见“投标人须知前附表”</w:t>
      </w:r>
      <w:r>
        <w:rPr>
          <w:rFonts w:hint="eastAsia"/>
          <w:color w:val="auto"/>
          <w:highlight w:val="none"/>
        </w:rPr>
        <w:t>。</w:t>
      </w:r>
    </w:p>
    <w:p w14:paraId="705695F4">
      <w:pPr>
        <w:rPr>
          <w:color w:val="auto"/>
          <w:highlight w:val="none"/>
        </w:rPr>
      </w:pPr>
      <w:bookmarkStart w:id="100" w:name="_13.2资格证明文件：具体材料见“投标人须知前附表”。"/>
      <w:bookmarkEnd w:id="100"/>
      <w:r>
        <w:rPr>
          <w:rFonts w:hint="eastAsia"/>
          <w:color w:val="auto"/>
          <w:highlight w:val="none"/>
        </w:rPr>
        <w:t>（</w:t>
      </w:r>
      <w:r>
        <w:rPr>
          <w:color w:val="auto"/>
          <w:highlight w:val="none"/>
        </w:rPr>
        <w:t>2</w:t>
      </w:r>
      <w:r>
        <w:rPr>
          <w:rFonts w:hint="eastAsia"/>
          <w:color w:val="auto"/>
          <w:highlight w:val="none"/>
        </w:rPr>
        <w:t>）资格证明文件：</w:t>
      </w:r>
      <w:r>
        <w:rPr>
          <w:color w:val="auto"/>
          <w:highlight w:val="none"/>
        </w:rPr>
        <w:t>具体材料见“投标人须知前附表”</w:t>
      </w:r>
      <w:r>
        <w:rPr>
          <w:rFonts w:hint="eastAsia"/>
          <w:color w:val="auto"/>
          <w:highlight w:val="none"/>
        </w:rPr>
        <w:t>。</w:t>
      </w:r>
    </w:p>
    <w:p w14:paraId="2DAE21D9">
      <w:pPr>
        <w:rPr>
          <w:color w:val="auto"/>
          <w:highlight w:val="none"/>
        </w:rPr>
      </w:pPr>
      <w:bookmarkStart w:id="101" w:name="_13.3商务文件:_具体材料见“投标人须知前附表”。"/>
      <w:bookmarkEnd w:id="101"/>
      <w:r>
        <w:rPr>
          <w:rFonts w:hint="eastAsia"/>
          <w:color w:val="auto"/>
          <w:highlight w:val="none"/>
        </w:rPr>
        <w:t>（</w:t>
      </w:r>
      <w:r>
        <w:rPr>
          <w:color w:val="auto"/>
          <w:highlight w:val="none"/>
        </w:rPr>
        <w:t>3</w:t>
      </w:r>
      <w:r>
        <w:rPr>
          <w:rFonts w:hint="eastAsia"/>
          <w:color w:val="auto"/>
          <w:highlight w:val="none"/>
        </w:rPr>
        <w:t>）商务文件：</w:t>
      </w:r>
      <w:r>
        <w:rPr>
          <w:color w:val="auto"/>
          <w:highlight w:val="none"/>
        </w:rPr>
        <w:t>具体材料见“投标人须知前附表”</w:t>
      </w:r>
      <w:r>
        <w:rPr>
          <w:rFonts w:hint="eastAsia"/>
          <w:color w:val="auto"/>
          <w:highlight w:val="none"/>
        </w:rPr>
        <w:t>。</w:t>
      </w:r>
    </w:p>
    <w:p w14:paraId="7CA4F5C7">
      <w:pPr>
        <w:rPr>
          <w:color w:val="auto"/>
          <w:highlight w:val="none"/>
        </w:rPr>
      </w:pPr>
      <w:bookmarkStart w:id="102" w:name="_13.4技术文件：具体材料见“投标人须知前附表”。"/>
      <w:bookmarkEnd w:id="102"/>
      <w:r>
        <w:rPr>
          <w:rFonts w:hint="eastAsia"/>
          <w:color w:val="auto"/>
          <w:highlight w:val="none"/>
        </w:rPr>
        <w:t>（</w:t>
      </w:r>
      <w:r>
        <w:rPr>
          <w:color w:val="auto"/>
          <w:highlight w:val="none"/>
        </w:rPr>
        <w:t>4</w:t>
      </w:r>
      <w:r>
        <w:rPr>
          <w:rFonts w:hint="eastAsia"/>
          <w:color w:val="auto"/>
          <w:highlight w:val="none"/>
        </w:rPr>
        <w:t>）技术文件：</w:t>
      </w:r>
      <w:r>
        <w:rPr>
          <w:color w:val="auto"/>
          <w:highlight w:val="none"/>
        </w:rPr>
        <w:t>具体材料见“投标人须知前附表”</w:t>
      </w:r>
      <w:r>
        <w:rPr>
          <w:rFonts w:hint="eastAsia"/>
          <w:color w:val="auto"/>
          <w:highlight w:val="none"/>
        </w:rPr>
        <w:t>。</w:t>
      </w:r>
    </w:p>
    <w:p w14:paraId="523E12A8">
      <w:pPr>
        <w:rPr>
          <w:color w:val="auto"/>
          <w:highlight w:val="none"/>
        </w:rPr>
      </w:pPr>
      <w:bookmarkStart w:id="103" w:name="_13.5投标文件电子版：具体材料见“投标人须知前附表”。"/>
      <w:bookmarkEnd w:id="103"/>
      <w:bookmarkStart w:id="104" w:name="_Toc254970537"/>
      <w:bookmarkStart w:id="105" w:name="_Toc254970678"/>
      <w:r>
        <w:rPr>
          <w:rFonts w:hint="eastAsia"/>
          <w:color w:val="auto"/>
          <w:highlight w:val="none"/>
        </w:rPr>
        <w:t>14.投标文件的语言及计量</w:t>
      </w:r>
      <w:bookmarkEnd w:id="104"/>
      <w:bookmarkEnd w:id="105"/>
    </w:p>
    <w:p w14:paraId="49F004A9">
      <w:pPr>
        <w:rPr>
          <w:color w:val="auto"/>
          <w:highlight w:val="none"/>
        </w:rPr>
      </w:pPr>
      <w:r>
        <w:rPr>
          <w:rFonts w:hint="eastAsia"/>
          <w:color w:val="auto"/>
          <w:highlight w:val="none"/>
        </w:rPr>
        <w:t>14.1语言文字</w:t>
      </w:r>
    </w:p>
    <w:p w14:paraId="6EEBA8CB">
      <w:pPr>
        <w:rPr>
          <w:color w:val="auto"/>
          <w:highlight w:val="none"/>
        </w:rPr>
      </w:pPr>
      <w:r>
        <w:rPr>
          <w:rFonts w:hint="eastAsia"/>
          <w:color w:val="auto"/>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6FC42B3">
      <w:pPr>
        <w:rPr>
          <w:color w:val="auto"/>
          <w:highlight w:val="none"/>
        </w:rPr>
      </w:pPr>
      <w:r>
        <w:rPr>
          <w:rFonts w:hint="eastAsia"/>
          <w:color w:val="auto"/>
          <w:highlight w:val="none"/>
        </w:rPr>
        <w:t>14.2投标计量单位</w:t>
      </w:r>
    </w:p>
    <w:p w14:paraId="7E78D9EC">
      <w:pPr>
        <w:rPr>
          <w:color w:val="auto"/>
          <w:highlight w:val="none"/>
        </w:rPr>
      </w:pPr>
      <w:r>
        <w:rPr>
          <w:rFonts w:hint="eastAsia"/>
          <w:color w:val="auto"/>
          <w:highlight w:val="none"/>
        </w:rPr>
        <w:t>招标文件已有明确规定的，使用招标文件规定的计量单位；招标文件没有规定的，应采用中华人民共和国法定计量单位，货币种类为人民币，</w:t>
      </w:r>
      <w:r>
        <w:rPr>
          <w:rFonts w:hint="eastAsia"/>
          <w:b/>
          <w:color w:val="auto"/>
          <w:highlight w:val="none"/>
        </w:rPr>
        <w:t>否则视同未响应。</w:t>
      </w:r>
    </w:p>
    <w:p w14:paraId="0E8B9FE2">
      <w:pPr>
        <w:rPr>
          <w:color w:val="auto"/>
          <w:highlight w:val="none"/>
        </w:rPr>
      </w:pPr>
      <w:r>
        <w:rPr>
          <w:rFonts w:hint="eastAsia"/>
          <w:color w:val="auto"/>
          <w:highlight w:val="none"/>
        </w:rPr>
        <w:t>15.投标的风险</w:t>
      </w:r>
    </w:p>
    <w:p w14:paraId="1A695E20">
      <w:pPr>
        <w:rPr>
          <w:color w:val="auto"/>
          <w:kern w:val="0"/>
          <w:highlight w:val="none"/>
        </w:rPr>
      </w:pPr>
      <w:r>
        <w:rPr>
          <w:rFonts w:hint="eastAsia"/>
          <w:color w:val="auto"/>
          <w:kern w:val="0"/>
          <w:highlight w:val="none"/>
        </w:rPr>
        <w:t>投标人没有按照招标文件要求提供全部资料，或者投标人没有对招标文件作出实质性响应是投标人的风险，并可能导致其投标被拒绝。</w:t>
      </w:r>
    </w:p>
    <w:p w14:paraId="2A90DD87">
      <w:pPr>
        <w:rPr>
          <w:color w:val="auto"/>
          <w:highlight w:val="none"/>
        </w:rPr>
      </w:pPr>
      <w:bookmarkStart w:id="106" w:name="_Toc254970679"/>
      <w:bookmarkStart w:id="107" w:name="_Toc254970538"/>
      <w:r>
        <w:rPr>
          <w:rFonts w:hint="eastAsia"/>
          <w:color w:val="auto"/>
          <w:highlight w:val="none"/>
        </w:rPr>
        <w:t>16.投标报价</w:t>
      </w:r>
      <w:bookmarkEnd w:id="106"/>
      <w:bookmarkEnd w:id="107"/>
    </w:p>
    <w:p w14:paraId="2187550A">
      <w:pPr>
        <w:rPr>
          <w:color w:val="auto"/>
          <w:highlight w:val="none"/>
        </w:rPr>
      </w:pPr>
      <w:r>
        <w:rPr>
          <w:rFonts w:hint="eastAsia"/>
          <w:color w:val="auto"/>
          <w:highlight w:val="none"/>
        </w:rPr>
        <w:t>16.1投标报价应按“第六章　投标文件格式”中“开标一览表”格式填写。</w:t>
      </w:r>
    </w:p>
    <w:p w14:paraId="28BF55F8">
      <w:pPr>
        <w:rPr>
          <w:color w:val="auto"/>
          <w:highlight w:val="none"/>
        </w:rPr>
      </w:pPr>
      <w:bookmarkStart w:id="108" w:name="_16.2投标报价具体定义见投标人须知前附表。"/>
      <w:bookmarkEnd w:id="108"/>
      <w:r>
        <w:rPr>
          <w:rFonts w:hint="eastAsia"/>
          <w:color w:val="auto"/>
          <w:highlight w:val="none"/>
        </w:rPr>
        <w:t>16.2投标报价具体包括内容详见“投标人须知前附表”。</w:t>
      </w:r>
    </w:p>
    <w:p w14:paraId="312DB24E">
      <w:pPr>
        <w:rPr>
          <w:color w:val="auto"/>
          <w:highlight w:val="none"/>
        </w:rPr>
      </w:pPr>
      <w:r>
        <w:rPr>
          <w:rFonts w:hint="eastAsia"/>
          <w:color w:val="auto"/>
          <w:highlight w:val="none"/>
        </w:rPr>
        <w:t>16.3投标人必须就所投的全部内容分别作完整唯一总价报价，不得存在漏项报价；投标人必须就所投的单项内容作唯一报价。</w:t>
      </w:r>
    </w:p>
    <w:p w14:paraId="3A20B02C">
      <w:pPr>
        <w:rPr>
          <w:color w:val="auto"/>
          <w:highlight w:val="none"/>
        </w:rPr>
      </w:pPr>
      <w:r>
        <w:rPr>
          <w:rFonts w:hint="eastAsia"/>
          <w:color w:val="auto"/>
          <w:highlight w:val="none"/>
        </w:rPr>
        <w:t>17.投标有效期</w:t>
      </w:r>
    </w:p>
    <w:p w14:paraId="063C37C1">
      <w:pPr>
        <w:rPr>
          <w:color w:val="auto"/>
          <w:highlight w:val="none"/>
        </w:rPr>
      </w:pPr>
      <w:bookmarkStart w:id="109" w:name="_17.1投标有效期应按“投标人须知中的前附表”规定的期限。"/>
      <w:bookmarkEnd w:id="109"/>
      <w:r>
        <w:rPr>
          <w:rFonts w:hint="eastAsia"/>
          <w:color w:val="auto"/>
          <w:highlight w:val="none"/>
        </w:rPr>
        <w:t>17.1投标有效期是指为保证采购人有足够的时间在开标后完成评标、定标、合同签订等工作而要求投标人提交的投标文件在一定时间内保持有效的期限。</w:t>
      </w:r>
    </w:p>
    <w:p w14:paraId="569A2D6E">
      <w:pPr>
        <w:rPr>
          <w:color w:val="auto"/>
          <w:highlight w:val="none"/>
        </w:rPr>
      </w:pPr>
      <w:r>
        <w:rPr>
          <w:rFonts w:hint="eastAsia"/>
          <w:color w:val="auto"/>
          <w:highlight w:val="none"/>
        </w:rPr>
        <w:t>17.2</w:t>
      </w:r>
      <w:bookmarkStart w:id="110" w:name="_Toc254970681"/>
      <w:bookmarkStart w:id="111" w:name="_Toc254970540"/>
      <w:r>
        <w:rPr>
          <w:rFonts w:hint="eastAsia"/>
          <w:color w:val="auto"/>
          <w:highlight w:val="none"/>
        </w:rPr>
        <w:t xml:space="preserve"> 投标有效期应按规定的期限作出承诺，具体详见“投标人须知前附表”。</w:t>
      </w:r>
    </w:p>
    <w:p w14:paraId="68D7F70B">
      <w:pPr>
        <w:rPr>
          <w:color w:val="auto"/>
          <w:highlight w:val="none"/>
        </w:rPr>
      </w:pPr>
      <w:r>
        <w:rPr>
          <w:rFonts w:hint="eastAsia"/>
          <w:color w:val="auto"/>
          <w:highlight w:val="none"/>
        </w:rPr>
        <w:t>17.3投标人的投标文件在投标有效期内均保持有效。</w:t>
      </w:r>
      <w:bookmarkEnd w:id="110"/>
      <w:bookmarkEnd w:id="111"/>
    </w:p>
    <w:p w14:paraId="57DBF1A5">
      <w:pPr>
        <w:rPr>
          <w:color w:val="auto"/>
          <w:highlight w:val="none"/>
        </w:rPr>
      </w:pPr>
      <w:bookmarkStart w:id="112" w:name="_18.投标保证金"/>
      <w:bookmarkEnd w:id="112"/>
      <w:bookmarkStart w:id="113" w:name="_Toc254970541"/>
      <w:bookmarkStart w:id="114" w:name="_Toc254970682"/>
      <w:r>
        <w:rPr>
          <w:rFonts w:hint="eastAsia"/>
          <w:color w:val="auto"/>
          <w:highlight w:val="none"/>
        </w:rPr>
        <w:t>18.投标保证金</w:t>
      </w:r>
      <w:bookmarkEnd w:id="113"/>
      <w:bookmarkEnd w:id="114"/>
    </w:p>
    <w:p w14:paraId="0ED78C6F">
      <w:pPr>
        <w:rPr>
          <w:color w:val="auto"/>
          <w:highlight w:val="none"/>
        </w:rPr>
      </w:pPr>
      <w:r>
        <w:rPr>
          <w:rFonts w:hint="eastAsia"/>
          <w:color w:val="auto"/>
          <w:highlight w:val="none"/>
        </w:rPr>
        <w:t>18.1投标人须按“投标人须知前附表” 的规定提交投标保证金。</w:t>
      </w:r>
    </w:p>
    <w:p w14:paraId="24FF2328">
      <w:pPr>
        <w:rPr>
          <w:color w:val="auto"/>
          <w:highlight w:val="none"/>
        </w:rPr>
      </w:pPr>
      <w:r>
        <w:rPr>
          <w:rFonts w:hint="eastAsia"/>
          <w:color w:val="auto"/>
          <w:highlight w:val="none"/>
        </w:rPr>
        <w:t>18.2投标保证金的退还</w:t>
      </w:r>
    </w:p>
    <w:p w14:paraId="30BEA7DB">
      <w:pPr>
        <w:rPr>
          <w:color w:val="auto"/>
          <w:highlight w:val="none"/>
        </w:rPr>
      </w:pPr>
      <w:r>
        <w:rPr>
          <w:rFonts w:hint="eastAsia"/>
          <w:color w:val="auto"/>
          <w:highlight w:val="none"/>
        </w:rPr>
        <w:t xml:space="preserve">未中标人的投标保证金自中标通知书发出之日起5个工作日内退还；中标人的投标保证金自政府采购合同签订之日起5个工作日内退还。 </w:t>
      </w:r>
    </w:p>
    <w:p w14:paraId="2947FD6B">
      <w:pPr>
        <w:rPr>
          <w:color w:val="auto"/>
          <w:highlight w:val="none"/>
        </w:rPr>
      </w:pPr>
      <w:r>
        <w:rPr>
          <w:rFonts w:hint="eastAsia"/>
          <w:color w:val="auto"/>
          <w:highlight w:val="none"/>
        </w:rPr>
        <w:t>18.3除逾期退还投标保证金和终止招标的情形以外，投标保证金不计息。</w:t>
      </w:r>
    </w:p>
    <w:p w14:paraId="27E6D9EE">
      <w:pPr>
        <w:rPr>
          <w:color w:val="auto"/>
          <w:highlight w:val="none"/>
        </w:rPr>
      </w:pPr>
      <w:r>
        <w:rPr>
          <w:rFonts w:hint="eastAsia"/>
          <w:color w:val="auto"/>
          <w:highlight w:val="none"/>
        </w:rPr>
        <w:t xml:space="preserve">18.4投标人有下列情形之一的，投标保证金将不予退还： </w:t>
      </w:r>
    </w:p>
    <w:p w14:paraId="4D3C1D12">
      <w:pPr>
        <w:rPr>
          <w:color w:val="auto"/>
          <w:highlight w:val="none"/>
        </w:rPr>
      </w:pPr>
      <w:r>
        <w:rPr>
          <w:rFonts w:hint="eastAsia"/>
          <w:color w:val="auto"/>
          <w:highlight w:val="none"/>
        </w:rPr>
        <w:t>（1）投标人在投标有效期内撤销投标文件的；</w:t>
      </w:r>
    </w:p>
    <w:p w14:paraId="696B8A4D">
      <w:pPr>
        <w:rPr>
          <w:color w:val="auto"/>
          <w:highlight w:val="none"/>
        </w:rPr>
      </w:pPr>
      <w:r>
        <w:rPr>
          <w:rFonts w:hint="eastAsia"/>
          <w:color w:val="auto"/>
          <w:highlight w:val="none"/>
        </w:rPr>
        <w:t>（2）未按规定提交履约保证金的；</w:t>
      </w:r>
    </w:p>
    <w:p w14:paraId="06B2CF8A">
      <w:pPr>
        <w:rPr>
          <w:color w:val="auto"/>
          <w:highlight w:val="none"/>
        </w:rPr>
      </w:pPr>
      <w:r>
        <w:rPr>
          <w:rFonts w:hint="eastAsia"/>
          <w:color w:val="auto"/>
          <w:highlight w:val="none"/>
        </w:rPr>
        <w:t>（3）投标人在投标过程中弄虚作假，提供虚假材料的；</w:t>
      </w:r>
    </w:p>
    <w:p w14:paraId="466AF455">
      <w:pPr>
        <w:rPr>
          <w:color w:val="auto"/>
          <w:highlight w:val="none"/>
        </w:rPr>
      </w:pPr>
      <w:r>
        <w:rPr>
          <w:rFonts w:hint="eastAsia"/>
          <w:color w:val="auto"/>
          <w:highlight w:val="none"/>
        </w:rPr>
        <w:t>（4）中标人无正当理由不与采购人签订合同的；</w:t>
      </w:r>
    </w:p>
    <w:p w14:paraId="14A1AAA3">
      <w:pPr>
        <w:rPr>
          <w:color w:val="auto"/>
          <w:highlight w:val="none"/>
        </w:rPr>
      </w:pPr>
      <w:r>
        <w:rPr>
          <w:rFonts w:hint="eastAsia"/>
          <w:color w:val="auto"/>
          <w:highlight w:val="none"/>
        </w:rPr>
        <w:t>（5）投标人出现本章第9.2、9.3情形的；</w:t>
      </w:r>
    </w:p>
    <w:p w14:paraId="36B3161E">
      <w:pPr>
        <w:rPr>
          <w:rFonts w:cs="Times New Roman"/>
          <w:color w:val="auto"/>
          <w:highlight w:val="none"/>
        </w:rPr>
      </w:pPr>
      <w:r>
        <w:rPr>
          <w:rFonts w:hint="eastAsia" w:cs="Times New Roman"/>
          <w:color w:val="auto"/>
          <w:highlight w:val="none"/>
        </w:rPr>
        <w:t>（6）</w:t>
      </w:r>
      <w:r>
        <w:rPr>
          <w:rFonts w:hint="eastAsia"/>
          <w:color w:val="auto"/>
          <w:highlight w:val="none"/>
        </w:rPr>
        <w:t>法律法规规定的其他情形</w:t>
      </w:r>
      <w:r>
        <w:rPr>
          <w:rFonts w:hint="eastAsia" w:cs="Times New Roman"/>
          <w:color w:val="auto"/>
          <w:highlight w:val="none"/>
        </w:rPr>
        <w:t>。</w:t>
      </w:r>
    </w:p>
    <w:p w14:paraId="18A39F84">
      <w:pPr>
        <w:rPr>
          <w:color w:val="auto"/>
          <w:highlight w:val="none"/>
        </w:rPr>
      </w:pPr>
      <w:bookmarkStart w:id="115" w:name="_Toc254970542"/>
      <w:bookmarkStart w:id="116" w:name="_Toc254970683"/>
      <w:r>
        <w:rPr>
          <w:rFonts w:hint="eastAsia"/>
          <w:color w:val="auto"/>
          <w:highlight w:val="none"/>
        </w:rPr>
        <w:t>19.投标文件的</w:t>
      </w:r>
      <w:bookmarkEnd w:id="115"/>
      <w:bookmarkEnd w:id="116"/>
      <w:r>
        <w:rPr>
          <w:rFonts w:hint="eastAsia"/>
          <w:color w:val="auto"/>
          <w:highlight w:val="none"/>
        </w:rPr>
        <w:t>编制</w:t>
      </w:r>
    </w:p>
    <w:p w14:paraId="6FF788C8">
      <w:pPr>
        <w:rPr>
          <w:color w:val="auto"/>
          <w:highlight w:val="none"/>
        </w:rPr>
      </w:pPr>
      <w:r>
        <w:rPr>
          <w:rFonts w:hint="eastAsia"/>
          <w:color w:val="auto"/>
          <w:highlight w:val="none"/>
        </w:rPr>
        <w:t xml:space="preserve"> 19.1投标人应先安装“广西政府采购客户端”（请自行前往“广西政府采购网”，依次进入“办事服务-下载专区”），并按照本项目招标文件规定的格式和顺序和广西政府采购云平台的要求编制并加密。投标文件内容不完整、编排混乱导致投标文件被误读、漏读或者查找不到相关内容的，由此引发的后果由投标人承担。</w:t>
      </w:r>
    </w:p>
    <w:p w14:paraId="11E9A3E7">
      <w:pPr>
        <w:rPr>
          <w:color w:val="auto"/>
          <w:highlight w:val="none"/>
        </w:rPr>
      </w:pPr>
      <w:bookmarkStart w:id="117" w:name="_19.2投标文件应按报价文件、资格证明文件、商务文件、技术文件分别编制"/>
      <w:bookmarkEnd w:id="117"/>
      <w:r>
        <w:rPr>
          <w:rFonts w:hint="eastAsia"/>
          <w:color w:val="auto"/>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2B777633">
      <w:pPr>
        <w:rPr>
          <w:color w:val="auto"/>
          <w:highlight w:val="none"/>
        </w:rPr>
      </w:pPr>
      <w:r>
        <w:rPr>
          <w:rFonts w:hint="eastAsia"/>
          <w:color w:val="auto"/>
          <w:highlight w:val="none"/>
        </w:rPr>
        <w:t>19.3投标文件须由投标人在规定位置签字（或者电子签名）、盖章（具体以投标人须知前附表或投标文件格式规定为准），</w:t>
      </w:r>
      <w:r>
        <w:rPr>
          <w:rFonts w:hint="eastAsia"/>
          <w:b/>
          <w:bCs/>
          <w:color w:val="auto"/>
          <w:highlight w:val="none"/>
        </w:rPr>
        <w:t>否则按无效投标处理</w:t>
      </w:r>
      <w:r>
        <w:rPr>
          <w:rFonts w:hint="eastAsia"/>
          <w:color w:val="auto"/>
          <w:highlight w:val="none"/>
        </w:rPr>
        <w:t>。</w:t>
      </w:r>
    </w:p>
    <w:p w14:paraId="4CA991DB">
      <w:pPr>
        <w:rPr>
          <w:color w:val="auto"/>
          <w:highlight w:val="none"/>
        </w:rPr>
      </w:pPr>
      <w:r>
        <w:rPr>
          <w:rFonts w:hint="eastAsia"/>
          <w:color w:val="auto"/>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b/>
          <w:color w:val="auto"/>
          <w:highlight w:val="none"/>
        </w:rPr>
        <w:t>否则按无效投标处理</w:t>
      </w:r>
      <w:r>
        <w:rPr>
          <w:rFonts w:hint="eastAsia"/>
          <w:color w:val="auto"/>
          <w:highlight w:val="none"/>
        </w:rPr>
        <w:t>。</w:t>
      </w:r>
    </w:p>
    <w:p w14:paraId="5048F074">
      <w:pPr>
        <w:rPr>
          <w:color w:val="auto"/>
          <w:highlight w:val="none"/>
        </w:rPr>
      </w:pPr>
      <w:r>
        <w:rPr>
          <w:rFonts w:hint="eastAsia"/>
          <w:color w:val="auto"/>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52814FA6">
      <w:pPr>
        <w:rPr>
          <w:color w:val="auto"/>
          <w:highlight w:val="none"/>
        </w:rPr>
      </w:pPr>
      <w:r>
        <w:rPr>
          <w:rFonts w:hint="eastAsia"/>
          <w:color w:val="auto"/>
          <w:highlight w:val="none"/>
        </w:rPr>
        <w:t>20.电子备份投标文件</w:t>
      </w:r>
    </w:p>
    <w:p w14:paraId="1843CE0B">
      <w:pPr>
        <w:rPr>
          <w:color w:val="auto"/>
          <w:sz w:val="24"/>
          <w:highlight w:val="none"/>
        </w:rPr>
      </w:pPr>
      <w:r>
        <w:rPr>
          <w:rFonts w:hint="eastAsia"/>
          <w:color w:val="auto"/>
          <w:highlight w:val="none"/>
        </w:rPr>
        <w:t>电子备份投标文件是指通过“广西政府采购客户端”在线编制生成且后缀名为“</w:t>
      </w:r>
      <w:r>
        <w:rPr>
          <w:color w:val="auto"/>
          <w:highlight w:val="none"/>
        </w:rPr>
        <w:t>bfbs</w:t>
      </w:r>
      <w:r>
        <w:rPr>
          <w:rFonts w:hint="eastAsia"/>
          <w:color w:val="auto"/>
          <w:highlight w:val="none"/>
        </w:rPr>
        <w:t>”的文件，提交要求</w:t>
      </w:r>
      <w:r>
        <w:rPr>
          <w:rFonts w:hint="eastAsia"/>
          <w:bCs/>
          <w:color w:val="auto"/>
          <w:highlight w:val="none"/>
        </w:rPr>
        <w:t>详见在“投标人须知前附表”。</w:t>
      </w:r>
    </w:p>
    <w:p w14:paraId="00ABE8D9">
      <w:pPr>
        <w:rPr>
          <w:color w:val="auto"/>
          <w:highlight w:val="none"/>
        </w:rPr>
      </w:pPr>
      <w:r>
        <w:rPr>
          <w:rFonts w:hint="eastAsia"/>
          <w:color w:val="auto"/>
          <w:highlight w:val="none"/>
        </w:rPr>
        <w:t>21.投标文件的提交</w:t>
      </w:r>
    </w:p>
    <w:p w14:paraId="5E5C0AB2">
      <w:pPr>
        <w:rPr>
          <w:b/>
          <w:color w:val="auto"/>
          <w:szCs w:val="24"/>
          <w:highlight w:val="none"/>
        </w:rPr>
      </w:pPr>
      <w:bookmarkStart w:id="118" w:name="_21.1投标人必须在“投标人须知中的前附表”规定的投标文件接收时间和投"/>
      <w:bookmarkEnd w:id="118"/>
      <w:r>
        <w:rPr>
          <w:rFonts w:hint="eastAsia"/>
          <w:color w:val="auto"/>
          <w:highlight w:val="none"/>
        </w:rPr>
        <w:t>21.1投标人必须在“投标人须知前附表”规定的投标文件提交截止时间前将电子投标文件提交至投标地点。电子投标文件应在制作完成后，</w:t>
      </w:r>
      <w:r>
        <w:rPr>
          <w:color w:val="auto"/>
          <w:highlight w:val="none"/>
        </w:rPr>
        <w:t>在投标截止时间前</w:t>
      </w:r>
      <w:r>
        <w:rPr>
          <w:rFonts w:hint="eastAsia"/>
          <w:color w:val="auto"/>
          <w:highlight w:val="none"/>
        </w:rPr>
        <w:t xml:space="preserve">通过有效数字证书（CA认证锁）进行电子签章、加密，然后通过网络将加密的电子投标文件递交至广西政府采购云平台。 </w:t>
      </w:r>
      <w:r>
        <w:rPr>
          <w:rFonts w:hint="eastAsia"/>
          <w:b/>
          <w:color w:val="auto"/>
          <w:szCs w:val="24"/>
          <w:highlight w:val="none"/>
        </w:rPr>
        <w:t xml:space="preserve"> </w:t>
      </w:r>
    </w:p>
    <w:p w14:paraId="433B2036">
      <w:pPr>
        <w:rPr>
          <w:color w:val="auto"/>
          <w:szCs w:val="20"/>
          <w:highlight w:val="none"/>
        </w:rPr>
      </w:pPr>
      <w:r>
        <w:rPr>
          <w:rFonts w:hint="eastAsia"/>
          <w:color w:val="auto"/>
          <w:highlight w:val="none"/>
        </w:rPr>
        <w:t>21.</w:t>
      </w:r>
      <w:r>
        <w:rPr>
          <w:color w:val="auto"/>
          <w:highlight w:val="none"/>
        </w:rPr>
        <w:t>2</w:t>
      </w:r>
      <w:r>
        <w:rPr>
          <w:rFonts w:hint="eastAsia"/>
          <w:color w:val="auto"/>
          <w:highlight w:val="none"/>
        </w:rPr>
        <w:t>未在规定时间内提交或者未按照招标文件要求加密的电子投标文件，广西政府采购云平台将拒收。</w:t>
      </w:r>
    </w:p>
    <w:p w14:paraId="7AEE1666">
      <w:pPr>
        <w:rPr>
          <w:color w:val="auto"/>
          <w:highlight w:val="none"/>
        </w:rPr>
      </w:pPr>
      <w:r>
        <w:rPr>
          <w:rFonts w:hint="eastAsia"/>
          <w:color w:val="auto"/>
          <w:highlight w:val="none"/>
        </w:rPr>
        <w:t>22. 投标文件的补充、修改、撤回与退回</w:t>
      </w:r>
    </w:p>
    <w:p w14:paraId="7B2A9FBD">
      <w:pPr>
        <w:rPr>
          <w:color w:val="auto"/>
          <w:highlight w:val="none"/>
        </w:rPr>
      </w:pPr>
      <w:bookmarkStart w:id="119" w:name="_Toc254970684"/>
      <w:bookmarkStart w:id="120" w:name="_Toc254970543"/>
      <w:r>
        <w:rPr>
          <w:color w:val="auto"/>
          <w:highlight w:val="none"/>
        </w:rPr>
        <w:t>22</w:t>
      </w:r>
      <w:r>
        <w:rPr>
          <w:rFonts w:hint="eastAsia"/>
          <w:color w:val="auto"/>
          <w:highlight w:val="none"/>
        </w:rPr>
        <w:t>.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bookmarkEnd w:id="119"/>
    <w:bookmarkEnd w:id="120"/>
    <w:p w14:paraId="640634DE">
      <w:pPr>
        <w:rPr>
          <w:color w:val="auto"/>
          <w:highlight w:val="none"/>
        </w:rPr>
      </w:pPr>
      <w:r>
        <w:rPr>
          <w:color w:val="auto"/>
          <w:highlight w:val="none"/>
        </w:rPr>
        <w:t>22.</w:t>
      </w:r>
      <w:r>
        <w:rPr>
          <w:rFonts w:hint="eastAsia"/>
          <w:color w:val="auto"/>
          <w:highlight w:val="none"/>
        </w:rPr>
        <w:t>2广西政府采购云平台收到投标文件后向供应商发出确认回执通知。在投标截止时间前，除供应商补充、修改或者撤回投标文件外，任何单位和个人不得解密或提取投标文件。</w:t>
      </w:r>
    </w:p>
    <w:p w14:paraId="33805C7A">
      <w:pPr>
        <w:rPr>
          <w:color w:val="auto"/>
          <w:highlight w:val="none"/>
        </w:rPr>
      </w:pPr>
      <w:r>
        <w:rPr>
          <w:rFonts w:hint="eastAsia"/>
          <w:color w:val="auto"/>
          <w:highlight w:val="none"/>
        </w:rPr>
        <w:t>22.</w:t>
      </w:r>
      <w:r>
        <w:rPr>
          <w:color w:val="auto"/>
          <w:highlight w:val="none"/>
        </w:rPr>
        <w:t>3</w:t>
      </w:r>
      <w:r>
        <w:rPr>
          <w:rFonts w:hint="eastAsia"/>
          <w:color w:val="auto"/>
          <w:highlight w:val="none"/>
        </w:rPr>
        <w:t>在投标截止时间后，采购人和采购代理机构对已提交的投标文件概不退回。</w:t>
      </w:r>
    </w:p>
    <w:p w14:paraId="75AC02ED">
      <w:pPr>
        <w:rPr>
          <w:color w:val="auto"/>
          <w:highlight w:val="none"/>
        </w:rPr>
      </w:pPr>
    </w:p>
    <w:p w14:paraId="23D06F32">
      <w:pPr>
        <w:ind w:firstLine="560"/>
        <w:jc w:val="center"/>
        <w:rPr>
          <w:color w:val="auto"/>
          <w:kern w:val="0"/>
          <w:sz w:val="28"/>
          <w:szCs w:val="28"/>
          <w:highlight w:val="none"/>
        </w:rPr>
      </w:pPr>
      <w:bookmarkStart w:id="121" w:name="_Toc254970685"/>
      <w:bookmarkStart w:id="122" w:name="_Toc254970544"/>
      <w:r>
        <w:rPr>
          <w:rFonts w:hint="eastAsia"/>
          <w:color w:val="auto"/>
          <w:kern w:val="0"/>
          <w:sz w:val="28"/>
          <w:szCs w:val="28"/>
          <w:highlight w:val="none"/>
        </w:rPr>
        <w:t>四、开    标</w:t>
      </w:r>
      <w:bookmarkEnd w:id="121"/>
      <w:bookmarkEnd w:id="122"/>
    </w:p>
    <w:p w14:paraId="7A23CB5B">
      <w:pPr>
        <w:rPr>
          <w:color w:val="auto"/>
          <w:highlight w:val="none"/>
        </w:rPr>
      </w:pPr>
      <w:bookmarkStart w:id="123" w:name="_23.开标时间和地点"/>
      <w:bookmarkEnd w:id="123"/>
      <w:r>
        <w:rPr>
          <w:rFonts w:hint="eastAsia"/>
          <w:color w:val="auto"/>
          <w:highlight w:val="none"/>
        </w:rPr>
        <w:t>23.开标时间和地点</w:t>
      </w:r>
    </w:p>
    <w:p w14:paraId="52E5E2A4">
      <w:pPr>
        <w:rPr>
          <w:color w:val="auto"/>
          <w:highlight w:val="none"/>
        </w:rPr>
      </w:pPr>
      <w:r>
        <w:rPr>
          <w:rFonts w:hint="eastAsia"/>
          <w:color w:val="auto"/>
          <w:highlight w:val="none"/>
        </w:rPr>
        <w:t>开标时间及地点详见“投标人须知前附表”</w:t>
      </w:r>
    </w:p>
    <w:p w14:paraId="78294316">
      <w:pPr>
        <w:rPr>
          <w:color w:val="auto"/>
          <w:highlight w:val="none"/>
        </w:rPr>
      </w:pPr>
      <w:r>
        <w:rPr>
          <w:rFonts w:hint="eastAsia"/>
          <w:color w:val="auto"/>
          <w:highlight w:val="none"/>
        </w:rPr>
        <w:t>24.开标程序</w:t>
      </w:r>
    </w:p>
    <w:p w14:paraId="3F4D37FF">
      <w:pPr>
        <w:rPr>
          <w:color w:val="auto"/>
          <w:highlight w:val="none"/>
        </w:rPr>
      </w:pPr>
      <w:r>
        <w:rPr>
          <w:rFonts w:hint="eastAsia"/>
          <w:color w:val="auto"/>
          <w:highlight w:val="none"/>
        </w:rPr>
        <w:t>24.1提交投标文件截止时间止，投标人不足3家的，不得开标。</w:t>
      </w:r>
    </w:p>
    <w:p w14:paraId="3F51AE21">
      <w:pPr>
        <w:rPr>
          <w:color w:val="auto"/>
          <w:highlight w:val="none"/>
        </w:rPr>
      </w:pPr>
      <w:r>
        <w:rPr>
          <w:rFonts w:hint="eastAsia"/>
          <w:color w:val="auto"/>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6B9B7F03">
      <w:pPr>
        <w:rPr>
          <w:color w:val="auto"/>
          <w:highlight w:val="none"/>
        </w:rPr>
      </w:pPr>
      <w:r>
        <w:rPr>
          <w:rFonts w:hint="eastAsia"/>
          <w:color w:val="auto"/>
          <w:highlight w:val="none"/>
        </w:rPr>
        <w:t>24.3开标程序</w:t>
      </w:r>
    </w:p>
    <w:p w14:paraId="387D08C7">
      <w:pPr>
        <w:rPr>
          <w:color w:val="auto"/>
          <w:highlight w:val="none"/>
        </w:rPr>
      </w:pPr>
      <w:r>
        <w:rPr>
          <w:rFonts w:hint="eastAsia"/>
          <w:color w:val="auto"/>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bCs/>
          <w:color w:val="auto"/>
          <w:highlight w:val="none"/>
        </w:rPr>
        <w:t>“投标人须知前附表”</w:t>
      </w:r>
      <w:r>
        <w:rPr>
          <w:rFonts w:hint="eastAsia"/>
          <w:color w:val="auto"/>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b/>
          <w:color w:val="auto"/>
          <w:highlight w:val="none"/>
        </w:rPr>
        <w:t>投标人未在规定的时间内解密投标文件或者解密失败的，投标人的投标文件作无效处理。</w:t>
      </w:r>
    </w:p>
    <w:p w14:paraId="0656954F">
      <w:pPr>
        <w:rPr>
          <w:color w:val="auto"/>
          <w:highlight w:val="none"/>
        </w:rPr>
      </w:pPr>
      <w:r>
        <w:rPr>
          <w:rFonts w:hint="eastAsia"/>
          <w:color w:val="auto"/>
          <w:highlight w:val="none"/>
        </w:rPr>
        <w:t>（2）电子唱标。投标文件解密结束，宣布的内容均在广西政府采购云平台远程开标大厅展示，具体详见</w:t>
      </w:r>
      <w:r>
        <w:rPr>
          <w:rFonts w:hint="eastAsia"/>
          <w:bCs/>
          <w:color w:val="auto"/>
          <w:highlight w:val="none"/>
        </w:rPr>
        <w:t>“投标人须知前附表”</w:t>
      </w:r>
      <w:r>
        <w:rPr>
          <w:rFonts w:hint="eastAsia"/>
          <w:color w:val="auto"/>
          <w:highlight w:val="none"/>
        </w:rPr>
        <w:t>；</w:t>
      </w:r>
    </w:p>
    <w:p w14:paraId="6D06D55C">
      <w:pPr>
        <w:rPr>
          <w:color w:val="auto"/>
          <w:highlight w:val="none"/>
        </w:rPr>
      </w:pPr>
      <w:r>
        <w:rPr>
          <w:rFonts w:hint="eastAsia"/>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7D01726E">
      <w:pPr>
        <w:rPr>
          <w:color w:val="auto"/>
          <w:highlight w:val="none"/>
        </w:rPr>
      </w:pPr>
      <w:r>
        <w:rPr>
          <w:rFonts w:hint="eastAsia"/>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68C0B5A">
      <w:pPr>
        <w:rPr>
          <w:color w:val="auto"/>
          <w:highlight w:val="none"/>
        </w:rPr>
      </w:pPr>
      <w:r>
        <w:rPr>
          <w:rFonts w:hint="eastAsia"/>
          <w:color w:val="auto"/>
          <w:highlight w:val="none"/>
        </w:rPr>
        <w:t>（5）开标结束。</w:t>
      </w:r>
    </w:p>
    <w:p w14:paraId="64B77658">
      <w:pPr>
        <w:rPr>
          <w:color w:val="auto"/>
          <w:kern w:val="0"/>
          <w:highlight w:val="none"/>
        </w:rPr>
      </w:pPr>
      <w:r>
        <w:rPr>
          <w:rFonts w:hint="eastAsia"/>
          <w:color w:val="auto"/>
          <w:kern w:val="0"/>
          <w:highlight w:val="none"/>
        </w:rPr>
        <w:t>特别说明：如遇广西政府采购云平台电子化开标或评审程序调整的，按调整后执行。</w:t>
      </w:r>
    </w:p>
    <w:p w14:paraId="15C34B9C">
      <w:pPr>
        <w:ind w:firstLine="560"/>
        <w:jc w:val="center"/>
        <w:rPr>
          <w:color w:val="auto"/>
          <w:kern w:val="0"/>
          <w:highlight w:val="none"/>
        </w:rPr>
      </w:pPr>
      <w:r>
        <w:rPr>
          <w:rFonts w:hint="eastAsia"/>
          <w:color w:val="auto"/>
          <w:kern w:val="0"/>
          <w:sz w:val="28"/>
          <w:szCs w:val="28"/>
          <w:highlight w:val="none"/>
        </w:rPr>
        <w:t>五、资格审查</w:t>
      </w:r>
    </w:p>
    <w:p w14:paraId="3928B22B">
      <w:pPr>
        <w:rPr>
          <w:color w:val="auto"/>
          <w:highlight w:val="none"/>
        </w:rPr>
      </w:pPr>
      <w:r>
        <w:rPr>
          <w:rFonts w:hint="eastAsia"/>
          <w:color w:val="auto"/>
          <w:highlight w:val="none"/>
        </w:rPr>
        <w:t>25.资格审查</w:t>
      </w:r>
    </w:p>
    <w:p w14:paraId="4C179E28">
      <w:pPr>
        <w:rPr>
          <w:color w:val="auto"/>
          <w:highlight w:val="none"/>
        </w:rPr>
      </w:pPr>
      <w:r>
        <w:rPr>
          <w:rFonts w:hint="eastAsia"/>
          <w:color w:val="auto"/>
          <w:highlight w:val="none"/>
        </w:rPr>
        <w:t xml:space="preserve"> 25.1</w:t>
      </w:r>
      <w:r>
        <w:rPr>
          <w:color w:val="auto"/>
          <w:highlight w:val="none"/>
        </w:rPr>
        <w:t>开标结束后，</w:t>
      </w:r>
      <w:r>
        <w:rPr>
          <w:rFonts w:hint="eastAsia"/>
          <w:color w:val="auto"/>
          <w:highlight w:val="none"/>
        </w:rPr>
        <w:t>采购人或者采购代理机构通过电子开评标系统依据招标文件对电子投标文件进行线上资格审查</w:t>
      </w:r>
      <w:r>
        <w:rPr>
          <w:color w:val="auto"/>
          <w:highlight w:val="none"/>
        </w:rPr>
        <w:t>。</w:t>
      </w:r>
    </w:p>
    <w:p w14:paraId="45091677">
      <w:pPr>
        <w:rPr>
          <w:color w:val="auto"/>
          <w:highlight w:val="none"/>
        </w:rPr>
      </w:pPr>
      <w:r>
        <w:rPr>
          <w:rFonts w:hint="eastAsia"/>
          <w:color w:val="auto"/>
          <w:highlight w:val="none"/>
        </w:rPr>
        <w:t xml:space="preserve"> 25.2资格审查标准为本招标文件中载明对投标人资格要求的条件。本项目资格审查采用合格制，凡符合招标文件规定的投标人资格要求的投标人均通过资格审查。</w:t>
      </w:r>
    </w:p>
    <w:p w14:paraId="4825F0EC">
      <w:pPr>
        <w:rPr>
          <w:color w:val="auto"/>
          <w:highlight w:val="none"/>
        </w:rPr>
      </w:pPr>
      <w:bookmarkStart w:id="124" w:name="_25.3_投标人有下列情形之一的，资格审查不通过而导致其投标无效："/>
      <w:bookmarkEnd w:id="124"/>
      <w:r>
        <w:rPr>
          <w:rFonts w:hint="eastAsia"/>
          <w:color w:val="auto"/>
          <w:highlight w:val="none"/>
        </w:rPr>
        <w:t>25.3 投标人有下列情形之一的，资格审查不通过，作无效投标处理：</w:t>
      </w:r>
    </w:p>
    <w:p w14:paraId="3E68CBE7">
      <w:pPr>
        <w:rPr>
          <w:color w:val="auto"/>
          <w:kern w:val="0"/>
          <w:highlight w:val="none"/>
        </w:rPr>
      </w:pPr>
      <w:r>
        <w:rPr>
          <w:rFonts w:hint="eastAsia"/>
          <w:color w:val="auto"/>
          <w:kern w:val="0"/>
          <w:highlight w:val="none"/>
        </w:rPr>
        <w:t>（1）不具备招标文件中规定的资格要求的；</w:t>
      </w:r>
    </w:p>
    <w:p w14:paraId="22735590">
      <w:pPr>
        <w:rPr>
          <w:color w:val="auto"/>
          <w:kern w:val="0"/>
          <w:highlight w:val="none"/>
        </w:rPr>
      </w:pPr>
      <w:r>
        <w:rPr>
          <w:rFonts w:hint="eastAsia"/>
          <w:color w:val="auto"/>
          <w:kern w:val="0"/>
          <w:highlight w:val="none"/>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6B410807">
      <w:pPr>
        <w:rPr>
          <w:color w:val="auto"/>
          <w:kern w:val="0"/>
          <w:highlight w:val="none"/>
        </w:rPr>
      </w:pPr>
      <w:r>
        <w:rPr>
          <w:rFonts w:hint="eastAsia"/>
          <w:color w:val="auto"/>
          <w:kern w:val="0"/>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735B0B2E">
      <w:pPr>
        <w:rPr>
          <w:color w:val="auto"/>
          <w:kern w:val="0"/>
          <w:highlight w:val="none"/>
        </w:rPr>
      </w:pPr>
      <w:r>
        <w:rPr>
          <w:rFonts w:hint="eastAsia"/>
          <w:color w:val="auto"/>
          <w:kern w:val="0"/>
          <w:highlight w:val="none"/>
        </w:rPr>
        <w:t>（4）投标文件中的资格证明文件缺少任一项“投标人须知前附表”资格证明文件规定“必须提供”的文件资料的；</w:t>
      </w:r>
    </w:p>
    <w:p w14:paraId="18EEB4DD">
      <w:pPr>
        <w:rPr>
          <w:color w:val="auto"/>
          <w:kern w:val="0"/>
          <w:highlight w:val="none"/>
        </w:rPr>
      </w:pPr>
      <w:r>
        <w:rPr>
          <w:rFonts w:hint="eastAsia"/>
          <w:color w:val="auto"/>
          <w:kern w:val="0"/>
          <w:highlight w:val="none"/>
        </w:rPr>
        <w:t>（5）投标文件中的资格证明文件出现任一项不符合“投标人须知前附表”资格证明文件规定“必须提供”的文件资料要求或者无效的。</w:t>
      </w:r>
    </w:p>
    <w:p w14:paraId="4CDE0222">
      <w:pPr>
        <w:rPr>
          <w:color w:val="auto"/>
          <w:highlight w:val="none"/>
        </w:rPr>
      </w:pPr>
      <w:r>
        <w:rPr>
          <w:rFonts w:hint="eastAsia"/>
          <w:color w:val="auto"/>
          <w:highlight w:val="none"/>
        </w:rPr>
        <w:t>25.4</w:t>
      </w:r>
      <w:r>
        <w:rPr>
          <w:color w:val="auto"/>
          <w:highlight w:val="none"/>
        </w:rPr>
        <w:t>合格投标人不足3家的，不得评标。</w:t>
      </w:r>
    </w:p>
    <w:p w14:paraId="535DB878">
      <w:pPr>
        <w:rPr>
          <w:color w:val="auto"/>
          <w:kern w:val="0"/>
          <w:highlight w:val="none"/>
        </w:rPr>
      </w:pPr>
    </w:p>
    <w:p w14:paraId="566CEEDA">
      <w:pPr>
        <w:ind w:firstLine="560"/>
        <w:jc w:val="center"/>
        <w:rPr>
          <w:color w:val="auto"/>
          <w:kern w:val="0"/>
          <w:sz w:val="28"/>
          <w:szCs w:val="28"/>
          <w:highlight w:val="none"/>
        </w:rPr>
      </w:pPr>
      <w:r>
        <w:rPr>
          <w:rFonts w:hint="eastAsia"/>
          <w:color w:val="auto"/>
          <w:kern w:val="0"/>
          <w:sz w:val="28"/>
          <w:szCs w:val="28"/>
          <w:highlight w:val="none"/>
        </w:rPr>
        <w:t>六、评   标</w:t>
      </w:r>
    </w:p>
    <w:p w14:paraId="64C10A4E">
      <w:pPr>
        <w:rPr>
          <w:color w:val="auto"/>
          <w:highlight w:val="none"/>
        </w:rPr>
      </w:pPr>
      <w:bookmarkStart w:id="125" w:name="_26.组建评标委员会"/>
      <w:bookmarkEnd w:id="125"/>
      <w:r>
        <w:rPr>
          <w:rFonts w:hint="eastAsia"/>
          <w:color w:val="auto"/>
          <w:highlight w:val="none"/>
        </w:rPr>
        <w:t>26.组建评标委员会</w:t>
      </w:r>
    </w:p>
    <w:p w14:paraId="6ECA5C51">
      <w:pPr>
        <w:rPr>
          <w:color w:val="auto"/>
          <w:kern w:val="0"/>
          <w:highlight w:val="none"/>
        </w:rPr>
      </w:pPr>
      <w:r>
        <w:rPr>
          <w:rFonts w:hint="eastAsia"/>
          <w:color w:val="auto"/>
          <w:kern w:val="0"/>
          <w:highlight w:val="none"/>
        </w:rPr>
        <w:t>26.1评标委员会由采购人代表和评审专家组成，具体人数详见“投标人须知前附表”，其中评审专家不得少于成员总数的三分之二。</w:t>
      </w:r>
    </w:p>
    <w:p w14:paraId="58531B19">
      <w:pPr>
        <w:rPr>
          <w:color w:val="auto"/>
          <w:kern w:val="0"/>
          <w:highlight w:val="none"/>
        </w:rPr>
      </w:pPr>
      <w:r>
        <w:rPr>
          <w:rFonts w:hint="eastAsia"/>
          <w:color w:val="auto"/>
          <w:kern w:val="0"/>
          <w:highlight w:val="none"/>
        </w:rPr>
        <w:t>26.2参加过采购项目前期咨询论证的专家，不得参加该采购项目的评审活动。</w:t>
      </w:r>
    </w:p>
    <w:p w14:paraId="59915C13">
      <w:pPr>
        <w:rPr>
          <w:color w:val="auto"/>
          <w:kern w:val="0"/>
          <w:highlight w:val="none"/>
        </w:rPr>
      </w:pPr>
      <w:r>
        <w:rPr>
          <w:rFonts w:hint="eastAsia"/>
          <w:color w:val="auto"/>
          <w:kern w:val="0"/>
          <w:highlight w:val="none"/>
        </w:rPr>
        <w:t>26.3采购代理机构必须基于广西政府采购云平台选取评审专家，如采购代理机构未按规定选取专家的，视为本次开评标无效，应当重新采购。</w:t>
      </w:r>
    </w:p>
    <w:p w14:paraId="7D6CA3B8">
      <w:pPr>
        <w:rPr>
          <w:color w:val="auto"/>
          <w:highlight w:val="none"/>
        </w:rPr>
      </w:pPr>
      <w:r>
        <w:rPr>
          <w:rFonts w:hint="eastAsia"/>
          <w:color w:val="auto"/>
          <w:highlight w:val="none"/>
        </w:rPr>
        <w:t>27.评标的依据</w:t>
      </w:r>
    </w:p>
    <w:p w14:paraId="6F958FF5">
      <w:pPr>
        <w:rPr>
          <w:color w:val="auto"/>
          <w:kern w:val="0"/>
          <w:highlight w:val="none"/>
        </w:rPr>
      </w:pPr>
      <w:r>
        <w:rPr>
          <w:rFonts w:hint="eastAsia"/>
          <w:color w:val="auto"/>
          <w:kern w:val="0"/>
          <w:highlight w:val="none"/>
        </w:rPr>
        <w:t>评标委员会以“第四章 评标方法和评标标准”为依据对投标文件进行评审，</w:t>
      </w:r>
      <w:r>
        <w:rPr>
          <w:color w:val="auto"/>
          <w:kern w:val="0"/>
          <w:highlight w:val="none"/>
        </w:rPr>
        <w:t>没有规定的方法、评审因素和标准，不作为评标依据。</w:t>
      </w:r>
    </w:p>
    <w:p w14:paraId="621C6277">
      <w:pPr>
        <w:rPr>
          <w:color w:val="auto"/>
          <w:highlight w:val="none"/>
        </w:rPr>
      </w:pPr>
      <w:r>
        <w:rPr>
          <w:rFonts w:hint="eastAsia"/>
          <w:color w:val="auto"/>
          <w:highlight w:val="none"/>
        </w:rPr>
        <w:t>28.评标原则</w:t>
      </w:r>
    </w:p>
    <w:p w14:paraId="76673874">
      <w:pPr>
        <w:rPr>
          <w:color w:val="auto"/>
          <w:kern w:val="0"/>
          <w:highlight w:val="none"/>
        </w:rPr>
      </w:pPr>
      <w:r>
        <w:rPr>
          <w:rFonts w:hint="eastAsia"/>
          <w:color w:val="auto"/>
          <w:kern w:val="0"/>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1AA86E1">
      <w:pPr>
        <w:rPr>
          <w:color w:val="auto"/>
          <w:kern w:val="0"/>
          <w:highlight w:val="none"/>
        </w:rPr>
      </w:pPr>
      <w:r>
        <w:rPr>
          <w:rFonts w:hint="eastAsia"/>
          <w:color w:val="auto"/>
          <w:kern w:val="0"/>
          <w:highlight w:val="none"/>
        </w:rPr>
        <w:t>28.2</w:t>
      </w:r>
      <w:bookmarkStart w:id="126" w:name="_28.3评标方法。本项目将按须知前附表规定的评标办法进行评标，具体评标"/>
      <w:bookmarkEnd w:id="126"/>
      <w:r>
        <w:rPr>
          <w:rFonts w:hint="eastAsia"/>
          <w:color w:val="auto"/>
          <w:kern w:val="0"/>
          <w:highlight w:val="none"/>
        </w:rPr>
        <w:t>评委表决。评标委员会成员对需要共同认定的事项存在争议的，应当按照少数服从多数的原则作出结论。</w:t>
      </w:r>
    </w:p>
    <w:p w14:paraId="67918CDE">
      <w:pPr>
        <w:rPr>
          <w:color w:val="auto"/>
          <w:kern w:val="0"/>
          <w:highlight w:val="none"/>
        </w:rPr>
      </w:pPr>
      <w:r>
        <w:rPr>
          <w:rFonts w:hint="eastAsia"/>
          <w:color w:val="auto"/>
          <w:kern w:val="0"/>
          <w:highlight w:val="none"/>
        </w:rPr>
        <w:t>28.</w:t>
      </w:r>
      <w:r>
        <w:rPr>
          <w:color w:val="auto"/>
          <w:kern w:val="0"/>
          <w:highlight w:val="none"/>
        </w:rPr>
        <w:t>3</w:t>
      </w:r>
      <w:r>
        <w:rPr>
          <w:rFonts w:hint="eastAsia"/>
          <w:color w:val="auto"/>
          <w:kern w:val="0"/>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BE29C23">
      <w:pPr>
        <w:rPr>
          <w:color w:val="auto"/>
          <w:kern w:val="0"/>
          <w:highlight w:val="none"/>
        </w:rPr>
      </w:pPr>
      <w:r>
        <w:rPr>
          <w:rFonts w:hint="eastAsia"/>
          <w:color w:val="auto"/>
          <w:kern w:val="0"/>
          <w:highlight w:val="none"/>
        </w:rPr>
        <w:t>2</w:t>
      </w:r>
      <w:r>
        <w:rPr>
          <w:color w:val="auto"/>
          <w:kern w:val="0"/>
          <w:highlight w:val="none"/>
        </w:rPr>
        <w:t>8.4</w:t>
      </w:r>
      <w:r>
        <w:rPr>
          <w:rFonts w:hint="eastAsia"/>
          <w:color w:val="auto"/>
          <w:kern w:val="0"/>
          <w:highlight w:val="none"/>
        </w:rPr>
        <w:t>评标过程的监控。本项目电子评标过程实行网上留痕、全程录音、录像监控，投标人在评标过程中所进行的试图影响评标结果的不公正活动，可能导致其投标按无效处理。</w:t>
      </w:r>
    </w:p>
    <w:p w14:paraId="33E5D1E1">
      <w:pPr>
        <w:rPr>
          <w:color w:val="auto"/>
          <w:highlight w:val="none"/>
        </w:rPr>
      </w:pPr>
      <w:r>
        <w:rPr>
          <w:rFonts w:hint="eastAsia"/>
          <w:color w:val="auto"/>
          <w:highlight w:val="none"/>
        </w:rPr>
        <w:t>29.评标方法及中标候选人推荐</w:t>
      </w:r>
    </w:p>
    <w:p w14:paraId="37AE0823">
      <w:pPr>
        <w:rPr>
          <w:color w:val="auto"/>
          <w:kern w:val="0"/>
          <w:highlight w:val="none"/>
        </w:rPr>
      </w:pPr>
      <w:r>
        <w:rPr>
          <w:rFonts w:hint="eastAsia"/>
          <w:color w:val="auto"/>
          <w:kern w:val="0"/>
          <w:highlight w:val="none"/>
        </w:rPr>
        <w:t>2</w:t>
      </w:r>
      <w:r>
        <w:rPr>
          <w:color w:val="auto"/>
          <w:kern w:val="0"/>
          <w:highlight w:val="none"/>
        </w:rPr>
        <w:t>9.1</w:t>
      </w:r>
      <w:r>
        <w:rPr>
          <w:rFonts w:hint="eastAsia"/>
          <w:color w:val="auto"/>
          <w:kern w:val="0"/>
          <w:highlight w:val="none"/>
        </w:rPr>
        <w:t>本项目的评标方法详见“投标人须知前附表”。</w:t>
      </w:r>
    </w:p>
    <w:p w14:paraId="5CAFEAF5">
      <w:pPr>
        <w:rPr>
          <w:color w:val="auto"/>
          <w:kern w:val="0"/>
          <w:highlight w:val="none"/>
        </w:rPr>
      </w:pPr>
      <w:r>
        <w:rPr>
          <w:rFonts w:hint="eastAsia"/>
          <w:color w:val="auto"/>
          <w:kern w:val="0"/>
          <w:highlight w:val="none"/>
        </w:rPr>
        <w:t>2</w:t>
      </w:r>
      <w:r>
        <w:rPr>
          <w:color w:val="auto"/>
          <w:kern w:val="0"/>
          <w:highlight w:val="none"/>
        </w:rPr>
        <w:t xml:space="preserve">9.2 </w:t>
      </w:r>
      <w:r>
        <w:rPr>
          <w:rFonts w:hint="eastAsia"/>
          <w:color w:val="auto"/>
          <w:kern w:val="0"/>
          <w:sz w:val="20"/>
          <w:highlight w:val="none"/>
        </w:rPr>
        <w:t>商务/技术要求允许负偏离的条款数</w:t>
      </w:r>
      <w:r>
        <w:rPr>
          <w:color w:val="auto"/>
          <w:kern w:val="0"/>
          <w:highlight w:val="none"/>
        </w:rPr>
        <w:t>详见</w:t>
      </w:r>
      <w:r>
        <w:rPr>
          <w:rFonts w:hint="eastAsia"/>
          <w:color w:val="auto"/>
          <w:kern w:val="0"/>
          <w:highlight w:val="none"/>
        </w:rPr>
        <w:t>“投标人须知前附表”。</w:t>
      </w:r>
    </w:p>
    <w:p w14:paraId="3393E56A">
      <w:pPr>
        <w:rPr>
          <w:color w:val="auto"/>
          <w:kern w:val="0"/>
          <w:highlight w:val="none"/>
        </w:rPr>
      </w:pPr>
      <w:r>
        <w:rPr>
          <w:rFonts w:hint="eastAsia"/>
          <w:color w:val="auto"/>
          <w:kern w:val="0"/>
          <w:highlight w:val="none"/>
        </w:rPr>
        <w:t>2</w:t>
      </w:r>
      <w:r>
        <w:rPr>
          <w:color w:val="auto"/>
          <w:kern w:val="0"/>
          <w:highlight w:val="none"/>
        </w:rPr>
        <w:t>9.3 中标候选人推荐数量详见</w:t>
      </w:r>
      <w:r>
        <w:rPr>
          <w:rFonts w:hint="eastAsia"/>
          <w:color w:val="auto"/>
          <w:kern w:val="0"/>
          <w:highlight w:val="none"/>
        </w:rPr>
        <w:t>“投标人须知前附表”。</w:t>
      </w:r>
    </w:p>
    <w:p w14:paraId="675BEC5E">
      <w:pPr>
        <w:rPr>
          <w:color w:val="auto"/>
          <w:highlight w:val="none"/>
        </w:rPr>
      </w:pPr>
      <w:r>
        <w:rPr>
          <w:rFonts w:hint="eastAsia"/>
          <w:color w:val="auto"/>
          <w:highlight w:val="none"/>
        </w:rPr>
        <w:t>29.</w:t>
      </w:r>
      <w:r>
        <w:rPr>
          <w:color w:val="auto"/>
          <w:highlight w:val="none"/>
        </w:rPr>
        <w:t>4</w:t>
      </w:r>
      <w:r>
        <w:rPr>
          <w:rFonts w:hint="eastAsia"/>
          <w:color w:val="auto"/>
          <w:highlight w:val="none"/>
        </w:rPr>
        <w:t xml:space="preserve"> 电子交易活动的中止。采购过程中出现以下情形，导致电子交易平台无法正常运行，或者无法保证电子交易的公平、公正和安全时，采购代理机构可以中止电子交易活动：</w:t>
      </w:r>
    </w:p>
    <w:p w14:paraId="0883DDA1">
      <w:pPr>
        <w:rPr>
          <w:color w:val="auto"/>
          <w:highlight w:val="none"/>
        </w:rPr>
      </w:pPr>
      <w:r>
        <w:rPr>
          <w:rFonts w:hint="eastAsia"/>
          <w:color w:val="auto"/>
          <w:highlight w:val="none"/>
        </w:rPr>
        <w:t xml:space="preserve">（1）电子交易平台发生故障而无法登录访问的； </w:t>
      </w:r>
    </w:p>
    <w:p w14:paraId="7961F3A2">
      <w:pPr>
        <w:rPr>
          <w:color w:val="auto"/>
          <w:highlight w:val="none"/>
        </w:rPr>
      </w:pPr>
      <w:r>
        <w:rPr>
          <w:rFonts w:hint="eastAsia"/>
          <w:color w:val="auto"/>
          <w:highlight w:val="none"/>
        </w:rPr>
        <w:t>（2）电子交易平台应用或数据库出现错误，不能进行正常操作的；</w:t>
      </w:r>
    </w:p>
    <w:p w14:paraId="600A4727">
      <w:pPr>
        <w:rPr>
          <w:color w:val="auto"/>
          <w:highlight w:val="none"/>
        </w:rPr>
      </w:pPr>
      <w:r>
        <w:rPr>
          <w:rFonts w:hint="eastAsia"/>
          <w:color w:val="auto"/>
          <w:highlight w:val="none"/>
        </w:rPr>
        <w:t>（3）电子交易平台发现严重安全漏洞，有潜在泄密危险的；</w:t>
      </w:r>
    </w:p>
    <w:p w14:paraId="79CCEF85">
      <w:pPr>
        <w:rPr>
          <w:color w:val="auto"/>
          <w:highlight w:val="none"/>
        </w:rPr>
      </w:pPr>
      <w:r>
        <w:rPr>
          <w:rFonts w:hint="eastAsia"/>
          <w:color w:val="auto"/>
          <w:highlight w:val="none"/>
        </w:rPr>
        <w:t xml:space="preserve">（4）病毒发作导致不能进行正常操作的； </w:t>
      </w:r>
    </w:p>
    <w:p w14:paraId="230DD3FB">
      <w:pPr>
        <w:rPr>
          <w:color w:val="auto"/>
          <w:highlight w:val="none"/>
        </w:rPr>
      </w:pPr>
      <w:r>
        <w:rPr>
          <w:rFonts w:hint="eastAsia"/>
          <w:color w:val="auto"/>
          <w:highlight w:val="none"/>
        </w:rPr>
        <w:t>（5）其他无法保证电子交易的公平、公正和安全的情况。</w:t>
      </w:r>
    </w:p>
    <w:p w14:paraId="16D6BA94">
      <w:pPr>
        <w:rPr>
          <w:color w:val="auto"/>
          <w:highlight w:val="none"/>
        </w:rPr>
      </w:pPr>
      <w:r>
        <w:rPr>
          <w:rFonts w:hint="eastAsia"/>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6A0C30D">
      <w:pPr>
        <w:rPr>
          <w:color w:val="auto"/>
          <w:kern w:val="0"/>
          <w:highlight w:val="none"/>
        </w:rPr>
      </w:pPr>
    </w:p>
    <w:p w14:paraId="315BA248">
      <w:pPr>
        <w:ind w:firstLine="560"/>
        <w:jc w:val="center"/>
        <w:rPr>
          <w:color w:val="auto"/>
          <w:kern w:val="0"/>
          <w:sz w:val="28"/>
          <w:szCs w:val="28"/>
          <w:highlight w:val="none"/>
        </w:rPr>
      </w:pPr>
      <w:bookmarkStart w:id="127" w:name="_Toc254970546"/>
      <w:bookmarkStart w:id="128" w:name="_Toc254970687"/>
      <w:r>
        <w:rPr>
          <w:rFonts w:hint="eastAsia"/>
          <w:color w:val="auto"/>
          <w:kern w:val="0"/>
          <w:sz w:val="28"/>
          <w:szCs w:val="28"/>
          <w:highlight w:val="none"/>
        </w:rPr>
        <w:t>七、</w:t>
      </w:r>
      <w:bookmarkEnd w:id="127"/>
      <w:bookmarkEnd w:id="128"/>
      <w:r>
        <w:rPr>
          <w:rFonts w:hint="eastAsia"/>
          <w:color w:val="auto"/>
          <w:kern w:val="0"/>
          <w:sz w:val="28"/>
          <w:szCs w:val="28"/>
          <w:highlight w:val="none"/>
        </w:rPr>
        <w:t>中标和合同</w:t>
      </w:r>
    </w:p>
    <w:p w14:paraId="3387D947">
      <w:pPr>
        <w:rPr>
          <w:color w:val="auto"/>
          <w:highlight w:val="none"/>
        </w:rPr>
      </w:pPr>
      <w:r>
        <w:rPr>
          <w:rFonts w:hint="eastAsia"/>
          <w:color w:val="auto"/>
          <w:highlight w:val="none"/>
        </w:rPr>
        <w:t>30</w:t>
      </w:r>
      <w:r>
        <w:rPr>
          <w:color w:val="auto"/>
          <w:highlight w:val="none"/>
        </w:rPr>
        <w:t xml:space="preserve"> </w:t>
      </w:r>
      <w:r>
        <w:rPr>
          <w:rFonts w:hint="eastAsia"/>
          <w:color w:val="auto"/>
          <w:highlight w:val="none"/>
        </w:rPr>
        <w:t>确定中标人</w:t>
      </w:r>
    </w:p>
    <w:p w14:paraId="1154A0BF">
      <w:pPr>
        <w:rPr>
          <w:color w:val="auto"/>
          <w:highlight w:val="none"/>
        </w:rPr>
      </w:pPr>
      <w:r>
        <w:rPr>
          <w:color w:val="auto"/>
          <w:highlight w:val="none"/>
        </w:rPr>
        <w:t>30.1</w:t>
      </w:r>
      <w:r>
        <w:rPr>
          <w:rFonts w:hint="eastAsia"/>
          <w:color w:val="auto"/>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18284E9">
      <w:pPr>
        <w:rPr>
          <w:color w:val="auto"/>
          <w:highlight w:val="none"/>
        </w:rPr>
      </w:pPr>
      <w:r>
        <w:rPr>
          <w:color w:val="auto"/>
          <w:highlight w:val="none"/>
        </w:rPr>
        <w:t>30.2</w:t>
      </w:r>
      <w:r>
        <w:rPr>
          <w:rFonts w:hint="eastAsia"/>
          <w:color w:val="auto"/>
          <w:highlight w:val="none"/>
        </w:rPr>
        <w:t>采购人在收到评标报告5个工作日内未按评标报告推荐的中标候选人顺序确定中标人，又不能说明合法理由的，视同按评标报告推荐的顺序确定排名第一的中标候选人为中标人。</w:t>
      </w:r>
    </w:p>
    <w:p w14:paraId="32C4CE27">
      <w:pPr>
        <w:rPr>
          <w:color w:val="auto"/>
          <w:highlight w:val="none"/>
        </w:rPr>
      </w:pPr>
      <w:r>
        <w:rPr>
          <w:rFonts w:hint="eastAsia"/>
          <w:color w:val="auto"/>
          <w:highlight w:val="none"/>
        </w:rPr>
        <w:t>30.3出现下列情形之一的，应予废标：</w:t>
      </w:r>
    </w:p>
    <w:p w14:paraId="7CEDE064">
      <w:pPr>
        <w:rPr>
          <w:color w:val="auto"/>
          <w:highlight w:val="none"/>
        </w:rPr>
      </w:pPr>
      <w:r>
        <w:rPr>
          <w:rFonts w:hint="eastAsia"/>
          <w:color w:val="auto"/>
          <w:highlight w:val="none"/>
        </w:rPr>
        <w:t>（1）符合专业条件的供应商或者对招标文件作实质响应的供应商不足三家的；</w:t>
      </w:r>
    </w:p>
    <w:p w14:paraId="3B152F25">
      <w:pPr>
        <w:rPr>
          <w:color w:val="auto"/>
          <w:highlight w:val="none"/>
        </w:rPr>
      </w:pPr>
      <w:r>
        <w:rPr>
          <w:rFonts w:hint="eastAsia"/>
          <w:color w:val="auto"/>
          <w:highlight w:val="none"/>
        </w:rPr>
        <w:t>（2）出现影响采购公正的违法、违规行为的；</w:t>
      </w:r>
    </w:p>
    <w:p w14:paraId="22E86ECD">
      <w:pPr>
        <w:rPr>
          <w:color w:val="auto"/>
          <w:highlight w:val="none"/>
        </w:rPr>
      </w:pPr>
      <w:r>
        <w:rPr>
          <w:rFonts w:hint="eastAsia"/>
          <w:color w:val="auto"/>
          <w:highlight w:val="none"/>
        </w:rPr>
        <w:t>（3）投标人的报价均超过了采购预算，采购人不能支付的；</w:t>
      </w:r>
    </w:p>
    <w:p w14:paraId="507D528B">
      <w:pPr>
        <w:rPr>
          <w:color w:val="auto"/>
          <w:highlight w:val="none"/>
        </w:rPr>
      </w:pPr>
      <w:r>
        <w:rPr>
          <w:rFonts w:hint="eastAsia"/>
          <w:color w:val="auto"/>
          <w:highlight w:val="none"/>
        </w:rPr>
        <w:t>（4）因重大变故，采购任务取消的。</w:t>
      </w:r>
    </w:p>
    <w:p w14:paraId="53C310BD">
      <w:pPr>
        <w:rPr>
          <w:color w:val="auto"/>
          <w:highlight w:val="none"/>
        </w:rPr>
      </w:pPr>
      <w:r>
        <w:rPr>
          <w:rFonts w:hint="eastAsia"/>
          <w:color w:val="auto"/>
          <w:highlight w:val="none"/>
        </w:rPr>
        <w:t>废标后，采购人应当将废标理由通知所有投标人。</w:t>
      </w:r>
    </w:p>
    <w:p w14:paraId="14240A28">
      <w:pPr>
        <w:rPr>
          <w:color w:val="auto"/>
          <w:highlight w:val="none"/>
        </w:rPr>
      </w:pPr>
      <w:r>
        <w:rPr>
          <w:rFonts w:hint="eastAsia"/>
          <w:color w:val="auto"/>
          <w:highlight w:val="none"/>
        </w:rPr>
        <w:t>31. 结果公告</w:t>
      </w:r>
    </w:p>
    <w:p w14:paraId="017F97C2">
      <w:pPr>
        <w:rPr>
          <w:color w:val="auto"/>
          <w:highlight w:val="none"/>
        </w:rPr>
      </w:pPr>
      <w:r>
        <w:rPr>
          <w:rFonts w:hint="eastAsia"/>
          <w:color w:val="auto"/>
          <w:highlight w:val="none"/>
        </w:rPr>
        <w:t>3</w:t>
      </w:r>
      <w:r>
        <w:rPr>
          <w:color w:val="auto"/>
          <w:highlight w:val="none"/>
        </w:rPr>
        <w:t>1.1</w:t>
      </w:r>
      <w:r>
        <w:rPr>
          <w:rFonts w:hint="eastAsia"/>
          <w:color w:val="auto"/>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03921B5">
      <w:pPr>
        <w:rPr>
          <w:color w:val="auto"/>
          <w:highlight w:val="none"/>
        </w:rPr>
      </w:pPr>
      <w:r>
        <w:rPr>
          <w:rFonts w:hint="eastAsia"/>
          <w:color w:val="auto"/>
          <w:highlight w:val="none"/>
        </w:rPr>
        <w:t>以上信息查询记录及相关证据与招标文件一并保存。</w:t>
      </w:r>
    </w:p>
    <w:p w14:paraId="30AA677C">
      <w:pPr>
        <w:rPr>
          <w:color w:val="auto"/>
          <w:highlight w:val="none"/>
        </w:rPr>
      </w:pPr>
      <w:r>
        <w:rPr>
          <w:rFonts w:hint="eastAsia"/>
          <w:color w:val="auto"/>
          <w:highlight w:val="none"/>
        </w:rPr>
        <w:t>31.2中标人享受《政府采购促进中小企业发展管理办法》（财库〔2020〕46号）规定的中小企业扶持政策的，采购人、采购代理机构应当随中标结果公开中标人的《中小企业声明函》。</w:t>
      </w:r>
    </w:p>
    <w:p w14:paraId="79B2BAB1">
      <w:pPr>
        <w:rPr>
          <w:color w:val="auto"/>
          <w:highlight w:val="none"/>
        </w:rPr>
      </w:pPr>
      <w:r>
        <w:rPr>
          <w:rFonts w:hint="eastAsia"/>
          <w:color w:val="auto"/>
          <w:highlight w:val="none"/>
        </w:rPr>
        <w:t>32.发出中标通知书</w:t>
      </w:r>
    </w:p>
    <w:p w14:paraId="399F04E8">
      <w:pPr>
        <w:rPr>
          <w:color w:val="auto"/>
          <w:highlight w:val="none"/>
        </w:rPr>
      </w:pPr>
      <w:r>
        <w:rPr>
          <w:rFonts w:hint="eastAsia"/>
          <w:color w:val="auto"/>
          <w:highlight w:val="none"/>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248FA59A">
      <w:pPr>
        <w:rPr>
          <w:color w:val="auto"/>
          <w:highlight w:val="none"/>
        </w:rPr>
      </w:pPr>
      <w:r>
        <w:rPr>
          <w:rFonts w:hint="eastAsia"/>
          <w:color w:val="auto"/>
          <w:highlight w:val="none"/>
        </w:rPr>
        <w:t>33. 无义务解释未中标原因</w:t>
      </w:r>
    </w:p>
    <w:p w14:paraId="2B508103">
      <w:pPr>
        <w:rPr>
          <w:color w:val="auto"/>
          <w:highlight w:val="none"/>
        </w:rPr>
      </w:pPr>
      <w:r>
        <w:rPr>
          <w:rFonts w:hint="eastAsia"/>
          <w:color w:val="auto"/>
          <w:highlight w:val="none"/>
        </w:rPr>
        <w:t>采购代理机构无义务向未中标的投标人解释未中标原因。</w:t>
      </w:r>
    </w:p>
    <w:p w14:paraId="3551469C">
      <w:pPr>
        <w:rPr>
          <w:color w:val="auto"/>
          <w:highlight w:val="none"/>
        </w:rPr>
      </w:pPr>
      <w:r>
        <w:rPr>
          <w:rFonts w:hint="eastAsia"/>
          <w:color w:val="auto"/>
          <w:highlight w:val="none"/>
        </w:rPr>
        <w:t>34.合同授予标准</w:t>
      </w:r>
    </w:p>
    <w:p w14:paraId="7F127DD0">
      <w:pPr>
        <w:rPr>
          <w:rFonts w:cs="Times New Roman"/>
          <w:color w:val="auto"/>
          <w:highlight w:val="none"/>
        </w:rPr>
      </w:pPr>
      <w:r>
        <w:rPr>
          <w:rFonts w:hint="eastAsia"/>
          <w:color w:val="auto"/>
          <w:highlight w:val="none"/>
        </w:rPr>
        <w:t>合同将授予被确定实质上响应招标文件要求，具备履行合同能力的中标人。</w:t>
      </w:r>
    </w:p>
    <w:p w14:paraId="4107D674">
      <w:pPr>
        <w:rPr>
          <w:color w:val="auto"/>
          <w:highlight w:val="none"/>
        </w:rPr>
      </w:pPr>
      <w:r>
        <w:rPr>
          <w:rFonts w:hint="eastAsia"/>
          <w:color w:val="auto"/>
          <w:highlight w:val="none"/>
        </w:rPr>
        <w:t>35.履约保证金</w:t>
      </w:r>
    </w:p>
    <w:p w14:paraId="5A0EF5AE">
      <w:pPr>
        <w:rPr>
          <w:color w:val="auto"/>
          <w:highlight w:val="none"/>
        </w:rPr>
      </w:pPr>
      <w:bookmarkStart w:id="129" w:name="_39.1中标人须于签订合同前按本须知前附表规定的金额转账或电汇到指定账"/>
      <w:bookmarkEnd w:id="129"/>
      <w:r>
        <w:rPr>
          <w:rFonts w:hint="eastAsia"/>
          <w:color w:val="auto"/>
          <w:highlight w:val="none"/>
        </w:rPr>
        <w:t>3</w:t>
      </w:r>
      <w:r>
        <w:rPr>
          <w:color w:val="auto"/>
          <w:highlight w:val="none"/>
        </w:rPr>
        <w:t>5</w:t>
      </w:r>
      <w:r>
        <w:rPr>
          <w:rFonts w:hint="eastAsia"/>
          <w:color w:val="auto"/>
          <w:highlight w:val="none"/>
        </w:rPr>
        <w:t>.1 履约保证金的金额、提交方式、退付的时间和条件详见 “投标人须知前附表”。中标人未按规定提交履约保证金的，视为拒绝与采购人签订合同。</w:t>
      </w:r>
    </w:p>
    <w:p w14:paraId="2BB8A9AA">
      <w:pPr>
        <w:rPr>
          <w:b/>
          <w:color w:val="auto"/>
          <w:highlight w:val="none"/>
        </w:rPr>
      </w:pPr>
      <w:r>
        <w:rPr>
          <w:rFonts w:hint="eastAsia"/>
          <w:color w:val="auto"/>
          <w:highlight w:val="none"/>
        </w:rPr>
        <w:t>35.2在履约保证金退还日期前，若中标人的开户名称、开户银行、帐号有变动的，请以书面形式通知履约保证金收取单位，否则由此产生的后果由中标人自行承担。</w:t>
      </w:r>
    </w:p>
    <w:p w14:paraId="6125EB3A">
      <w:pPr>
        <w:rPr>
          <w:color w:val="auto"/>
          <w:highlight w:val="none"/>
        </w:rPr>
      </w:pPr>
      <w:r>
        <w:rPr>
          <w:rFonts w:hint="eastAsia"/>
          <w:color w:val="auto"/>
          <w:highlight w:val="none"/>
        </w:rPr>
        <w:t>36.签订合同</w:t>
      </w:r>
    </w:p>
    <w:p w14:paraId="5612E20E">
      <w:pPr>
        <w:rPr>
          <w:color w:val="auto"/>
          <w:highlight w:val="none"/>
        </w:rPr>
      </w:pPr>
      <w:bookmarkStart w:id="130" w:name="_40.1投标人接到中标通知书后，按须知前附表规定向采购人出示相关资格证"/>
      <w:bookmarkEnd w:id="130"/>
      <w:r>
        <w:rPr>
          <w:rFonts w:hint="eastAsia"/>
          <w:color w:val="auto"/>
          <w:highlight w:val="none"/>
        </w:rPr>
        <w:t>36.1签订电子采购合同：中标人领取电子中标通知书后，</w:t>
      </w:r>
      <w:r>
        <w:rPr>
          <w:rFonts w:hint="eastAsia"/>
          <w:color w:val="auto"/>
          <w:kern w:val="0"/>
          <w:highlight w:val="none"/>
        </w:rPr>
        <w:t>在</w:t>
      </w:r>
      <w:r>
        <w:rPr>
          <w:rFonts w:hint="eastAsia"/>
          <w:color w:val="auto"/>
          <w:kern w:val="0"/>
          <w:highlight w:val="none"/>
          <w:lang w:val="zh-CN"/>
        </w:rPr>
        <w:t>规定的日期、时间、地点，由法定代表人（或负责人）或其授权代表与采购人代表签订电子采购合同。如中标人为联合体的，由联合体成员各方法定代表人（或负责人）或其授权代表与采购人代表签订合同。</w:t>
      </w:r>
    </w:p>
    <w:p w14:paraId="4101240D">
      <w:pPr>
        <w:rPr>
          <w:color w:val="auto"/>
          <w:highlight w:val="none"/>
        </w:rPr>
      </w:pPr>
      <w:r>
        <w:rPr>
          <w:rFonts w:hint="eastAsia"/>
          <w:color w:val="auto"/>
          <w:highlight w:val="none"/>
        </w:rPr>
        <w:t xml:space="preserve"> 线下签订纸质合同：投标人领取中标通知书后，按“投标人须知前附表”规定向采购人出示相关证明材料，经采购人核验合格后方可签订合同。</w:t>
      </w:r>
    </w:p>
    <w:p w14:paraId="772181B0">
      <w:pPr>
        <w:rPr>
          <w:color w:val="auto"/>
          <w:highlight w:val="none"/>
        </w:rPr>
      </w:pPr>
      <w:r>
        <w:rPr>
          <w:rFonts w:hint="eastAsia"/>
          <w:color w:val="auto"/>
          <w:highlight w:val="none"/>
        </w:rPr>
        <w:t>36.2签订合同时间：按中标通知书规定的时间与采购人签订合同。</w:t>
      </w:r>
    </w:p>
    <w:p w14:paraId="1BB45D31">
      <w:pPr>
        <w:rPr>
          <w:color w:val="auto"/>
          <w:highlight w:val="none"/>
        </w:rPr>
      </w:pPr>
      <w:r>
        <w:rPr>
          <w:rFonts w:hint="eastAsia"/>
          <w:color w:val="auto"/>
          <w:highlight w:val="none"/>
        </w:rPr>
        <w:t>36.</w:t>
      </w:r>
      <w:r>
        <w:rPr>
          <w:color w:val="auto"/>
          <w:highlight w:val="none"/>
        </w:rPr>
        <w:t>3</w:t>
      </w:r>
      <w:r>
        <w:rPr>
          <w:rFonts w:hint="eastAsia"/>
          <w:color w:val="auto"/>
          <w:highlight w:val="none"/>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113A280D">
      <w:pPr>
        <w:rPr>
          <w:color w:val="auto"/>
          <w:highlight w:val="none"/>
        </w:rPr>
      </w:pPr>
      <w:r>
        <w:rPr>
          <w:rFonts w:hint="eastAsia"/>
          <w:color w:val="auto"/>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A04D68A">
      <w:pPr>
        <w:rPr>
          <w:color w:val="auto"/>
          <w:highlight w:val="none"/>
        </w:rPr>
      </w:pPr>
      <w:r>
        <w:rPr>
          <w:rFonts w:hint="eastAsia"/>
          <w:color w:val="auto"/>
          <w:highlight w:val="none"/>
        </w:rPr>
        <w:t>36.5采购人或中标人不得单方面向合同另一方提出任何招标文件没有约定的条件或不合理的要求，作为签订合同的条件；也不得协商另行订立背离招标文件和合同实质性内容的协议。</w:t>
      </w:r>
    </w:p>
    <w:p w14:paraId="65B283CD">
      <w:pPr>
        <w:rPr>
          <w:rFonts w:cs="Times New Roman"/>
          <w:color w:val="auto"/>
          <w:highlight w:val="none"/>
        </w:rPr>
      </w:pPr>
      <w:r>
        <w:rPr>
          <w:rFonts w:hint="eastAsia" w:cs="Times New Roman"/>
          <w:color w:val="auto"/>
          <w:highlight w:val="none"/>
        </w:rPr>
        <w:t>36.6</w:t>
      </w:r>
      <w:r>
        <w:rPr>
          <w:rFonts w:hint="eastAsia"/>
          <w:color w:val="auto"/>
          <w:highlight w:val="none"/>
        </w:rPr>
        <w:t>如签订合同并生效后，供应商无故拒绝或延期，除按照合同条款处理外，将承担相应的法律责任。</w:t>
      </w:r>
    </w:p>
    <w:p w14:paraId="7B0A6E04">
      <w:pPr>
        <w:rPr>
          <w:rFonts w:cs="Times New Roman"/>
          <w:color w:val="auto"/>
          <w:highlight w:val="none"/>
        </w:rPr>
      </w:pPr>
      <w:r>
        <w:rPr>
          <w:rFonts w:hint="eastAsia" w:cs="Times New Roman"/>
          <w:color w:val="auto"/>
          <w:highlight w:val="none"/>
        </w:rPr>
        <w:t>36.7</w:t>
      </w:r>
      <w:r>
        <w:rPr>
          <w:rFonts w:hint="eastAsia"/>
          <w:color w:val="auto"/>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751C318A">
      <w:pPr>
        <w:rPr>
          <w:color w:val="auto"/>
          <w:highlight w:val="none"/>
        </w:rPr>
      </w:pPr>
      <w:bookmarkStart w:id="131" w:name="_41.政府采购合同公告"/>
      <w:bookmarkEnd w:id="131"/>
      <w:r>
        <w:rPr>
          <w:rFonts w:hint="eastAsia"/>
          <w:color w:val="auto"/>
          <w:highlight w:val="none"/>
        </w:rPr>
        <w:t>37.政府采购合同公告</w:t>
      </w:r>
    </w:p>
    <w:p w14:paraId="63451DCB">
      <w:pPr>
        <w:rPr>
          <w:color w:val="auto"/>
          <w:kern w:val="0"/>
          <w:highlight w:val="none"/>
        </w:rPr>
      </w:pPr>
      <w:r>
        <w:rPr>
          <w:rFonts w:hint="eastAsia"/>
          <w:color w:val="auto"/>
          <w:kern w:val="0"/>
          <w:highlight w:val="none"/>
        </w:rPr>
        <w:t>采购人或者受托采购代理机构应当自政府采购合同签订之日起2个工作日内，将政府采购合同在省级以上人民政府财政部门指定的媒体上公告，</w:t>
      </w:r>
      <w:r>
        <w:rPr>
          <w:color w:val="auto"/>
          <w:kern w:val="0"/>
          <w:highlight w:val="none"/>
        </w:rPr>
        <w:t>但政府采购合同中涉及国家秘密、商业秘密的内容除外。</w:t>
      </w:r>
    </w:p>
    <w:p w14:paraId="0DF21862">
      <w:pPr>
        <w:rPr>
          <w:color w:val="auto"/>
          <w:highlight w:val="none"/>
        </w:rPr>
      </w:pPr>
      <w:r>
        <w:rPr>
          <w:rFonts w:hint="eastAsia"/>
          <w:color w:val="auto"/>
          <w:highlight w:val="none"/>
        </w:rPr>
        <w:t>3</w:t>
      </w:r>
      <w:r>
        <w:rPr>
          <w:color w:val="auto"/>
          <w:highlight w:val="none"/>
        </w:rPr>
        <w:t>8.</w:t>
      </w:r>
      <w:r>
        <w:rPr>
          <w:rFonts w:hint="eastAsia"/>
          <w:color w:val="auto"/>
          <w:highlight w:val="none"/>
        </w:rPr>
        <w:t xml:space="preserve"> 询问、质疑和投诉</w:t>
      </w:r>
    </w:p>
    <w:p w14:paraId="02136E46">
      <w:pPr>
        <w:rPr>
          <w:color w:val="auto"/>
          <w:highlight w:val="none"/>
        </w:rPr>
      </w:pPr>
      <w:r>
        <w:rPr>
          <w:color w:val="auto"/>
          <w:highlight w:val="none"/>
        </w:rPr>
        <w:t>38.1</w:t>
      </w:r>
      <w:r>
        <w:rPr>
          <w:rFonts w:hint="eastAsia"/>
          <w:color w:val="auto"/>
          <w:highlight w:val="none"/>
        </w:rPr>
        <w:t>供应商对政府采购活动事项有疑问的，可以向采购人提出询问，采购人或者采购代理机构应当在3个工作日内对供应商依法提出的询问作出答复，但答复的内容不得涉及商业秘密。</w:t>
      </w:r>
    </w:p>
    <w:p w14:paraId="5767B260">
      <w:pPr>
        <w:rPr>
          <w:color w:val="auto"/>
          <w:highlight w:val="none"/>
        </w:rPr>
      </w:pPr>
      <w:r>
        <w:rPr>
          <w:rFonts w:hint="eastAsia"/>
          <w:color w:val="auto"/>
          <w:highlight w:val="none"/>
        </w:rPr>
        <w:t xml:space="preserve"> </w:t>
      </w:r>
      <w:r>
        <w:rPr>
          <w:color w:val="auto"/>
          <w:highlight w:val="none"/>
        </w:rPr>
        <w:t>38</w:t>
      </w:r>
      <w:r>
        <w:rPr>
          <w:rFonts w:hint="eastAsia"/>
          <w:color w:val="auto"/>
          <w:highlight w:val="none"/>
        </w:rPr>
        <w:t>.</w:t>
      </w:r>
      <w:r>
        <w:rPr>
          <w:color w:val="auto"/>
          <w:highlight w:val="none"/>
        </w:rPr>
        <w:t>2</w:t>
      </w:r>
      <w:r>
        <w:rPr>
          <w:rFonts w:hint="eastAsia"/>
          <w:color w:val="auto"/>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C643765">
      <w:pPr>
        <w:rPr>
          <w:color w:val="auto"/>
          <w:kern w:val="0"/>
          <w:highlight w:val="none"/>
        </w:rPr>
      </w:pPr>
      <w:r>
        <w:rPr>
          <w:color w:val="auto"/>
          <w:kern w:val="0"/>
          <w:highlight w:val="none"/>
        </w:rPr>
        <w:t>（</w:t>
      </w:r>
      <w:r>
        <w:rPr>
          <w:rFonts w:hint="eastAsia"/>
          <w:color w:val="auto"/>
          <w:kern w:val="0"/>
          <w:highlight w:val="none"/>
        </w:rPr>
        <w:t>1</w:t>
      </w:r>
      <w:r>
        <w:rPr>
          <w:color w:val="auto"/>
          <w:kern w:val="0"/>
          <w:highlight w:val="none"/>
        </w:rPr>
        <w:t>）对可以质疑的</w:t>
      </w:r>
      <w:r>
        <w:rPr>
          <w:rFonts w:hint="eastAsia"/>
          <w:color w:val="auto"/>
          <w:kern w:val="0"/>
          <w:highlight w:val="none"/>
        </w:rPr>
        <w:t>招标</w:t>
      </w:r>
      <w:r>
        <w:rPr>
          <w:color w:val="auto"/>
          <w:kern w:val="0"/>
          <w:highlight w:val="none"/>
        </w:rPr>
        <w:t>文件提出质疑的，为</w:t>
      </w:r>
      <w:r>
        <w:rPr>
          <w:rFonts w:hint="eastAsia"/>
          <w:color w:val="auto"/>
          <w:kern w:val="0"/>
          <w:highlight w:val="none"/>
        </w:rPr>
        <w:t>获取招标</w:t>
      </w:r>
      <w:r>
        <w:rPr>
          <w:color w:val="auto"/>
          <w:kern w:val="0"/>
          <w:highlight w:val="none"/>
        </w:rPr>
        <w:t>文件之日</w:t>
      </w:r>
      <w:r>
        <w:rPr>
          <w:rFonts w:hint="eastAsia"/>
          <w:color w:val="auto"/>
          <w:kern w:val="0"/>
          <w:highlight w:val="none"/>
        </w:rPr>
        <w:t>或者招标文件公告期限届满之日</w:t>
      </w:r>
      <w:r>
        <w:rPr>
          <w:color w:val="auto"/>
          <w:kern w:val="0"/>
          <w:highlight w:val="none"/>
        </w:rPr>
        <w:t>；</w:t>
      </w:r>
    </w:p>
    <w:p w14:paraId="77F24D7D">
      <w:pPr>
        <w:rPr>
          <w:color w:val="auto"/>
          <w:kern w:val="0"/>
          <w:highlight w:val="none"/>
        </w:rPr>
      </w:pPr>
      <w:r>
        <w:rPr>
          <w:color w:val="auto"/>
          <w:kern w:val="0"/>
          <w:highlight w:val="none"/>
        </w:rPr>
        <w:t>（</w:t>
      </w:r>
      <w:r>
        <w:rPr>
          <w:rFonts w:hint="eastAsia"/>
          <w:color w:val="auto"/>
          <w:kern w:val="0"/>
          <w:highlight w:val="none"/>
        </w:rPr>
        <w:t>2</w:t>
      </w:r>
      <w:r>
        <w:rPr>
          <w:color w:val="auto"/>
          <w:kern w:val="0"/>
          <w:highlight w:val="none"/>
        </w:rPr>
        <w:t>）对</w:t>
      </w:r>
      <w:r>
        <w:rPr>
          <w:rFonts w:hint="eastAsia"/>
          <w:color w:val="auto"/>
          <w:kern w:val="0"/>
          <w:highlight w:val="none"/>
        </w:rPr>
        <w:t>采购</w:t>
      </w:r>
      <w:r>
        <w:rPr>
          <w:color w:val="auto"/>
          <w:kern w:val="0"/>
          <w:highlight w:val="none"/>
        </w:rPr>
        <w:t>过程提出质疑的，为各采购程序环节结束之日；</w:t>
      </w:r>
    </w:p>
    <w:p w14:paraId="4756503E">
      <w:pPr>
        <w:rPr>
          <w:bCs/>
          <w:color w:val="auto"/>
          <w:kern w:val="0"/>
          <w:highlight w:val="none"/>
        </w:rPr>
      </w:pPr>
      <w:r>
        <w:rPr>
          <w:color w:val="auto"/>
          <w:kern w:val="0"/>
          <w:highlight w:val="none"/>
        </w:rPr>
        <w:t>（</w:t>
      </w:r>
      <w:r>
        <w:rPr>
          <w:rFonts w:hint="eastAsia"/>
          <w:color w:val="auto"/>
          <w:kern w:val="0"/>
          <w:highlight w:val="none"/>
        </w:rPr>
        <w:t>3</w:t>
      </w:r>
      <w:r>
        <w:rPr>
          <w:color w:val="auto"/>
          <w:kern w:val="0"/>
          <w:highlight w:val="none"/>
        </w:rPr>
        <w:t>）对中标结果提出质疑的，为中标结果公告期限届满之日。</w:t>
      </w:r>
    </w:p>
    <w:p w14:paraId="65E20278">
      <w:pPr>
        <w:rPr>
          <w:color w:val="auto"/>
          <w:highlight w:val="none"/>
        </w:rPr>
      </w:pPr>
      <w:r>
        <w:rPr>
          <w:color w:val="auto"/>
          <w:highlight w:val="none"/>
        </w:rPr>
        <w:t>38</w:t>
      </w:r>
      <w:r>
        <w:rPr>
          <w:rFonts w:hint="eastAsia"/>
          <w:color w:val="auto"/>
          <w:highlight w:val="none"/>
        </w:rPr>
        <w:t>.</w:t>
      </w:r>
      <w:r>
        <w:rPr>
          <w:color w:val="auto"/>
          <w:highlight w:val="none"/>
        </w:rPr>
        <w:t>3</w:t>
      </w:r>
      <w:r>
        <w:rPr>
          <w:rFonts w:hint="eastAsia"/>
          <w:color w:val="auto"/>
          <w:highlight w:val="none"/>
        </w:rPr>
        <w:t xml:space="preserve"> </w:t>
      </w:r>
      <w:r>
        <w:rPr>
          <w:color w:val="auto"/>
          <w:highlight w:val="none"/>
        </w:rPr>
        <w:t>供应商提出质疑应当提交质疑函和必要的证明材料</w:t>
      </w:r>
      <w:r>
        <w:rPr>
          <w:rFonts w:hint="eastAsia"/>
          <w:color w:val="auto"/>
          <w:highlight w:val="none"/>
        </w:rPr>
        <w:t>，</w:t>
      </w:r>
      <w:r>
        <w:rPr>
          <w:color w:val="auto"/>
          <w:highlight w:val="none"/>
        </w:rPr>
        <w:t>针对同一采购程序环节的质疑</w:t>
      </w:r>
      <w:r>
        <w:rPr>
          <w:rFonts w:hint="eastAsia"/>
          <w:color w:val="auto"/>
          <w:highlight w:val="none"/>
        </w:rPr>
        <w:t>必须</w:t>
      </w:r>
      <w:r>
        <w:rPr>
          <w:color w:val="auto"/>
          <w:highlight w:val="none"/>
        </w:rPr>
        <w:t>在法定质疑期内一次性提出。质疑函应当包括下列内容</w:t>
      </w:r>
      <w:r>
        <w:rPr>
          <w:rFonts w:hint="eastAsia"/>
          <w:color w:val="auto"/>
          <w:highlight w:val="none"/>
        </w:rPr>
        <w:t>（质疑函格式后附）</w:t>
      </w:r>
      <w:r>
        <w:rPr>
          <w:color w:val="auto"/>
          <w:highlight w:val="none"/>
        </w:rPr>
        <w:t>：</w:t>
      </w:r>
    </w:p>
    <w:p w14:paraId="083A6B65">
      <w:pPr>
        <w:rPr>
          <w:color w:val="auto"/>
          <w:kern w:val="0"/>
          <w:highlight w:val="none"/>
        </w:rPr>
      </w:pPr>
      <w:r>
        <w:rPr>
          <w:color w:val="auto"/>
          <w:kern w:val="0"/>
          <w:highlight w:val="none"/>
        </w:rPr>
        <w:t>（</w:t>
      </w:r>
      <w:r>
        <w:rPr>
          <w:rFonts w:hint="eastAsia"/>
          <w:color w:val="auto"/>
          <w:kern w:val="0"/>
          <w:highlight w:val="none"/>
        </w:rPr>
        <w:t>1</w:t>
      </w:r>
      <w:r>
        <w:rPr>
          <w:color w:val="auto"/>
          <w:kern w:val="0"/>
          <w:highlight w:val="none"/>
        </w:rPr>
        <w:t>）供应商的姓名或者名称、地址、邮编、联系人及联系电话；</w:t>
      </w:r>
    </w:p>
    <w:p w14:paraId="2F5A5BDA">
      <w:pPr>
        <w:rPr>
          <w:color w:val="auto"/>
          <w:kern w:val="0"/>
          <w:highlight w:val="none"/>
        </w:rPr>
      </w:pPr>
      <w:r>
        <w:rPr>
          <w:color w:val="auto"/>
          <w:kern w:val="0"/>
          <w:highlight w:val="none"/>
        </w:rPr>
        <w:t>（</w:t>
      </w:r>
      <w:r>
        <w:rPr>
          <w:rFonts w:hint="eastAsia"/>
          <w:color w:val="auto"/>
          <w:kern w:val="0"/>
          <w:highlight w:val="none"/>
        </w:rPr>
        <w:t>2</w:t>
      </w:r>
      <w:r>
        <w:rPr>
          <w:color w:val="auto"/>
          <w:kern w:val="0"/>
          <w:highlight w:val="none"/>
        </w:rPr>
        <w:t>）质疑项目的名称、编号；</w:t>
      </w:r>
    </w:p>
    <w:p w14:paraId="0939A944">
      <w:pPr>
        <w:rPr>
          <w:color w:val="auto"/>
          <w:kern w:val="0"/>
          <w:highlight w:val="none"/>
        </w:rPr>
      </w:pPr>
      <w:r>
        <w:rPr>
          <w:color w:val="auto"/>
          <w:kern w:val="0"/>
          <w:highlight w:val="none"/>
        </w:rPr>
        <w:t>（</w:t>
      </w:r>
      <w:r>
        <w:rPr>
          <w:rFonts w:hint="eastAsia"/>
          <w:color w:val="auto"/>
          <w:kern w:val="0"/>
          <w:highlight w:val="none"/>
        </w:rPr>
        <w:t>3</w:t>
      </w:r>
      <w:r>
        <w:rPr>
          <w:color w:val="auto"/>
          <w:kern w:val="0"/>
          <w:highlight w:val="none"/>
        </w:rPr>
        <w:t>）具体、明确的质疑事项和与质疑事项相关的请求；</w:t>
      </w:r>
    </w:p>
    <w:p w14:paraId="64F90D69">
      <w:pPr>
        <w:rPr>
          <w:color w:val="auto"/>
          <w:kern w:val="0"/>
          <w:highlight w:val="none"/>
        </w:rPr>
      </w:pPr>
      <w:r>
        <w:rPr>
          <w:color w:val="auto"/>
          <w:kern w:val="0"/>
          <w:highlight w:val="none"/>
        </w:rPr>
        <w:t>（</w:t>
      </w:r>
      <w:r>
        <w:rPr>
          <w:rFonts w:hint="eastAsia"/>
          <w:color w:val="auto"/>
          <w:kern w:val="0"/>
          <w:highlight w:val="none"/>
        </w:rPr>
        <w:t>4</w:t>
      </w:r>
      <w:r>
        <w:rPr>
          <w:color w:val="auto"/>
          <w:kern w:val="0"/>
          <w:highlight w:val="none"/>
        </w:rPr>
        <w:t>）事实依据；</w:t>
      </w:r>
    </w:p>
    <w:p w14:paraId="4103E1E7">
      <w:pPr>
        <w:rPr>
          <w:color w:val="auto"/>
          <w:kern w:val="0"/>
          <w:highlight w:val="none"/>
        </w:rPr>
      </w:pPr>
      <w:r>
        <w:rPr>
          <w:color w:val="auto"/>
          <w:kern w:val="0"/>
          <w:highlight w:val="none"/>
        </w:rPr>
        <w:t>（</w:t>
      </w:r>
      <w:r>
        <w:rPr>
          <w:rFonts w:hint="eastAsia"/>
          <w:color w:val="auto"/>
          <w:kern w:val="0"/>
          <w:highlight w:val="none"/>
        </w:rPr>
        <w:t>5</w:t>
      </w:r>
      <w:r>
        <w:rPr>
          <w:color w:val="auto"/>
          <w:kern w:val="0"/>
          <w:highlight w:val="none"/>
        </w:rPr>
        <w:t>）必要的法律依据；</w:t>
      </w:r>
    </w:p>
    <w:p w14:paraId="2E9C576A">
      <w:pPr>
        <w:rPr>
          <w:color w:val="auto"/>
          <w:kern w:val="0"/>
          <w:highlight w:val="none"/>
        </w:rPr>
      </w:pPr>
      <w:r>
        <w:rPr>
          <w:color w:val="auto"/>
          <w:kern w:val="0"/>
          <w:highlight w:val="none"/>
        </w:rPr>
        <w:t>（</w:t>
      </w:r>
      <w:r>
        <w:rPr>
          <w:rFonts w:hint="eastAsia"/>
          <w:color w:val="auto"/>
          <w:kern w:val="0"/>
          <w:highlight w:val="none"/>
        </w:rPr>
        <w:t>6</w:t>
      </w:r>
      <w:r>
        <w:rPr>
          <w:color w:val="auto"/>
          <w:kern w:val="0"/>
          <w:highlight w:val="none"/>
        </w:rPr>
        <w:t>）提出质疑的日期。</w:t>
      </w:r>
    </w:p>
    <w:p w14:paraId="24B2FF89">
      <w:pPr>
        <w:rPr>
          <w:color w:val="auto"/>
          <w:kern w:val="0"/>
          <w:highlight w:val="none"/>
        </w:rPr>
      </w:pPr>
      <w:r>
        <w:rPr>
          <w:color w:val="auto"/>
          <w:kern w:val="0"/>
          <w:highlight w:val="none"/>
        </w:rPr>
        <w:t>供应商为自然人的，应当由本人签字；供应商为法人或者其他组织的，应当由</w:t>
      </w:r>
      <w:r>
        <w:rPr>
          <w:rFonts w:hint="eastAsia"/>
          <w:color w:val="auto"/>
          <w:kern w:val="0"/>
          <w:highlight w:val="none"/>
        </w:rPr>
        <w:t>法定代表人（或负责人）</w:t>
      </w:r>
      <w:r>
        <w:rPr>
          <w:color w:val="auto"/>
          <w:kern w:val="0"/>
          <w:highlight w:val="none"/>
        </w:rPr>
        <w:t>、主要负责人，或者其委托代理人签字或者盖章，并加盖公章</w:t>
      </w:r>
      <w:r>
        <w:rPr>
          <w:rFonts w:hint="eastAsia"/>
          <w:color w:val="auto"/>
          <w:kern w:val="0"/>
          <w:highlight w:val="none"/>
        </w:rPr>
        <w:t>。</w:t>
      </w:r>
    </w:p>
    <w:p w14:paraId="443C4032">
      <w:pPr>
        <w:rPr>
          <w:color w:val="auto"/>
          <w:highlight w:val="none"/>
        </w:rPr>
      </w:pPr>
      <w:r>
        <w:rPr>
          <w:color w:val="auto"/>
          <w:highlight w:val="none"/>
        </w:rPr>
        <w:t>38.4</w:t>
      </w:r>
      <w:r>
        <w:rPr>
          <w:rFonts w:hint="eastAsia"/>
          <w:color w:val="auto"/>
          <w:highlight w:val="none"/>
        </w:rPr>
        <w:t>采购人、采购代理机构认为供应商质疑不成立，或者成立但未对中标结果构成影响的，继续开展采购活动；认为供应商质疑成立且影响或者可能影响中标结果的，按照下列情况处理：</w:t>
      </w:r>
    </w:p>
    <w:p w14:paraId="44FB29D8">
      <w:pPr>
        <w:rPr>
          <w:color w:val="auto"/>
          <w:kern w:val="0"/>
          <w:highlight w:val="none"/>
        </w:rPr>
      </w:pPr>
      <w:r>
        <w:rPr>
          <w:rFonts w:hint="eastAsia"/>
          <w:color w:val="auto"/>
          <w:kern w:val="0"/>
          <w:highlight w:val="none"/>
        </w:rPr>
        <w:t>（一）对招标文件提出的质疑，依法通过澄清或者修改可以继续开展采购活动的，澄清或者修改招标文件后继续开展采购活动；否则应当修改招标文件后重新开展采购活动。</w:t>
      </w:r>
    </w:p>
    <w:p w14:paraId="3C05F197">
      <w:pPr>
        <w:rPr>
          <w:color w:val="auto"/>
          <w:kern w:val="0"/>
          <w:highlight w:val="none"/>
        </w:rPr>
      </w:pPr>
      <w:r>
        <w:rPr>
          <w:rFonts w:hint="eastAsia"/>
          <w:color w:val="auto"/>
          <w:kern w:val="0"/>
          <w:highlight w:val="none"/>
        </w:rPr>
        <w:t>（二）对采购过程、中标结果提出的质疑，合格供应商符合法定数量时，可以从合格的中标候选人中另行确定中标供应商的，应当依法另行确定中标供应商；否则应当重新开展采购活动。</w:t>
      </w:r>
    </w:p>
    <w:p w14:paraId="67CDBAA7">
      <w:pPr>
        <w:rPr>
          <w:color w:val="auto"/>
          <w:kern w:val="0"/>
          <w:highlight w:val="none"/>
        </w:rPr>
      </w:pPr>
      <w:r>
        <w:rPr>
          <w:rFonts w:hint="eastAsia"/>
          <w:color w:val="auto"/>
          <w:kern w:val="0"/>
          <w:highlight w:val="none"/>
        </w:rPr>
        <w:t>质疑答复导致中标结果改变的，采购人或者采购代理机构应当将有关情况书面报告本级财政部门。</w:t>
      </w:r>
    </w:p>
    <w:p w14:paraId="1A910D0F">
      <w:pPr>
        <w:rPr>
          <w:color w:val="auto"/>
          <w:kern w:val="0"/>
          <w:highlight w:val="none"/>
        </w:rPr>
      </w:pPr>
      <w:r>
        <w:rPr>
          <w:color w:val="auto"/>
          <w:kern w:val="0"/>
          <w:highlight w:val="none"/>
        </w:rPr>
        <w:t>38</w:t>
      </w:r>
      <w:r>
        <w:rPr>
          <w:rFonts w:hint="eastAsia"/>
          <w:color w:val="auto"/>
          <w:kern w:val="0"/>
          <w:highlight w:val="none"/>
        </w:rPr>
        <w:t>.</w:t>
      </w:r>
      <w:r>
        <w:rPr>
          <w:color w:val="auto"/>
          <w:kern w:val="0"/>
          <w:highlight w:val="none"/>
        </w:rPr>
        <w:t>5</w:t>
      </w:r>
      <w:r>
        <w:rPr>
          <w:rFonts w:hint="eastAsia"/>
          <w:color w:val="auto"/>
          <w:kern w:val="0"/>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7C66839">
      <w:pPr>
        <w:ind w:firstLine="560"/>
        <w:jc w:val="center"/>
        <w:rPr>
          <w:color w:val="auto"/>
          <w:kern w:val="0"/>
          <w:sz w:val="28"/>
          <w:szCs w:val="28"/>
          <w:highlight w:val="none"/>
        </w:rPr>
      </w:pPr>
      <w:r>
        <w:rPr>
          <w:rFonts w:hint="eastAsia"/>
          <w:color w:val="auto"/>
          <w:kern w:val="0"/>
          <w:sz w:val="28"/>
          <w:szCs w:val="28"/>
          <w:highlight w:val="none"/>
        </w:rPr>
        <w:t>八、其他事项</w:t>
      </w:r>
    </w:p>
    <w:p w14:paraId="74EE03F7">
      <w:pPr>
        <w:rPr>
          <w:color w:val="auto"/>
          <w:highlight w:val="none"/>
        </w:rPr>
      </w:pPr>
      <w:bookmarkStart w:id="132" w:name="_42.代理服务费"/>
      <w:bookmarkEnd w:id="132"/>
      <w:r>
        <w:rPr>
          <w:rFonts w:hint="eastAsia"/>
          <w:color w:val="auto"/>
          <w:highlight w:val="none"/>
        </w:rPr>
        <w:t>3</w:t>
      </w:r>
      <w:r>
        <w:rPr>
          <w:color w:val="auto"/>
          <w:highlight w:val="none"/>
        </w:rPr>
        <w:t>9</w:t>
      </w:r>
      <w:r>
        <w:rPr>
          <w:rFonts w:hint="eastAsia"/>
          <w:color w:val="auto"/>
          <w:highlight w:val="none"/>
        </w:rPr>
        <w:t>.代理服务费</w:t>
      </w:r>
    </w:p>
    <w:p w14:paraId="37B60B01">
      <w:pPr>
        <w:rPr>
          <w:color w:val="auto"/>
          <w:highlight w:val="none"/>
        </w:rPr>
      </w:pPr>
      <w:r>
        <w:rPr>
          <w:rFonts w:hint="eastAsia"/>
          <w:color w:val="auto"/>
          <w:highlight w:val="none"/>
        </w:rPr>
        <w:t>3</w:t>
      </w:r>
      <w:r>
        <w:rPr>
          <w:color w:val="auto"/>
          <w:highlight w:val="none"/>
        </w:rPr>
        <w:t>9</w:t>
      </w:r>
      <w:r>
        <w:rPr>
          <w:rFonts w:hint="eastAsia"/>
          <w:color w:val="auto"/>
          <w:highlight w:val="none"/>
        </w:rPr>
        <w:t>.1代理服务收取标准及缴费账户详见“投标人须知前附表”，投标人为联合体的，可以由联合体中的一方或者多方共同交纳代理服务费。</w:t>
      </w:r>
    </w:p>
    <w:p w14:paraId="41A5F07A">
      <w:pPr>
        <w:rPr>
          <w:color w:val="auto"/>
          <w:highlight w:val="none"/>
        </w:rPr>
      </w:pPr>
      <w:r>
        <w:rPr>
          <w:rFonts w:hint="eastAsia"/>
          <w:color w:val="auto"/>
          <w:highlight w:val="none"/>
        </w:rPr>
        <w:t>3</w:t>
      </w:r>
      <w:r>
        <w:rPr>
          <w:color w:val="auto"/>
          <w:highlight w:val="none"/>
        </w:rPr>
        <w:t>9</w:t>
      </w:r>
      <w:r>
        <w:rPr>
          <w:rFonts w:hint="eastAsia"/>
          <w:color w:val="auto"/>
          <w:highlight w:val="none"/>
        </w:rPr>
        <w:t>.2代理服务收费标准：</w:t>
      </w:r>
    </w:p>
    <w:tbl>
      <w:tblPr>
        <w:tblStyle w:val="4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9EC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29C881F">
            <w:pPr>
              <w:rPr>
                <w:color w:val="auto"/>
                <w:highlight w:val="none"/>
              </w:rPr>
            </w:pPr>
            <w:r>
              <w:rPr>
                <w:rFonts w:hint="eastAsia"/>
                <w:color w:val="auto"/>
                <w:highlight w:val="none"/>
              </w:rPr>
              <w:t xml:space="preserve">               费率</w:t>
            </w:r>
          </w:p>
          <w:p w14:paraId="670C8D86">
            <w:pPr>
              <w:rPr>
                <w:color w:val="auto"/>
                <w:highlight w:val="none"/>
              </w:rPr>
            </w:pPr>
            <w:r>
              <w:rPr>
                <w:rFonts w:hint="eastAsia"/>
                <w:color w:val="auto"/>
                <w:highlight w:val="none"/>
              </w:rPr>
              <w:t>中标金额</w:t>
            </w:r>
          </w:p>
        </w:tc>
        <w:tc>
          <w:tcPr>
            <w:tcW w:w="1659" w:type="dxa"/>
            <w:vAlign w:val="center"/>
          </w:tcPr>
          <w:p w14:paraId="4CB3DC9A">
            <w:pPr>
              <w:rPr>
                <w:color w:val="auto"/>
                <w:highlight w:val="none"/>
              </w:rPr>
            </w:pPr>
            <w:r>
              <w:rPr>
                <w:rFonts w:hint="eastAsia"/>
                <w:color w:val="auto"/>
                <w:highlight w:val="none"/>
              </w:rPr>
              <w:t>货物招标</w:t>
            </w:r>
          </w:p>
        </w:tc>
        <w:tc>
          <w:tcPr>
            <w:tcW w:w="1687" w:type="dxa"/>
            <w:vAlign w:val="center"/>
          </w:tcPr>
          <w:p w14:paraId="13158573">
            <w:pPr>
              <w:rPr>
                <w:color w:val="auto"/>
                <w:highlight w:val="none"/>
              </w:rPr>
            </w:pPr>
            <w:r>
              <w:rPr>
                <w:rFonts w:hint="eastAsia"/>
                <w:color w:val="auto"/>
                <w:highlight w:val="none"/>
              </w:rPr>
              <w:t>服务招标</w:t>
            </w:r>
          </w:p>
        </w:tc>
        <w:tc>
          <w:tcPr>
            <w:tcW w:w="1659" w:type="dxa"/>
            <w:vAlign w:val="center"/>
          </w:tcPr>
          <w:p w14:paraId="46704434">
            <w:pPr>
              <w:rPr>
                <w:color w:val="auto"/>
                <w:highlight w:val="none"/>
              </w:rPr>
            </w:pPr>
            <w:r>
              <w:rPr>
                <w:rFonts w:hint="eastAsia"/>
                <w:color w:val="auto"/>
                <w:highlight w:val="none"/>
              </w:rPr>
              <w:t>工程招标</w:t>
            </w:r>
          </w:p>
        </w:tc>
      </w:tr>
      <w:tr w14:paraId="0524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F301DB5">
            <w:pPr>
              <w:rPr>
                <w:color w:val="auto"/>
                <w:highlight w:val="none"/>
              </w:rPr>
            </w:pPr>
            <w:r>
              <w:rPr>
                <w:rFonts w:hint="eastAsia"/>
                <w:color w:val="auto"/>
                <w:highlight w:val="none"/>
              </w:rPr>
              <w:t>100万元以下</w:t>
            </w:r>
          </w:p>
        </w:tc>
        <w:tc>
          <w:tcPr>
            <w:tcW w:w="1659" w:type="dxa"/>
          </w:tcPr>
          <w:p w14:paraId="01AFD590">
            <w:pPr>
              <w:rPr>
                <w:rFonts w:cs="Times New Roman"/>
                <w:color w:val="auto"/>
                <w:highlight w:val="none"/>
              </w:rPr>
            </w:pPr>
            <w:r>
              <w:rPr>
                <w:color w:val="auto"/>
                <w:kern w:val="0"/>
                <w:highlight w:val="none"/>
              </w:rPr>
              <w:t xml:space="preserve">1.5% </w:t>
            </w:r>
            <w:r>
              <w:rPr>
                <w:rFonts w:hint="eastAsia"/>
                <w:color w:val="auto"/>
                <w:kern w:val="0"/>
                <w:highlight w:val="none"/>
              </w:rPr>
              <w:t xml:space="preserve">          </w:t>
            </w:r>
            <w:r>
              <w:rPr>
                <w:color w:val="auto"/>
                <w:kern w:val="0"/>
                <w:highlight w:val="none"/>
              </w:rPr>
              <w:t xml:space="preserve"> </w:t>
            </w:r>
            <w:r>
              <w:rPr>
                <w:rFonts w:hint="eastAsia"/>
                <w:color w:val="auto"/>
                <w:kern w:val="0"/>
                <w:highlight w:val="none"/>
              </w:rPr>
              <w:t xml:space="preserve">    </w:t>
            </w:r>
          </w:p>
        </w:tc>
        <w:tc>
          <w:tcPr>
            <w:tcW w:w="1687" w:type="dxa"/>
          </w:tcPr>
          <w:p w14:paraId="464DACD0">
            <w:pPr>
              <w:rPr>
                <w:rFonts w:cs="Times New Roman"/>
                <w:color w:val="auto"/>
                <w:highlight w:val="none"/>
              </w:rPr>
            </w:pPr>
            <w:r>
              <w:rPr>
                <w:color w:val="auto"/>
                <w:kern w:val="0"/>
                <w:highlight w:val="none"/>
              </w:rPr>
              <w:t>1.5%</w:t>
            </w:r>
          </w:p>
        </w:tc>
        <w:tc>
          <w:tcPr>
            <w:tcW w:w="1659" w:type="dxa"/>
          </w:tcPr>
          <w:p w14:paraId="3ECD2E27">
            <w:pPr>
              <w:rPr>
                <w:rFonts w:cs="Times New Roman"/>
                <w:color w:val="auto"/>
                <w:highlight w:val="none"/>
              </w:rPr>
            </w:pPr>
            <w:r>
              <w:rPr>
                <w:color w:val="auto"/>
                <w:kern w:val="0"/>
                <w:highlight w:val="none"/>
              </w:rPr>
              <w:t xml:space="preserve">1.0% </w:t>
            </w:r>
          </w:p>
        </w:tc>
      </w:tr>
      <w:tr w14:paraId="39B2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ECB6CF5">
            <w:pPr>
              <w:rPr>
                <w:color w:val="auto"/>
                <w:highlight w:val="none"/>
              </w:rPr>
            </w:pPr>
            <w:r>
              <w:rPr>
                <w:rFonts w:hint="eastAsia"/>
                <w:color w:val="auto"/>
                <w:highlight w:val="none"/>
              </w:rPr>
              <w:t>100～500万元</w:t>
            </w:r>
          </w:p>
        </w:tc>
        <w:tc>
          <w:tcPr>
            <w:tcW w:w="1659" w:type="dxa"/>
          </w:tcPr>
          <w:p w14:paraId="55B644A2">
            <w:pPr>
              <w:rPr>
                <w:rFonts w:cs="Times New Roman"/>
                <w:color w:val="auto"/>
                <w:highlight w:val="none"/>
              </w:rPr>
            </w:pPr>
            <w:r>
              <w:rPr>
                <w:color w:val="auto"/>
                <w:kern w:val="0"/>
                <w:highlight w:val="none"/>
              </w:rPr>
              <w:t xml:space="preserve">1.1% </w:t>
            </w:r>
            <w:r>
              <w:rPr>
                <w:rFonts w:hint="eastAsia"/>
                <w:color w:val="auto"/>
                <w:kern w:val="0"/>
                <w:highlight w:val="none"/>
              </w:rPr>
              <w:t xml:space="preserve">                </w:t>
            </w:r>
          </w:p>
        </w:tc>
        <w:tc>
          <w:tcPr>
            <w:tcW w:w="1687" w:type="dxa"/>
          </w:tcPr>
          <w:p w14:paraId="35CBCAEC">
            <w:pPr>
              <w:rPr>
                <w:rFonts w:cs="Times New Roman"/>
                <w:color w:val="auto"/>
                <w:highlight w:val="none"/>
              </w:rPr>
            </w:pPr>
            <w:r>
              <w:rPr>
                <w:color w:val="auto"/>
                <w:kern w:val="0"/>
                <w:highlight w:val="none"/>
              </w:rPr>
              <w:t>0.8%</w:t>
            </w:r>
          </w:p>
        </w:tc>
        <w:tc>
          <w:tcPr>
            <w:tcW w:w="1659" w:type="dxa"/>
          </w:tcPr>
          <w:p w14:paraId="5A56D096">
            <w:pPr>
              <w:rPr>
                <w:rFonts w:cs="Times New Roman"/>
                <w:color w:val="auto"/>
                <w:highlight w:val="none"/>
              </w:rPr>
            </w:pPr>
            <w:r>
              <w:rPr>
                <w:color w:val="auto"/>
                <w:kern w:val="0"/>
                <w:highlight w:val="none"/>
              </w:rPr>
              <w:t xml:space="preserve">0.7% </w:t>
            </w:r>
          </w:p>
        </w:tc>
      </w:tr>
      <w:tr w14:paraId="7DF5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6BB572">
            <w:pPr>
              <w:rPr>
                <w:color w:val="auto"/>
                <w:highlight w:val="none"/>
              </w:rPr>
            </w:pPr>
            <w:r>
              <w:rPr>
                <w:rFonts w:hint="eastAsia"/>
                <w:color w:val="auto"/>
                <w:highlight w:val="none"/>
              </w:rPr>
              <w:t>500～1000万元</w:t>
            </w:r>
          </w:p>
        </w:tc>
        <w:tc>
          <w:tcPr>
            <w:tcW w:w="1659" w:type="dxa"/>
          </w:tcPr>
          <w:p w14:paraId="72FB5410">
            <w:pPr>
              <w:rPr>
                <w:rFonts w:cs="Times New Roman"/>
                <w:color w:val="auto"/>
                <w:highlight w:val="none"/>
              </w:rPr>
            </w:pPr>
            <w:r>
              <w:rPr>
                <w:color w:val="auto"/>
                <w:kern w:val="0"/>
                <w:highlight w:val="none"/>
              </w:rPr>
              <w:t xml:space="preserve">0.8% </w:t>
            </w:r>
            <w:r>
              <w:rPr>
                <w:rFonts w:hint="eastAsia"/>
                <w:color w:val="auto"/>
                <w:kern w:val="0"/>
                <w:highlight w:val="none"/>
              </w:rPr>
              <w:t xml:space="preserve">               </w:t>
            </w:r>
          </w:p>
        </w:tc>
        <w:tc>
          <w:tcPr>
            <w:tcW w:w="1687" w:type="dxa"/>
          </w:tcPr>
          <w:p w14:paraId="4BB2BEA4">
            <w:pPr>
              <w:rPr>
                <w:rFonts w:cs="Times New Roman"/>
                <w:color w:val="auto"/>
                <w:highlight w:val="none"/>
              </w:rPr>
            </w:pPr>
            <w:r>
              <w:rPr>
                <w:color w:val="auto"/>
                <w:kern w:val="0"/>
                <w:highlight w:val="none"/>
              </w:rPr>
              <w:t>0.45%</w:t>
            </w:r>
          </w:p>
        </w:tc>
        <w:tc>
          <w:tcPr>
            <w:tcW w:w="1659" w:type="dxa"/>
          </w:tcPr>
          <w:p w14:paraId="5015272D">
            <w:pPr>
              <w:rPr>
                <w:rFonts w:cs="Times New Roman"/>
                <w:color w:val="auto"/>
                <w:highlight w:val="none"/>
              </w:rPr>
            </w:pPr>
            <w:r>
              <w:rPr>
                <w:color w:val="auto"/>
                <w:kern w:val="0"/>
                <w:highlight w:val="none"/>
              </w:rPr>
              <w:t>0.55%</w:t>
            </w:r>
          </w:p>
        </w:tc>
      </w:tr>
      <w:tr w14:paraId="3638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3B38E3">
            <w:pPr>
              <w:rPr>
                <w:color w:val="auto"/>
                <w:highlight w:val="none"/>
              </w:rPr>
            </w:pPr>
            <w:r>
              <w:rPr>
                <w:rFonts w:hint="eastAsia"/>
                <w:color w:val="auto"/>
                <w:highlight w:val="none"/>
              </w:rPr>
              <w:t>1000～5000万元</w:t>
            </w:r>
          </w:p>
        </w:tc>
        <w:tc>
          <w:tcPr>
            <w:tcW w:w="1659" w:type="dxa"/>
          </w:tcPr>
          <w:p w14:paraId="5414671F">
            <w:pPr>
              <w:rPr>
                <w:rFonts w:cs="Times New Roman"/>
                <w:color w:val="auto"/>
                <w:highlight w:val="none"/>
              </w:rPr>
            </w:pPr>
            <w:r>
              <w:rPr>
                <w:color w:val="auto"/>
                <w:kern w:val="0"/>
                <w:highlight w:val="none"/>
              </w:rPr>
              <w:t xml:space="preserve">0.5% </w:t>
            </w:r>
            <w:r>
              <w:rPr>
                <w:rFonts w:hint="eastAsia"/>
                <w:color w:val="auto"/>
                <w:kern w:val="0"/>
                <w:highlight w:val="none"/>
              </w:rPr>
              <w:t xml:space="preserve">               </w:t>
            </w:r>
          </w:p>
        </w:tc>
        <w:tc>
          <w:tcPr>
            <w:tcW w:w="1687" w:type="dxa"/>
          </w:tcPr>
          <w:p w14:paraId="25F08D30">
            <w:pPr>
              <w:rPr>
                <w:rFonts w:cs="Times New Roman"/>
                <w:color w:val="auto"/>
                <w:highlight w:val="none"/>
              </w:rPr>
            </w:pPr>
            <w:r>
              <w:rPr>
                <w:color w:val="auto"/>
                <w:kern w:val="0"/>
                <w:highlight w:val="none"/>
              </w:rPr>
              <w:t>0.25%</w:t>
            </w:r>
          </w:p>
        </w:tc>
        <w:tc>
          <w:tcPr>
            <w:tcW w:w="1659" w:type="dxa"/>
          </w:tcPr>
          <w:p w14:paraId="4E47C2FE">
            <w:pPr>
              <w:rPr>
                <w:rFonts w:cs="Times New Roman"/>
                <w:color w:val="auto"/>
                <w:highlight w:val="none"/>
              </w:rPr>
            </w:pPr>
            <w:r>
              <w:rPr>
                <w:color w:val="auto"/>
                <w:kern w:val="0"/>
                <w:highlight w:val="none"/>
              </w:rPr>
              <w:t xml:space="preserve">0.35% </w:t>
            </w:r>
          </w:p>
        </w:tc>
      </w:tr>
      <w:tr w14:paraId="1231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AC5A7AB">
            <w:pPr>
              <w:rPr>
                <w:color w:val="auto"/>
                <w:highlight w:val="none"/>
              </w:rPr>
            </w:pPr>
            <w:r>
              <w:rPr>
                <w:rFonts w:hint="eastAsia"/>
                <w:color w:val="auto"/>
                <w:highlight w:val="none"/>
              </w:rPr>
              <w:t>5000万元～1亿元</w:t>
            </w:r>
          </w:p>
        </w:tc>
        <w:tc>
          <w:tcPr>
            <w:tcW w:w="1659" w:type="dxa"/>
          </w:tcPr>
          <w:p w14:paraId="79EEE8D9">
            <w:pPr>
              <w:rPr>
                <w:rFonts w:cs="Times New Roman"/>
                <w:color w:val="auto"/>
                <w:highlight w:val="none"/>
              </w:rPr>
            </w:pPr>
            <w:r>
              <w:rPr>
                <w:color w:val="auto"/>
                <w:kern w:val="0"/>
                <w:highlight w:val="none"/>
              </w:rPr>
              <w:t xml:space="preserve">0.25% </w:t>
            </w:r>
            <w:r>
              <w:rPr>
                <w:rFonts w:hint="eastAsia"/>
                <w:color w:val="auto"/>
                <w:kern w:val="0"/>
                <w:highlight w:val="none"/>
              </w:rPr>
              <w:t xml:space="preserve">      </w:t>
            </w:r>
            <w:r>
              <w:rPr>
                <w:color w:val="auto"/>
                <w:kern w:val="0"/>
                <w:highlight w:val="none"/>
              </w:rPr>
              <w:t xml:space="preserve"> </w:t>
            </w:r>
            <w:r>
              <w:rPr>
                <w:rFonts w:hint="eastAsia"/>
                <w:color w:val="auto"/>
                <w:kern w:val="0"/>
                <w:highlight w:val="none"/>
              </w:rPr>
              <w:t xml:space="preserve">         </w:t>
            </w:r>
          </w:p>
        </w:tc>
        <w:tc>
          <w:tcPr>
            <w:tcW w:w="1687" w:type="dxa"/>
          </w:tcPr>
          <w:p w14:paraId="619D4F75">
            <w:pPr>
              <w:rPr>
                <w:rFonts w:cs="Times New Roman"/>
                <w:color w:val="auto"/>
                <w:highlight w:val="none"/>
              </w:rPr>
            </w:pPr>
            <w:r>
              <w:rPr>
                <w:color w:val="auto"/>
                <w:kern w:val="0"/>
                <w:highlight w:val="none"/>
              </w:rPr>
              <w:t>0.1%</w:t>
            </w:r>
          </w:p>
        </w:tc>
        <w:tc>
          <w:tcPr>
            <w:tcW w:w="1659" w:type="dxa"/>
          </w:tcPr>
          <w:p w14:paraId="589ED790">
            <w:pPr>
              <w:rPr>
                <w:rFonts w:cs="Times New Roman"/>
                <w:color w:val="auto"/>
                <w:highlight w:val="none"/>
              </w:rPr>
            </w:pPr>
            <w:r>
              <w:rPr>
                <w:color w:val="auto"/>
                <w:kern w:val="0"/>
                <w:highlight w:val="none"/>
              </w:rPr>
              <w:t>0.2%</w:t>
            </w:r>
          </w:p>
        </w:tc>
      </w:tr>
      <w:tr w14:paraId="3EB2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ACDD679">
            <w:pPr>
              <w:rPr>
                <w:color w:val="auto"/>
                <w:highlight w:val="none"/>
              </w:rPr>
            </w:pPr>
            <w:r>
              <w:rPr>
                <w:rFonts w:hint="eastAsia"/>
                <w:color w:val="auto"/>
                <w:highlight w:val="none"/>
              </w:rPr>
              <w:t>1～5亿元</w:t>
            </w:r>
          </w:p>
        </w:tc>
        <w:tc>
          <w:tcPr>
            <w:tcW w:w="1659" w:type="dxa"/>
          </w:tcPr>
          <w:p w14:paraId="24E65F79">
            <w:pPr>
              <w:rPr>
                <w:color w:val="auto"/>
                <w:highlight w:val="none"/>
              </w:rPr>
            </w:pPr>
            <w:r>
              <w:rPr>
                <w:rFonts w:hint="eastAsia"/>
                <w:color w:val="auto"/>
                <w:highlight w:val="none"/>
              </w:rPr>
              <w:t>0.05%</w:t>
            </w:r>
          </w:p>
        </w:tc>
        <w:tc>
          <w:tcPr>
            <w:tcW w:w="1687" w:type="dxa"/>
          </w:tcPr>
          <w:p w14:paraId="42D40C3A">
            <w:pPr>
              <w:rPr>
                <w:color w:val="auto"/>
                <w:highlight w:val="none"/>
              </w:rPr>
            </w:pPr>
            <w:r>
              <w:rPr>
                <w:rFonts w:hint="eastAsia"/>
                <w:color w:val="auto"/>
                <w:highlight w:val="none"/>
              </w:rPr>
              <w:t>0.05%</w:t>
            </w:r>
          </w:p>
        </w:tc>
        <w:tc>
          <w:tcPr>
            <w:tcW w:w="1659" w:type="dxa"/>
          </w:tcPr>
          <w:p w14:paraId="4CF311C6">
            <w:pPr>
              <w:rPr>
                <w:color w:val="auto"/>
                <w:highlight w:val="none"/>
              </w:rPr>
            </w:pPr>
            <w:r>
              <w:rPr>
                <w:rFonts w:hint="eastAsia"/>
                <w:color w:val="auto"/>
                <w:highlight w:val="none"/>
              </w:rPr>
              <w:t>0.05%</w:t>
            </w:r>
          </w:p>
        </w:tc>
      </w:tr>
      <w:tr w14:paraId="0B3B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1D498D9">
            <w:pPr>
              <w:rPr>
                <w:color w:val="auto"/>
                <w:highlight w:val="none"/>
              </w:rPr>
            </w:pPr>
            <w:r>
              <w:rPr>
                <w:rFonts w:hint="eastAsia"/>
                <w:color w:val="auto"/>
                <w:highlight w:val="none"/>
              </w:rPr>
              <w:t>5～10亿元</w:t>
            </w:r>
          </w:p>
        </w:tc>
        <w:tc>
          <w:tcPr>
            <w:tcW w:w="1659" w:type="dxa"/>
          </w:tcPr>
          <w:p w14:paraId="037F0ABC">
            <w:pPr>
              <w:rPr>
                <w:color w:val="auto"/>
                <w:highlight w:val="none"/>
              </w:rPr>
            </w:pPr>
            <w:r>
              <w:rPr>
                <w:rFonts w:hint="eastAsia"/>
                <w:color w:val="auto"/>
                <w:highlight w:val="none"/>
              </w:rPr>
              <w:t>0.035%</w:t>
            </w:r>
          </w:p>
        </w:tc>
        <w:tc>
          <w:tcPr>
            <w:tcW w:w="1687" w:type="dxa"/>
          </w:tcPr>
          <w:p w14:paraId="259B3750">
            <w:pPr>
              <w:rPr>
                <w:color w:val="auto"/>
                <w:highlight w:val="none"/>
              </w:rPr>
            </w:pPr>
            <w:r>
              <w:rPr>
                <w:rFonts w:hint="eastAsia"/>
                <w:color w:val="auto"/>
                <w:highlight w:val="none"/>
              </w:rPr>
              <w:t>0.035%</w:t>
            </w:r>
          </w:p>
        </w:tc>
        <w:tc>
          <w:tcPr>
            <w:tcW w:w="1659" w:type="dxa"/>
          </w:tcPr>
          <w:p w14:paraId="5ECA68E5">
            <w:pPr>
              <w:rPr>
                <w:color w:val="auto"/>
                <w:highlight w:val="none"/>
              </w:rPr>
            </w:pPr>
            <w:r>
              <w:rPr>
                <w:rFonts w:hint="eastAsia"/>
                <w:color w:val="auto"/>
                <w:highlight w:val="none"/>
              </w:rPr>
              <w:t>0.035%</w:t>
            </w:r>
          </w:p>
        </w:tc>
      </w:tr>
      <w:tr w14:paraId="6DFA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635423C">
            <w:pPr>
              <w:rPr>
                <w:color w:val="auto"/>
                <w:highlight w:val="none"/>
              </w:rPr>
            </w:pPr>
            <w:r>
              <w:rPr>
                <w:rFonts w:hint="eastAsia"/>
                <w:color w:val="auto"/>
                <w:highlight w:val="none"/>
              </w:rPr>
              <w:t>10～50亿元</w:t>
            </w:r>
          </w:p>
        </w:tc>
        <w:tc>
          <w:tcPr>
            <w:tcW w:w="1659" w:type="dxa"/>
          </w:tcPr>
          <w:p w14:paraId="237EA999">
            <w:pPr>
              <w:rPr>
                <w:color w:val="auto"/>
                <w:highlight w:val="none"/>
              </w:rPr>
            </w:pPr>
            <w:r>
              <w:rPr>
                <w:rFonts w:hint="eastAsia"/>
                <w:color w:val="auto"/>
                <w:highlight w:val="none"/>
              </w:rPr>
              <w:t>0.008%</w:t>
            </w:r>
          </w:p>
        </w:tc>
        <w:tc>
          <w:tcPr>
            <w:tcW w:w="1687" w:type="dxa"/>
          </w:tcPr>
          <w:p w14:paraId="2F31F792">
            <w:pPr>
              <w:rPr>
                <w:color w:val="auto"/>
                <w:highlight w:val="none"/>
              </w:rPr>
            </w:pPr>
            <w:r>
              <w:rPr>
                <w:rFonts w:hint="eastAsia"/>
                <w:color w:val="auto"/>
                <w:highlight w:val="none"/>
              </w:rPr>
              <w:t>0.008%</w:t>
            </w:r>
          </w:p>
        </w:tc>
        <w:tc>
          <w:tcPr>
            <w:tcW w:w="1659" w:type="dxa"/>
          </w:tcPr>
          <w:p w14:paraId="01EBBE50">
            <w:pPr>
              <w:rPr>
                <w:color w:val="auto"/>
                <w:highlight w:val="none"/>
              </w:rPr>
            </w:pPr>
            <w:r>
              <w:rPr>
                <w:rFonts w:hint="eastAsia"/>
                <w:color w:val="auto"/>
                <w:highlight w:val="none"/>
              </w:rPr>
              <w:t>0.008%</w:t>
            </w:r>
          </w:p>
        </w:tc>
      </w:tr>
      <w:tr w14:paraId="6676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EE3F0F4">
            <w:pPr>
              <w:rPr>
                <w:color w:val="auto"/>
                <w:highlight w:val="none"/>
              </w:rPr>
            </w:pPr>
            <w:r>
              <w:rPr>
                <w:rFonts w:hint="eastAsia"/>
                <w:color w:val="auto"/>
                <w:highlight w:val="none"/>
              </w:rPr>
              <w:t>50～100亿元</w:t>
            </w:r>
          </w:p>
        </w:tc>
        <w:tc>
          <w:tcPr>
            <w:tcW w:w="1659" w:type="dxa"/>
          </w:tcPr>
          <w:p w14:paraId="73123272">
            <w:pPr>
              <w:rPr>
                <w:color w:val="auto"/>
                <w:highlight w:val="none"/>
              </w:rPr>
            </w:pPr>
            <w:r>
              <w:rPr>
                <w:rFonts w:hint="eastAsia"/>
                <w:color w:val="auto"/>
                <w:highlight w:val="none"/>
              </w:rPr>
              <w:t>0.006%</w:t>
            </w:r>
          </w:p>
        </w:tc>
        <w:tc>
          <w:tcPr>
            <w:tcW w:w="1687" w:type="dxa"/>
          </w:tcPr>
          <w:p w14:paraId="1FC7F37A">
            <w:pPr>
              <w:rPr>
                <w:color w:val="auto"/>
                <w:highlight w:val="none"/>
              </w:rPr>
            </w:pPr>
            <w:r>
              <w:rPr>
                <w:rFonts w:hint="eastAsia"/>
                <w:color w:val="auto"/>
                <w:highlight w:val="none"/>
              </w:rPr>
              <w:t>0.006%</w:t>
            </w:r>
          </w:p>
        </w:tc>
        <w:tc>
          <w:tcPr>
            <w:tcW w:w="1659" w:type="dxa"/>
          </w:tcPr>
          <w:p w14:paraId="36214625">
            <w:pPr>
              <w:rPr>
                <w:color w:val="auto"/>
                <w:highlight w:val="none"/>
              </w:rPr>
            </w:pPr>
            <w:r>
              <w:rPr>
                <w:rFonts w:hint="eastAsia"/>
                <w:color w:val="auto"/>
                <w:highlight w:val="none"/>
              </w:rPr>
              <w:t>0.006%</w:t>
            </w:r>
          </w:p>
        </w:tc>
      </w:tr>
      <w:tr w14:paraId="10D5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185ACD6">
            <w:pPr>
              <w:rPr>
                <w:color w:val="auto"/>
                <w:highlight w:val="none"/>
              </w:rPr>
            </w:pPr>
            <w:r>
              <w:rPr>
                <w:rFonts w:hint="eastAsia"/>
                <w:color w:val="auto"/>
                <w:highlight w:val="none"/>
              </w:rPr>
              <w:t>100亿以上</w:t>
            </w:r>
          </w:p>
        </w:tc>
        <w:tc>
          <w:tcPr>
            <w:tcW w:w="1659" w:type="dxa"/>
          </w:tcPr>
          <w:p w14:paraId="1552CA8A">
            <w:pPr>
              <w:rPr>
                <w:color w:val="auto"/>
                <w:highlight w:val="none"/>
              </w:rPr>
            </w:pPr>
            <w:r>
              <w:rPr>
                <w:rFonts w:hint="eastAsia"/>
                <w:color w:val="auto"/>
                <w:highlight w:val="none"/>
              </w:rPr>
              <w:t>0.004%</w:t>
            </w:r>
          </w:p>
        </w:tc>
        <w:tc>
          <w:tcPr>
            <w:tcW w:w="1687" w:type="dxa"/>
          </w:tcPr>
          <w:p w14:paraId="01A55C8E">
            <w:pPr>
              <w:rPr>
                <w:color w:val="auto"/>
                <w:highlight w:val="none"/>
              </w:rPr>
            </w:pPr>
            <w:r>
              <w:rPr>
                <w:rFonts w:hint="eastAsia"/>
                <w:color w:val="auto"/>
                <w:highlight w:val="none"/>
              </w:rPr>
              <w:t>0.004%</w:t>
            </w:r>
          </w:p>
        </w:tc>
        <w:tc>
          <w:tcPr>
            <w:tcW w:w="1659" w:type="dxa"/>
          </w:tcPr>
          <w:p w14:paraId="473DE096">
            <w:pPr>
              <w:rPr>
                <w:color w:val="auto"/>
                <w:highlight w:val="none"/>
              </w:rPr>
            </w:pPr>
            <w:r>
              <w:rPr>
                <w:rFonts w:hint="eastAsia"/>
                <w:color w:val="auto"/>
                <w:highlight w:val="none"/>
              </w:rPr>
              <w:t>0.004%</w:t>
            </w:r>
          </w:p>
        </w:tc>
      </w:tr>
    </w:tbl>
    <w:p w14:paraId="35396F4B">
      <w:pPr>
        <w:rPr>
          <w:color w:val="auto"/>
          <w:highlight w:val="none"/>
        </w:rPr>
      </w:pPr>
      <w:r>
        <w:rPr>
          <w:rFonts w:hint="eastAsia"/>
          <w:color w:val="auto"/>
          <w:highlight w:val="none"/>
        </w:rPr>
        <w:t>注:</w:t>
      </w:r>
      <w:r>
        <w:rPr>
          <w:color w:val="auto"/>
          <w:highlight w:val="none"/>
        </w:rPr>
        <w:t xml:space="preserve"> </w:t>
      </w:r>
    </w:p>
    <w:p w14:paraId="7114BF67">
      <w:pPr>
        <w:rPr>
          <w:color w:val="auto"/>
          <w:highlight w:val="none"/>
        </w:rPr>
      </w:pPr>
      <w:r>
        <w:rPr>
          <w:rFonts w:hint="eastAsia"/>
          <w:color w:val="auto"/>
          <w:highlight w:val="none"/>
        </w:rPr>
        <w:t>（1）</w:t>
      </w:r>
      <w:r>
        <w:rPr>
          <w:color w:val="auto"/>
          <w:highlight w:val="none"/>
        </w:rPr>
        <w:t>按本表费率计算的收费为</w:t>
      </w:r>
      <w:r>
        <w:rPr>
          <w:rFonts w:hint="eastAsia"/>
          <w:color w:val="auto"/>
          <w:highlight w:val="none"/>
        </w:rPr>
        <w:t>采购</w:t>
      </w:r>
      <w:r>
        <w:rPr>
          <w:color w:val="auto"/>
          <w:highlight w:val="none"/>
        </w:rPr>
        <w:t>代理的收费基准价格</w:t>
      </w:r>
      <w:r>
        <w:rPr>
          <w:rFonts w:hint="eastAsia"/>
          <w:color w:val="auto"/>
          <w:highlight w:val="none"/>
        </w:rPr>
        <w:t>；</w:t>
      </w:r>
    </w:p>
    <w:p w14:paraId="08BB7866">
      <w:pPr>
        <w:rPr>
          <w:color w:val="auto"/>
          <w:highlight w:val="none"/>
        </w:rPr>
      </w:pPr>
      <w:r>
        <w:rPr>
          <w:rFonts w:hint="eastAsia"/>
          <w:color w:val="auto"/>
          <w:highlight w:val="none"/>
        </w:rPr>
        <w:t>（2）采购</w:t>
      </w:r>
      <w:r>
        <w:rPr>
          <w:color w:val="auto"/>
          <w:highlight w:val="none"/>
        </w:rPr>
        <w:t>代理收费按差额定率累进法计算。</w:t>
      </w:r>
    </w:p>
    <w:p w14:paraId="52D0FE19">
      <w:pPr>
        <w:rPr>
          <w:color w:val="auto"/>
          <w:highlight w:val="none"/>
        </w:rPr>
      </w:pPr>
      <w:r>
        <w:rPr>
          <w:color w:val="auto"/>
          <w:highlight w:val="none"/>
        </w:rPr>
        <w:t>例如：某</w:t>
      </w:r>
      <w:r>
        <w:rPr>
          <w:rFonts w:hint="eastAsia"/>
          <w:color w:val="auto"/>
          <w:highlight w:val="none"/>
        </w:rPr>
        <w:t>货物采购</w:t>
      </w:r>
      <w:r>
        <w:rPr>
          <w:color w:val="auto"/>
          <w:highlight w:val="none"/>
        </w:rPr>
        <w:t>代理业务</w:t>
      </w:r>
      <w:r>
        <w:rPr>
          <w:rFonts w:hint="eastAsia"/>
          <w:color w:val="auto"/>
          <w:highlight w:val="none"/>
        </w:rPr>
        <w:t>中标</w:t>
      </w:r>
      <w:r>
        <w:rPr>
          <w:color w:val="auto"/>
          <w:highlight w:val="none"/>
        </w:rPr>
        <w:t>金额</w:t>
      </w:r>
      <w:r>
        <w:rPr>
          <w:rFonts w:hint="eastAsia"/>
          <w:color w:val="auto"/>
          <w:highlight w:val="none"/>
        </w:rPr>
        <w:t>或者暂定价</w:t>
      </w:r>
      <w:r>
        <w:rPr>
          <w:color w:val="auto"/>
          <w:highlight w:val="none"/>
        </w:rPr>
        <w:t>为200万元，计算</w:t>
      </w:r>
      <w:r>
        <w:rPr>
          <w:rFonts w:hint="eastAsia"/>
          <w:color w:val="auto"/>
          <w:highlight w:val="none"/>
        </w:rPr>
        <w:t>采购</w:t>
      </w:r>
      <w:r>
        <w:rPr>
          <w:color w:val="auto"/>
          <w:highlight w:val="none"/>
        </w:rPr>
        <w:t>代理收费额如下：</w:t>
      </w:r>
    </w:p>
    <w:p w14:paraId="7DA09FCE">
      <w:pPr>
        <w:rPr>
          <w:color w:val="auto"/>
          <w:highlight w:val="none"/>
        </w:rPr>
      </w:pPr>
      <w:r>
        <w:rPr>
          <w:color w:val="auto"/>
          <w:highlight w:val="none"/>
        </w:rPr>
        <w:t>100 万元×l.5 ％＝ 1.5 万元</w:t>
      </w:r>
    </w:p>
    <w:p w14:paraId="73F6D0AD">
      <w:pPr>
        <w:rPr>
          <w:color w:val="auto"/>
          <w:highlight w:val="none"/>
        </w:rPr>
      </w:pPr>
      <w:r>
        <w:rPr>
          <w:color w:val="auto"/>
          <w:highlight w:val="none"/>
        </w:rPr>
        <w:t>（ 200 － 100 ）万元 ×1.1％＝1.1万元</w:t>
      </w:r>
    </w:p>
    <w:p w14:paraId="0A9A598E">
      <w:pPr>
        <w:rPr>
          <w:color w:val="auto"/>
          <w:kern w:val="0"/>
          <w:highlight w:val="none"/>
        </w:rPr>
      </w:pPr>
      <w:r>
        <w:rPr>
          <w:color w:val="auto"/>
          <w:kern w:val="0"/>
          <w:highlight w:val="none"/>
        </w:rPr>
        <w:t>合计收费＝ 1.5</w:t>
      </w:r>
      <w:r>
        <w:rPr>
          <w:rFonts w:hint="eastAsia"/>
          <w:color w:val="auto"/>
          <w:kern w:val="0"/>
          <w:highlight w:val="none"/>
        </w:rPr>
        <w:t>+</w:t>
      </w:r>
      <w:r>
        <w:rPr>
          <w:color w:val="auto"/>
          <w:kern w:val="0"/>
          <w:highlight w:val="none"/>
        </w:rPr>
        <w:t>1.1＝ 2.6 （万元）</w:t>
      </w:r>
    </w:p>
    <w:p w14:paraId="200B2C30">
      <w:pPr>
        <w:rPr>
          <w:color w:val="auto"/>
          <w:highlight w:val="none"/>
        </w:rPr>
      </w:pPr>
      <w:r>
        <w:rPr>
          <w:color w:val="auto"/>
          <w:highlight w:val="none"/>
        </w:rPr>
        <w:t>40. 需要补充的其他内容</w:t>
      </w:r>
    </w:p>
    <w:p w14:paraId="77616F03">
      <w:pPr>
        <w:rPr>
          <w:color w:val="auto"/>
          <w:kern w:val="0"/>
          <w:highlight w:val="none"/>
        </w:rPr>
      </w:pPr>
      <w:r>
        <w:rPr>
          <w:rFonts w:hint="eastAsia"/>
          <w:color w:val="auto"/>
          <w:kern w:val="0"/>
          <w:highlight w:val="none"/>
        </w:rPr>
        <w:t>40.1本招标文件解释规则详见“投标人须知前附表”。</w:t>
      </w:r>
    </w:p>
    <w:p w14:paraId="7CFB69B0">
      <w:pPr>
        <w:rPr>
          <w:color w:val="auto"/>
          <w:kern w:val="0"/>
          <w:highlight w:val="none"/>
        </w:rPr>
      </w:pPr>
      <w:r>
        <w:rPr>
          <w:rFonts w:hint="eastAsia"/>
          <w:color w:val="auto"/>
          <w:kern w:val="0"/>
          <w:highlight w:val="none"/>
        </w:rPr>
        <w:t>40.2 其他事项详见“投标人须知前附表”。</w:t>
      </w:r>
    </w:p>
    <w:p w14:paraId="13715741">
      <w:pPr>
        <w:rPr>
          <w:color w:val="auto"/>
          <w:kern w:val="0"/>
          <w:highlight w:val="none"/>
        </w:rPr>
      </w:pPr>
      <w:r>
        <w:rPr>
          <w:rFonts w:hint="eastAsia"/>
          <w:color w:val="auto"/>
          <w:kern w:val="0"/>
          <w:highlight w:val="none"/>
        </w:rPr>
        <w:t>40.3</w:t>
      </w:r>
      <w:bookmarkStart w:id="133" w:name="_Hlk65857140"/>
      <w:r>
        <w:rPr>
          <w:rFonts w:hint="eastAsia"/>
          <w:color w:val="auto"/>
          <w:kern w:val="0"/>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77858B0">
      <w:pPr>
        <w:rPr>
          <w:color w:val="auto"/>
          <w:kern w:val="0"/>
          <w:highlight w:val="none"/>
        </w:rPr>
      </w:pPr>
      <w:r>
        <w:rPr>
          <w:rFonts w:hint="eastAsia"/>
          <w:color w:val="auto"/>
          <w:kern w:val="0"/>
          <w:highlight w:val="none"/>
        </w:rPr>
        <w:t>（1）在货物采购项目中，货物由中小企业制造，即货物由中小企业生产且使用该中小企业商号或者注册商标，不对其中涉及的工程承建商和服务的承接商作出要求；</w:t>
      </w:r>
    </w:p>
    <w:p w14:paraId="19B30619">
      <w:pPr>
        <w:rPr>
          <w:color w:val="auto"/>
          <w:kern w:val="0"/>
          <w:highlight w:val="none"/>
        </w:rPr>
      </w:pPr>
      <w:r>
        <w:rPr>
          <w:rFonts w:hint="eastAsia"/>
          <w:color w:val="auto"/>
          <w:kern w:val="0"/>
          <w:highlight w:val="none"/>
        </w:rPr>
        <w:t>（2）在工程采购项目中，工程由中小企业承建，即工程施工单位为中小企业，不对其中涉及的货物的制造商和服务的承接商作出要求；</w:t>
      </w:r>
    </w:p>
    <w:p w14:paraId="08E1A7A4">
      <w:pPr>
        <w:rPr>
          <w:color w:val="auto"/>
          <w:kern w:val="0"/>
          <w:highlight w:val="none"/>
        </w:rPr>
      </w:pPr>
      <w:r>
        <w:rPr>
          <w:rFonts w:hint="eastAsia"/>
          <w:color w:val="auto"/>
          <w:kern w:val="0"/>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7AE137A">
      <w:pPr>
        <w:rPr>
          <w:color w:val="auto"/>
          <w:kern w:val="0"/>
          <w:highlight w:val="none"/>
        </w:rPr>
      </w:pPr>
      <w:r>
        <w:rPr>
          <w:rFonts w:hint="eastAsia"/>
          <w:color w:val="auto"/>
          <w:kern w:val="0"/>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2433D2A">
      <w:pPr>
        <w:rPr>
          <w:color w:val="auto"/>
          <w:kern w:val="0"/>
          <w:highlight w:val="none"/>
        </w:rPr>
        <w:sectPr>
          <w:pgSz w:w="11906" w:h="16838"/>
          <w:pgMar w:top="1701" w:right="1701" w:bottom="1701" w:left="1701" w:header="851" w:footer="992" w:gutter="0"/>
          <w:cols w:space="720" w:num="1"/>
          <w:titlePg/>
          <w:docGrid w:linePitch="312" w:charSpace="0"/>
        </w:sectPr>
      </w:pPr>
      <w:r>
        <w:rPr>
          <w:rFonts w:hint="eastAsia"/>
          <w:color w:val="auto"/>
          <w:kern w:val="0"/>
          <w:highlight w:val="none"/>
        </w:rPr>
        <w:t>依据本招标文件规定享受扶持政策获得政府采购合同的，小微企业不得将合同分包给大中型企业，中型企业不得将合同分包给大型企业。</w:t>
      </w:r>
      <w:bookmarkEnd w:id="133"/>
    </w:p>
    <w:p w14:paraId="24E3AA44">
      <w:pPr>
        <w:rPr>
          <w:color w:val="auto"/>
          <w:kern w:val="0"/>
          <w:highlight w:val="none"/>
        </w:rPr>
      </w:pPr>
      <w:r>
        <w:rPr>
          <w:rFonts w:hint="eastAsia"/>
          <w:color w:val="auto"/>
          <w:kern w:val="0"/>
          <w:highlight w:val="none"/>
        </w:rPr>
        <w:t>附件1：</w:t>
      </w:r>
    </w:p>
    <w:p w14:paraId="61831E08">
      <w:pPr>
        <w:ind w:firstLine="560"/>
        <w:jc w:val="center"/>
        <w:rPr>
          <w:color w:val="auto"/>
          <w:kern w:val="0"/>
          <w:sz w:val="28"/>
          <w:szCs w:val="28"/>
          <w:highlight w:val="none"/>
        </w:rPr>
      </w:pPr>
      <w:r>
        <w:rPr>
          <w:rFonts w:hint="eastAsia"/>
          <w:color w:val="auto"/>
          <w:kern w:val="0"/>
          <w:sz w:val="28"/>
          <w:szCs w:val="28"/>
          <w:highlight w:val="none"/>
        </w:rPr>
        <w:t>采购项目合同验收书（格式）</w:t>
      </w:r>
    </w:p>
    <w:p w14:paraId="6C2F739C">
      <w:pPr>
        <w:rPr>
          <w:color w:val="auto"/>
          <w:kern w:val="0"/>
          <w:highlight w:val="none"/>
        </w:rPr>
      </w:pPr>
      <w:r>
        <w:rPr>
          <w:rFonts w:hint="eastAsia"/>
          <w:color w:val="auto"/>
          <w:kern w:val="0"/>
          <w:highlight w:val="none"/>
        </w:rPr>
        <w:t>根据采购项目（</w:t>
      </w:r>
      <w:r>
        <w:rPr>
          <w:rFonts w:hint="eastAsia"/>
          <w:color w:val="auto"/>
          <w:kern w:val="0"/>
          <w:highlight w:val="none"/>
          <w:u w:val="single"/>
        </w:rPr>
        <w:t>采购合同编号：</w:t>
      </w:r>
      <w:r>
        <w:rPr>
          <w:rFonts w:hint="eastAsia"/>
          <w:color w:val="auto"/>
          <w:kern w:val="0"/>
          <w:highlight w:val="none"/>
          <w:u w:val="single"/>
        </w:rPr>
        <w:softHyphen/>
      </w:r>
      <w:r>
        <w:rPr>
          <w:rFonts w:hint="eastAsia"/>
          <w:color w:val="auto"/>
          <w:kern w:val="0"/>
          <w:highlight w:val="none"/>
          <w:u w:val="single"/>
        </w:rPr>
        <w:t>   </w:t>
      </w:r>
      <w:r>
        <w:rPr>
          <w:rFonts w:hint="eastAsia"/>
          <w:color w:val="auto"/>
          <w:kern w:val="0"/>
          <w:highlight w:val="none"/>
        </w:rPr>
        <w:t>）的约定，我单位对（</w:t>
      </w:r>
      <w:r>
        <w:rPr>
          <w:rFonts w:hint="eastAsia"/>
          <w:color w:val="auto"/>
          <w:kern w:val="0"/>
          <w:highlight w:val="none"/>
          <w:u w:val="single"/>
        </w:rPr>
        <w:t xml:space="preserve"> 项目名称   </w:t>
      </w:r>
      <w:r>
        <w:rPr>
          <w:rFonts w:hint="eastAsia"/>
          <w:color w:val="auto"/>
          <w:kern w:val="0"/>
          <w:highlight w:val="none"/>
        </w:rPr>
        <w:t>）采购项目中标（或成交）供应商（</w:t>
      </w:r>
      <w:r>
        <w:rPr>
          <w:rFonts w:hint="eastAsia"/>
          <w:color w:val="auto"/>
          <w:kern w:val="0"/>
          <w:highlight w:val="none"/>
          <w:u w:val="single"/>
        </w:rPr>
        <w:t xml:space="preserve">            公司名称              </w:t>
      </w:r>
      <w:r>
        <w:rPr>
          <w:rFonts w:hint="eastAsia"/>
          <w:color w:val="auto"/>
          <w:kern w:val="0"/>
          <w:highlight w:val="none"/>
        </w:rPr>
        <w:t>）提供的货物（或工程、服务）进行了验收，验收情况如下：</w:t>
      </w:r>
    </w:p>
    <w:tbl>
      <w:tblPr>
        <w:tblStyle w:val="47"/>
        <w:tblW w:w="0" w:type="auto"/>
        <w:jc w:val="center"/>
        <w:tblLayout w:type="fixed"/>
        <w:tblCellMar>
          <w:top w:w="0" w:type="dxa"/>
          <w:left w:w="0" w:type="dxa"/>
          <w:bottom w:w="0" w:type="dxa"/>
          <w:right w:w="0" w:type="dxa"/>
        </w:tblCellMar>
      </w:tblPr>
      <w:tblGrid>
        <w:gridCol w:w="1578"/>
        <w:gridCol w:w="1681"/>
        <w:gridCol w:w="664"/>
        <w:gridCol w:w="2017"/>
        <w:gridCol w:w="186"/>
        <w:gridCol w:w="720"/>
        <w:gridCol w:w="1796"/>
      </w:tblGrid>
      <w:tr w14:paraId="741BA49F">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14:paraId="527151D0">
            <w:pPr>
              <w:rPr>
                <w:color w:val="auto"/>
                <w:kern w:val="0"/>
                <w:highlight w:val="none"/>
              </w:rPr>
            </w:pPr>
            <w:r>
              <w:rPr>
                <w:rFonts w:hint="eastAsia"/>
                <w:color w:val="auto"/>
                <w:kern w:val="0"/>
                <w:highlight w:val="none"/>
              </w:rPr>
              <w:t>验收方式：</w:t>
            </w:r>
          </w:p>
        </w:tc>
        <w:tc>
          <w:tcPr>
            <w:tcW w:w="5383" w:type="dxa"/>
            <w:gridSpan w:val="5"/>
            <w:tcBorders>
              <w:top w:val="single" w:color="auto" w:sz="8" w:space="0"/>
              <w:left w:val="nil"/>
              <w:bottom w:val="single" w:color="auto" w:sz="8" w:space="0"/>
              <w:right w:val="single" w:color="auto" w:sz="8" w:space="0"/>
            </w:tcBorders>
            <w:vAlign w:val="center"/>
          </w:tcPr>
          <w:p w14:paraId="685B9576">
            <w:pPr>
              <w:rPr>
                <w:color w:val="auto"/>
                <w:kern w:val="0"/>
                <w:highlight w:val="none"/>
              </w:rPr>
            </w:pPr>
            <w:r>
              <w:rPr>
                <w:rFonts w:hint="eastAsia"/>
                <w:color w:val="auto"/>
                <w:kern w:val="0"/>
                <w:highlight w:val="none"/>
              </w:rPr>
              <w:t>□自行验收        □委托验收</w:t>
            </w:r>
          </w:p>
        </w:tc>
      </w:tr>
      <w:tr w14:paraId="7898E5AA">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14:paraId="4586344B">
            <w:pPr>
              <w:rPr>
                <w:color w:val="auto"/>
                <w:kern w:val="0"/>
                <w:highlight w:val="none"/>
              </w:rPr>
            </w:pPr>
            <w:r>
              <w:rPr>
                <w:rFonts w:hint="eastAsia"/>
                <w:color w:val="auto"/>
                <w:kern w:val="0"/>
                <w:highlight w:val="none"/>
              </w:rPr>
              <w:t>序号</w:t>
            </w:r>
          </w:p>
        </w:tc>
        <w:tc>
          <w:tcPr>
            <w:tcW w:w="1681" w:type="dxa"/>
            <w:tcBorders>
              <w:top w:val="nil"/>
              <w:left w:val="nil"/>
              <w:bottom w:val="single" w:color="auto" w:sz="8" w:space="0"/>
              <w:right w:val="single" w:color="auto" w:sz="8" w:space="0"/>
            </w:tcBorders>
            <w:vAlign w:val="center"/>
          </w:tcPr>
          <w:p w14:paraId="2B3FDDC6">
            <w:pPr>
              <w:rPr>
                <w:color w:val="auto"/>
                <w:kern w:val="0"/>
                <w:highlight w:val="none"/>
              </w:rPr>
            </w:pPr>
            <w:r>
              <w:rPr>
                <w:rFonts w:hint="eastAsia"/>
                <w:color w:val="auto"/>
                <w:kern w:val="0"/>
                <w:highlight w:val="none"/>
              </w:rPr>
              <w:t>名 称</w:t>
            </w:r>
          </w:p>
        </w:tc>
        <w:tc>
          <w:tcPr>
            <w:tcW w:w="2681" w:type="dxa"/>
            <w:gridSpan w:val="2"/>
            <w:tcBorders>
              <w:top w:val="nil"/>
              <w:left w:val="nil"/>
              <w:bottom w:val="single" w:color="auto" w:sz="8" w:space="0"/>
              <w:right w:val="single" w:color="auto" w:sz="8" w:space="0"/>
            </w:tcBorders>
            <w:vAlign w:val="center"/>
          </w:tcPr>
          <w:p w14:paraId="10BD51B6">
            <w:pPr>
              <w:rPr>
                <w:color w:val="auto"/>
                <w:kern w:val="0"/>
                <w:highlight w:val="none"/>
              </w:rPr>
            </w:pPr>
            <w:r>
              <w:rPr>
                <w:rFonts w:hint="eastAsia"/>
                <w:color w:val="auto"/>
                <w:kern w:val="0"/>
                <w:highlight w:val="none"/>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14:paraId="5A79AFBA">
            <w:pPr>
              <w:rPr>
                <w:color w:val="auto"/>
                <w:kern w:val="0"/>
                <w:highlight w:val="none"/>
              </w:rPr>
            </w:pPr>
            <w:r>
              <w:rPr>
                <w:rFonts w:hint="eastAsia"/>
                <w:color w:val="auto"/>
                <w:kern w:val="0"/>
                <w:highlight w:val="none"/>
              </w:rPr>
              <w:t>数量</w:t>
            </w:r>
          </w:p>
        </w:tc>
        <w:tc>
          <w:tcPr>
            <w:tcW w:w="1796" w:type="dxa"/>
            <w:tcBorders>
              <w:top w:val="nil"/>
              <w:left w:val="nil"/>
              <w:bottom w:val="single" w:color="auto" w:sz="8" w:space="0"/>
              <w:right w:val="single" w:color="auto" w:sz="8" w:space="0"/>
            </w:tcBorders>
            <w:vAlign w:val="center"/>
          </w:tcPr>
          <w:p w14:paraId="4DB9E8D3">
            <w:pPr>
              <w:rPr>
                <w:color w:val="auto"/>
                <w:kern w:val="0"/>
                <w:highlight w:val="none"/>
              </w:rPr>
            </w:pPr>
            <w:r>
              <w:rPr>
                <w:rFonts w:hint="eastAsia"/>
                <w:color w:val="auto"/>
                <w:kern w:val="0"/>
                <w:highlight w:val="none"/>
              </w:rPr>
              <w:t>金 额</w:t>
            </w:r>
          </w:p>
        </w:tc>
      </w:tr>
      <w:tr w14:paraId="51E8F6BF">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33C79D51">
            <w:pPr>
              <w:rPr>
                <w:color w:val="auto"/>
                <w:kern w:val="0"/>
                <w:highlight w:val="none"/>
              </w:rPr>
            </w:pPr>
            <w:r>
              <w:rPr>
                <w:rFonts w:hint="eastAsia"/>
                <w:color w:val="auto"/>
                <w:kern w:val="0"/>
                <w:highlight w:val="none"/>
              </w:rPr>
              <w:t> </w:t>
            </w:r>
          </w:p>
        </w:tc>
        <w:tc>
          <w:tcPr>
            <w:tcW w:w="1681" w:type="dxa"/>
            <w:tcBorders>
              <w:top w:val="nil"/>
              <w:left w:val="nil"/>
              <w:bottom w:val="single" w:color="auto" w:sz="8" w:space="0"/>
              <w:right w:val="single" w:color="auto" w:sz="8" w:space="0"/>
            </w:tcBorders>
            <w:vAlign w:val="center"/>
          </w:tcPr>
          <w:p w14:paraId="7CE64649">
            <w:pPr>
              <w:rPr>
                <w:color w:val="auto"/>
                <w:kern w:val="0"/>
                <w:highlight w:val="none"/>
              </w:rPr>
            </w:pPr>
            <w:r>
              <w:rPr>
                <w:rFonts w:hint="eastAsia"/>
                <w:color w:val="auto"/>
                <w:kern w:val="0"/>
                <w:highlight w:val="none"/>
              </w:rPr>
              <w:t> </w:t>
            </w:r>
          </w:p>
        </w:tc>
        <w:tc>
          <w:tcPr>
            <w:tcW w:w="2681" w:type="dxa"/>
            <w:gridSpan w:val="2"/>
            <w:tcBorders>
              <w:top w:val="nil"/>
              <w:left w:val="nil"/>
              <w:bottom w:val="single" w:color="auto" w:sz="8" w:space="0"/>
              <w:right w:val="single" w:color="auto" w:sz="8" w:space="0"/>
            </w:tcBorders>
            <w:vAlign w:val="center"/>
          </w:tcPr>
          <w:p w14:paraId="161E94AE">
            <w:pPr>
              <w:rPr>
                <w:color w:val="auto"/>
                <w:kern w:val="0"/>
                <w:highlight w:val="none"/>
              </w:rPr>
            </w:pPr>
            <w:r>
              <w:rPr>
                <w:rFonts w:hint="eastAsia"/>
                <w:color w:val="auto"/>
                <w:kern w:val="0"/>
                <w:highlight w:val="none"/>
              </w:rPr>
              <w:t> </w:t>
            </w:r>
          </w:p>
        </w:tc>
        <w:tc>
          <w:tcPr>
            <w:tcW w:w="906" w:type="dxa"/>
            <w:gridSpan w:val="2"/>
            <w:tcBorders>
              <w:top w:val="nil"/>
              <w:left w:val="nil"/>
              <w:bottom w:val="single" w:color="auto" w:sz="8" w:space="0"/>
              <w:right w:val="single" w:color="auto" w:sz="8" w:space="0"/>
            </w:tcBorders>
            <w:vAlign w:val="center"/>
          </w:tcPr>
          <w:p w14:paraId="64B9A402">
            <w:pPr>
              <w:rPr>
                <w:color w:val="auto"/>
                <w:kern w:val="0"/>
                <w:highlight w:val="none"/>
              </w:rPr>
            </w:pPr>
            <w:r>
              <w:rPr>
                <w:rFonts w:hint="eastAsia"/>
                <w:color w:val="auto"/>
                <w:kern w:val="0"/>
                <w:highlight w:val="none"/>
              </w:rPr>
              <w:t> </w:t>
            </w:r>
          </w:p>
        </w:tc>
        <w:tc>
          <w:tcPr>
            <w:tcW w:w="1796" w:type="dxa"/>
            <w:tcBorders>
              <w:top w:val="nil"/>
              <w:left w:val="nil"/>
              <w:bottom w:val="single" w:color="auto" w:sz="8" w:space="0"/>
              <w:right w:val="single" w:color="auto" w:sz="8" w:space="0"/>
            </w:tcBorders>
            <w:vAlign w:val="center"/>
          </w:tcPr>
          <w:p w14:paraId="7CB93C6E">
            <w:pPr>
              <w:rPr>
                <w:color w:val="auto"/>
                <w:kern w:val="0"/>
                <w:highlight w:val="none"/>
              </w:rPr>
            </w:pPr>
            <w:r>
              <w:rPr>
                <w:rFonts w:hint="eastAsia"/>
                <w:color w:val="auto"/>
                <w:kern w:val="0"/>
                <w:highlight w:val="none"/>
              </w:rPr>
              <w:t> </w:t>
            </w:r>
          </w:p>
        </w:tc>
      </w:tr>
      <w:tr w14:paraId="630CB932">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1EA46397">
            <w:pPr>
              <w:rPr>
                <w:color w:val="auto"/>
                <w:kern w:val="0"/>
                <w:highlight w:val="none"/>
              </w:rPr>
            </w:pPr>
            <w:r>
              <w:rPr>
                <w:rFonts w:hint="eastAsia"/>
                <w:color w:val="auto"/>
                <w:kern w:val="0"/>
                <w:highlight w:val="none"/>
              </w:rPr>
              <w:t> </w:t>
            </w:r>
          </w:p>
        </w:tc>
        <w:tc>
          <w:tcPr>
            <w:tcW w:w="1681" w:type="dxa"/>
            <w:tcBorders>
              <w:top w:val="nil"/>
              <w:left w:val="nil"/>
              <w:bottom w:val="single" w:color="auto" w:sz="8" w:space="0"/>
              <w:right w:val="single" w:color="auto" w:sz="8" w:space="0"/>
            </w:tcBorders>
            <w:vAlign w:val="center"/>
          </w:tcPr>
          <w:p w14:paraId="4FDD5173">
            <w:pPr>
              <w:rPr>
                <w:color w:val="auto"/>
                <w:kern w:val="0"/>
                <w:highlight w:val="none"/>
              </w:rPr>
            </w:pPr>
            <w:r>
              <w:rPr>
                <w:rFonts w:hint="eastAsia"/>
                <w:color w:val="auto"/>
                <w:kern w:val="0"/>
                <w:highlight w:val="none"/>
              </w:rPr>
              <w:t> </w:t>
            </w:r>
          </w:p>
        </w:tc>
        <w:tc>
          <w:tcPr>
            <w:tcW w:w="2681" w:type="dxa"/>
            <w:gridSpan w:val="2"/>
            <w:tcBorders>
              <w:top w:val="nil"/>
              <w:left w:val="nil"/>
              <w:bottom w:val="single" w:color="auto" w:sz="8" w:space="0"/>
              <w:right w:val="single" w:color="auto" w:sz="8" w:space="0"/>
            </w:tcBorders>
            <w:vAlign w:val="center"/>
          </w:tcPr>
          <w:p w14:paraId="027B4257">
            <w:pPr>
              <w:rPr>
                <w:color w:val="auto"/>
                <w:kern w:val="0"/>
                <w:highlight w:val="none"/>
              </w:rPr>
            </w:pPr>
            <w:r>
              <w:rPr>
                <w:rFonts w:hint="eastAsia"/>
                <w:color w:val="auto"/>
                <w:kern w:val="0"/>
                <w:highlight w:val="none"/>
              </w:rPr>
              <w:t> </w:t>
            </w:r>
          </w:p>
        </w:tc>
        <w:tc>
          <w:tcPr>
            <w:tcW w:w="906" w:type="dxa"/>
            <w:gridSpan w:val="2"/>
            <w:tcBorders>
              <w:top w:val="nil"/>
              <w:left w:val="nil"/>
              <w:bottom w:val="single" w:color="auto" w:sz="8" w:space="0"/>
              <w:right w:val="single" w:color="auto" w:sz="8" w:space="0"/>
            </w:tcBorders>
            <w:vAlign w:val="center"/>
          </w:tcPr>
          <w:p w14:paraId="2AFD868C">
            <w:pPr>
              <w:rPr>
                <w:color w:val="auto"/>
                <w:kern w:val="0"/>
                <w:highlight w:val="none"/>
              </w:rPr>
            </w:pPr>
            <w:r>
              <w:rPr>
                <w:rFonts w:hint="eastAsia"/>
                <w:color w:val="auto"/>
                <w:kern w:val="0"/>
                <w:highlight w:val="none"/>
              </w:rPr>
              <w:t> </w:t>
            </w:r>
          </w:p>
        </w:tc>
        <w:tc>
          <w:tcPr>
            <w:tcW w:w="1796" w:type="dxa"/>
            <w:tcBorders>
              <w:top w:val="nil"/>
              <w:left w:val="nil"/>
              <w:bottom w:val="single" w:color="auto" w:sz="8" w:space="0"/>
              <w:right w:val="single" w:color="auto" w:sz="8" w:space="0"/>
            </w:tcBorders>
            <w:vAlign w:val="center"/>
          </w:tcPr>
          <w:p w14:paraId="2A2A245C">
            <w:pPr>
              <w:rPr>
                <w:color w:val="auto"/>
                <w:kern w:val="0"/>
                <w:highlight w:val="none"/>
              </w:rPr>
            </w:pPr>
            <w:r>
              <w:rPr>
                <w:rFonts w:hint="eastAsia"/>
                <w:color w:val="auto"/>
                <w:kern w:val="0"/>
                <w:highlight w:val="none"/>
              </w:rPr>
              <w:t> </w:t>
            </w:r>
          </w:p>
        </w:tc>
      </w:tr>
      <w:tr w14:paraId="5CD271D5">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5F6AEED4">
            <w:pPr>
              <w:rPr>
                <w:color w:val="auto"/>
                <w:kern w:val="0"/>
                <w:highlight w:val="none"/>
              </w:rPr>
            </w:pPr>
            <w:r>
              <w:rPr>
                <w:rFonts w:hint="eastAsia"/>
                <w:color w:val="auto"/>
                <w:kern w:val="0"/>
                <w:highlight w:val="none"/>
              </w:rPr>
              <w:t> </w:t>
            </w:r>
          </w:p>
        </w:tc>
        <w:tc>
          <w:tcPr>
            <w:tcW w:w="1681" w:type="dxa"/>
            <w:tcBorders>
              <w:top w:val="nil"/>
              <w:left w:val="nil"/>
              <w:bottom w:val="single" w:color="auto" w:sz="8" w:space="0"/>
              <w:right w:val="single" w:color="auto" w:sz="8" w:space="0"/>
            </w:tcBorders>
            <w:vAlign w:val="center"/>
          </w:tcPr>
          <w:p w14:paraId="192A8B77">
            <w:pPr>
              <w:rPr>
                <w:color w:val="auto"/>
                <w:kern w:val="0"/>
                <w:highlight w:val="none"/>
              </w:rPr>
            </w:pPr>
            <w:r>
              <w:rPr>
                <w:rFonts w:hint="eastAsia"/>
                <w:color w:val="auto"/>
                <w:kern w:val="0"/>
                <w:highlight w:val="none"/>
              </w:rPr>
              <w:t> </w:t>
            </w:r>
          </w:p>
        </w:tc>
        <w:tc>
          <w:tcPr>
            <w:tcW w:w="2681" w:type="dxa"/>
            <w:gridSpan w:val="2"/>
            <w:tcBorders>
              <w:top w:val="nil"/>
              <w:left w:val="nil"/>
              <w:bottom w:val="single" w:color="auto" w:sz="8" w:space="0"/>
              <w:right w:val="single" w:color="auto" w:sz="8" w:space="0"/>
            </w:tcBorders>
            <w:vAlign w:val="center"/>
          </w:tcPr>
          <w:p w14:paraId="0693DC8A">
            <w:pPr>
              <w:rPr>
                <w:color w:val="auto"/>
                <w:kern w:val="0"/>
                <w:highlight w:val="none"/>
              </w:rPr>
            </w:pPr>
            <w:r>
              <w:rPr>
                <w:rFonts w:hint="eastAsia"/>
                <w:color w:val="auto"/>
                <w:kern w:val="0"/>
                <w:highlight w:val="none"/>
              </w:rPr>
              <w:t> </w:t>
            </w:r>
          </w:p>
        </w:tc>
        <w:tc>
          <w:tcPr>
            <w:tcW w:w="906" w:type="dxa"/>
            <w:gridSpan w:val="2"/>
            <w:tcBorders>
              <w:top w:val="nil"/>
              <w:left w:val="nil"/>
              <w:bottom w:val="single" w:color="auto" w:sz="8" w:space="0"/>
              <w:right w:val="single" w:color="auto" w:sz="8" w:space="0"/>
            </w:tcBorders>
            <w:vAlign w:val="center"/>
          </w:tcPr>
          <w:p w14:paraId="4AA8352B">
            <w:pPr>
              <w:rPr>
                <w:color w:val="auto"/>
                <w:kern w:val="0"/>
                <w:highlight w:val="none"/>
              </w:rPr>
            </w:pPr>
            <w:r>
              <w:rPr>
                <w:rFonts w:hint="eastAsia"/>
                <w:color w:val="auto"/>
                <w:kern w:val="0"/>
                <w:highlight w:val="none"/>
              </w:rPr>
              <w:t> </w:t>
            </w:r>
          </w:p>
        </w:tc>
        <w:tc>
          <w:tcPr>
            <w:tcW w:w="1796" w:type="dxa"/>
            <w:tcBorders>
              <w:top w:val="nil"/>
              <w:left w:val="nil"/>
              <w:bottom w:val="single" w:color="auto" w:sz="8" w:space="0"/>
              <w:right w:val="single" w:color="auto" w:sz="8" w:space="0"/>
            </w:tcBorders>
            <w:vAlign w:val="center"/>
          </w:tcPr>
          <w:p w14:paraId="79A0265F">
            <w:pPr>
              <w:rPr>
                <w:color w:val="auto"/>
                <w:kern w:val="0"/>
                <w:highlight w:val="none"/>
              </w:rPr>
            </w:pPr>
            <w:r>
              <w:rPr>
                <w:rFonts w:hint="eastAsia"/>
                <w:color w:val="auto"/>
                <w:kern w:val="0"/>
                <w:highlight w:val="none"/>
              </w:rPr>
              <w:t> </w:t>
            </w:r>
          </w:p>
        </w:tc>
      </w:tr>
      <w:tr w14:paraId="736A05F8">
        <w:tblPrEx>
          <w:tblCellMar>
            <w:top w:w="0" w:type="dxa"/>
            <w:left w:w="0" w:type="dxa"/>
            <w:bottom w:w="0" w:type="dxa"/>
            <w:right w:w="0" w:type="dxa"/>
          </w:tblCellMar>
        </w:tblPrEx>
        <w:trPr>
          <w:trHeight w:val="487" w:hRule="atLeast"/>
          <w:jc w:val="center"/>
        </w:trPr>
        <w:tc>
          <w:tcPr>
            <w:tcW w:w="5940" w:type="dxa"/>
            <w:gridSpan w:val="4"/>
            <w:tcBorders>
              <w:top w:val="nil"/>
              <w:left w:val="single" w:color="auto" w:sz="8" w:space="0"/>
              <w:bottom w:val="single" w:color="auto" w:sz="8" w:space="0"/>
              <w:right w:val="single" w:color="auto" w:sz="8" w:space="0"/>
            </w:tcBorders>
            <w:vAlign w:val="center"/>
          </w:tcPr>
          <w:p w14:paraId="4FDA018C">
            <w:pPr>
              <w:rPr>
                <w:color w:val="auto"/>
                <w:kern w:val="0"/>
                <w:highlight w:val="none"/>
              </w:rPr>
            </w:pPr>
            <w:r>
              <w:rPr>
                <w:rFonts w:hint="eastAsia"/>
                <w:color w:val="auto"/>
                <w:kern w:val="0"/>
                <w:highlight w:val="none"/>
              </w:rPr>
              <w:t>合       计</w:t>
            </w:r>
          </w:p>
        </w:tc>
        <w:tc>
          <w:tcPr>
            <w:tcW w:w="906" w:type="dxa"/>
            <w:gridSpan w:val="2"/>
            <w:tcBorders>
              <w:top w:val="nil"/>
              <w:left w:val="nil"/>
              <w:bottom w:val="single" w:color="auto" w:sz="8" w:space="0"/>
              <w:right w:val="single" w:color="auto" w:sz="8" w:space="0"/>
            </w:tcBorders>
            <w:vAlign w:val="center"/>
          </w:tcPr>
          <w:p w14:paraId="36B7BD10">
            <w:pPr>
              <w:rPr>
                <w:color w:val="auto"/>
                <w:kern w:val="0"/>
                <w:highlight w:val="none"/>
              </w:rPr>
            </w:pPr>
            <w:r>
              <w:rPr>
                <w:rFonts w:hint="eastAsia"/>
                <w:color w:val="auto"/>
                <w:kern w:val="0"/>
                <w:highlight w:val="none"/>
              </w:rPr>
              <w:t> </w:t>
            </w:r>
          </w:p>
        </w:tc>
        <w:tc>
          <w:tcPr>
            <w:tcW w:w="1796" w:type="dxa"/>
            <w:tcBorders>
              <w:top w:val="nil"/>
              <w:left w:val="nil"/>
              <w:bottom w:val="single" w:color="auto" w:sz="8" w:space="0"/>
              <w:right w:val="single" w:color="auto" w:sz="8" w:space="0"/>
            </w:tcBorders>
            <w:vAlign w:val="center"/>
          </w:tcPr>
          <w:p w14:paraId="74A2EE03">
            <w:pPr>
              <w:rPr>
                <w:color w:val="auto"/>
                <w:kern w:val="0"/>
                <w:highlight w:val="none"/>
              </w:rPr>
            </w:pPr>
            <w:r>
              <w:rPr>
                <w:rFonts w:hint="eastAsia"/>
                <w:color w:val="auto"/>
                <w:kern w:val="0"/>
                <w:highlight w:val="none"/>
              </w:rPr>
              <w:t> </w:t>
            </w:r>
          </w:p>
        </w:tc>
      </w:tr>
      <w:tr w14:paraId="5AF1B7F8">
        <w:tblPrEx>
          <w:tblCellMar>
            <w:top w:w="0" w:type="dxa"/>
            <w:left w:w="0" w:type="dxa"/>
            <w:bottom w:w="0" w:type="dxa"/>
            <w:right w:w="0" w:type="dxa"/>
          </w:tblCellMar>
        </w:tblPrEx>
        <w:trPr>
          <w:trHeight w:val="641" w:hRule="atLeast"/>
          <w:jc w:val="center"/>
        </w:trPr>
        <w:tc>
          <w:tcPr>
            <w:tcW w:w="8642" w:type="dxa"/>
            <w:gridSpan w:val="7"/>
            <w:tcBorders>
              <w:top w:val="nil"/>
              <w:left w:val="single" w:color="auto" w:sz="8" w:space="0"/>
              <w:bottom w:val="single" w:color="auto" w:sz="8" w:space="0"/>
              <w:right w:val="single" w:color="auto" w:sz="8" w:space="0"/>
            </w:tcBorders>
            <w:vAlign w:val="center"/>
          </w:tcPr>
          <w:p w14:paraId="56F3C6DC">
            <w:pPr>
              <w:rPr>
                <w:color w:val="auto"/>
                <w:kern w:val="0"/>
                <w:highlight w:val="none"/>
              </w:rPr>
            </w:pPr>
            <w:r>
              <w:rPr>
                <w:rFonts w:hint="eastAsia"/>
                <w:color w:val="auto"/>
                <w:kern w:val="0"/>
                <w:highlight w:val="none"/>
              </w:rPr>
              <w:t>合计大写金额：  仟   佰   拾   万   仟   佰   拾   元</w:t>
            </w:r>
          </w:p>
        </w:tc>
      </w:tr>
      <w:tr w14:paraId="30EAF3CF">
        <w:tblPrEx>
          <w:tblCellMar>
            <w:top w:w="0" w:type="dxa"/>
            <w:left w:w="0" w:type="dxa"/>
            <w:bottom w:w="0" w:type="dxa"/>
            <w:right w:w="0" w:type="dxa"/>
          </w:tblCellMar>
        </w:tblPrEx>
        <w:trPr>
          <w:trHeight w:val="641" w:hRule="atLeast"/>
          <w:jc w:val="center"/>
        </w:trPr>
        <w:tc>
          <w:tcPr>
            <w:tcW w:w="1578" w:type="dxa"/>
            <w:tcBorders>
              <w:top w:val="nil"/>
              <w:left w:val="single" w:color="auto" w:sz="8" w:space="0"/>
              <w:bottom w:val="single" w:color="auto" w:sz="8" w:space="0"/>
              <w:right w:val="single" w:color="auto" w:sz="8" w:space="0"/>
            </w:tcBorders>
            <w:vAlign w:val="center"/>
          </w:tcPr>
          <w:p w14:paraId="75A28C22">
            <w:pPr>
              <w:ind w:firstLine="0" w:firstLineChars="0"/>
              <w:rPr>
                <w:color w:val="auto"/>
                <w:kern w:val="0"/>
                <w:highlight w:val="none"/>
              </w:rPr>
            </w:pPr>
            <w:r>
              <w:rPr>
                <w:rFonts w:hint="eastAsia"/>
                <w:color w:val="auto"/>
                <w:kern w:val="0"/>
                <w:highlight w:val="none"/>
              </w:rPr>
              <w:t>实际供货日期</w:t>
            </w:r>
          </w:p>
        </w:tc>
        <w:tc>
          <w:tcPr>
            <w:tcW w:w="2345" w:type="dxa"/>
            <w:gridSpan w:val="2"/>
            <w:tcBorders>
              <w:top w:val="nil"/>
              <w:left w:val="nil"/>
              <w:bottom w:val="single" w:color="auto" w:sz="8" w:space="0"/>
              <w:right w:val="single" w:color="auto" w:sz="8" w:space="0"/>
            </w:tcBorders>
            <w:vAlign w:val="center"/>
          </w:tcPr>
          <w:p w14:paraId="6C1E4E9F">
            <w:pPr>
              <w:rPr>
                <w:color w:val="auto"/>
                <w:kern w:val="0"/>
                <w:highlight w:val="none"/>
              </w:rPr>
            </w:pPr>
            <w:r>
              <w:rPr>
                <w:rFonts w:hint="eastAsia"/>
                <w:color w:val="auto"/>
                <w:kern w:val="0"/>
                <w:highlight w:val="none"/>
              </w:rPr>
              <w:t> </w:t>
            </w:r>
          </w:p>
        </w:tc>
        <w:tc>
          <w:tcPr>
            <w:tcW w:w="2203" w:type="dxa"/>
            <w:gridSpan w:val="2"/>
            <w:tcBorders>
              <w:top w:val="nil"/>
              <w:left w:val="nil"/>
              <w:bottom w:val="single" w:color="auto" w:sz="8" w:space="0"/>
              <w:right w:val="single" w:color="auto" w:sz="8" w:space="0"/>
            </w:tcBorders>
            <w:vAlign w:val="center"/>
          </w:tcPr>
          <w:p w14:paraId="7C07F405">
            <w:pPr>
              <w:rPr>
                <w:color w:val="auto"/>
                <w:kern w:val="0"/>
                <w:highlight w:val="none"/>
              </w:rPr>
            </w:pPr>
            <w:r>
              <w:rPr>
                <w:rFonts w:hint="eastAsia"/>
                <w:color w:val="auto"/>
                <w:kern w:val="0"/>
                <w:highlight w:val="none"/>
              </w:rPr>
              <w:t>合同交货验收日期</w:t>
            </w:r>
          </w:p>
        </w:tc>
        <w:tc>
          <w:tcPr>
            <w:tcW w:w="2516" w:type="dxa"/>
            <w:gridSpan w:val="2"/>
            <w:tcBorders>
              <w:top w:val="nil"/>
              <w:left w:val="nil"/>
              <w:bottom w:val="single" w:color="auto" w:sz="8" w:space="0"/>
              <w:right w:val="single" w:color="auto" w:sz="8" w:space="0"/>
            </w:tcBorders>
            <w:vAlign w:val="center"/>
          </w:tcPr>
          <w:p w14:paraId="17756435">
            <w:pPr>
              <w:rPr>
                <w:color w:val="auto"/>
                <w:kern w:val="0"/>
                <w:highlight w:val="none"/>
              </w:rPr>
            </w:pPr>
            <w:r>
              <w:rPr>
                <w:rFonts w:hint="eastAsia"/>
                <w:color w:val="auto"/>
                <w:kern w:val="0"/>
                <w:highlight w:val="none"/>
              </w:rPr>
              <w:t> </w:t>
            </w:r>
          </w:p>
        </w:tc>
      </w:tr>
      <w:tr w14:paraId="467AF765">
        <w:tblPrEx>
          <w:tblCellMar>
            <w:top w:w="0" w:type="dxa"/>
            <w:left w:w="0" w:type="dxa"/>
            <w:bottom w:w="0" w:type="dxa"/>
            <w:right w:w="0" w:type="dxa"/>
          </w:tblCellMar>
        </w:tblPrEx>
        <w:trPr>
          <w:trHeight w:val="394" w:hRule="atLeast"/>
          <w:jc w:val="center"/>
        </w:trPr>
        <w:tc>
          <w:tcPr>
            <w:tcW w:w="1578" w:type="dxa"/>
            <w:tcBorders>
              <w:top w:val="nil"/>
              <w:left w:val="single" w:color="auto" w:sz="8" w:space="0"/>
              <w:bottom w:val="single" w:color="auto" w:sz="8" w:space="0"/>
              <w:right w:val="single" w:color="auto" w:sz="8" w:space="0"/>
            </w:tcBorders>
            <w:vAlign w:val="center"/>
          </w:tcPr>
          <w:p w14:paraId="4401AB32">
            <w:pPr>
              <w:rPr>
                <w:color w:val="auto"/>
                <w:kern w:val="0"/>
                <w:highlight w:val="none"/>
              </w:rPr>
            </w:pPr>
            <w:r>
              <w:rPr>
                <w:rFonts w:hint="eastAsia"/>
                <w:color w:val="auto"/>
                <w:kern w:val="0"/>
                <w:highlight w:val="none"/>
              </w:rPr>
              <w:t> </w:t>
            </w:r>
          </w:p>
        </w:tc>
        <w:tc>
          <w:tcPr>
            <w:tcW w:w="2345" w:type="dxa"/>
            <w:gridSpan w:val="2"/>
            <w:tcBorders>
              <w:top w:val="nil"/>
              <w:left w:val="nil"/>
              <w:bottom w:val="single" w:color="auto" w:sz="8" w:space="0"/>
              <w:right w:val="single" w:color="auto" w:sz="8" w:space="0"/>
            </w:tcBorders>
            <w:vAlign w:val="center"/>
          </w:tcPr>
          <w:p w14:paraId="31CBAD92">
            <w:pPr>
              <w:rPr>
                <w:color w:val="auto"/>
                <w:kern w:val="0"/>
                <w:highlight w:val="none"/>
              </w:rPr>
            </w:pPr>
            <w:r>
              <w:rPr>
                <w:rFonts w:hint="eastAsia"/>
                <w:color w:val="auto"/>
                <w:kern w:val="0"/>
                <w:highlight w:val="none"/>
              </w:rPr>
              <w:t> </w:t>
            </w:r>
          </w:p>
        </w:tc>
        <w:tc>
          <w:tcPr>
            <w:tcW w:w="2203" w:type="dxa"/>
            <w:gridSpan w:val="2"/>
            <w:tcBorders>
              <w:top w:val="nil"/>
              <w:left w:val="nil"/>
              <w:bottom w:val="single" w:color="auto" w:sz="8" w:space="0"/>
              <w:right w:val="single" w:color="auto" w:sz="8" w:space="0"/>
            </w:tcBorders>
            <w:vAlign w:val="center"/>
          </w:tcPr>
          <w:p w14:paraId="39A3E79F">
            <w:pPr>
              <w:rPr>
                <w:color w:val="auto"/>
                <w:kern w:val="0"/>
                <w:highlight w:val="none"/>
              </w:rPr>
            </w:pPr>
            <w:r>
              <w:rPr>
                <w:rFonts w:hint="eastAsia"/>
                <w:color w:val="auto"/>
                <w:kern w:val="0"/>
                <w:highlight w:val="none"/>
              </w:rPr>
              <w:t> </w:t>
            </w:r>
          </w:p>
        </w:tc>
        <w:tc>
          <w:tcPr>
            <w:tcW w:w="2516" w:type="dxa"/>
            <w:gridSpan w:val="2"/>
            <w:tcBorders>
              <w:top w:val="nil"/>
              <w:left w:val="nil"/>
              <w:bottom w:val="single" w:color="auto" w:sz="8" w:space="0"/>
              <w:right w:val="single" w:color="auto" w:sz="8" w:space="0"/>
            </w:tcBorders>
            <w:vAlign w:val="center"/>
          </w:tcPr>
          <w:p w14:paraId="31CE9F3E">
            <w:pPr>
              <w:rPr>
                <w:color w:val="auto"/>
                <w:kern w:val="0"/>
                <w:highlight w:val="none"/>
              </w:rPr>
            </w:pPr>
            <w:r>
              <w:rPr>
                <w:rFonts w:hint="eastAsia"/>
                <w:color w:val="auto"/>
                <w:kern w:val="0"/>
                <w:highlight w:val="none"/>
              </w:rPr>
              <w:t> </w:t>
            </w:r>
          </w:p>
        </w:tc>
      </w:tr>
      <w:tr w14:paraId="7F97BC0A">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57FA71">
            <w:pPr>
              <w:ind w:firstLine="0" w:firstLineChars="0"/>
              <w:rPr>
                <w:color w:val="auto"/>
                <w:kern w:val="0"/>
                <w:highlight w:val="none"/>
              </w:rPr>
            </w:pPr>
            <w:r>
              <w:rPr>
                <w:rFonts w:hint="eastAsia"/>
                <w:color w:val="auto"/>
                <w:kern w:val="0"/>
                <w:highlight w:val="none"/>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4E8D078E">
            <w:pPr>
              <w:rPr>
                <w:color w:val="auto"/>
                <w:kern w:val="0"/>
                <w:highlight w:val="none"/>
              </w:rPr>
            </w:pPr>
            <w:r>
              <w:rPr>
                <w:rFonts w:hint="eastAsia"/>
                <w:color w:val="auto"/>
                <w:kern w:val="0"/>
                <w:highlight w:val="none"/>
              </w:rPr>
              <w:t>（应按采购合同、采购文件、投标文件及验收方案等进行验收；并核对中标或者成交供应商在安装调试等方面是否违反合同约定或服务规范要求、提供的质量保证证明材料是否齐全、应有的配件及附件是否达到合同约定等。可附件)</w:t>
            </w:r>
          </w:p>
        </w:tc>
      </w:tr>
      <w:tr w14:paraId="3E08CE18">
        <w:tblPrEx>
          <w:tblCellMar>
            <w:top w:w="0" w:type="dxa"/>
            <w:left w:w="0" w:type="dxa"/>
            <w:bottom w:w="0" w:type="dxa"/>
            <w:right w:w="0" w:type="dxa"/>
          </w:tblCellMar>
        </w:tblPrEx>
        <w:trPr>
          <w:trHeight w:val="65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9AB44B">
            <w:pPr>
              <w:ind w:firstLine="0" w:firstLineChars="0"/>
              <w:rPr>
                <w:color w:val="auto"/>
                <w:kern w:val="0"/>
                <w:highlight w:val="none"/>
              </w:rPr>
            </w:pPr>
            <w:r>
              <w:rPr>
                <w:rFonts w:hint="eastAsia"/>
                <w:color w:val="auto"/>
                <w:kern w:val="0"/>
                <w:highlight w:val="none"/>
              </w:rPr>
              <w:t>验收小组意见</w:t>
            </w:r>
          </w:p>
        </w:tc>
        <w:tc>
          <w:tcPr>
            <w:tcW w:w="7064" w:type="dxa"/>
            <w:gridSpan w:val="6"/>
            <w:tcBorders>
              <w:top w:val="nil"/>
              <w:left w:val="nil"/>
              <w:bottom w:val="single" w:color="auto" w:sz="8" w:space="0"/>
              <w:right w:val="single" w:color="auto" w:sz="8" w:space="0"/>
            </w:tcBorders>
            <w:vAlign w:val="center"/>
          </w:tcPr>
          <w:p w14:paraId="441BA57E">
            <w:pPr>
              <w:ind w:firstLine="0" w:firstLineChars="0"/>
              <w:rPr>
                <w:color w:val="auto"/>
                <w:kern w:val="0"/>
                <w:highlight w:val="none"/>
              </w:rPr>
            </w:pPr>
            <w:r>
              <w:rPr>
                <w:rFonts w:hint="eastAsia"/>
                <w:color w:val="auto"/>
                <w:kern w:val="0"/>
                <w:highlight w:val="none"/>
              </w:rPr>
              <w:t>验收结论性意见：</w:t>
            </w:r>
          </w:p>
        </w:tc>
      </w:tr>
      <w:tr w14:paraId="3D959279">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14:paraId="0D752F0B">
            <w:pPr>
              <w:rPr>
                <w:color w:val="auto"/>
                <w:kern w:val="0"/>
                <w:highlight w:val="none"/>
              </w:rPr>
            </w:pPr>
          </w:p>
        </w:tc>
        <w:tc>
          <w:tcPr>
            <w:tcW w:w="7064" w:type="dxa"/>
            <w:gridSpan w:val="6"/>
            <w:tcBorders>
              <w:top w:val="nil"/>
              <w:left w:val="nil"/>
              <w:bottom w:val="single" w:color="auto" w:sz="8" w:space="0"/>
              <w:right w:val="single" w:color="auto" w:sz="8" w:space="0"/>
            </w:tcBorders>
            <w:vAlign w:val="center"/>
          </w:tcPr>
          <w:p w14:paraId="26C881C8">
            <w:pPr>
              <w:ind w:firstLine="0" w:firstLineChars="0"/>
              <w:rPr>
                <w:rFonts w:hint="eastAsia"/>
                <w:color w:val="auto"/>
                <w:kern w:val="0"/>
                <w:highlight w:val="none"/>
              </w:rPr>
            </w:pPr>
            <w:r>
              <w:rPr>
                <w:rFonts w:hint="eastAsia"/>
                <w:color w:val="auto"/>
                <w:kern w:val="0"/>
                <w:highlight w:val="none"/>
              </w:rPr>
              <w:t>有异议的意见和说明理由：            </w:t>
            </w:r>
          </w:p>
          <w:p w14:paraId="4FDB98C9">
            <w:pPr>
              <w:ind w:firstLine="0" w:firstLineChars="0"/>
              <w:rPr>
                <w:color w:val="auto"/>
                <w:kern w:val="0"/>
                <w:highlight w:val="none"/>
              </w:rPr>
            </w:pPr>
            <w:r>
              <w:rPr>
                <w:rFonts w:hint="eastAsia"/>
                <w:color w:val="auto"/>
                <w:kern w:val="0"/>
                <w:highlight w:val="none"/>
              </w:rPr>
              <w:t>签字：</w:t>
            </w:r>
          </w:p>
        </w:tc>
      </w:tr>
      <w:tr w14:paraId="6A83C858">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D60FC2">
            <w:pPr>
              <w:rPr>
                <w:color w:val="auto"/>
                <w:kern w:val="0"/>
                <w:highlight w:val="none"/>
              </w:rPr>
            </w:pPr>
            <w:r>
              <w:rPr>
                <w:rFonts w:hint="eastAsia"/>
                <w:color w:val="auto"/>
                <w:kern w:val="0"/>
                <w:highlight w:val="none"/>
              </w:rPr>
              <w:t>验收小组成员签字：</w:t>
            </w:r>
          </w:p>
        </w:tc>
      </w:tr>
      <w:tr w14:paraId="349D39DD">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8746D9">
            <w:pPr>
              <w:rPr>
                <w:color w:val="auto"/>
                <w:kern w:val="0"/>
                <w:highlight w:val="none"/>
              </w:rPr>
            </w:pPr>
            <w:r>
              <w:rPr>
                <w:rFonts w:hint="eastAsia"/>
                <w:color w:val="auto"/>
                <w:kern w:val="0"/>
                <w:highlight w:val="none"/>
              </w:rPr>
              <w:t>监督人员或其他相关人员签字：</w:t>
            </w:r>
          </w:p>
          <w:p w14:paraId="57A57A5B">
            <w:pPr>
              <w:rPr>
                <w:color w:val="auto"/>
                <w:kern w:val="0"/>
                <w:highlight w:val="none"/>
              </w:rPr>
            </w:pPr>
            <w:r>
              <w:rPr>
                <w:rFonts w:hint="eastAsia"/>
                <w:color w:val="auto"/>
                <w:kern w:val="0"/>
                <w:highlight w:val="none"/>
              </w:rPr>
              <w:t>或受邀机构的意见（盖章）：</w:t>
            </w:r>
          </w:p>
        </w:tc>
      </w:tr>
      <w:tr w14:paraId="0655C114">
        <w:tblPrEx>
          <w:tblCellMar>
            <w:top w:w="0" w:type="dxa"/>
            <w:left w:w="0" w:type="dxa"/>
            <w:bottom w:w="0" w:type="dxa"/>
            <w:right w:w="0" w:type="dxa"/>
          </w:tblCellMar>
        </w:tblPrEx>
        <w:trPr>
          <w:trHeight w:val="1047"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14:paraId="3BF97A02">
            <w:pPr>
              <w:ind w:firstLine="0" w:firstLineChars="0"/>
              <w:rPr>
                <w:color w:val="auto"/>
                <w:kern w:val="0"/>
                <w:highlight w:val="none"/>
              </w:rPr>
            </w:pPr>
            <w:r>
              <w:rPr>
                <w:rFonts w:hint="eastAsia"/>
                <w:color w:val="auto"/>
                <w:kern w:val="0"/>
                <w:highlight w:val="none"/>
              </w:rPr>
              <w:t>中标或者成交供应商负责人签字或盖章：</w:t>
            </w:r>
          </w:p>
          <w:p w14:paraId="2160FFA6">
            <w:pPr>
              <w:ind w:firstLine="0" w:firstLineChars="0"/>
              <w:rPr>
                <w:color w:val="auto"/>
                <w:kern w:val="0"/>
                <w:highlight w:val="none"/>
              </w:rPr>
            </w:pPr>
            <w:r>
              <w:rPr>
                <w:rFonts w:hint="eastAsia"/>
                <w:color w:val="auto"/>
                <w:kern w:val="0"/>
                <w:highlight w:val="none"/>
              </w:rPr>
              <w:t>联系电话：        年 月 日</w:t>
            </w:r>
          </w:p>
        </w:tc>
        <w:tc>
          <w:tcPr>
            <w:tcW w:w="4719" w:type="dxa"/>
            <w:gridSpan w:val="4"/>
            <w:tcBorders>
              <w:top w:val="nil"/>
              <w:left w:val="nil"/>
              <w:bottom w:val="single" w:color="auto" w:sz="8" w:space="0"/>
              <w:right w:val="single" w:color="auto" w:sz="8" w:space="0"/>
            </w:tcBorders>
            <w:vAlign w:val="center"/>
          </w:tcPr>
          <w:p w14:paraId="56163EAA">
            <w:pPr>
              <w:rPr>
                <w:color w:val="auto"/>
                <w:kern w:val="0"/>
                <w:highlight w:val="none"/>
              </w:rPr>
            </w:pPr>
            <w:r>
              <w:rPr>
                <w:rFonts w:hint="eastAsia"/>
                <w:color w:val="auto"/>
                <w:kern w:val="0"/>
                <w:highlight w:val="none"/>
              </w:rPr>
              <w:t>采购人或受托机构的意见（盖章）：</w:t>
            </w:r>
          </w:p>
          <w:p w14:paraId="105DA896">
            <w:pPr>
              <w:rPr>
                <w:color w:val="auto"/>
                <w:kern w:val="0"/>
                <w:highlight w:val="none"/>
              </w:rPr>
            </w:pPr>
            <w:r>
              <w:rPr>
                <w:rFonts w:hint="eastAsia"/>
                <w:color w:val="auto"/>
                <w:kern w:val="0"/>
                <w:highlight w:val="none"/>
              </w:rPr>
              <w:t>联系电话：        年  月  日</w:t>
            </w:r>
          </w:p>
        </w:tc>
      </w:tr>
    </w:tbl>
    <w:p w14:paraId="543A6862">
      <w:pPr>
        <w:rPr>
          <w:color w:val="auto"/>
          <w:highlight w:val="none"/>
        </w:rPr>
        <w:sectPr>
          <w:pgSz w:w="11906" w:h="16838"/>
          <w:pgMar w:top="1701" w:right="1701" w:bottom="1701" w:left="1701" w:header="851" w:footer="992" w:gutter="0"/>
          <w:cols w:space="720" w:num="1"/>
          <w:titlePg/>
          <w:docGrid w:linePitch="312" w:charSpace="0"/>
        </w:sectPr>
      </w:pPr>
    </w:p>
    <w:p w14:paraId="6D73B374">
      <w:pPr>
        <w:rPr>
          <w:color w:val="auto"/>
          <w:highlight w:val="none"/>
        </w:rPr>
      </w:pPr>
      <w:r>
        <w:rPr>
          <w:rFonts w:hint="eastAsia"/>
          <w:color w:val="auto"/>
          <w:highlight w:val="none"/>
        </w:rPr>
        <w:t>附件2：</w:t>
      </w:r>
    </w:p>
    <w:p w14:paraId="456E2A83">
      <w:pPr>
        <w:ind w:firstLine="560"/>
        <w:jc w:val="center"/>
        <w:rPr>
          <w:color w:val="auto"/>
          <w:sz w:val="28"/>
          <w:szCs w:val="28"/>
          <w:highlight w:val="none"/>
        </w:rPr>
      </w:pPr>
      <w:r>
        <w:rPr>
          <w:rFonts w:hint="eastAsia"/>
          <w:color w:val="auto"/>
          <w:sz w:val="28"/>
          <w:szCs w:val="28"/>
          <w:highlight w:val="none"/>
        </w:rPr>
        <w:t>政府采购项目履约保证金退付意见书</w:t>
      </w:r>
    </w:p>
    <w:tbl>
      <w:tblPr>
        <w:tblStyle w:val="47"/>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E1B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7" w:type="dxa"/>
            <w:vMerge w:val="restart"/>
            <w:vAlign w:val="center"/>
          </w:tcPr>
          <w:p w14:paraId="74B31005">
            <w:pPr>
              <w:ind w:left="0" w:leftChars="0" w:firstLine="0" w:firstLineChars="0"/>
              <w:rPr>
                <w:color w:val="auto"/>
                <w:highlight w:val="none"/>
              </w:rPr>
            </w:pPr>
            <w:r>
              <w:rPr>
                <w:rFonts w:hint="eastAsia"/>
                <w:color w:val="auto"/>
                <w:highlight w:val="none"/>
              </w:rPr>
              <w:t>供应商申请</w:t>
            </w:r>
          </w:p>
        </w:tc>
        <w:tc>
          <w:tcPr>
            <w:tcW w:w="8009" w:type="dxa"/>
            <w:vAlign w:val="center"/>
          </w:tcPr>
          <w:p w14:paraId="01029DFF">
            <w:pPr>
              <w:rPr>
                <w:color w:val="auto"/>
                <w:highlight w:val="none"/>
              </w:rPr>
            </w:pPr>
            <w:r>
              <w:rPr>
                <w:rFonts w:hint="eastAsia"/>
                <w:color w:val="auto"/>
                <w:highlight w:val="none"/>
              </w:rPr>
              <w:t>项目编号：</w:t>
            </w:r>
          </w:p>
        </w:tc>
      </w:tr>
      <w:tr w14:paraId="0C2A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B491BC3">
            <w:pPr>
              <w:rPr>
                <w:color w:val="auto"/>
                <w:highlight w:val="none"/>
              </w:rPr>
            </w:pPr>
          </w:p>
        </w:tc>
        <w:tc>
          <w:tcPr>
            <w:tcW w:w="8009" w:type="dxa"/>
            <w:vAlign w:val="center"/>
          </w:tcPr>
          <w:p w14:paraId="52D0625D">
            <w:pPr>
              <w:rPr>
                <w:color w:val="auto"/>
                <w:highlight w:val="none"/>
              </w:rPr>
            </w:pPr>
            <w:r>
              <w:rPr>
                <w:rFonts w:hint="eastAsia"/>
                <w:color w:val="auto"/>
                <w:highlight w:val="none"/>
              </w:rPr>
              <w:t>项目名称：</w:t>
            </w:r>
          </w:p>
        </w:tc>
      </w:tr>
      <w:tr w14:paraId="207D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73AFD720">
            <w:pPr>
              <w:rPr>
                <w:color w:val="auto"/>
                <w:highlight w:val="none"/>
              </w:rPr>
            </w:pPr>
          </w:p>
        </w:tc>
        <w:tc>
          <w:tcPr>
            <w:tcW w:w="8009" w:type="dxa"/>
            <w:vAlign w:val="center"/>
          </w:tcPr>
          <w:p w14:paraId="42985AF6">
            <w:pPr>
              <w:rPr>
                <w:color w:val="auto"/>
                <w:highlight w:val="none"/>
              </w:rPr>
            </w:pPr>
            <w:r>
              <w:rPr>
                <w:rFonts w:hint="eastAsia"/>
                <w:color w:val="auto"/>
                <w:highlight w:val="none"/>
              </w:rPr>
              <w:t>合同编号：</w:t>
            </w:r>
          </w:p>
        </w:tc>
      </w:tr>
      <w:tr w14:paraId="5D44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2AA96903">
            <w:pPr>
              <w:rPr>
                <w:color w:val="auto"/>
                <w:highlight w:val="none"/>
              </w:rPr>
            </w:pPr>
          </w:p>
        </w:tc>
        <w:tc>
          <w:tcPr>
            <w:tcW w:w="8009" w:type="dxa"/>
          </w:tcPr>
          <w:p w14:paraId="1F6EEBB6">
            <w:pPr>
              <w:rPr>
                <w:color w:val="auto"/>
                <w:highlight w:val="none"/>
              </w:rPr>
            </w:pPr>
            <w:r>
              <w:rPr>
                <w:rFonts w:hint="eastAsia"/>
                <w:color w:val="auto"/>
                <w:highlight w:val="none"/>
              </w:rPr>
              <w:t xml:space="preserve"> 该项目已于       年     月     日验收并交付使用。根据合同规定，该项目的履约保证金期限于         年      月      日已满，请将履约保证金（大写金额）                              ，（小写金额）¥          退付到达以下帐户。</w:t>
            </w:r>
          </w:p>
          <w:p w14:paraId="7E9147A5">
            <w:pPr>
              <w:rPr>
                <w:color w:val="auto"/>
                <w:highlight w:val="none"/>
              </w:rPr>
            </w:pPr>
            <w:r>
              <w:rPr>
                <w:rFonts w:hint="eastAsia"/>
                <w:color w:val="auto"/>
                <w:highlight w:val="none"/>
              </w:rPr>
              <w:t>单位名称：</w:t>
            </w:r>
          </w:p>
          <w:p w14:paraId="3E554EC8">
            <w:pPr>
              <w:rPr>
                <w:color w:val="auto"/>
                <w:highlight w:val="none"/>
              </w:rPr>
            </w:pPr>
            <w:r>
              <w:rPr>
                <w:rFonts w:hint="eastAsia"/>
                <w:color w:val="auto"/>
                <w:highlight w:val="none"/>
              </w:rPr>
              <w:t>开户银行：</w:t>
            </w:r>
          </w:p>
          <w:p w14:paraId="56CC9FE1">
            <w:pPr>
              <w:rPr>
                <w:color w:val="auto"/>
                <w:highlight w:val="none"/>
              </w:rPr>
            </w:pPr>
            <w:r>
              <w:rPr>
                <w:rFonts w:hint="eastAsia"/>
                <w:color w:val="auto"/>
                <w:highlight w:val="none"/>
              </w:rPr>
              <w:t>帐    号：</w:t>
            </w:r>
          </w:p>
          <w:p w14:paraId="70D3F06F">
            <w:pPr>
              <w:rPr>
                <w:color w:val="auto"/>
                <w:highlight w:val="none"/>
              </w:rPr>
            </w:pPr>
            <w:r>
              <w:rPr>
                <w:rFonts w:hint="eastAsia"/>
                <w:color w:val="auto"/>
                <w:highlight w:val="none"/>
              </w:rPr>
              <w:t>联系人及电话：</w:t>
            </w:r>
          </w:p>
          <w:p w14:paraId="47250C30">
            <w:pPr>
              <w:rPr>
                <w:color w:val="auto"/>
                <w:highlight w:val="none"/>
              </w:rPr>
            </w:pPr>
            <w:r>
              <w:rPr>
                <w:rFonts w:hint="eastAsia"/>
                <w:color w:val="auto"/>
                <w:highlight w:val="none"/>
              </w:rPr>
              <w:t xml:space="preserve">                           供应商公章：</w:t>
            </w:r>
          </w:p>
          <w:p w14:paraId="2250F01A">
            <w:pPr>
              <w:rPr>
                <w:color w:val="auto"/>
                <w:highlight w:val="none"/>
              </w:rPr>
            </w:pPr>
            <w:r>
              <w:rPr>
                <w:rFonts w:hint="eastAsia"/>
                <w:color w:val="auto"/>
                <w:highlight w:val="none"/>
              </w:rPr>
              <w:t xml:space="preserve">                                                年    月    日</w:t>
            </w:r>
          </w:p>
        </w:tc>
      </w:tr>
      <w:tr w14:paraId="0B44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14118909">
            <w:pPr>
              <w:ind w:left="0" w:leftChars="0" w:firstLine="0" w:firstLineChars="0"/>
              <w:rPr>
                <w:color w:val="auto"/>
                <w:highlight w:val="none"/>
              </w:rPr>
            </w:pPr>
            <w:r>
              <w:rPr>
                <w:rFonts w:hint="eastAsia"/>
                <w:color w:val="auto"/>
                <w:highlight w:val="none"/>
              </w:rPr>
              <w:t>采购单位意见</w:t>
            </w:r>
          </w:p>
        </w:tc>
        <w:tc>
          <w:tcPr>
            <w:tcW w:w="8009" w:type="dxa"/>
          </w:tcPr>
          <w:p w14:paraId="0DF0719B">
            <w:pPr>
              <w:rPr>
                <w:color w:val="auto"/>
                <w:highlight w:val="none"/>
              </w:rPr>
            </w:pPr>
          </w:p>
          <w:p w14:paraId="21DF87C3">
            <w:pPr>
              <w:rPr>
                <w:color w:val="auto"/>
                <w:highlight w:val="none"/>
              </w:rPr>
            </w:pPr>
            <w:r>
              <w:rPr>
                <w:rFonts w:hint="eastAsia"/>
                <w:color w:val="auto"/>
                <w:highlight w:val="none"/>
              </w:rPr>
              <w:t>退付意见：是否同意退付履约保证金及退付金额：</w:t>
            </w:r>
          </w:p>
          <w:p w14:paraId="5B758121">
            <w:pPr>
              <w:rPr>
                <w:color w:val="auto"/>
                <w:highlight w:val="none"/>
              </w:rPr>
            </w:pPr>
          </w:p>
          <w:p w14:paraId="66CFC7C7">
            <w:pPr>
              <w:rPr>
                <w:color w:val="auto"/>
                <w:highlight w:val="none"/>
              </w:rPr>
            </w:pPr>
            <w:r>
              <w:rPr>
                <w:rFonts w:hint="eastAsia"/>
                <w:color w:val="auto"/>
                <w:highlight w:val="none"/>
              </w:rPr>
              <w:t xml:space="preserve">联系人及电话： </w:t>
            </w:r>
          </w:p>
          <w:p w14:paraId="0154C591">
            <w:pPr>
              <w:rPr>
                <w:color w:val="auto"/>
                <w:highlight w:val="none"/>
              </w:rPr>
            </w:pPr>
            <w:r>
              <w:rPr>
                <w:rFonts w:hint="eastAsia"/>
                <w:color w:val="auto"/>
                <w:highlight w:val="none"/>
              </w:rPr>
              <w:t xml:space="preserve">                               </w:t>
            </w:r>
          </w:p>
          <w:p w14:paraId="23FD7CBE">
            <w:pPr>
              <w:rPr>
                <w:color w:val="auto"/>
                <w:highlight w:val="none"/>
              </w:rPr>
            </w:pPr>
            <w:r>
              <w:rPr>
                <w:rFonts w:hint="eastAsia"/>
                <w:color w:val="auto"/>
                <w:highlight w:val="none"/>
              </w:rPr>
              <w:t>分管校领导签字：</w:t>
            </w:r>
          </w:p>
          <w:p w14:paraId="670671C2">
            <w:pPr>
              <w:rPr>
                <w:color w:val="auto"/>
                <w:highlight w:val="none"/>
              </w:rPr>
            </w:pPr>
          </w:p>
          <w:p w14:paraId="57330E6B">
            <w:pPr>
              <w:rPr>
                <w:color w:val="auto"/>
                <w:highlight w:val="none"/>
              </w:rPr>
            </w:pPr>
            <w:r>
              <w:rPr>
                <w:rFonts w:hint="eastAsia"/>
                <w:color w:val="auto"/>
                <w:highlight w:val="none"/>
              </w:rPr>
              <w:t xml:space="preserve"> 采购单位公章：</w:t>
            </w:r>
          </w:p>
          <w:p w14:paraId="75ED37A9">
            <w:pPr>
              <w:rPr>
                <w:color w:val="auto"/>
                <w:highlight w:val="none"/>
              </w:rPr>
            </w:pPr>
            <w:r>
              <w:rPr>
                <w:rFonts w:hint="eastAsia"/>
                <w:color w:val="auto"/>
                <w:highlight w:val="none"/>
              </w:rPr>
              <w:t xml:space="preserve">                                                年    月    日</w:t>
            </w:r>
          </w:p>
        </w:tc>
      </w:tr>
      <w:tr w14:paraId="1341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7" w:type="dxa"/>
            <w:vAlign w:val="center"/>
          </w:tcPr>
          <w:p w14:paraId="397C06C6">
            <w:pPr>
              <w:ind w:left="0" w:leftChars="0" w:firstLine="0" w:firstLineChars="0"/>
              <w:rPr>
                <w:color w:val="auto"/>
                <w:highlight w:val="none"/>
              </w:rPr>
            </w:pPr>
            <w:r>
              <w:rPr>
                <w:rFonts w:hint="eastAsia"/>
                <w:color w:val="auto"/>
                <w:highlight w:val="none"/>
              </w:rPr>
              <w:t>财务部门意见</w:t>
            </w:r>
          </w:p>
        </w:tc>
        <w:tc>
          <w:tcPr>
            <w:tcW w:w="8009" w:type="dxa"/>
          </w:tcPr>
          <w:p w14:paraId="312EADA8">
            <w:pPr>
              <w:rPr>
                <w:color w:val="auto"/>
                <w:highlight w:val="none"/>
              </w:rPr>
            </w:pPr>
            <w:r>
              <w:rPr>
                <w:rFonts w:hint="eastAsia"/>
                <w:color w:val="auto"/>
                <w:highlight w:val="none"/>
              </w:rPr>
              <w:t>此表于     年     月      日收到。</w:t>
            </w:r>
          </w:p>
          <w:p w14:paraId="34EA2CF3">
            <w:pPr>
              <w:rPr>
                <w:color w:val="auto"/>
                <w:highlight w:val="none"/>
              </w:rPr>
            </w:pPr>
          </w:p>
          <w:p w14:paraId="186DFDF5">
            <w:pPr>
              <w:rPr>
                <w:color w:val="auto"/>
                <w:highlight w:val="none"/>
              </w:rPr>
            </w:pPr>
            <w:r>
              <w:rPr>
                <w:rFonts w:hint="eastAsia"/>
                <w:color w:val="auto"/>
                <w:highlight w:val="none"/>
              </w:rPr>
              <w:t>会计审核：</w:t>
            </w:r>
          </w:p>
          <w:p w14:paraId="448A7171">
            <w:pPr>
              <w:rPr>
                <w:color w:val="auto"/>
                <w:highlight w:val="none"/>
              </w:rPr>
            </w:pPr>
            <w:r>
              <w:rPr>
                <w:rFonts w:hint="eastAsia"/>
                <w:color w:val="auto"/>
                <w:highlight w:val="none"/>
              </w:rPr>
              <w:t>财务负责人审核：</w:t>
            </w:r>
          </w:p>
          <w:p w14:paraId="14025B8B">
            <w:pPr>
              <w:rPr>
                <w:color w:val="auto"/>
                <w:highlight w:val="none"/>
              </w:rPr>
            </w:pPr>
            <w:r>
              <w:rPr>
                <w:rFonts w:hint="eastAsia"/>
                <w:color w:val="auto"/>
                <w:highlight w:val="none"/>
              </w:rPr>
              <w:t>出纳办理转账日期：</w:t>
            </w:r>
          </w:p>
        </w:tc>
      </w:tr>
    </w:tbl>
    <w:p w14:paraId="1CC19536">
      <w:pPr>
        <w:rPr>
          <w:color w:val="auto"/>
          <w:kern w:val="0"/>
          <w:highlight w:val="none"/>
        </w:rPr>
        <w:sectPr>
          <w:pgSz w:w="11906" w:h="16838"/>
          <w:pgMar w:top="1701" w:right="1701" w:bottom="1701" w:left="1701" w:header="851" w:footer="992" w:gutter="0"/>
          <w:cols w:space="720" w:num="1"/>
          <w:titlePg/>
          <w:docGrid w:linePitch="312" w:charSpace="0"/>
        </w:sectPr>
      </w:pPr>
    </w:p>
    <w:p w14:paraId="171F9CF7">
      <w:pPr>
        <w:pStyle w:val="3"/>
        <w:ind w:firstLine="643"/>
        <w:jc w:val="center"/>
        <w:rPr>
          <w:color w:val="auto"/>
          <w:highlight w:val="none"/>
        </w:rPr>
      </w:pPr>
      <w:bookmarkStart w:id="134" w:name="_Toc254970548"/>
      <w:bookmarkStart w:id="135" w:name="_Toc27597"/>
      <w:bookmarkStart w:id="136" w:name="_Toc254970689"/>
      <w:bookmarkStart w:id="137" w:name="_Toc330456896"/>
      <w:r>
        <w:rPr>
          <w:rFonts w:hint="eastAsia"/>
          <w:color w:val="auto"/>
          <w:highlight w:val="none"/>
        </w:rPr>
        <w:t>第四章  评标方法及评标标准</w:t>
      </w:r>
      <w:bookmarkEnd w:id="134"/>
      <w:bookmarkEnd w:id="135"/>
      <w:bookmarkEnd w:id="136"/>
      <w:bookmarkEnd w:id="137"/>
    </w:p>
    <w:p w14:paraId="5B44CF7D">
      <w:pPr>
        <w:ind w:firstLine="560"/>
        <w:jc w:val="center"/>
        <w:rPr>
          <w:color w:val="auto"/>
          <w:kern w:val="0"/>
          <w:sz w:val="28"/>
          <w:szCs w:val="28"/>
          <w:highlight w:val="none"/>
        </w:rPr>
      </w:pPr>
      <w:r>
        <w:rPr>
          <w:rFonts w:hint="eastAsia"/>
          <w:color w:val="auto"/>
          <w:kern w:val="0"/>
          <w:sz w:val="28"/>
          <w:szCs w:val="28"/>
          <w:highlight w:val="none"/>
        </w:rPr>
        <w:t>一、评标方法</w:t>
      </w:r>
    </w:p>
    <w:p w14:paraId="2B6FE008">
      <w:pPr>
        <w:rPr>
          <w:color w:val="auto"/>
          <w:kern w:val="0"/>
          <w:highlight w:val="none"/>
        </w:rPr>
      </w:pPr>
      <w:r>
        <w:rPr>
          <w:rFonts w:hint="eastAsia"/>
          <w:color w:val="auto"/>
          <w:kern w:val="0"/>
          <w:highlight w:val="none"/>
        </w:rPr>
        <w:t>综合评分法，是指投标文件满足招标文件全部实质性要求，且按照评审因素的量化指标评审得分最高的投标人为中标候选人的评标方法。</w:t>
      </w:r>
    </w:p>
    <w:p w14:paraId="2AEF6FBB">
      <w:pPr>
        <w:rPr>
          <w:color w:val="auto"/>
          <w:kern w:val="0"/>
          <w:highlight w:val="none"/>
        </w:rPr>
      </w:pPr>
      <w:r>
        <w:rPr>
          <w:rFonts w:hint="eastAsia"/>
          <w:color w:val="auto"/>
          <w:kern w:val="0"/>
          <w:highlight w:val="none"/>
        </w:rPr>
        <w:t>最低评标价法，是指投标文件满足招标文件全部实质性要求，且投标报价最低的投标人为中标候选人的评标方法。</w:t>
      </w:r>
    </w:p>
    <w:p w14:paraId="29886214">
      <w:pPr>
        <w:ind w:firstLine="560"/>
        <w:jc w:val="center"/>
        <w:rPr>
          <w:color w:val="auto"/>
          <w:kern w:val="0"/>
          <w:sz w:val="28"/>
          <w:szCs w:val="28"/>
          <w:highlight w:val="none"/>
        </w:rPr>
      </w:pPr>
      <w:r>
        <w:rPr>
          <w:rFonts w:hint="eastAsia"/>
          <w:color w:val="auto"/>
          <w:kern w:val="0"/>
          <w:sz w:val="28"/>
          <w:szCs w:val="28"/>
          <w:highlight w:val="none"/>
        </w:rPr>
        <w:t>二、评标程序</w:t>
      </w:r>
    </w:p>
    <w:p w14:paraId="0B14FBEA">
      <w:pPr>
        <w:rPr>
          <w:color w:val="auto"/>
          <w:highlight w:val="none"/>
        </w:rPr>
      </w:pPr>
      <w:r>
        <w:rPr>
          <w:rFonts w:hint="eastAsia"/>
          <w:color w:val="auto"/>
          <w:highlight w:val="none"/>
        </w:rPr>
        <w:t>1.符合性审查</w:t>
      </w:r>
    </w:p>
    <w:p w14:paraId="25CA0096">
      <w:pPr>
        <w:rPr>
          <w:color w:val="auto"/>
          <w:highlight w:val="none"/>
        </w:rPr>
      </w:pPr>
      <w:r>
        <w:rPr>
          <w:rFonts w:hint="eastAsia"/>
          <w:color w:val="auto"/>
          <w:highlight w:val="none"/>
        </w:rPr>
        <w:t>评标委员会应当对符合资格的投标人的投标文件进行投标报价、商务、技术等实质性内容符合性审查，以确定其是否满足招标文件的实质性要求。</w:t>
      </w:r>
    </w:p>
    <w:p w14:paraId="27517B8D">
      <w:pPr>
        <w:rPr>
          <w:color w:val="auto"/>
          <w:highlight w:val="none"/>
        </w:rPr>
      </w:pPr>
      <w:r>
        <w:rPr>
          <w:rFonts w:hint="eastAsia"/>
          <w:color w:val="auto"/>
          <w:highlight w:val="none"/>
        </w:rPr>
        <w:t>2</w:t>
      </w:r>
      <w:r>
        <w:rPr>
          <w:color w:val="auto"/>
          <w:highlight w:val="none"/>
        </w:rPr>
        <w:t>.</w:t>
      </w:r>
      <w:r>
        <w:rPr>
          <w:rFonts w:hint="eastAsia"/>
          <w:color w:val="auto"/>
          <w:highlight w:val="none"/>
        </w:rPr>
        <w:t>符合性审查不通过而导致投标无效的情形</w:t>
      </w:r>
    </w:p>
    <w:p w14:paraId="45E67370">
      <w:pPr>
        <w:rPr>
          <w:color w:val="auto"/>
          <w:highlight w:val="none"/>
        </w:rPr>
      </w:pPr>
      <w:r>
        <w:rPr>
          <w:rFonts w:hint="eastAsia"/>
          <w:color w:val="auto"/>
          <w:highlight w:val="none"/>
        </w:rPr>
        <w:t>投标人的投标文件中存在对招标文件的任何实质性要求和条件的负偏离，将被视为投标无效。</w:t>
      </w:r>
    </w:p>
    <w:p w14:paraId="50B7BCB0">
      <w:pPr>
        <w:rPr>
          <w:color w:val="auto"/>
          <w:highlight w:val="none"/>
        </w:rPr>
      </w:pPr>
      <w:r>
        <w:rPr>
          <w:rFonts w:hint="eastAsia"/>
          <w:color w:val="auto"/>
          <w:highlight w:val="none"/>
        </w:rPr>
        <w:t>2.1在报价评审时，如发现下列情形之一的，将被视为投标无效：</w:t>
      </w:r>
    </w:p>
    <w:p w14:paraId="665B4E96">
      <w:pPr>
        <w:ind w:firstLine="396"/>
        <w:rPr>
          <w:color w:val="auto"/>
          <w:highlight w:val="none"/>
        </w:rPr>
      </w:pPr>
      <w:r>
        <w:rPr>
          <w:rFonts w:hint="eastAsia"/>
          <w:color w:val="auto"/>
          <w:spacing w:val="-6"/>
          <w:highlight w:val="none"/>
        </w:rPr>
        <w:t>报价文件</w:t>
      </w:r>
      <w:r>
        <w:rPr>
          <w:rFonts w:hint="eastAsia"/>
          <w:color w:val="auto"/>
          <w:highlight w:val="none"/>
        </w:rPr>
        <w:t>未提供“投标人须知前附表”第13.1条规定中“必须提供”的文件资料的；</w:t>
      </w:r>
    </w:p>
    <w:p w14:paraId="12F32C6F">
      <w:pPr>
        <w:rPr>
          <w:color w:val="auto"/>
          <w:highlight w:val="none"/>
        </w:rPr>
      </w:pPr>
      <w:r>
        <w:rPr>
          <w:rFonts w:hint="eastAsia"/>
          <w:color w:val="auto"/>
          <w:highlight w:val="none"/>
        </w:rPr>
        <w:t>未采用人民币报价或者未按照招标文件标明的币种报价的；</w:t>
      </w:r>
    </w:p>
    <w:p w14:paraId="6A1FF9FC">
      <w:pPr>
        <w:rPr>
          <w:color w:val="auto"/>
          <w:highlight w:val="none"/>
        </w:rPr>
      </w:pPr>
      <w:r>
        <w:rPr>
          <w:rFonts w:hint="eastAsia"/>
          <w:color w:val="auto"/>
          <w:highlight w:val="none"/>
        </w:rPr>
        <w:t>各分标报价超出招标文件相应分标规定最高限价，或者超出相应分标采购预算金额的；</w:t>
      </w:r>
    </w:p>
    <w:p w14:paraId="7E7A4591">
      <w:pPr>
        <w:rPr>
          <w:color w:val="auto"/>
          <w:highlight w:val="none"/>
        </w:rPr>
      </w:pPr>
      <w:r>
        <w:rPr>
          <w:rFonts w:hint="eastAsia"/>
          <w:color w:val="auto"/>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F2709C5">
      <w:pPr>
        <w:rPr>
          <w:color w:val="auto"/>
          <w:highlight w:val="none"/>
        </w:rPr>
      </w:pPr>
      <w:r>
        <w:rPr>
          <w:rFonts w:hint="eastAsia"/>
          <w:color w:val="auto"/>
          <w:highlight w:val="none"/>
        </w:rPr>
        <w:t>修正后的报价，投标人不确认的；</w:t>
      </w:r>
    </w:p>
    <w:p w14:paraId="58EEEA25">
      <w:pPr>
        <w:rPr>
          <w:color w:val="auto"/>
          <w:highlight w:val="none"/>
        </w:rPr>
      </w:pPr>
      <w:r>
        <w:rPr>
          <w:rFonts w:hint="eastAsia"/>
          <w:color w:val="auto"/>
          <w:highlight w:val="none"/>
        </w:rPr>
        <w:t>投标人属于本章第</w:t>
      </w:r>
      <w:r>
        <w:rPr>
          <w:color w:val="auto"/>
          <w:highlight w:val="none"/>
        </w:rPr>
        <w:t>5.1</w:t>
      </w:r>
      <w:r>
        <w:rPr>
          <w:rFonts w:hint="eastAsia"/>
          <w:color w:val="auto"/>
          <w:highlight w:val="none"/>
        </w:rPr>
        <w:t>条（2）或者第5</w:t>
      </w:r>
      <w:r>
        <w:rPr>
          <w:color w:val="auto"/>
          <w:highlight w:val="none"/>
        </w:rPr>
        <w:t>.2条</w:t>
      </w:r>
      <w:r>
        <w:rPr>
          <w:rFonts w:hint="eastAsia"/>
          <w:color w:val="auto"/>
          <w:highlight w:val="none"/>
        </w:rPr>
        <w:t>（2）项情形的；</w:t>
      </w:r>
    </w:p>
    <w:p w14:paraId="21B9FDBB">
      <w:pPr>
        <w:ind w:firstLine="396"/>
        <w:rPr>
          <w:color w:val="auto"/>
          <w:highlight w:val="none"/>
        </w:rPr>
      </w:pPr>
      <w:r>
        <w:rPr>
          <w:rFonts w:hint="eastAsia"/>
          <w:color w:val="auto"/>
          <w:spacing w:val="-6"/>
          <w:highlight w:val="none"/>
        </w:rPr>
        <w:t>报价文件</w:t>
      </w:r>
      <w:r>
        <w:rPr>
          <w:rFonts w:hint="eastAsia"/>
          <w:color w:val="auto"/>
          <w:highlight w:val="none"/>
        </w:rPr>
        <w:t>响应的标的数量及单位与招标文件要求实质性不一致的。</w:t>
      </w:r>
    </w:p>
    <w:p w14:paraId="457863EA">
      <w:pPr>
        <w:rPr>
          <w:color w:val="auto"/>
          <w:highlight w:val="none"/>
        </w:rPr>
      </w:pPr>
      <w:r>
        <w:rPr>
          <w:rFonts w:hint="eastAsia"/>
          <w:color w:val="auto"/>
          <w:highlight w:val="none"/>
        </w:rPr>
        <w:t>2.2在商务评审时，如发现下列情形之一的，将被视为投标无效：</w:t>
      </w:r>
    </w:p>
    <w:p w14:paraId="1170F59F">
      <w:pPr>
        <w:rPr>
          <w:color w:val="auto"/>
          <w:highlight w:val="none"/>
        </w:rPr>
      </w:pPr>
      <w:r>
        <w:rPr>
          <w:rFonts w:hint="eastAsia"/>
          <w:color w:val="auto"/>
          <w:highlight w:val="none"/>
        </w:rPr>
        <w:t>投标文件未按招标文件要求签署、盖章的；</w:t>
      </w:r>
    </w:p>
    <w:p w14:paraId="160668C4">
      <w:pPr>
        <w:rPr>
          <w:color w:val="auto"/>
          <w:highlight w:val="none"/>
        </w:rPr>
      </w:pPr>
      <w:r>
        <w:rPr>
          <w:rFonts w:hint="eastAsia"/>
          <w:color w:val="auto"/>
          <w:highlight w:val="none"/>
        </w:rPr>
        <w:t>委托代理人未能出具有效身份证或者出具的身份证与授权委托书中的信息不符的；</w:t>
      </w:r>
    </w:p>
    <w:p w14:paraId="5BBA4E7D">
      <w:pPr>
        <w:rPr>
          <w:color w:val="auto"/>
          <w:highlight w:val="none"/>
        </w:rPr>
      </w:pPr>
      <w:r>
        <w:rPr>
          <w:rFonts w:hint="eastAsia"/>
          <w:color w:val="auto"/>
          <w:highlight w:val="none"/>
        </w:rPr>
        <w:t>为无效投标保证金的或者未按照招标文件的规定提交投标保证金的；</w:t>
      </w:r>
    </w:p>
    <w:p w14:paraId="6610A8F7">
      <w:pPr>
        <w:rPr>
          <w:color w:val="auto"/>
          <w:highlight w:val="none"/>
        </w:rPr>
      </w:pPr>
      <w:r>
        <w:rPr>
          <w:rFonts w:hint="eastAsia"/>
          <w:color w:val="auto"/>
          <w:highlight w:val="none"/>
        </w:rPr>
        <w:t>投标文件未提供“投标人须知前附表”第13.</w:t>
      </w:r>
      <w:r>
        <w:rPr>
          <w:color w:val="auto"/>
          <w:highlight w:val="none"/>
        </w:rPr>
        <w:t>1</w:t>
      </w:r>
      <w:r>
        <w:rPr>
          <w:rFonts w:hint="eastAsia"/>
          <w:color w:val="auto"/>
          <w:highlight w:val="none"/>
        </w:rPr>
        <w:t>条规定中“必须提供”或者“委托时必须提供”的文件资料的；</w:t>
      </w:r>
    </w:p>
    <w:p w14:paraId="207E7580">
      <w:pPr>
        <w:rPr>
          <w:color w:val="auto"/>
          <w:highlight w:val="none"/>
        </w:rPr>
      </w:pPr>
      <w:r>
        <w:rPr>
          <w:rFonts w:hint="eastAsia"/>
          <w:color w:val="auto"/>
          <w:highlight w:val="none"/>
        </w:rPr>
        <w:t>商务要求评审允许负偏离的条款数超过“投标人须知前附表”规定项数的；</w:t>
      </w:r>
    </w:p>
    <w:p w14:paraId="211DFBA7">
      <w:pPr>
        <w:rPr>
          <w:color w:val="auto"/>
          <w:highlight w:val="none"/>
        </w:rPr>
      </w:pPr>
      <w:r>
        <w:rPr>
          <w:rFonts w:hint="eastAsia"/>
          <w:color w:val="auto"/>
          <w:highlight w:val="none"/>
        </w:rPr>
        <w:t>投标文件的实质性内容未使用中文表述、使用计量单位不符合招标文件要求的；</w:t>
      </w:r>
    </w:p>
    <w:p w14:paraId="768F0724">
      <w:pPr>
        <w:rPr>
          <w:color w:val="auto"/>
          <w:highlight w:val="none"/>
        </w:rPr>
      </w:pPr>
      <w:r>
        <w:rPr>
          <w:rFonts w:hint="eastAsia"/>
          <w:color w:val="auto"/>
          <w:highlight w:val="none"/>
        </w:rPr>
        <w:t>投标文件中的文件资料因填写不齐全或者内容虚假或者出现其他情形而导致被评标委员会认定无效的；</w:t>
      </w:r>
    </w:p>
    <w:p w14:paraId="6F4584EB">
      <w:pPr>
        <w:rPr>
          <w:color w:val="auto"/>
          <w:highlight w:val="none"/>
        </w:rPr>
      </w:pPr>
      <w:r>
        <w:rPr>
          <w:rFonts w:hint="eastAsia"/>
          <w:color w:val="auto"/>
          <w:highlight w:val="none"/>
        </w:rPr>
        <w:t>投标文件含有采购人不能接受的附加条件的；</w:t>
      </w:r>
    </w:p>
    <w:p w14:paraId="75D30747">
      <w:pPr>
        <w:rPr>
          <w:color w:val="auto"/>
          <w:highlight w:val="none"/>
        </w:rPr>
      </w:pPr>
      <w:r>
        <w:rPr>
          <w:rFonts w:hint="eastAsia"/>
          <w:color w:val="auto"/>
          <w:highlight w:val="none"/>
        </w:rPr>
        <w:t>属于投标人须知正文第</w:t>
      </w:r>
      <w:r>
        <w:rPr>
          <w:color w:val="auto"/>
          <w:highlight w:val="none"/>
        </w:rPr>
        <w:t>9.2</w:t>
      </w:r>
      <w:r>
        <w:rPr>
          <w:rFonts w:hint="eastAsia"/>
          <w:color w:val="auto"/>
          <w:highlight w:val="none"/>
        </w:rPr>
        <w:t>条情形的；</w:t>
      </w:r>
    </w:p>
    <w:p w14:paraId="49E091C0">
      <w:pPr>
        <w:rPr>
          <w:color w:val="auto"/>
          <w:highlight w:val="none"/>
        </w:rPr>
      </w:pPr>
      <w:r>
        <w:rPr>
          <w:rFonts w:hint="eastAsia"/>
          <w:color w:val="auto"/>
          <w:highlight w:val="none"/>
        </w:rPr>
        <w:t>投标文件标注的项目名称或者项目编号与招标文件标注的项目名称或者项目编号不一致的；</w:t>
      </w:r>
    </w:p>
    <w:p w14:paraId="03EAC0C9">
      <w:pPr>
        <w:rPr>
          <w:color w:val="auto"/>
          <w:highlight w:val="none"/>
        </w:rPr>
      </w:pPr>
      <w:r>
        <w:rPr>
          <w:rFonts w:hint="eastAsia"/>
          <w:color w:val="auto"/>
          <w:highlight w:val="none"/>
        </w:rPr>
        <w:t>招标文件明确不允许分包，投标文件拟分包的；</w:t>
      </w:r>
    </w:p>
    <w:p w14:paraId="10176E5B">
      <w:pPr>
        <w:rPr>
          <w:color w:val="auto"/>
          <w:highlight w:val="none"/>
        </w:rPr>
      </w:pPr>
      <w:r>
        <w:rPr>
          <w:rFonts w:hint="eastAsia"/>
          <w:color w:val="auto"/>
          <w:highlight w:val="none"/>
        </w:rPr>
        <w:t>未响应招标文件实质性要求的；</w:t>
      </w:r>
    </w:p>
    <w:p w14:paraId="25149BD3">
      <w:pPr>
        <w:rPr>
          <w:color w:val="auto"/>
          <w:highlight w:val="none"/>
        </w:rPr>
      </w:pPr>
      <w:r>
        <w:rPr>
          <w:rFonts w:hint="eastAsia"/>
          <w:color w:val="auto"/>
          <w:highlight w:val="none"/>
        </w:rPr>
        <w:t>法律、法规和招标文件规定的其他无效情形。</w:t>
      </w:r>
    </w:p>
    <w:p w14:paraId="09914650">
      <w:pPr>
        <w:rPr>
          <w:color w:val="auto"/>
          <w:highlight w:val="none"/>
        </w:rPr>
      </w:pPr>
      <w:r>
        <w:rPr>
          <w:rFonts w:hint="eastAsia"/>
          <w:color w:val="auto"/>
          <w:highlight w:val="none"/>
        </w:rPr>
        <w:t>2.3在技术评审时，如发现下列情形之一的，将被视为投标无效：</w:t>
      </w:r>
    </w:p>
    <w:p w14:paraId="60CD8272">
      <w:pPr>
        <w:rPr>
          <w:color w:val="auto"/>
          <w:highlight w:val="none"/>
        </w:rPr>
      </w:pPr>
      <w:r>
        <w:rPr>
          <w:rFonts w:hint="eastAsia"/>
          <w:color w:val="auto"/>
          <w:highlight w:val="none"/>
        </w:rPr>
        <w:t>（1）技术要求评审允许负偏离的条款数超过“投标人须知前附表”规定项数的；</w:t>
      </w:r>
    </w:p>
    <w:p w14:paraId="4D90A823">
      <w:pPr>
        <w:rPr>
          <w:color w:val="auto"/>
          <w:highlight w:val="none"/>
        </w:rPr>
      </w:pPr>
      <w:r>
        <w:rPr>
          <w:rFonts w:hint="eastAsia"/>
          <w:color w:val="auto"/>
          <w:highlight w:val="none"/>
        </w:rPr>
        <w:t>（2）投标文件未提供“投标人须知前附表”第13.</w:t>
      </w:r>
      <w:r>
        <w:rPr>
          <w:color w:val="auto"/>
          <w:highlight w:val="none"/>
        </w:rPr>
        <w:t>1</w:t>
      </w:r>
      <w:r>
        <w:rPr>
          <w:rFonts w:hint="eastAsia"/>
          <w:color w:val="auto"/>
          <w:highlight w:val="none"/>
        </w:rPr>
        <w:t>条规定中“必须提供”的文件资料的；</w:t>
      </w:r>
    </w:p>
    <w:p w14:paraId="0796E2E7">
      <w:pPr>
        <w:rPr>
          <w:color w:val="auto"/>
          <w:highlight w:val="none"/>
        </w:rPr>
      </w:pPr>
      <w:r>
        <w:rPr>
          <w:rFonts w:hint="eastAsia"/>
          <w:color w:val="auto"/>
          <w:highlight w:val="none"/>
        </w:rPr>
        <w:t>（3）虚假投标，或者出现其他情形而导致被评标委员会认定无效的；</w:t>
      </w:r>
    </w:p>
    <w:p w14:paraId="07E3E9DA">
      <w:pPr>
        <w:rPr>
          <w:color w:val="auto"/>
          <w:highlight w:val="none"/>
        </w:rPr>
      </w:pPr>
      <w:r>
        <w:rPr>
          <w:rFonts w:hint="eastAsia"/>
          <w:color w:val="auto"/>
          <w:highlight w:val="none"/>
        </w:rPr>
        <w:t>（4）</w:t>
      </w:r>
      <w:bookmarkStart w:id="138" w:name="_Hlk71706244"/>
      <w:r>
        <w:rPr>
          <w:rFonts w:hint="eastAsia"/>
          <w:color w:val="auto"/>
          <w:highlight w:val="none"/>
        </w:rPr>
        <w:t>招标文件未载明允许提供备选（替代）投标方案或明确不允许提供备选（替代）投标方案时，投标人提供了备选（替代）投标方案的；</w:t>
      </w:r>
      <w:bookmarkEnd w:id="138"/>
    </w:p>
    <w:p w14:paraId="66D69E12">
      <w:pPr>
        <w:rPr>
          <w:color w:val="auto"/>
          <w:highlight w:val="none"/>
        </w:rPr>
      </w:pPr>
      <w:r>
        <w:rPr>
          <w:rFonts w:hint="eastAsia"/>
          <w:color w:val="auto"/>
          <w:highlight w:val="none"/>
        </w:rPr>
        <w:t>（5）未响应招标文件实质性要求的。</w:t>
      </w:r>
    </w:p>
    <w:p w14:paraId="42A95D4E">
      <w:pPr>
        <w:rPr>
          <w:color w:val="auto"/>
          <w:highlight w:val="none"/>
        </w:rPr>
      </w:pPr>
      <w:r>
        <w:rPr>
          <w:rFonts w:hint="eastAsia"/>
          <w:color w:val="auto"/>
          <w:highlight w:val="none"/>
        </w:rPr>
        <w:t>3</w:t>
      </w:r>
      <w:r>
        <w:rPr>
          <w:color w:val="auto"/>
          <w:highlight w:val="none"/>
        </w:rPr>
        <w:t>.</w:t>
      </w:r>
      <w:r>
        <w:rPr>
          <w:rFonts w:hint="eastAsia"/>
          <w:color w:val="auto"/>
          <w:highlight w:val="none"/>
        </w:rPr>
        <w:t>澄清补正</w:t>
      </w:r>
    </w:p>
    <w:p w14:paraId="54E5D019">
      <w:pPr>
        <w:rPr>
          <w:b/>
          <w:color w:val="auto"/>
          <w:highlight w:val="none"/>
        </w:rPr>
      </w:pPr>
      <w:r>
        <w:rPr>
          <w:rFonts w:hint="eastAsia"/>
          <w:color w:val="auto"/>
          <w:highlight w:val="none"/>
        </w:rPr>
        <w:t>对投标文件中含义不明确、同类问题表述不一致或者有明显文字和计算错误的内容，评标委员会应在</w:t>
      </w:r>
      <w:r>
        <w:rPr>
          <w:rFonts w:hint="eastAsia" w:cs="Times New Roman"/>
          <w:color w:val="auto"/>
          <w:highlight w:val="none"/>
        </w:rPr>
        <w:t>广西政府采购云平台</w:t>
      </w:r>
      <w:r>
        <w:rPr>
          <w:rFonts w:hint="eastAsia"/>
          <w:color w:val="auto"/>
          <w:highlight w:val="none"/>
        </w:rPr>
        <w:t>发布电子询标函，要求投标人在规定时间内作出必要的澄清、说明或者补正。投标人在</w:t>
      </w:r>
      <w:r>
        <w:rPr>
          <w:rFonts w:hint="eastAsia" w:cs="Times New Roman"/>
          <w:color w:val="auto"/>
          <w:highlight w:val="none"/>
        </w:rPr>
        <w:t>广西政府采购云平台</w:t>
      </w:r>
      <w:r>
        <w:rPr>
          <w:rFonts w:hint="eastAsia"/>
          <w:color w:val="auto"/>
          <w:highlight w:val="none"/>
        </w:rPr>
        <w:t>接收到电子询标函后根据澄清函内容上传PDF格式回函，电子澄清答复函使用CA证书加盖单位公章后在线上传至评标委员会。投标人的澄清、说明或者补正不得超出投标文件的范围或者改变投标文件的实质性内容。</w:t>
      </w:r>
    </w:p>
    <w:p w14:paraId="0FA2885B">
      <w:pPr>
        <w:rPr>
          <w:color w:val="auto"/>
          <w:highlight w:val="none"/>
        </w:rPr>
      </w:pPr>
      <w:r>
        <w:rPr>
          <w:rFonts w:hint="eastAsia"/>
          <w:color w:val="auto"/>
          <w:highlight w:val="none"/>
        </w:rPr>
        <w:t>异常情况处理：如遇无法正常使用线上发送询标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负责人）或者其授权的代表签字。</w:t>
      </w:r>
    </w:p>
    <w:p w14:paraId="3CD7B6ED">
      <w:pPr>
        <w:rPr>
          <w:color w:val="auto"/>
          <w:highlight w:val="none"/>
        </w:rPr>
      </w:pPr>
      <w:r>
        <w:rPr>
          <w:rFonts w:hint="eastAsia"/>
          <w:color w:val="auto"/>
          <w:highlight w:val="none"/>
        </w:rPr>
        <w:t>未按评标委员会的要求作出明确澄清、说明或者更正的投标人的投标文件将按照有利于采购人的原则由评标委员会进行判定。</w:t>
      </w:r>
    </w:p>
    <w:p w14:paraId="3A35767A">
      <w:pPr>
        <w:rPr>
          <w:color w:val="auto"/>
          <w:highlight w:val="none"/>
        </w:rPr>
      </w:pPr>
      <w:r>
        <w:rPr>
          <w:color w:val="auto"/>
          <w:highlight w:val="none"/>
        </w:rPr>
        <w:t>4.</w:t>
      </w:r>
      <w:r>
        <w:rPr>
          <w:rFonts w:hint="eastAsia"/>
          <w:color w:val="auto"/>
          <w:highlight w:val="none"/>
        </w:rPr>
        <w:t>投标文件修正</w:t>
      </w:r>
    </w:p>
    <w:p w14:paraId="04CB5E19">
      <w:pPr>
        <w:rPr>
          <w:color w:val="auto"/>
          <w:highlight w:val="none"/>
        </w:rPr>
      </w:pPr>
      <w:r>
        <w:rPr>
          <w:color w:val="auto"/>
          <w:highlight w:val="none"/>
        </w:rPr>
        <w:t>4</w:t>
      </w:r>
      <w:r>
        <w:rPr>
          <w:rFonts w:hint="eastAsia"/>
          <w:color w:val="auto"/>
          <w:highlight w:val="none"/>
        </w:rPr>
        <w:t xml:space="preserve">.1投标文件报价出现前后不一致的，按照下列规定修正： </w:t>
      </w:r>
    </w:p>
    <w:p w14:paraId="7EB6DE2C">
      <w:pPr>
        <w:rPr>
          <w:color w:val="auto"/>
          <w:kern w:val="0"/>
          <w:highlight w:val="none"/>
        </w:rPr>
      </w:pPr>
      <w:r>
        <w:rPr>
          <w:rFonts w:hint="eastAsia"/>
          <w:color w:val="auto"/>
          <w:kern w:val="0"/>
          <w:highlight w:val="none"/>
        </w:rPr>
        <w:t>（1）投标文件中开标一览表（报价表）内容与投标文件中相应内容不一致的，以开标一览表（报价表）为准；</w:t>
      </w:r>
    </w:p>
    <w:p w14:paraId="55CC2257">
      <w:pPr>
        <w:rPr>
          <w:color w:val="auto"/>
          <w:kern w:val="0"/>
          <w:highlight w:val="none"/>
        </w:rPr>
      </w:pPr>
      <w:r>
        <w:rPr>
          <w:rFonts w:hint="eastAsia"/>
          <w:color w:val="auto"/>
          <w:kern w:val="0"/>
          <w:highlight w:val="none"/>
        </w:rPr>
        <w:t>（2）大写金额和小写金额不一致的，以大写金额为准；</w:t>
      </w:r>
    </w:p>
    <w:p w14:paraId="55238ADC">
      <w:pPr>
        <w:rPr>
          <w:color w:val="auto"/>
          <w:kern w:val="0"/>
          <w:highlight w:val="none"/>
        </w:rPr>
      </w:pPr>
      <w:r>
        <w:rPr>
          <w:rFonts w:hint="eastAsia"/>
          <w:color w:val="auto"/>
          <w:kern w:val="0"/>
          <w:highlight w:val="none"/>
        </w:rPr>
        <w:t>（3）单价金额小数点或者百分比有明显错位的，以开标一览表的总价为准，并修改单价；</w:t>
      </w:r>
    </w:p>
    <w:p w14:paraId="4BECBF84">
      <w:pPr>
        <w:rPr>
          <w:color w:val="auto"/>
          <w:kern w:val="0"/>
          <w:highlight w:val="none"/>
        </w:rPr>
      </w:pPr>
      <w:r>
        <w:rPr>
          <w:rFonts w:hint="eastAsia"/>
          <w:color w:val="auto"/>
          <w:kern w:val="0"/>
          <w:highlight w:val="none"/>
        </w:rPr>
        <w:t>（4）总价金额与按单价汇总金额不一致的，以单价金额计算结果为准。</w:t>
      </w:r>
    </w:p>
    <w:p w14:paraId="30DD59D8">
      <w:pPr>
        <w:rPr>
          <w:color w:val="auto"/>
          <w:kern w:val="0"/>
          <w:highlight w:val="none"/>
        </w:rPr>
      </w:pPr>
      <w:r>
        <w:rPr>
          <w:rFonts w:hint="eastAsia"/>
          <w:color w:val="auto"/>
          <w:kern w:val="0"/>
          <w:highlight w:val="none"/>
        </w:rPr>
        <w:t>同时出现两种以上不一致的，按照以上（1）-（4）规定的顺序修正。修正后的报价经投标人确认后产生约束力，投标人不确认的，</w:t>
      </w:r>
      <w:r>
        <w:rPr>
          <w:rFonts w:hint="eastAsia"/>
          <w:b/>
          <w:color w:val="auto"/>
          <w:highlight w:val="none"/>
        </w:rPr>
        <w:t>其投标无效</w:t>
      </w:r>
      <w:r>
        <w:rPr>
          <w:rFonts w:hint="eastAsia"/>
          <w:color w:val="auto"/>
          <w:kern w:val="0"/>
          <w:highlight w:val="none"/>
        </w:rPr>
        <w:t>。</w:t>
      </w:r>
    </w:p>
    <w:p w14:paraId="2AB238D2">
      <w:pPr>
        <w:rPr>
          <w:color w:val="auto"/>
          <w:highlight w:val="none"/>
        </w:rPr>
      </w:pPr>
      <w:r>
        <w:rPr>
          <w:color w:val="auto"/>
          <w:highlight w:val="none"/>
        </w:rPr>
        <w:t>4</w:t>
      </w:r>
      <w:r>
        <w:rPr>
          <w:rFonts w:hint="eastAsia"/>
          <w:color w:val="auto"/>
          <w:highlight w:val="none"/>
        </w:rPr>
        <w:t>.2经投标人确认修正后的报价若超过采购预算金额或者最高限价，</w:t>
      </w:r>
      <w:r>
        <w:rPr>
          <w:rFonts w:hint="eastAsia"/>
          <w:b/>
          <w:color w:val="auto"/>
          <w:highlight w:val="none"/>
        </w:rPr>
        <w:t>投标人的投标文件作无效投标处理</w:t>
      </w:r>
      <w:r>
        <w:rPr>
          <w:rFonts w:hint="eastAsia"/>
          <w:color w:val="auto"/>
          <w:highlight w:val="none"/>
        </w:rPr>
        <w:t>。</w:t>
      </w:r>
    </w:p>
    <w:p w14:paraId="0F316165">
      <w:pPr>
        <w:rPr>
          <w:color w:val="auto"/>
          <w:highlight w:val="none"/>
        </w:rPr>
      </w:pPr>
      <w:r>
        <w:rPr>
          <w:color w:val="auto"/>
          <w:highlight w:val="none"/>
        </w:rPr>
        <w:t>4</w:t>
      </w:r>
      <w:r>
        <w:rPr>
          <w:rFonts w:hint="eastAsia"/>
          <w:color w:val="auto"/>
          <w:highlight w:val="none"/>
        </w:rPr>
        <w:t>.3经投标人确认修正后的报价作为签订合同的依据，并以此报价计算价格分。</w:t>
      </w:r>
    </w:p>
    <w:p w14:paraId="209D687D">
      <w:pPr>
        <w:rPr>
          <w:color w:val="auto"/>
          <w:highlight w:val="none"/>
        </w:rPr>
      </w:pPr>
      <w:r>
        <w:rPr>
          <w:color w:val="auto"/>
          <w:highlight w:val="none"/>
        </w:rPr>
        <w:t>5.</w:t>
      </w:r>
      <w:r>
        <w:rPr>
          <w:rFonts w:hint="eastAsia"/>
          <w:color w:val="auto"/>
          <w:highlight w:val="none"/>
        </w:rPr>
        <w:t>比较与评价</w:t>
      </w:r>
    </w:p>
    <w:p w14:paraId="046E1114">
      <w:pPr>
        <w:rPr>
          <w:color w:val="auto"/>
          <w:highlight w:val="none"/>
        </w:rPr>
      </w:pPr>
      <w:r>
        <w:rPr>
          <w:rFonts w:hint="eastAsia"/>
          <w:color w:val="auto"/>
          <w:highlight w:val="none"/>
        </w:rPr>
        <w:t>5.1采用综合评分法的</w:t>
      </w:r>
    </w:p>
    <w:p w14:paraId="73572DC6">
      <w:pPr>
        <w:rPr>
          <w:color w:val="auto"/>
          <w:highlight w:val="none"/>
        </w:rPr>
      </w:pPr>
      <w:r>
        <w:rPr>
          <w:rFonts w:hint="eastAsia"/>
          <w:color w:val="auto"/>
          <w:highlight w:val="none"/>
        </w:rPr>
        <w:t>（1）评标委员会按照招标文件中规定的评标方法及评标标准，对符合性审查合格的投标文件进行商务和技术评估，综合比较与评价。</w:t>
      </w:r>
    </w:p>
    <w:p w14:paraId="1353F242">
      <w:pPr>
        <w:rPr>
          <w:color w:val="auto"/>
          <w:highlight w:val="none"/>
        </w:rPr>
      </w:pPr>
      <w:r>
        <w:rPr>
          <w:rFonts w:hint="eastAsia"/>
          <w:color w:val="auto"/>
          <w:highlight w:val="none"/>
        </w:rPr>
        <w:t>（2）评标委员会独立对每个投标人的投标文件进行评价，并汇总每个投标人的得分。</w:t>
      </w:r>
    </w:p>
    <w:p w14:paraId="027664B5">
      <w:pPr>
        <w:rPr>
          <w:color w:val="auto"/>
          <w:highlight w:val="none"/>
        </w:rPr>
      </w:pPr>
      <w:r>
        <w:rPr>
          <w:rFonts w:hint="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b/>
          <w:color w:val="auto"/>
          <w:highlight w:val="none"/>
        </w:rPr>
        <w:t>投标人不能证明其报价合理性的，评标委员会将其作为无效投标处理</w:t>
      </w:r>
      <w:r>
        <w:rPr>
          <w:rFonts w:hint="eastAsia"/>
          <w:color w:val="auto"/>
          <w:highlight w:val="none"/>
        </w:rPr>
        <w:t>。</w:t>
      </w:r>
    </w:p>
    <w:p w14:paraId="19AA5BE5">
      <w:pPr>
        <w:rPr>
          <w:color w:val="auto"/>
          <w:highlight w:val="none"/>
        </w:rPr>
      </w:pPr>
      <w:r>
        <w:rPr>
          <w:rFonts w:hint="eastAsia"/>
          <w:color w:val="auto"/>
          <w:highlight w:val="none"/>
        </w:rPr>
        <w:t>（3）评标委员会按照招标文件中规定的评标方法和标准计算各投标人的报价得分。在计算过程中，不得去掉最高报价或者最低报价。</w:t>
      </w:r>
    </w:p>
    <w:p w14:paraId="763AC11C">
      <w:pPr>
        <w:rPr>
          <w:color w:val="auto"/>
          <w:highlight w:val="none"/>
        </w:rPr>
      </w:pPr>
      <w:r>
        <w:rPr>
          <w:rFonts w:hint="eastAsia"/>
          <w:color w:val="auto"/>
          <w:highlight w:val="none"/>
        </w:rPr>
        <w:t>（4）各投标人的得分为所有评委的有效评分的算术平均数。</w:t>
      </w:r>
    </w:p>
    <w:p w14:paraId="790CBB5F">
      <w:pPr>
        <w:rPr>
          <w:color w:val="auto"/>
          <w:highlight w:val="none"/>
        </w:rPr>
      </w:pPr>
      <w:r>
        <w:rPr>
          <w:rFonts w:hint="eastAsia"/>
          <w:color w:val="auto"/>
          <w:highlight w:val="none"/>
        </w:rPr>
        <w:t>（5）评标委员会按照招标文件中的规定推荐中标候选人。</w:t>
      </w:r>
    </w:p>
    <w:p w14:paraId="58FF0336">
      <w:pPr>
        <w:rPr>
          <w:color w:val="auto"/>
          <w:highlight w:val="none"/>
        </w:rPr>
      </w:pPr>
      <w:r>
        <w:rPr>
          <w:rFonts w:hint="eastAsia"/>
          <w:color w:val="auto"/>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0C852D3">
      <w:pPr>
        <w:rPr>
          <w:color w:val="auto"/>
          <w:highlight w:val="none"/>
        </w:rPr>
      </w:pPr>
      <w:r>
        <w:rPr>
          <w:rFonts w:hint="eastAsia"/>
          <w:color w:val="auto"/>
          <w:highlight w:val="none"/>
        </w:rPr>
        <w:t>5.2采用</w:t>
      </w:r>
      <w:r>
        <w:rPr>
          <w:rFonts w:hint="eastAsia"/>
          <w:color w:val="auto"/>
          <w:szCs w:val="24"/>
          <w:highlight w:val="none"/>
        </w:rPr>
        <w:t>最低评标价法</w:t>
      </w:r>
      <w:r>
        <w:rPr>
          <w:rFonts w:hint="eastAsia"/>
          <w:color w:val="auto"/>
          <w:highlight w:val="none"/>
        </w:rPr>
        <w:t>的</w:t>
      </w:r>
    </w:p>
    <w:p w14:paraId="1517D05F">
      <w:pPr>
        <w:rPr>
          <w:color w:val="auto"/>
          <w:highlight w:val="none"/>
        </w:rPr>
      </w:pPr>
      <w:r>
        <w:rPr>
          <w:rFonts w:hint="eastAsia"/>
          <w:color w:val="auto"/>
          <w:highlight w:val="none"/>
        </w:rPr>
        <w:t>（1）评标委员会按照招标文件中规定的评标方法及评标标准，对符合性审查合格的投标文件报价进行比较。</w:t>
      </w:r>
    </w:p>
    <w:p w14:paraId="5AA0BA1D">
      <w:pPr>
        <w:rPr>
          <w:color w:val="auto"/>
          <w:highlight w:val="none"/>
        </w:rPr>
      </w:pPr>
      <w:r>
        <w:rPr>
          <w:rFonts w:hint="eastAsia"/>
          <w:color w:val="auto"/>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b/>
          <w:color w:val="auto"/>
          <w:highlight w:val="none"/>
        </w:rPr>
        <w:t>投标人不能证明其报价合理性的，评标委员会将其作为无效投标处理</w:t>
      </w:r>
      <w:r>
        <w:rPr>
          <w:rFonts w:hint="eastAsia"/>
          <w:color w:val="auto"/>
          <w:highlight w:val="none"/>
        </w:rPr>
        <w:t>。</w:t>
      </w:r>
    </w:p>
    <w:p w14:paraId="13199E0F">
      <w:pPr>
        <w:rPr>
          <w:color w:val="auto"/>
          <w:highlight w:val="none"/>
        </w:rPr>
      </w:pPr>
      <w:r>
        <w:rPr>
          <w:rFonts w:hint="eastAsia"/>
          <w:color w:val="auto"/>
          <w:highlight w:val="none"/>
        </w:rPr>
        <w:t>（3）评标委员会按照招标文件中的规定推荐中标候选人。</w:t>
      </w:r>
    </w:p>
    <w:p w14:paraId="36DD2EB5">
      <w:pPr>
        <w:rPr>
          <w:color w:val="auto"/>
          <w:highlight w:val="none"/>
        </w:rPr>
      </w:pPr>
      <w:r>
        <w:rPr>
          <w:rFonts w:hint="eastAsia"/>
          <w:color w:val="auto"/>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3F81649">
      <w:pPr>
        <w:jc w:val="center"/>
        <w:rPr>
          <w:rFonts w:cs="Times New Roman"/>
          <w:color w:val="auto"/>
          <w:sz w:val="28"/>
          <w:szCs w:val="28"/>
          <w:highlight w:val="none"/>
        </w:rPr>
      </w:pPr>
      <w:r>
        <w:rPr>
          <w:rFonts w:cs="Times New Roman"/>
          <w:color w:val="auto"/>
          <w:szCs w:val="24"/>
          <w:highlight w:val="none"/>
        </w:rPr>
        <w:br w:type="page"/>
      </w:r>
      <w:r>
        <w:rPr>
          <w:color w:val="auto"/>
          <w:sz w:val="28"/>
          <w:szCs w:val="28"/>
          <w:highlight w:val="none"/>
        </w:rPr>
        <w:t>三</w:t>
      </w:r>
      <w:r>
        <w:rPr>
          <w:rFonts w:hint="eastAsia"/>
          <w:color w:val="auto"/>
          <w:sz w:val="28"/>
          <w:szCs w:val="28"/>
          <w:highlight w:val="none"/>
        </w:rPr>
        <w:t>、评标标准</w:t>
      </w:r>
    </w:p>
    <w:p w14:paraId="5FF5FE7F">
      <w:pPr>
        <w:jc w:val="center"/>
        <w:rPr>
          <w:color w:val="auto"/>
          <w:kern w:val="0"/>
          <w:highlight w:val="none"/>
        </w:rPr>
      </w:pPr>
      <w:r>
        <w:rPr>
          <w:rFonts w:hint="eastAsia"/>
          <w:color w:val="auto"/>
          <w:kern w:val="0"/>
          <w:highlight w:val="none"/>
        </w:rPr>
        <w:t>综合评分法</w:t>
      </w:r>
    </w:p>
    <w:tbl>
      <w:tblPr>
        <w:tblStyle w:val="47"/>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0"/>
        <w:gridCol w:w="5765"/>
        <w:gridCol w:w="887"/>
      </w:tblGrid>
      <w:tr w14:paraId="4071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8" w:type="dxa"/>
            <w:vAlign w:val="center"/>
          </w:tcPr>
          <w:p w14:paraId="021492D7">
            <w:pPr>
              <w:widowControl/>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700" w:type="dxa"/>
            <w:vAlign w:val="center"/>
          </w:tcPr>
          <w:p w14:paraId="29E034EB">
            <w:pPr>
              <w:widowControl/>
              <w:ind w:firstLine="422"/>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765" w:type="dxa"/>
            <w:vAlign w:val="center"/>
          </w:tcPr>
          <w:p w14:paraId="0B2F2FB3">
            <w:pPr>
              <w:widowControl/>
              <w:ind w:firstLine="422"/>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887" w:type="dxa"/>
            <w:vAlign w:val="center"/>
          </w:tcPr>
          <w:p w14:paraId="0215F7B6">
            <w:pPr>
              <w:widowControl/>
              <w:ind w:firstLine="0" w:firstLineChars="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023E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8" w:type="dxa"/>
            <w:vAlign w:val="center"/>
          </w:tcPr>
          <w:p w14:paraId="021EA7C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700" w:type="dxa"/>
            <w:vAlign w:val="center"/>
          </w:tcPr>
          <w:p w14:paraId="21E84406">
            <w:pPr>
              <w:widowControl/>
              <w:ind w:left="0" w:leftChars="0" w:firstLine="0" w:firstLineChars="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r>
              <w:rPr>
                <w:rFonts w:hint="eastAsia" w:ascii="宋体" w:hAnsi="宋体" w:eastAsia="宋体" w:cs="宋体"/>
                <w:color w:val="auto"/>
                <w:sz w:val="21"/>
                <w:szCs w:val="21"/>
                <w:highlight w:val="none"/>
              </w:rPr>
              <w:t>（满分30分）</w:t>
            </w:r>
          </w:p>
        </w:tc>
        <w:tc>
          <w:tcPr>
            <w:tcW w:w="5765" w:type="dxa"/>
          </w:tcPr>
          <w:p w14:paraId="7C5F58F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1.评审报价为供应商的最后报价进行政策性扣除后的价格，评审报价只是作为评审时使用。最终成交供应商的成交金额等于最后报价（如有修正，以确认修正后的最后报价为准）。</w:t>
            </w:r>
          </w:p>
          <w:p w14:paraId="330A589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2.政府采购政策性扣除计算方法</w:t>
            </w:r>
          </w:p>
          <w:p w14:paraId="4F3D004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政府采购促进中小企业发展管理办法》（财库〔2020〕46号）及《广西壮族自治区财政厅关于持续优化政府采购营商环境推动高质量发展的通知》（桂财采〔2024〕55号）的规定，供应商在其响应文件中提供《中小企业声明函》，且服务全部由符合政策要求的小型、微型企业承接的，对其最后报价给予10%的扣除。</w:t>
            </w:r>
          </w:p>
          <w:p w14:paraId="1D83B82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2F3E29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514A46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（4）政策性扣除计算方法。</w:t>
            </w:r>
          </w:p>
          <w:p w14:paraId="671FC0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被评定为监狱企业或者残疾人福利性单位或者其服务全部由符合政策要求的小型、微型企业承接的，该供应商的最后报价给予10%的扣除，扣除后的价格为评审报价，即评审报价=最后报价×（1-10%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30%以上的，对联合体或者大中型企业的报价给予4%的扣除，用扣除后的价格参加评审，扣除后的价格为评审报价，即评审报价=最后报价×（1-4%）。</w:t>
            </w:r>
          </w:p>
          <w:p w14:paraId="175E1EE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（5）除上述情况外，评审报价＝最后报价。</w:t>
            </w:r>
          </w:p>
          <w:p w14:paraId="1F54222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（6）以进入比较与评价环节的最低的评审报价为基准价，基准价得分为30分。</w:t>
            </w:r>
          </w:p>
          <w:p w14:paraId="65D9AC1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（7）价格分计算公式：</w:t>
            </w:r>
          </w:p>
          <w:p w14:paraId="58C72520">
            <w:pPr>
              <w:pStyle w:val="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报价得分=（基准价/评审报价）×30分</w:t>
            </w:r>
          </w:p>
        </w:tc>
        <w:tc>
          <w:tcPr>
            <w:tcW w:w="887" w:type="dxa"/>
            <w:vAlign w:val="center"/>
          </w:tcPr>
          <w:p w14:paraId="1613DF41">
            <w:pPr>
              <w:widowControl/>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30分</w:t>
            </w:r>
          </w:p>
        </w:tc>
      </w:tr>
      <w:tr w14:paraId="7A0F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8" w:type="dxa"/>
            <w:shd w:val="clear" w:color="auto" w:fill="BFBFBF"/>
            <w:vAlign w:val="center"/>
          </w:tcPr>
          <w:p w14:paraId="55D0F772">
            <w:pPr>
              <w:widowControl/>
              <w:ind w:firstLine="422"/>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p>
        </w:tc>
        <w:tc>
          <w:tcPr>
            <w:tcW w:w="1700" w:type="dxa"/>
            <w:shd w:val="clear" w:color="auto" w:fill="BFBFBF"/>
            <w:vAlign w:val="center"/>
          </w:tcPr>
          <w:p w14:paraId="18E731B0">
            <w:pPr>
              <w:widowControl/>
              <w:ind w:firstLine="422"/>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技术分</w:t>
            </w:r>
          </w:p>
        </w:tc>
        <w:tc>
          <w:tcPr>
            <w:tcW w:w="6652" w:type="dxa"/>
            <w:gridSpan w:val="2"/>
            <w:shd w:val="clear" w:color="auto" w:fill="BFBFBF"/>
          </w:tcPr>
          <w:p w14:paraId="486D358B">
            <w:pPr>
              <w:widowControl/>
              <w:ind w:firstLine="422"/>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r>
      <w:tr w14:paraId="179F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5" w:hRule="atLeast"/>
          <w:jc w:val="center"/>
        </w:trPr>
        <w:tc>
          <w:tcPr>
            <w:tcW w:w="738" w:type="dxa"/>
            <w:vAlign w:val="center"/>
          </w:tcPr>
          <w:p w14:paraId="7E697F3A">
            <w:pPr>
              <w:adjustRightInd w:val="0"/>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1700" w:type="dxa"/>
            <w:vAlign w:val="center"/>
          </w:tcPr>
          <w:p w14:paraId="78299991">
            <w:pPr>
              <w:ind w:firstLine="0" w:firstLine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项目理解（满分</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5765" w:type="dxa"/>
            <w:vAlign w:val="center"/>
          </w:tcPr>
          <w:p w14:paraId="2798B16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 (</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分)：项目整体设计简单，层次结构不明晰，技术应用与选型相对落后，应用功能模块划分模糊，开发实现和综合部署描述简单，整个项目设计及开发方案与项目需求匹配性不高。</w:t>
            </w:r>
          </w:p>
          <w:p w14:paraId="50095E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 (</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分)：项目整体设计层次结构分明，技术选型符合本项目应用需求，应用功能模块划分清晰，开发实现和综合部署有详细描述，但系统架构设计欠合理，系统稳定性、扩展性、维护性存在不足。</w:t>
            </w:r>
          </w:p>
          <w:p w14:paraId="0C75690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 (</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分)：项目整体设计层次结构清晰、明确，方案规划包含完整的布局图，技术路线图，涵盖设备选型、系统集成、风险预案等细节，提供未来产线所加工产品的规划和资源、提供旧设备利用方案，系统架构具有很好的可扩展性、可维护性、安全性、稳定性，易于维护和升级。采用当前主流的技术栈，能够适应未来的技术发展趋势。方案设计全面，与项目需求高度契合，不仅满足项目需求，且为项目的持续发展提供可行性建议。</w:t>
            </w:r>
          </w:p>
        </w:tc>
        <w:tc>
          <w:tcPr>
            <w:tcW w:w="887" w:type="dxa"/>
            <w:vAlign w:val="center"/>
          </w:tcPr>
          <w:p w14:paraId="7DEE6C4E">
            <w:pPr>
              <w:ind w:left="0" w:leftChars="0" w:firstLine="0" w:firstLineChars="0"/>
              <w:jc w:val="both"/>
              <w:rPr>
                <w:rFonts w:hint="eastAsia" w:ascii="宋体" w:hAnsi="宋体" w:eastAsia="宋体" w:cs="宋体"/>
                <w:b/>
                <w:color w:val="auto"/>
                <w:sz w:val="21"/>
                <w:szCs w:val="21"/>
                <w:highlight w:val="none"/>
              </w:rPr>
            </w:pPr>
            <w:r>
              <w:rPr>
                <w:rFonts w:hint="eastAsia" w:cs="宋体"/>
                <w:bCs/>
                <w:color w:val="auto"/>
                <w:sz w:val="21"/>
                <w:szCs w:val="21"/>
                <w:highlight w:val="none"/>
                <w:lang w:val="en-US" w:eastAsia="zh-CN"/>
              </w:rPr>
              <w:t>12</w:t>
            </w:r>
            <w:r>
              <w:rPr>
                <w:rFonts w:hint="eastAsia" w:ascii="宋体" w:hAnsi="宋体" w:eastAsia="宋体" w:cs="宋体"/>
                <w:bCs/>
                <w:color w:val="auto"/>
                <w:sz w:val="21"/>
                <w:szCs w:val="21"/>
                <w:highlight w:val="none"/>
              </w:rPr>
              <w:t>分</w:t>
            </w:r>
          </w:p>
        </w:tc>
      </w:tr>
      <w:tr w14:paraId="5D3E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38" w:type="dxa"/>
            <w:vMerge w:val="restart"/>
            <w:vAlign w:val="center"/>
          </w:tcPr>
          <w:p w14:paraId="58F6728E">
            <w:pPr>
              <w:adjustRightInd w:val="0"/>
              <w:ind w:firstLine="0" w:firstLineChars="0"/>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1700" w:type="dxa"/>
            <w:vMerge w:val="restart"/>
            <w:vAlign w:val="center"/>
          </w:tcPr>
          <w:p w14:paraId="03F19DA9">
            <w:pPr>
              <w:ind w:firstLine="0" w:firstLineChars="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项目关键技术指标（满分</w:t>
            </w:r>
            <w:r>
              <w:rPr>
                <w:rFonts w:hint="eastAsia" w:cs="宋体"/>
                <w:color w:val="auto"/>
                <w:sz w:val="21"/>
                <w:szCs w:val="21"/>
                <w:highlight w:val="none"/>
                <w:lang w:val="en-US" w:eastAsia="zh-CN"/>
              </w:rPr>
              <w:t>17</w:t>
            </w:r>
            <w:r>
              <w:rPr>
                <w:rFonts w:hint="eastAsia" w:ascii="宋体" w:hAnsi="宋体" w:eastAsia="宋体" w:cs="宋体"/>
                <w:color w:val="auto"/>
                <w:sz w:val="21"/>
                <w:szCs w:val="21"/>
                <w:highlight w:val="none"/>
              </w:rPr>
              <w:t>分）</w:t>
            </w:r>
          </w:p>
        </w:tc>
        <w:tc>
          <w:tcPr>
            <w:tcW w:w="5765" w:type="dxa"/>
            <w:shd w:val="clear" w:color="auto" w:fill="auto"/>
            <w:vAlign w:val="center"/>
          </w:tcPr>
          <w:p w14:paraId="100397E7">
            <w:pPr>
              <w:ind w:firstLine="0" w:firstLineChars="0"/>
              <w:jc w:val="left"/>
              <w:rPr>
                <w:rFonts w:hint="eastAsia"/>
                <w:color w:val="auto"/>
                <w:highlight w:val="none"/>
              </w:rPr>
            </w:pPr>
            <w:r>
              <w:rPr>
                <w:rFonts w:hint="eastAsia"/>
                <w:color w:val="auto"/>
                <w:highlight w:val="none"/>
              </w:rPr>
              <w:t>CAM软件具有以下功能：</w:t>
            </w:r>
          </w:p>
          <w:p w14:paraId="1DBEF323">
            <w:pPr>
              <w:ind w:firstLine="0" w:firstLineChars="0"/>
              <w:jc w:val="left"/>
              <w:rPr>
                <w:rFonts w:hint="eastAsia"/>
                <w:color w:val="auto"/>
                <w:highlight w:val="none"/>
              </w:rPr>
            </w:pPr>
            <w:r>
              <w:rPr>
                <w:rFonts w:hint="eastAsia"/>
                <w:color w:val="auto"/>
                <w:highlight w:val="none"/>
              </w:rPr>
              <w:t>（1）多轴定位加工编程——通过定轴坐标，让具备三轴编程基础的人员，可以通过多个定轴编程，CAM软件自动快速生成五轴联动刀路。</w:t>
            </w:r>
          </w:p>
          <w:p w14:paraId="211D2786">
            <w:pPr>
              <w:ind w:firstLine="0" w:firstLineChars="0"/>
              <w:jc w:val="left"/>
              <w:rPr>
                <w:rFonts w:hint="eastAsia"/>
                <w:color w:val="auto"/>
                <w:highlight w:val="none"/>
              </w:rPr>
            </w:pPr>
            <w:r>
              <w:rPr>
                <w:rFonts w:hint="eastAsia"/>
                <w:color w:val="auto"/>
                <w:highlight w:val="none"/>
              </w:rPr>
              <w:t>（2）专业编程模块化——提供叶轮编程、齿轮编程等典型复杂特征策略，编程人员只需要根据策略选择特征，系统自动构建工序集合，编程人员微调参数就可以输出刀路。</w:t>
            </w:r>
          </w:p>
          <w:p w14:paraId="7495FDA8">
            <w:pPr>
              <w:ind w:firstLine="0" w:firstLineChars="0"/>
              <w:jc w:val="left"/>
              <w:rPr>
                <w:rFonts w:hint="eastAsia" w:ascii="宋体" w:hAnsi="宋体" w:eastAsia="宋体" w:cs="宋体"/>
                <w:color w:val="auto"/>
                <w:sz w:val="21"/>
                <w:szCs w:val="21"/>
                <w:highlight w:val="none"/>
                <w:lang w:eastAsia="zh-CN"/>
              </w:rPr>
            </w:pPr>
            <w:r>
              <w:rPr>
                <w:rFonts w:hint="eastAsia"/>
                <w:color w:val="auto"/>
                <w:highlight w:val="none"/>
              </w:rPr>
              <w:t>（3）机内自动编程——工件检测、刀具检测、设备巡检自动化，即把加工过程必须要进行的人工调机工作改为：由CAM软件定义，驱动机床进行对刀，分中，检测，完全不需要人工干预。</w:t>
            </w:r>
          </w:p>
        </w:tc>
        <w:tc>
          <w:tcPr>
            <w:tcW w:w="887" w:type="dxa"/>
            <w:shd w:val="clear" w:color="auto" w:fill="auto"/>
            <w:vAlign w:val="center"/>
          </w:tcPr>
          <w:p w14:paraId="315F369D">
            <w:pPr>
              <w:ind w:firstLine="0" w:firstLineChars="0"/>
              <w:rPr>
                <w:rFonts w:hint="eastAsia" w:ascii="宋体" w:hAnsi="宋体" w:eastAsia="宋体" w:cs="宋体"/>
                <w:color w:val="auto"/>
                <w:sz w:val="21"/>
                <w:szCs w:val="21"/>
                <w:highlight w:val="none"/>
              </w:rPr>
            </w:pPr>
            <w:r>
              <w:rPr>
                <w:color w:val="auto"/>
                <w:highlight w:val="none"/>
              </w:rPr>
              <w:t>4</w:t>
            </w:r>
            <w:r>
              <w:rPr>
                <w:rFonts w:hint="eastAsia"/>
                <w:color w:val="auto"/>
                <w:highlight w:val="none"/>
              </w:rPr>
              <w:t>分</w:t>
            </w:r>
          </w:p>
        </w:tc>
      </w:tr>
      <w:tr w14:paraId="6586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38" w:type="dxa"/>
            <w:vMerge w:val="continue"/>
            <w:vAlign w:val="center"/>
          </w:tcPr>
          <w:p w14:paraId="058BECD7">
            <w:pPr>
              <w:jc w:val="left"/>
              <w:rPr>
                <w:rFonts w:hint="eastAsia" w:ascii="宋体" w:hAnsi="宋体" w:eastAsia="宋体" w:cs="宋体"/>
                <w:color w:val="auto"/>
                <w:sz w:val="21"/>
                <w:szCs w:val="21"/>
                <w:highlight w:val="none"/>
              </w:rPr>
            </w:pPr>
          </w:p>
        </w:tc>
        <w:tc>
          <w:tcPr>
            <w:tcW w:w="1700" w:type="dxa"/>
            <w:vMerge w:val="continue"/>
            <w:vAlign w:val="center"/>
          </w:tcPr>
          <w:p w14:paraId="7580E5F2">
            <w:pPr>
              <w:jc w:val="left"/>
              <w:rPr>
                <w:rFonts w:hint="eastAsia" w:ascii="宋体" w:hAnsi="宋体" w:eastAsia="宋体" w:cs="宋体"/>
                <w:color w:val="auto"/>
                <w:sz w:val="21"/>
                <w:szCs w:val="21"/>
                <w:highlight w:val="none"/>
              </w:rPr>
            </w:pPr>
          </w:p>
        </w:tc>
        <w:tc>
          <w:tcPr>
            <w:tcW w:w="5765" w:type="dxa"/>
            <w:shd w:val="clear" w:color="auto" w:fill="auto"/>
            <w:vAlign w:val="center"/>
          </w:tcPr>
          <w:p w14:paraId="4F4440D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五轴加工中心控制系统含原生测量误差云图显示功能</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现场提供演示含五轴加工中心控制系统含原生测量误差云图显示功能以及功能实现过程视频</w:t>
            </w:r>
            <w:r>
              <w:rPr>
                <w:rFonts w:hint="eastAsia" w:cs="宋体"/>
                <w:color w:val="auto"/>
                <w:sz w:val="21"/>
                <w:szCs w:val="21"/>
                <w:highlight w:val="none"/>
                <w:lang w:eastAsia="zh-CN"/>
              </w:rPr>
              <w:t>）</w:t>
            </w:r>
          </w:p>
        </w:tc>
        <w:tc>
          <w:tcPr>
            <w:tcW w:w="887" w:type="dxa"/>
            <w:shd w:val="clear" w:color="auto" w:fill="auto"/>
            <w:vAlign w:val="center"/>
          </w:tcPr>
          <w:p w14:paraId="200EC8A0">
            <w:pPr>
              <w:ind w:left="0" w:leftChars="0" w:firstLine="0" w:firstLineChars="0"/>
              <w:jc w:val="both"/>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14:paraId="2781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38" w:type="dxa"/>
            <w:vMerge w:val="continue"/>
            <w:vAlign w:val="center"/>
          </w:tcPr>
          <w:p w14:paraId="60B0D0A0">
            <w:pPr>
              <w:jc w:val="left"/>
              <w:rPr>
                <w:rFonts w:hint="eastAsia" w:ascii="宋体" w:hAnsi="宋体" w:eastAsia="宋体" w:cs="宋体"/>
                <w:color w:val="auto"/>
                <w:sz w:val="21"/>
                <w:szCs w:val="21"/>
                <w:highlight w:val="none"/>
              </w:rPr>
            </w:pPr>
          </w:p>
        </w:tc>
        <w:tc>
          <w:tcPr>
            <w:tcW w:w="1700" w:type="dxa"/>
            <w:vMerge w:val="continue"/>
            <w:vAlign w:val="center"/>
          </w:tcPr>
          <w:p w14:paraId="0FC0DF42">
            <w:pPr>
              <w:jc w:val="left"/>
              <w:rPr>
                <w:rFonts w:hint="eastAsia" w:ascii="宋体" w:hAnsi="宋体" w:eastAsia="宋体" w:cs="宋体"/>
                <w:color w:val="auto"/>
                <w:sz w:val="21"/>
                <w:szCs w:val="21"/>
                <w:highlight w:val="none"/>
              </w:rPr>
            </w:pPr>
          </w:p>
        </w:tc>
        <w:tc>
          <w:tcPr>
            <w:tcW w:w="5765" w:type="dxa"/>
            <w:shd w:val="clear" w:color="auto" w:fill="auto"/>
            <w:vAlign w:val="center"/>
          </w:tcPr>
          <w:p w14:paraId="2327C14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五轴加工中心控制系统包含工件位置补偿功能：可自动消除工件装夹误差、余量偏差、转台中心校准和来料错误防</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现场提供演示五轴加工中心控制系统包含工件位置补偿功能以及功能实现过程视频</w:t>
            </w:r>
            <w:r>
              <w:rPr>
                <w:rFonts w:hint="eastAsia" w:cs="宋体"/>
                <w:color w:val="auto"/>
                <w:sz w:val="21"/>
                <w:szCs w:val="21"/>
                <w:highlight w:val="none"/>
                <w:lang w:eastAsia="zh-CN"/>
              </w:rPr>
              <w:t>）</w:t>
            </w:r>
          </w:p>
        </w:tc>
        <w:tc>
          <w:tcPr>
            <w:tcW w:w="887" w:type="dxa"/>
            <w:shd w:val="clear" w:color="auto" w:fill="auto"/>
            <w:vAlign w:val="center"/>
          </w:tcPr>
          <w:p w14:paraId="50821D0C">
            <w:pPr>
              <w:ind w:left="0" w:leftChars="0" w:firstLine="0" w:firstLineChars="0"/>
              <w:jc w:val="both"/>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14EA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38" w:type="dxa"/>
            <w:vMerge w:val="continue"/>
            <w:vAlign w:val="center"/>
          </w:tcPr>
          <w:p w14:paraId="5FC69745">
            <w:pPr>
              <w:jc w:val="left"/>
              <w:rPr>
                <w:rFonts w:hint="eastAsia" w:ascii="宋体" w:hAnsi="宋体" w:eastAsia="宋体" w:cs="宋体"/>
                <w:color w:val="auto"/>
                <w:sz w:val="21"/>
                <w:szCs w:val="21"/>
                <w:highlight w:val="none"/>
              </w:rPr>
            </w:pPr>
          </w:p>
        </w:tc>
        <w:tc>
          <w:tcPr>
            <w:tcW w:w="1700" w:type="dxa"/>
            <w:vMerge w:val="continue"/>
            <w:vAlign w:val="center"/>
          </w:tcPr>
          <w:p w14:paraId="722D1CF3">
            <w:pPr>
              <w:jc w:val="left"/>
              <w:rPr>
                <w:rFonts w:hint="eastAsia" w:ascii="宋体" w:hAnsi="宋体" w:eastAsia="宋体" w:cs="宋体"/>
                <w:color w:val="auto"/>
                <w:sz w:val="21"/>
                <w:szCs w:val="21"/>
                <w:highlight w:val="none"/>
              </w:rPr>
            </w:pPr>
          </w:p>
        </w:tc>
        <w:tc>
          <w:tcPr>
            <w:tcW w:w="5765" w:type="dxa"/>
            <w:shd w:val="clear" w:color="auto" w:fill="auto"/>
            <w:vAlign w:val="center"/>
          </w:tcPr>
          <w:p w14:paraId="729F4E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五轴加工中心控制系统包含工件几何尺寸检测，自动修正加工尺寸误差补偿功能</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现场提供演示含五轴加工中心控制系统包含工件几何尺寸检测，自动修正加工尺寸误差补偿功能功能以及功能实现过程视频</w:t>
            </w:r>
            <w:r>
              <w:rPr>
                <w:rFonts w:hint="eastAsia" w:cs="宋体"/>
                <w:color w:val="auto"/>
                <w:sz w:val="21"/>
                <w:szCs w:val="21"/>
                <w:highlight w:val="none"/>
                <w:lang w:eastAsia="zh-CN"/>
              </w:rPr>
              <w:t>）</w:t>
            </w:r>
          </w:p>
        </w:tc>
        <w:tc>
          <w:tcPr>
            <w:tcW w:w="887" w:type="dxa"/>
            <w:shd w:val="clear" w:color="auto" w:fill="auto"/>
            <w:vAlign w:val="center"/>
          </w:tcPr>
          <w:p w14:paraId="2E83EF2E">
            <w:pPr>
              <w:ind w:left="0" w:leftChars="0" w:firstLine="0" w:firstLineChars="0"/>
              <w:jc w:val="both"/>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24F2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38" w:type="dxa"/>
            <w:vMerge w:val="continue"/>
            <w:vAlign w:val="center"/>
          </w:tcPr>
          <w:p w14:paraId="22E0EAE2">
            <w:pPr>
              <w:jc w:val="left"/>
              <w:rPr>
                <w:rFonts w:hint="eastAsia" w:ascii="宋体" w:hAnsi="宋体" w:eastAsia="宋体" w:cs="宋体"/>
                <w:color w:val="auto"/>
                <w:sz w:val="21"/>
                <w:szCs w:val="21"/>
                <w:highlight w:val="none"/>
              </w:rPr>
            </w:pPr>
          </w:p>
        </w:tc>
        <w:tc>
          <w:tcPr>
            <w:tcW w:w="1700" w:type="dxa"/>
            <w:vMerge w:val="continue"/>
            <w:vAlign w:val="center"/>
          </w:tcPr>
          <w:p w14:paraId="18D87731">
            <w:pPr>
              <w:jc w:val="left"/>
              <w:rPr>
                <w:rFonts w:hint="eastAsia" w:ascii="宋体" w:hAnsi="宋体" w:eastAsia="宋体" w:cs="宋体"/>
                <w:color w:val="auto"/>
                <w:sz w:val="21"/>
                <w:szCs w:val="21"/>
                <w:highlight w:val="none"/>
              </w:rPr>
            </w:pPr>
          </w:p>
        </w:tc>
        <w:tc>
          <w:tcPr>
            <w:tcW w:w="5765" w:type="dxa"/>
            <w:shd w:val="clear" w:color="auto" w:fill="auto"/>
            <w:vAlign w:val="center"/>
          </w:tcPr>
          <w:p w14:paraId="4145FAE2">
            <w:pPr>
              <w:numPr>
                <w:ilvl w:val="0"/>
                <w:numId w:val="0"/>
              </w:num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五轴加工中心控制系统包含自修正刀具尺寸补偿、三维刀具圆角半径补偿功能</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现场提供演示含五轴加工中心控制系统包含自修正刀具尺寸补偿、三维刀具圆角半径补偿功能以及功能实现过程视频</w:t>
            </w:r>
            <w:r>
              <w:rPr>
                <w:rFonts w:hint="eastAsia" w:cs="宋体"/>
                <w:color w:val="auto"/>
                <w:sz w:val="21"/>
                <w:szCs w:val="21"/>
                <w:highlight w:val="none"/>
                <w:lang w:eastAsia="zh-CN"/>
              </w:rPr>
              <w:t>）</w:t>
            </w:r>
          </w:p>
        </w:tc>
        <w:tc>
          <w:tcPr>
            <w:tcW w:w="887" w:type="dxa"/>
            <w:shd w:val="clear" w:color="auto" w:fill="auto"/>
            <w:vAlign w:val="center"/>
          </w:tcPr>
          <w:p w14:paraId="73A184AE">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r>
      <w:tr w14:paraId="22D0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38" w:type="dxa"/>
            <w:vMerge w:val="continue"/>
            <w:vAlign w:val="center"/>
          </w:tcPr>
          <w:p w14:paraId="0D297CD3">
            <w:pPr>
              <w:jc w:val="left"/>
              <w:rPr>
                <w:rFonts w:hint="eastAsia" w:ascii="宋体" w:hAnsi="宋体" w:eastAsia="宋体" w:cs="宋体"/>
                <w:color w:val="auto"/>
                <w:sz w:val="21"/>
                <w:szCs w:val="21"/>
                <w:highlight w:val="none"/>
              </w:rPr>
            </w:pPr>
          </w:p>
        </w:tc>
        <w:tc>
          <w:tcPr>
            <w:tcW w:w="1700" w:type="dxa"/>
            <w:vMerge w:val="continue"/>
            <w:vAlign w:val="center"/>
          </w:tcPr>
          <w:p w14:paraId="2B776E69">
            <w:pPr>
              <w:jc w:val="left"/>
              <w:rPr>
                <w:rFonts w:hint="eastAsia" w:ascii="宋体" w:hAnsi="宋体" w:eastAsia="宋体" w:cs="宋体"/>
                <w:color w:val="auto"/>
                <w:sz w:val="21"/>
                <w:szCs w:val="21"/>
                <w:highlight w:val="none"/>
              </w:rPr>
            </w:pPr>
          </w:p>
        </w:tc>
        <w:tc>
          <w:tcPr>
            <w:tcW w:w="5765" w:type="dxa"/>
            <w:vAlign w:val="center"/>
          </w:tcPr>
          <w:p w14:paraId="3D5DD00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五轴加工中心协议支持（投标时提供以下①②两点的功能截图并加盖供应商公章）</w:t>
            </w:r>
          </w:p>
          <w:p w14:paraId="3109F31C">
            <w:pPr>
              <w:pStyle w:val="42"/>
              <w:numPr>
                <w:ilvl w:val="0"/>
                <w:numId w:val="3"/>
              </w:numPr>
              <w:spacing w:before="0" w:beforeAutospacing="0" w:after="0" w:afterAutospacing="0"/>
              <w:ind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网络协议：TCP/IP、HTTP/HTTPS、MQTT、WebSocket、OPC UA。</w:t>
            </w:r>
          </w:p>
          <w:p w14:paraId="6BA13EE2">
            <w:pPr>
              <w:pStyle w:val="42"/>
              <w:numPr>
                <w:ilvl w:val="0"/>
                <w:numId w:val="3"/>
              </w:numPr>
              <w:spacing w:before="0" w:beforeAutospacing="0" w:after="0" w:afterAutospacing="0"/>
              <w:ind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无线协议：支持Wi-Fi配网（SmartConfig/AP模式）、蓝牙Mesh</w:t>
            </w:r>
          </w:p>
        </w:tc>
        <w:tc>
          <w:tcPr>
            <w:tcW w:w="887" w:type="dxa"/>
            <w:vAlign w:val="center"/>
          </w:tcPr>
          <w:p w14:paraId="2D09C13F">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r>
      <w:tr w14:paraId="7228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38" w:type="dxa"/>
            <w:vMerge w:val="continue"/>
            <w:vAlign w:val="center"/>
          </w:tcPr>
          <w:p w14:paraId="5BBF9E0D">
            <w:pPr>
              <w:jc w:val="left"/>
              <w:rPr>
                <w:rFonts w:hint="eastAsia" w:ascii="宋体" w:hAnsi="宋体" w:eastAsia="宋体" w:cs="宋体"/>
                <w:color w:val="auto"/>
                <w:sz w:val="21"/>
                <w:szCs w:val="21"/>
                <w:highlight w:val="none"/>
              </w:rPr>
            </w:pPr>
          </w:p>
        </w:tc>
        <w:tc>
          <w:tcPr>
            <w:tcW w:w="1700" w:type="dxa"/>
            <w:vMerge w:val="continue"/>
            <w:vAlign w:val="center"/>
          </w:tcPr>
          <w:p w14:paraId="401765F5">
            <w:pPr>
              <w:jc w:val="left"/>
              <w:rPr>
                <w:rFonts w:hint="eastAsia" w:ascii="宋体" w:hAnsi="宋体" w:eastAsia="宋体" w:cs="宋体"/>
                <w:color w:val="auto"/>
                <w:sz w:val="21"/>
                <w:szCs w:val="21"/>
                <w:highlight w:val="none"/>
              </w:rPr>
            </w:pPr>
          </w:p>
        </w:tc>
        <w:tc>
          <w:tcPr>
            <w:tcW w:w="5765" w:type="dxa"/>
            <w:vAlign w:val="center"/>
          </w:tcPr>
          <w:p w14:paraId="6C8E96E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五轴加工中心支持功能（投标时提供以下①②③三点功能截图并加盖供应商公章）</w:t>
            </w:r>
          </w:p>
          <w:p w14:paraId="16440FA9">
            <w:pPr>
              <w:pStyle w:val="42"/>
              <w:numPr>
                <w:ilvl w:val="0"/>
                <w:numId w:val="4"/>
              </w:numPr>
              <w:spacing w:before="0" w:beforeAutospacing="0" w:after="0" w:afterAutospacing="0"/>
              <w:ind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需配备5轴联动控制接口，支持多轴运动控制。</w:t>
            </w:r>
          </w:p>
          <w:p w14:paraId="225B9D7A">
            <w:pPr>
              <w:pStyle w:val="42"/>
              <w:numPr>
                <w:ilvl w:val="0"/>
                <w:numId w:val="4"/>
              </w:numPr>
              <w:spacing w:before="0" w:beforeAutospacing="0" w:after="0" w:afterAutospacing="0"/>
              <w:ind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传感器系统包含 ±1%精度电流传感器、 16位分辨率温度传感器。</w:t>
            </w:r>
          </w:p>
          <w:p w14:paraId="59559F48">
            <w:pPr>
              <w:pStyle w:val="42"/>
              <w:numPr>
                <w:ilvl w:val="0"/>
                <w:numId w:val="4"/>
              </w:numPr>
              <w:spacing w:before="0" w:beforeAutospacing="0" w:after="0" w:afterAutospacing="0"/>
              <w:ind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提供与其他仿真软件用API接口</w:t>
            </w:r>
          </w:p>
        </w:tc>
        <w:tc>
          <w:tcPr>
            <w:tcW w:w="887" w:type="dxa"/>
            <w:vAlign w:val="center"/>
          </w:tcPr>
          <w:p w14:paraId="319BE799">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r>
      <w:tr w14:paraId="3D0D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38" w:type="dxa"/>
            <w:vMerge w:val="continue"/>
            <w:vAlign w:val="center"/>
          </w:tcPr>
          <w:p w14:paraId="0FE11F30">
            <w:pPr>
              <w:jc w:val="left"/>
              <w:rPr>
                <w:rFonts w:hint="eastAsia" w:ascii="宋体" w:hAnsi="宋体" w:eastAsia="宋体" w:cs="宋体"/>
                <w:color w:val="auto"/>
                <w:sz w:val="21"/>
                <w:szCs w:val="21"/>
                <w:highlight w:val="none"/>
              </w:rPr>
            </w:pPr>
          </w:p>
        </w:tc>
        <w:tc>
          <w:tcPr>
            <w:tcW w:w="1700" w:type="dxa"/>
            <w:vMerge w:val="continue"/>
            <w:vAlign w:val="center"/>
          </w:tcPr>
          <w:p w14:paraId="2210DB34">
            <w:pPr>
              <w:jc w:val="left"/>
              <w:rPr>
                <w:rFonts w:hint="eastAsia" w:ascii="宋体" w:hAnsi="宋体" w:eastAsia="宋体" w:cs="宋体"/>
                <w:color w:val="auto"/>
                <w:sz w:val="21"/>
                <w:szCs w:val="21"/>
                <w:highlight w:val="none"/>
              </w:rPr>
            </w:pPr>
          </w:p>
        </w:tc>
        <w:tc>
          <w:tcPr>
            <w:tcW w:w="5765" w:type="dxa"/>
            <w:vAlign w:val="center"/>
          </w:tcPr>
          <w:p w14:paraId="3904ECF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五轴机床数字孪生体的设计（投标时提供以下①②③三点功能截图并加盖供应商公章）</w:t>
            </w:r>
          </w:p>
          <w:p w14:paraId="179AC7EF">
            <w:pPr>
              <w:numPr>
                <w:ilvl w:val="0"/>
                <w:numId w:val="5"/>
              </w:numPr>
              <w:spacing w:line="46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体的物理特性1:1设计，根据现有五轴机床设计物理结构的3D数字模型，将模型导入数字孪生系统中，将各个元器件、结构件根据自身的特性设置为刚体、碰撞体或者是轴副运动体，将各个元器件的约束调节配置好，使得物理结构3D模型可以在手动的模式下，完成五轴机床的各个动作，为后续的调试做好基础工作。</w:t>
            </w:r>
          </w:p>
          <w:p w14:paraId="26F01127">
            <w:pPr>
              <w:numPr>
                <w:ilvl w:val="0"/>
                <w:numId w:val="5"/>
              </w:numPr>
              <w:spacing w:line="46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感知元件的1:1设置，各个传感器是感知设备运动的基础元器件，将各个传感器按照自身的物理特性进行设置，使得传感器可以在虚拟环境中完成相关的动作，便于数字孪生体的各项反馈与实物一致。</w:t>
            </w:r>
          </w:p>
          <w:p w14:paraId="68ACD553">
            <w:pPr>
              <w:numPr>
                <w:ilvl w:val="0"/>
                <w:numId w:val="5"/>
              </w:numPr>
              <w:spacing w:line="46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元件的1:1设置，五轴机床数字孪生体的执行元件是数字孪生体的灵魂，各个电机、气缸等执行元件必须与真实设备保持高度一致，包括气缸的运行速度、到位信号、电机转速、伺服运动位置等信号必须全部建立数字模型，提供与外界对接的接口。</w:t>
            </w:r>
          </w:p>
        </w:tc>
        <w:tc>
          <w:tcPr>
            <w:tcW w:w="887" w:type="dxa"/>
            <w:vAlign w:val="center"/>
          </w:tcPr>
          <w:p w14:paraId="577E28C2">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r>
      <w:tr w14:paraId="66BF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38" w:type="dxa"/>
            <w:vMerge w:val="continue"/>
            <w:vAlign w:val="center"/>
          </w:tcPr>
          <w:p w14:paraId="5E6748E3">
            <w:pPr>
              <w:jc w:val="left"/>
              <w:rPr>
                <w:rFonts w:hint="eastAsia" w:ascii="宋体" w:hAnsi="宋体" w:eastAsia="宋体" w:cs="宋体"/>
                <w:color w:val="auto"/>
                <w:sz w:val="21"/>
                <w:szCs w:val="21"/>
                <w:highlight w:val="none"/>
              </w:rPr>
            </w:pPr>
          </w:p>
        </w:tc>
        <w:tc>
          <w:tcPr>
            <w:tcW w:w="1700" w:type="dxa"/>
            <w:vMerge w:val="continue"/>
            <w:vAlign w:val="center"/>
          </w:tcPr>
          <w:p w14:paraId="0ACB82DF">
            <w:pPr>
              <w:jc w:val="left"/>
              <w:rPr>
                <w:rFonts w:hint="eastAsia" w:ascii="宋体" w:hAnsi="宋体" w:eastAsia="宋体" w:cs="宋体"/>
                <w:color w:val="auto"/>
                <w:sz w:val="21"/>
                <w:szCs w:val="21"/>
                <w:highlight w:val="none"/>
              </w:rPr>
            </w:pPr>
          </w:p>
        </w:tc>
        <w:tc>
          <w:tcPr>
            <w:tcW w:w="5765" w:type="dxa"/>
            <w:vAlign w:val="center"/>
          </w:tcPr>
          <w:p w14:paraId="64686A6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五轴机床数字孪生体与机床控制器虚拟调试（投标时提供提供以下①②③④四点功能截图并加盖供应商公章）</w:t>
            </w:r>
          </w:p>
          <w:p w14:paraId="3FDAB9E1">
            <w:pPr>
              <w:numPr>
                <w:ilvl w:val="0"/>
                <w:numId w:val="6"/>
              </w:numPr>
              <w:spacing w:line="46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在机床控制器中开发五轴机床控制人机交互界面。</w:t>
            </w:r>
          </w:p>
          <w:p w14:paraId="200EDCF1">
            <w:pPr>
              <w:numPr>
                <w:ilvl w:val="0"/>
                <w:numId w:val="6"/>
              </w:numPr>
              <w:spacing w:line="46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五轴机床数字孪生体与数字孪生控制系实现TCP/IP、HTTP/HTTPS、OPC UA等通信。</w:t>
            </w:r>
          </w:p>
          <w:p w14:paraId="57AB64DD">
            <w:pPr>
              <w:numPr>
                <w:ilvl w:val="0"/>
                <w:numId w:val="6"/>
              </w:numPr>
              <w:spacing w:line="46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五轴机床数字孪生体与数字孪生控制系实现信号对接包含传感器、到位信号、电机转速、伺服运动位置等信号</w:t>
            </w:r>
          </w:p>
          <w:p w14:paraId="3B82C7C4">
            <w:pPr>
              <w:numPr>
                <w:ilvl w:val="0"/>
                <w:numId w:val="6"/>
              </w:numPr>
              <w:spacing w:line="46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机床控制器实现对五轴数字孪生体进行控制如：五轴机床各个轴运动，开关门，运行启动，停止，报警等。</w:t>
            </w:r>
          </w:p>
        </w:tc>
        <w:tc>
          <w:tcPr>
            <w:tcW w:w="887" w:type="dxa"/>
            <w:vAlign w:val="center"/>
          </w:tcPr>
          <w:p w14:paraId="3AF2C528">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r>
      <w:tr w14:paraId="6331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38" w:type="dxa"/>
            <w:vMerge w:val="continue"/>
            <w:vAlign w:val="center"/>
          </w:tcPr>
          <w:p w14:paraId="1CE4133A">
            <w:pPr>
              <w:jc w:val="left"/>
              <w:rPr>
                <w:rFonts w:hint="eastAsia" w:ascii="宋体" w:hAnsi="宋体" w:eastAsia="宋体" w:cs="宋体"/>
                <w:color w:val="auto"/>
                <w:sz w:val="21"/>
                <w:szCs w:val="21"/>
                <w:highlight w:val="none"/>
              </w:rPr>
            </w:pPr>
          </w:p>
        </w:tc>
        <w:tc>
          <w:tcPr>
            <w:tcW w:w="1700" w:type="dxa"/>
            <w:vMerge w:val="continue"/>
            <w:vAlign w:val="center"/>
          </w:tcPr>
          <w:p w14:paraId="303E50A4">
            <w:pPr>
              <w:jc w:val="left"/>
              <w:rPr>
                <w:rFonts w:hint="eastAsia" w:ascii="宋体" w:hAnsi="宋体" w:eastAsia="宋体" w:cs="宋体"/>
                <w:color w:val="auto"/>
                <w:sz w:val="21"/>
                <w:szCs w:val="21"/>
                <w:highlight w:val="none"/>
              </w:rPr>
            </w:pPr>
          </w:p>
        </w:tc>
        <w:tc>
          <w:tcPr>
            <w:tcW w:w="5765" w:type="dxa"/>
            <w:vAlign w:val="center"/>
          </w:tcPr>
          <w:p w14:paraId="3B240EA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VR功能集成（投标时提供以下功能截图并加盖供应商公章）</w:t>
            </w:r>
          </w:p>
          <w:p w14:paraId="607765AA">
            <w:pPr>
              <w:pStyle w:val="42"/>
              <w:spacing w:before="0" w:beforeAutospacing="0" w:after="0" w:afterAutospacing="0"/>
              <w:ind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集成Virtual Reality功能，支持HTC Vive™硬件，通过加载五轴机床数字孪生体到虚拟现实(VR) 世界,使用VR硬件沉浸在制造领域， 实现以下功能：分析五轴机床数字孪生体安全问题；在立体场景下的优化生产单元和产线布局；识别五轴机床数字孪生体布局准确性和干涉故障；支持 在沉浸于虚拟现实(VR)中的同时，通过几种类型和图标的注释记录问题。每条注释都带有虚拟现实(VR)中拍摄的图片，以便清晰准确地描述所发现的问题。注释图标将出现在五轴机床数字孪生体 图形空间中的同一位置，使用户在查看会话后能够轻松理解每个区域当前的完善状态。跟进五轴机床数字孪生体或VR中的每条注释以查看相关图片，在问题解决后添加批注或更改其状态。</w:t>
            </w:r>
          </w:p>
        </w:tc>
        <w:tc>
          <w:tcPr>
            <w:tcW w:w="887" w:type="dxa"/>
            <w:vAlign w:val="center"/>
          </w:tcPr>
          <w:p w14:paraId="6C32B5D2">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r>
      <w:tr w14:paraId="6DB5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38" w:type="dxa"/>
            <w:vMerge w:val="continue"/>
            <w:vAlign w:val="center"/>
          </w:tcPr>
          <w:p w14:paraId="09475A8E">
            <w:pPr>
              <w:jc w:val="left"/>
              <w:rPr>
                <w:rFonts w:hint="eastAsia" w:ascii="宋体" w:hAnsi="宋体" w:eastAsia="宋体" w:cs="宋体"/>
                <w:color w:val="auto"/>
                <w:sz w:val="21"/>
                <w:szCs w:val="21"/>
                <w:highlight w:val="none"/>
              </w:rPr>
            </w:pPr>
          </w:p>
        </w:tc>
        <w:tc>
          <w:tcPr>
            <w:tcW w:w="1700" w:type="dxa"/>
            <w:vMerge w:val="continue"/>
            <w:vAlign w:val="center"/>
          </w:tcPr>
          <w:p w14:paraId="24011374">
            <w:pPr>
              <w:jc w:val="left"/>
              <w:rPr>
                <w:rFonts w:hint="eastAsia" w:ascii="宋体" w:hAnsi="宋体" w:eastAsia="宋体" w:cs="宋体"/>
                <w:color w:val="auto"/>
                <w:sz w:val="21"/>
                <w:szCs w:val="21"/>
                <w:highlight w:val="none"/>
              </w:rPr>
            </w:pPr>
          </w:p>
        </w:tc>
        <w:tc>
          <w:tcPr>
            <w:tcW w:w="5765" w:type="dxa"/>
            <w:vAlign w:val="center"/>
          </w:tcPr>
          <w:p w14:paraId="4D24FC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产线的MES系统包含</w:t>
            </w:r>
            <w:r>
              <w:rPr>
                <w:rFonts w:hint="eastAsia" w:ascii="宋体" w:hAnsi="宋体" w:eastAsia="宋体" w:cs="宋体"/>
                <w:color w:val="auto"/>
                <w:kern w:val="0"/>
                <w:sz w:val="21"/>
                <w:szCs w:val="21"/>
                <w:highlight w:val="none"/>
              </w:rPr>
              <w:t>包含基础数据，</w:t>
            </w:r>
            <w:r>
              <w:rPr>
                <w:rFonts w:hint="eastAsia" w:ascii="宋体" w:hAnsi="宋体" w:eastAsia="宋体" w:cs="宋体"/>
                <w:color w:val="auto"/>
                <w:kern w:val="0"/>
                <w:sz w:val="21"/>
                <w:szCs w:val="21"/>
                <w:highlight w:val="none"/>
                <w:lang w:val="zh-CN"/>
              </w:rPr>
              <w:t>物料管理</w:t>
            </w:r>
            <w:r>
              <w:rPr>
                <w:rFonts w:hint="eastAsia" w:ascii="宋体" w:hAnsi="宋体" w:eastAsia="宋体" w:cs="宋体"/>
                <w:color w:val="auto"/>
                <w:kern w:val="0"/>
                <w:sz w:val="21"/>
                <w:szCs w:val="21"/>
                <w:highlight w:val="none"/>
              </w:rPr>
              <w:t>，工艺管理，计划执行，</w:t>
            </w:r>
            <w:r>
              <w:rPr>
                <w:rFonts w:hint="eastAsia" w:ascii="宋体" w:hAnsi="宋体" w:eastAsia="宋体" w:cs="宋体"/>
                <w:color w:val="auto"/>
                <w:kern w:val="0"/>
                <w:sz w:val="21"/>
                <w:szCs w:val="21"/>
                <w:highlight w:val="none"/>
                <w:lang w:val="zh-CN"/>
              </w:rPr>
              <w:t>仓储管理</w:t>
            </w:r>
            <w:r>
              <w:rPr>
                <w:rFonts w:hint="eastAsia" w:ascii="宋体" w:hAnsi="宋体" w:eastAsia="宋体" w:cs="宋体"/>
                <w:color w:val="auto"/>
                <w:kern w:val="0"/>
                <w:sz w:val="21"/>
                <w:szCs w:val="21"/>
                <w:highlight w:val="none"/>
              </w:rPr>
              <w:t>,质量管理,设备管理,工装夹具管理,数控集成,组织管理,系统监控,系统工具，系统管理等模块</w:t>
            </w:r>
          </w:p>
        </w:tc>
        <w:tc>
          <w:tcPr>
            <w:tcW w:w="887" w:type="dxa"/>
            <w:vAlign w:val="center"/>
          </w:tcPr>
          <w:p w14:paraId="649DA442">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r>
      <w:tr w14:paraId="1F1E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38" w:type="dxa"/>
            <w:vMerge w:val="continue"/>
            <w:vAlign w:val="center"/>
          </w:tcPr>
          <w:p w14:paraId="1186F775">
            <w:pPr>
              <w:jc w:val="left"/>
              <w:rPr>
                <w:rFonts w:hint="eastAsia" w:ascii="宋体" w:hAnsi="宋体" w:eastAsia="宋体" w:cs="宋体"/>
                <w:color w:val="auto"/>
                <w:sz w:val="21"/>
                <w:szCs w:val="21"/>
                <w:highlight w:val="none"/>
              </w:rPr>
            </w:pPr>
          </w:p>
        </w:tc>
        <w:tc>
          <w:tcPr>
            <w:tcW w:w="1700" w:type="dxa"/>
            <w:vMerge w:val="continue"/>
            <w:vAlign w:val="center"/>
          </w:tcPr>
          <w:p w14:paraId="1D1A52A1">
            <w:pPr>
              <w:jc w:val="left"/>
              <w:rPr>
                <w:rFonts w:hint="eastAsia" w:ascii="宋体" w:hAnsi="宋体" w:eastAsia="宋体" w:cs="宋体"/>
                <w:color w:val="auto"/>
                <w:sz w:val="21"/>
                <w:szCs w:val="21"/>
                <w:highlight w:val="none"/>
              </w:rPr>
            </w:pPr>
          </w:p>
        </w:tc>
        <w:tc>
          <w:tcPr>
            <w:tcW w:w="5765" w:type="dxa"/>
            <w:vAlign w:val="center"/>
          </w:tcPr>
          <w:p w14:paraId="4A992111">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产线的数字孪生系统与MES系统数据共享，可实现现实车间3D形态的完全模拟。利用数字孪生技术对实体工厂生产线进行1:1三维可视化建模，与真实的生产环境1：1对应，也可在MES系统下虚拟订单，模拟整线的运作过程，实现产线模拟运作调试，达到离线教学的目的。</w:t>
            </w:r>
          </w:p>
        </w:tc>
        <w:tc>
          <w:tcPr>
            <w:tcW w:w="887" w:type="dxa"/>
            <w:vAlign w:val="center"/>
          </w:tcPr>
          <w:p w14:paraId="6C79028A">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r>
      <w:tr w14:paraId="4611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8" w:type="dxa"/>
            <w:vAlign w:val="center"/>
          </w:tcPr>
          <w:p w14:paraId="7DB3E25E">
            <w:pPr>
              <w:snapToGrid w:val="0"/>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700" w:type="dxa"/>
            <w:vAlign w:val="center"/>
          </w:tcPr>
          <w:p w14:paraId="18BF610B">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项目实施管理方案（满分</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5765" w:type="dxa"/>
            <w:vAlign w:val="center"/>
          </w:tcPr>
          <w:p w14:paraId="0DB060C4">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由评标委员会根据投标人提供的项目实施方案综合评定，达不到一档要求的不得分:</w:t>
            </w:r>
          </w:p>
          <w:p w14:paraId="5CCA0568">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一档（6分）：有基本的施工进度计划、工期保证措施、安装进度。拟投入本项目的实施团队成员中具有机械工程类高级及以上职称的人员至少1人；</w:t>
            </w:r>
          </w:p>
          <w:p w14:paraId="1105BD6E">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9分）：在满足一档的基础上，对项目需求分析准确，理解透彻，需求内容覆盖完整，项目建设任务清晰。有安排合理的施工进度计划、工期保证措施、安装进度、安装调试方案、培训方案应至少包括培训内容、培训对象、培训课程、培训师资等内容。拟投入本项目的实施团队成员中具有机械工程类中级及以上职称的人员至少2人；</w:t>
            </w:r>
          </w:p>
          <w:p w14:paraId="030029BB">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档（12分）：在满足二档的基础上，有编制详尽、安排科学合理的施工进度计划、工期保证措施、安装进度、安装调试方案、培训方案、项目配套的课程内容、针对本项目的优化方案（包含设计理念、设计目的、提供针对本项目涉及规划的布置图、校企合作）。拟投入本项目的实施团队成员中具有机械工程高级及以上职称的人员至少3人；</w:t>
            </w:r>
          </w:p>
          <w:p w14:paraId="0F26FA12">
            <w:pPr>
              <w:jc w:val="lef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注：投标时需提供人员身份证复印件、机械工程类职称证复印件以及开标日前半年内连续三个月投标人为相应人员缴纳社保的证明材料复印件，以上复印件均须加盖投标人公章，未按要求提供的不得分。</w:t>
            </w:r>
          </w:p>
        </w:tc>
        <w:tc>
          <w:tcPr>
            <w:tcW w:w="887" w:type="dxa"/>
            <w:vAlign w:val="center"/>
          </w:tcPr>
          <w:p w14:paraId="0E1BE91C">
            <w:pPr>
              <w:snapToGrid w:val="0"/>
              <w:ind w:left="0" w:leftChars="0" w:firstLine="0" w:firstLineChars="0"/>
              <w:jc w:val="both"/>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r>
      <w:tr w14:paraId="6C89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8" w:type="dxa"/>
            <w:shd w:val="clear" w:color="auto" w:fill="BFBFBF"/>
            <w:vAlign w:val="center"/>
          </w:tcPr>
          <w:p w14:paraId="12E39789">
            <w:pPr>
              <w:widowControl/>
              <w:ind w:firstLine="0" w:firstLineChars="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700" w:type="dxa"/>
            <w:shd w:val="clear" w:color="auto" w:fill="BFBFBF"/>
            <w:vAlign w:val="center"/>
          </w:tcPr>
          <w:p w14:paraId="4CF043E4">
            <w:pPr>
              <w:widowControl/>
              <w:ind w:firstLine="422"/>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商务分</w:t>
            </w:r>
          </w:p>
        </w:tc>
        <w:tc>
          <w:tcPr>
            <w:tcW w:w="6652" w:type="dxa"/>
            <w:gridSpan w:val="2"/>
            <w:shd w:val="clear" w:color="auto" w:fill="BFBFBF"/>
            <w:vAlign w:val="center"/>
          </w:tcPr>
          <w:p w14:paraId="0305B91C">
            <w:pPr>
              <w:widowControl/>
              <w:ind w:firstLine="422"/>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r>
      <w:tr w14:paraId="4568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738" w:type="dxa"/>
            <w:vAlign w:val="center"/>
          </w:tcPr>
          <w:p w14:paraId="1544A114">
            <w:pPr>
              <w:widowControl/>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700" w:type="dxa"/>
            <w:shd w:val="clear" w:color="auto" w:fill="auto"/>
            <w:vAlign w:val="center"/>
          </w:tcPr>
          <w:p w14:paraId="41EA573A">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体系认证资质</w:t>
            </w:r>
          </w:p>
          <w:p w14:paraId="3CF2F573">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765" w:type="dxa"/>
            <w:shd w:val="clear" w:color="auto" w:fill="auto"/>
            <w:vAlign w:val="center"/>
          </w:tcPr>
          <w:p w14:paraId="561840C1">
            <w:pPr>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供应商通过ISO9001质量体系认证，提供认证证书，得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cs="宋体"/>
                <w:color w:val="auto"/>
                <w:sz w:val="21"/>
                <w:szCs w:val="21"/>
                <w:highlight w:val="none"/>
                <w:lang w:eastAsia="zh-CN"/>
              </w:rPr>
              <w:t>；</w:t>
            </w:r>
          </w:p>
          <w:p w14:paraId="4CB1F556">
            <w:pPr>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供应商通过GB/T24001/ISO14001环境管理体系认证，提供认证证书，得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cs="宋体"/>
                <w:color w:val="auto"/>
                <w:sz w:val="21"/>
                <w:szCs w:val="21"/>
                <w:highlight w:val="none"/>
                <w:lang w:eastAsia="zh-CN"/>
              </w:rPr>
              <w:t>；</w:t>
            </w:r>
          </w:p>
          <w:p w14:paraId="6BCA0849">
            <w:pPr>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供应商通过GB/T45001/ISO45001健康管理体系认证，提供认证证书，得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887" w:type="dxa"/>
            <w:vAlign w:val="center"/>
          </w:tcPr>
          <w:p w14:paraId="6E4407E6">
            <w:pPr>
              <w:ind w:firstLine="0" w:firstLineChars="0"/>
              <w:rPr>
                <w:rFonts w:hint="eastAsia" w:ascii="宋体" w:hAnsi="宋体" w:eastAsia="宋体" w:cs="宋体"/>
                <w:color w:val="auto"/>
                <w:kern w:val="0"/>
                <w:sz w:val="21"/>
                <w:szCs w:val="21"/>
                <w:highlight w:val="none"/>
              </w:rPr>
            </w:pPr>
            <w:r>
              <w:rPr>
                <w:rFonts w:hint="eastAsia"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r>
      <w:tr w14:paraId="036E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jc w:val="center"/>
        </w:trPr>
        <w:tc>
          <w:tcPr>
            <w:tcW w:w="738" w:type="dxa"/>
            <w:vAlign w:val="center"/>
          </w:tcPr>
          <w:p w14:paraId="6936958C">
            <w:pPr>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700" w:type="dxa"/>
            <w:shd w:val="clear" w:color="auto" w:fill="auto"/>
            <w:vAlign w:val="center"/>
          </w:tcPr>
          <w:p w14:paraId="0D5893AB">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履约能力分</w:t>
            </w:r>
          </w:p>
          <w:p w14:paraId="17AEB989">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（满分6分）</w:t>
            </w:r>
          </w:p>
        </w:tc>
        <w:tc>
          <w:tcPr>
            <w:tcW w:w="5765" w:type="dxa"/>
            <w:shd w:val="clear" w:color="auto" w:fill="auto"/>
            <w:vAlign w:val="center"/>
          </w:tcPr>
          <w:p w14:paraId="65BBA9A3">
            <w:pPr>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供应商取得高新技术企业认证、技术企业中心认证、专精特新中小企业认证</w:t>
            </w:r>
            <w:r>
              <w:rPr>
                <w:rFonts w:hint="eastAsia" w:cs="宋体"/>
                <w:color w:val="auto"/>
                <w:sz w:val="21"/>
                <w:szCs w:val="21"/>
                <w:highlight w:val="none"/>
                <w:lang w:eastAsia="zh-CN"/>
              </w:rPr>
              <w:t>：（满分</w:t>
            </w:r>
            <w:r>
              <w:rPr>
                <w:rFonts w:hint="eastAsia" w:cs="宋体"/>
                <w:color w:val="auto"/>
                <w:sz w:val="21"/>
                <w:szCs w:val="21"/>
                <w:highlight w:val="none"/>
                <w:lang w:val="en-US" w:eastAsia="zh-CN"/>
              </w:rPr>
              <w:t>6分）</w:t>
            </w:r>
          </w:p>
          <w:p w14:paraId="29B172F8">
            <w:pPr>
              <w:ind w:firstLine="0" w:firstLineChars="0"/>
              <w:jc w:val="left"/>
              <w:rPr>
                <w:rFonts w:hint="eastAsia" w:cs="宋体"/>
                <w:color w:val="auto"/>
                <w:sz w:val="21"/>
                <w:szCs w:val="21"/>
                <w:highlight w:val="none"/>
                <w:lang w:eastAsia="zh-CN"/>
              </w:rPr>
            </w:pPr>
            <w:r>
              <w:rPr>
                <w:rFonts w:hint="eastAsia" w:ascii="宋体" w:hAnsi="宋体" w:eastAsia="宋体" w:cs="宋体"/>
                <w:color w:val="auto"/>
                <w:sz w:val="21"/>
                <w:szCs w:val="21"/>
                <w:highlight w:val="none"/>
              </w:rPr>
              <w:t>取得省级及以上认证得2分/项</w:t>
            </w:r>
            <w:r>
              <w:rPr>
                <w:rFonts w:hint="eastAsia" w:cs="宋体"/>
                <w:color w:val="auto"/>
                <w:sz w:val="21"/>
                <w:szCs w:val="21"/>
                <w:highlight w:val="none"/>
                <w:lang w:eastAsia="zh-CN"/>
              </w:rPr>
              <w:t>；</w:t>
            </w:r>
          </w:p>
          <w:p w14:paraId="62C2DA2F">
            <w:pPr>
              <w:ind w:firstLine="0" w:firstLineChars="0"/>
              <w:jc w:val="left"/>
              <w:rPr>
                <w:rFonts w:hint="eastAsia" w:cs="宋体"/>
                <w:color w:val="auto"/>
                <w:sz w:val="21"/>
                <w:szCs w:val="21"/>
                <w:highlight w:val="none"/>
                <w:lang w:eastAsia="zh-CN"/>
              </w:rPr>
            </w:pPr>
            <w:r>
              <w:rPr>
                <w:rFonts w:hint="eastAsia" w:ascii="宋体" w:hAnsi="宋体" w:eastAsia="宋体" w:cs="宋体"/>
                <w:color w:val="auto"/>
                <w:sz w:val="21"/>
                <w:szCs w:val="21"/>
                <w:highlight w:val="none"/>
              </w:rPr>
              <w:t>取得省级以下认证得1分/项</w:t>
            </w:r>
            <w:r>
              <w:rPr>
                <w:rFonts w:hint="eastAsia" w:cs="宋体"/>
                <w:color w:val="auto"/>
                <w:sz w:val="21"/>
                <w:szCs w:val="21"/>
                <w:highlight w:val="none"/>
                <w:lang w:eastAsia="zh-CN"/>
              </w:rPr>
              <w:t>；</w:t>
            </w:r>
          </w:p>
          <w:p w14:paraId="43C5BA34">
            <w:pPr>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不能取得认证不得分</w:t>
            </w:r>
          </w:p>
          <w:p w14:paraId="38BAC71F">
            <w:pPr>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高新技术企业证书复印件（含发证机关公章），提供全国高新技术企业认定管理工作网查询截图（带查询日期水印）、三年研发费用专项审计报告、提供国家/省级发改委官网公示截图（带查询日期水印）</w:t>
            </w:r>
          </w:p>
        </w:tc>
        <w:tc>
          <w:tcPr>
            <w:tcW w:w="887" w:type="dxa"/>
            <w:vAlign w:val="center"/>
          </w:tcPr>
          <w:p w14:paraId="5C8288A1">
            <w:pPr>
              <w:ind w:firstLine="0" w:firstLineChars="0"/>
              <w:rPr>
                <w:rFonts w:hint="eastAsia" w:ascii="宋体" w:hAnsi="宋体" w:eastAsia="宋体" w:cs="宋体"/>
                <w:color w:val="auto"/>
                <w:kern w:val="0"/>
                <w:sz w:val="21"/>
                <w:szCs w:val="21"/>
                <w:highlight w:val="none"/>
              </w:rPr>
            </w:pPr>
            <w:r>
              <w:rPr>
                <w:rFonts w:hint="eastAsia"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14:paraId="76B1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8" w:type="dxa"/>
            <w:vAlign w:val="center"/>
          </w:tcPr>
          <w:p w14:paraId="37174C04">
            <w:pPr>
              <w:widowControl/>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1700" w:type="dxa"/>
            <w:vAlign w:val="center"/>
          </w:tcPr>
          <w:p w14:paraId="75698808">
            <w:pPr>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业绩分</w:t>
            </w:r>
          </w:p>
          <w:p w14:paraId="0C05E993">
            <w:pPr>
              <w:ind w:firstLine="0" w:firstLine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（满分2分）</w:t>
            </w:r>
          </w:p>
        </w:tc>
        <w:tc>
          <w:tcPr>
            <w:tcW w:w="5765" w:type="dxa"/>
            <w:vAlign w:val="center"/>
          </w:tcPr>
          <w:p w14:paraId="005EDEF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供应商提供其2022年以来完成自动化设备，自动化产线，系统集成、软件开发等类似项目业绩的，每个项目得1分，满分</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D139ADB">
            <w:pPr>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（需在首次响应文件中提供有效项目业绩的合同或中标/成交通知书、项目验收报告或验收评价报告的复印件，并加盖供应商公章，未按要求提供的不予计分。）</w:t>
            </w:r>
          </w:p>
        </w:tc>
        <w:tc>
          <w:tcPr>
            <w:tcW w:w="887" w:type="dxa"/>
            <w:vAlign w:val="center"/>
          </w:tcPr>
          <w:p w14:paraId="697A5960">
            <w:pPr>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2分</w:t>
            </w:r>
          </w:p>
        </w:tc>
      </w:tr>
      <w:tr w14:paraId="26A3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8" w:type="dxa"/>
            <w:vAlign w:val="center"/>
          </w:tcPr>
          <w:p w14:paraId="06014B01">
            <w:pPr>
              <w:widowControl/>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1700" w:type="dxa"/>
            <w:vAlign w:val="center"/>
          </w:tcPr>
          <w:p w14:paraId="6E27ABC5">
            <w:p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售后服务方案</w:t>
            </w:r>
          </w:p>
          <w:p w14:paraId="21293419">
            <w:pPr>
              <w:ind w:firstLine="0" w:firstLineChars="0"/>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highlight w:val="none"/>
              </w:rPr>
              <w:t>（满分7分）</w:t>
            </w:r>
          </w:p>
        </w:tc>
        <w:tc>
          <w:tcPr>
            <w:tcW w:w="5765" w:type="dxa"/>
            <w:vAlign w:val="center"/>
          </w:tcPr>
          <w:p w14:paraId="2E1D306B">
            <w:pPr>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不满足最低分档评审条件的，得0分</w:t>
            </w:r>
          </w:p>
          <w:p w14:paraId="59D62A39">
            <w:pPr>
              <w:spacing w:line="460" w:lineRule="exact"/>
              <w:rPr>
                <w:rFonts w:hAnsi="Courier New" w:cs="Times New Roman"/>
                <w:color w:val="auto"/>
                <w:szCs w:val="20"/>
                <w:highlight w:val="none"/>
              </w:rPr>
            </w:pPr>
            <w:r>
              <w:rPr>
                <w:rFonts w:hint="eastAsia" w:hAnsi="Courier New" w:cs="Times New Roman"/>
                <w:color w:val="auto"/>
                <w:szCs w:val="20"/>
                <w:highlight w:val="none"/>
              </w:rPr>
              <w:t>由评标委员会根据投标人提供的售后服务方案综合评定，达不到一档要求的不得分。</w:t>
            </w:r>
          </w:p>
          <w:p w14:paraId="2EF798F0">
            <w:pPr>
              <w:spacing w:line="460" w:lineRule="exact"/>
              <w:rPr>
                <w:rFonts w:hAnsi="Courier New" w:cs="Times New Roman"/>
                <w:color w:val="auto"/>
                <w:szCs w:val="20"/>
                <w:highlight w:val="none"/>
              </w:rPr>
            </w:pPr>
            <w:r>
              <w:rPr>
                <w:rFonts w:hint="eastAsia" w:hAnsi="Courier New" w:cs="Times New Roman"/>
                <w:color w:val="auto"/>
                <w:szCs w:val="20"/>
                <w:highlight w:val="none"/>
              </w:rPr>
              <w:t>一档（2分）：售后服务承诺满足招标文件要求，承诺到达故障现场时间6小时以内，一般性问题24小时内解决，其他技术类疑难问题2个工作日内解决。</w:t>
            </w:r>
          </w:p>
          <w:p w14:paraId="2F8529FE">
            <w:pPr>
              <w:spacing w:line="460" w:lineRule="exact"/>
              <w:rPr>
                <w:rFonts w:hAnsi="Courier New" w:cs="Times New Roman"/>
                <w:color w:val="auto"/>
                <w:szCs w:val="20"/>
                <w:highlight w:val="none"/>
              </w:rPr>
            </w:pPr>
            <w:r>
              <w:rPr>
                <w:rFonts w:hint="eastAsia" w:hAnsi="Courier New" w:cs="Times New Roman"/>
                <w:color w:val="auto"/>
                <w:szCs w:val="20"/>
                <w:highlight w:val="none"/>
              </w:rPr>
              <w:t>二档（5分）：售后服务完全满足招标文件要求，保障响应措施较有力；售后服务方案内容完整，具有免费保修期限、到达故障现场时间、故障出现解决方案、免费技术培训方案、保修期外维修等方案，承诺到达故障现场时间5小时以内，一般性问题24小时内解决，其他技术类疑难问题2个工作日内解决。</w:t>
            </w:r>
          </w:p>
          <w:p w14:paraId="23EE2E49">
            <w:pPr>
              <w:ind w:firstLine="420" w:firstLineChars="200"/>
              <w:jc w:val="left"/>
              <w:rPr>
                <w:rFonts w:hint="eastAsia" w:ascii="宋体" w:hAnsi="宋体" w:eastAsia="宋体" w:cs="宋体"/>
                <w:color w:val="auto"/>
                <w:sz w:val="21"/>
                <w:szCs w:val="21"/>
                <w:highlight w:val="none"/>
              </w:rPr>
            </w:pPr>
            <w:r>
              <w:rPr>
                <w:rFonts w:hint="eastAsia" w:hAnsi="Courier New" w:cs="Times New Roman"/>
                <w:color w:val="auto"/>
                <w:szCs w:val="20"/>
                <w:highlight w:val="none"/>
              </w:rPr>
              <w:t>三档（7分）：售后服务方案全满足招标文件要求且细致，投标人提供的售后服务承诺内容完整、切合实际，能够提供详细周全的技术培训方案（包括培训计划、内容、课程安排、培训成效等）、切实、优惠的保修期外维修方案和免费技术培训方案，故障出现解决方案、定期维护（注明时间），提供定期回访服务等；并能提供其它增值售后服务的，提供固定的运维团队，拟投入的售后服务人员≥2人。承诺到达故障现场时间4小时以内，一般性问题12小时内解决，其他技术类疑难问题24小时内解决。</w:t>
            </w:r>
          </w:p>
        </w:tc>
        <w:tc>
          <w:tcPr>
            <w:tcW w:w="887" w:type="dxa"/>
            <w:vAlign w:val="center"/>
          </w:tcPr>
          <w:p w14:paraId="4F482185">
            <w:pPr>
              <w:ind w:firstLine="0" w:firstLineChars="0"/>
              <w:rPr>
                <w:rFonts w:hint="eastAsia" w:ascii="宋体" w:hAnsi="宋体"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7分</w:t>
            </w:r>
          </w:p>
        </w:tc>
      </w:tr>
      <w:tr w14:paraId="04D0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8" w:type="dxa"/>
            <w:vAlign w:val="center"/>
          </w:tcPr>
          <w:p w14:paraId="007A87BC">
            <w:pPr>
              <w:widowControl/>
              <w:ind w:firstLine="0" w:firstLineChars="0"/>
              <w:rPr>
                <w:rFonts w:hint="default" w:ascii="宋体" w:hAnsi="宋体" w:eastAsia="宋体" w:cs="宋体"/>
                <w:color w:val="auto"/>
                <w:kern w:val="0"/>
                <w:sz w:val="21"/>
                <w:szCs w:val="21"/>
                <w:highlight w:val="none"/>
                <w:lang w:val="en-US" w:eastAsia="zh-CN"/>
              </w:rPr>
            </w:pPr>
            <w:r>
              <w:rPr>
                <w:rFonts w:hint="eastAsia" w:cs="宋体"/>
                <w:color w:val="auto"/>
                <w:kern w:val="0"/>
                <w:sz w:val="21"/>
                <w:szCs w:val="21"/>
                <w:highlight w:val="none"/>
                <w:lang w:val="en-US" w:eastAsia="zh-CN"/>
              </w:rPr>
              <w:t>3.5</w:t>
            </w:r>
          </w:p>
        </w:tc>
        <w:tc>
          <w:tcPr>
            <w:tcW w:w="1700" w:type="dxa"/>
            <w:shd w:val="clear" w:color="auto" w:fill="auto"/>
            <w:vAlign w:val="center"/>
          </w:tcPr>
          <w:p w14:paraId="411D7134">
            <w:pPr>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大师工作室建设（满分</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5765" w:type="dxa"/>
            <w:shd w:val="clear" w:color="auto" w:fill="auto"/>
            <w:vAlign w:val="center"/>
          </w:tcPr>
          <w:p w14:paraId="0F8B01D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组建大师工作室，大师工作室核心成员由大工匠、高级工程师、高级技能大师等组成。</w:t>
            </w:r>
          </w:p>
          <w:p w14:paraId="723FDF6F">
            <w:pPr>
              <w:pStyle w:val="31"/>
              <w:numPr>
                <w:ilvl w:val="0"/>
                <w:numId w:val="0"/>
              </w:numPr>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核心成员有大国工匠得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29A49F06">
            <w:pPr>
              <w:numPr>
                <w:ilvl w:val="0"/>
                <w:numId w:val="0"/>
              </w:numPr>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核心成员有省级大工匠得</w:t>
            </w:r>
            <w:r>
              <w:rPr>
                <w:rFonts w:hint="eastAsia"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cs="宋体"/>
                <w:color w:val="auto"/>
                <w:kern w:val="0"/>
                <w:sz w:val="21"/>
                <w:szCs w:val="21"/>
                <w:highlight w:val="none"/>
                <w:lang w:eastAsia="zh-CN"/>
              </w:rPr>
              <w:t>；</w:t>
            </w:r>
          </w:p>
          <w:p w14:paraId="12838834">
            <w:pPr>
              <w:pStyle w:val="31"/>
              <w:ind w:left="0" w:leftChars="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核心成员有市级大工匠得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887" w:type="dxa"/>
            <w:shd w:val="clear" w:color="auto" w:fill="auto"/>
            <w:vAlign w:val="center"/>
          </w:tcPr>
          <w:p w14:paraId="46B91236">
            <w:pPr>
              <w:ind w:firstLine="0" w:firstLineChars="0"/>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r>
      <w:tr w14:paraId="0089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8" w:type="dxa"/>
            <w:vAlign w:val="center"/>
          </w:tcPr>
          <w:p w14:paraId="5608ABA3">
            <w:pPr>
              <w:ind w:left="0" w:leftChars="0" w:firstLine="0" w:firstLineChars="0"/>
              <w:rPr>
                <w:rFonts w:hint="eastAsia"/>
                <w:color w:val="auto"/>
                <w:highlight w:val="none"/>
                <w:lang w:val="en-US" w:eastAsia="zh-CN"/>
              </w:rPr>
            </w:pPr>
            <w:r>
              <w:rPr>
                <w:rFonts w:hint="eastAsia"/>
                <w:color w:val="auto"/>
                <w:highlight w:val="none"/>
              </w:rPr>
              <w:t>3</w:t>
            </w:r>
            <w:r>
              <w:rPr>
                <w:color w:val="auto"/>
                <w:highlight w:val="none"/>
              </w:rPr>
              <w:t>.6</w:t>
            </w:r>
          </w:p>
        </w:tc>
        <w:tc>
          <w:tcPr>
            <w:tcW w:w="1700" w:type="dxa"/>
            <w:shd w:val="clear" w:color="auto" w:fill="auto"/>
            <w:vAlign w:val="center"/>
          </w:tcPr>
          <w:p w14:paraId="5E8FAAA6">
            <w:pPr>
              <w:ind w:left="0" w:leftChars="0" w:firstLine="0" w:firstLineChars="0"/>
              <w:rPr>
                <w:rFonts w:hint="eastAsia"/>
                <w:color w:val="auto"/>
                <w:highlight w:val="none"/>
              </w:rPr>
            </w:pPr>
            <w:r>
              <w:rPr>
                <w:rFonts w:hint="eastAsia"/>
                <w:color w:val="auto"/>
                <w:highlight w:val="none"/>
              </w:rPr>
              <w:t>提供产业资源支持（5分）</w:t>
            </w:r>
          </w:p>
        </w:tc>
        <w:tc>
          <w:tcPr>
            <w:tcW w:w="5765" w:type="dxa"/>
            <w:shd w:val="clear" w:color="auto" w:fill="auto"/>
            <w:vAlign w:val="center"/>
          </w:tcPr>
          <w:p w14:paraId="16C98BA9">
            <w:pPr>
              <w:rPr>
                <w:rFonts w:hint="eastAsia"/>
                <w:color w:val="auto"/>
                <w:highlight w:val="none"/>
              </w:rPr>
            </w:pPr>
            <w:r>
              <w:rPr>
                <w:rFonts w:hint="eastAsia"/>
                <w:color w:val="auto"/>
                <w:highlight w:val="none"/>
              </w:rPr>
              <w:t>本项目为产教融合项目，产线能生产出符合相应产业需要的精密加工配件。投标人</w:t>
            </w:r>
            <w:r>
              <w:rPr>
                <w:rFonts w:hint="eastAsia"/>
                <w:color w:val="auto"/>
                <w:highlight w:val="none"/>
                <w:lang w:val="en-US" w:eastAsia="zh-CN"/>
              </w:rPr>
              <w:t>应</w:t>
            </w:r>
            <w:r>
              <w:rPr>
                <w:rFonts w:hint="eastAsia"/>
                <w:color w:val="auto"/>
                <w:highlight w:val="none"/>
              </w:rPr>
              <w:t>提供承诺书，承诺在项目建成后向采购人提供不少于</w:t>
            </w:r>
            <w:r>
              <w:rPr>
                <w:color w:val="auto"/>
                <w:highlight w:val="none"/>
              </w:rPr>
              <w:t>1</w:t>
            </w:r>
            <w:r>
              <w:rPr>
                <w:rFonts w:hint="eastAsia"/>
                <w:color w:val="auto"/>
                <w:highlight w:val="none"/>
              </w:rPr>
              <w:t>50万元/年精密加工配件订单进行生产，有效期5年。同时在签订合同10个工作日内签订相应协议书。</w:t>
            </w:r>
            <w:r>
              <w:rPr>
                <w:rFonts w:hint="eastAsia"/>
                <w:color w:val="auto"/>
                <w:highlight w:val="none"/>
                <w:lang w:val="en-US" w:eastAsia="zh-CN"/>
              </w:rPr>
              <w:t>提供承诺书得5分。</w:t>
            </w:r>
          </w:p>
        </w:tc>
        <w:tc>
          <w:tcPr>
            <w:tcW w:w="887" w:type="dxa"/>
            <w:shd w:val="clear" w:color="auto" w:fill="auto"/>
            <w:vAlign w:val="center"/>
          </w:tcPr>
          <w:p w14:paraId="3EEA9A4E">
            <w:pPr>
              <w:ind w:left="0" w:leftChars="0" w:firstLine="0" w:firstLineChars="0"/>
              <w:rPr>
                <w:rFonts w:hint="eastAsia"/>
                <w:color w:val="auto"/>
                <w:highlight w:val="none"/>
                <w:lang w:val="en-US" w:eastAsia="zh-CN"/>
              </w:rPr>
            </w:pPr>
            <w:r>
              <w:rPr>
                <w:rFonts w:hint="eastAsia"/>
                <w:color w:val="auto"/>
                <w:highlight w:val="none"/>
                <w:lang w:val="en-US" w:eastAsia="zh-CN"/>
              </w:rPr>
              <w:t>5分</w:t>
            </w:r>
          </w:p>
        </w:tc>
      </w:tr>
      <w:tr w14:paraId="4A91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03" w:type="dxa"/>
            <w:gridSpan w:val="3"/>
          </w:tcPr>
          <w:p w14:paraId="75D287F4">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总得分＝1＋2＋3</w:t>
            </w:r>
          </w:p>
        </w:tc>
        <w:tc>
          <w:tcPr>
            <w:tcW w:w="887" w:type="dxa"/>
            <w:vAlign w:val="center"/>
          </w:tcPr>
          <w:p w14:paraId="305D65BB">
            <w:pPr>
              <w:widowControl/>
              <w:jc w:val="center"/>
              <w:rPr>
                <w:rFonts w:hint="eastAsia" w:ascii="宋体" w:hAnsi="宋体" w:eastAsia="宋体" w:cs="宋体"/>
                <w:color w:val="auto"/>
                <w:kern w:val="0"/>
                <w:sz w:val="21"/>
                <w:szCs w:val="21"/>
                <w:highlight w:val="none"/>
              </w:rPr>
            </w:pPr>
          </w:p>
        </w:tc>
      </w:tr>
    </w:tbl>
    <w:p w14:paraId="4E5F244E">
      <w:pPr>
        <w:rPr>
          <w:color w:val="auto"/>
          <w:kern w:val="0"/>
          <w:highlight w:val="none"/>
        </w:rPr>
      </w:pPr>
      <w:r>
        <w:rPr>
          <w:rFonts w:hint="eastAsia"/>
          <w:color w:val="auto"/>
          <w:kern w:val="0"/>
          <w:highlight w:val="none"/>
        </w:rPr>
        <w:t>注：计分方法按四舍五入取至百分位</w:t>
      </w:r>
    </w:p>
    <w:p w14:paraId="2613B388">
      <w:pPr>
        <w:rPr>
          <w:color w:val="auto"/>
          <w:kern w:val="0"/>
          <w:highlight w:val="none"/>
        </w:rPr>
      </w:pPr>
    </w:p>
    <w:p w14:paraId="60FC1DA3">
      <w:pPr>
        <w:pStyle w:val="4"/>
        <w:ind w:firstLine="643"/>
        <w:rPr>
          <w:color w:val="auto"/>
          <w:highlight w:val="none"/>
        </w:rPr>
      </w:pPr>
      <w:r>
        <w:rPr>
          <w:rFonts w:hint="eastAsia"/>
          <w:color w:val="auto"/>
          <w:highlight w:val="none"/>
        </w:rPr>
        <w:t>四、中标候选人推荐</w:t>
      </w:r>
    </w:p>
    <w:p w14:paraId="28485289">
      <w:pPr>
        <w:rPr>
          <w:color w:val="auto"/>
          <w:kern w:val="0"/>
          <w:highlight w:val="none"/>
        </w:rPr>
      </w:pPr>
      <w:r>
        <w:rPr>
          <w:rFonts w:hint="eastAsia"/>
          <w:color w:val="auto"/>
          <w:kern w:val="0"/>
          <w:highlight w:val="none"/>
        </w:rPr>
        <w:t>综合评分法</w:t>
      </w:r>
    </w:p>
    <w:p w14:paraId="7477EFC6">
      <w:pPr>
        <w:rPr>
          <w:color w:val="auto"/>
          <w:kern w:val="0"/>
          <w:highlight w:val="none"/>
        </w:rPr>
      </w:pPr>
      <w:r>
        <w:rPr>
          <w:rFonts w:hint="eastAsia"/>
          <w:color w:val="auto"/>
          <w:kern w:val="0"/>
          <w:highlight w:val="none"/>
        </w:rPr>
        <w:t>1.评标委员会根据原始评标记录和评标结果编写评标报告，并通过电子交易平台向采购人、采购代理机构提交。</w:t>
      </w:r>
    </w:p>
    <w:p w14:paraId="152F81D4">
      <w:pPr>
        <w:rPr>
          <w:color w:val="auto"/>
          <w:kern w:val="0"/>
          <w:highlight w:val="none"/>
        </w:rPr>
      </w:pPr>
      <w:r>
        <w:rPr>
          <w:rFonts w:hint="eastAsia"/>
          <w:color w:val="auto"/>
          <w:kern w:val="0"/>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若评审因素量化指标评审得分相同，则由评标委员会投票表决，少数服从多数。</w:t>
      </w:r>
    </w:p>
    <w:p w14:paraId="5C305CA6">
      <w:pPr>
        <w:rPr>
          <w:color w:val="auto"/>
          <w:highlight w:val="none"/>
        </w:rPr>
      </w:pPr>
    </w:p>
    <w:p w14:paraId="25292DB4">
      <w:pPr>
        <w:rPr>
          <w:color w:val="auto"/>
          <w:highlight w:val="none"/>
        </w:rPr>
      </w:pPr>
    </w:p>
    <w:p w14:paraId="740E8118">
      <w:pPr>
        <w:rPr>
          <w:color w:val="auto"/>
          <w:highlight w:val="none"/>
        </w:rPr>
      </w:pPr>
    </w:p>
    <w:p w14:paraId="4C8EE3F2">
      <w:pPr>
        <w:rPr>
          <w:color w:val="auto"/>
          <w:highlight w:val="none"/>
        </w:rPr>
      </w:pPr>
    </w:p>
    <w:p w14:paraId="73A38122">
      <w:pPr>
        <w:rPr>
          <w:color w:val="auto"/>
          <w:kern w:val="0"/>
          <w:highlight w:val="none"/>
        </w:rPr>
      </w:pPr>
      <w:r>
        <w:rPr>
          <w:color w:val="auto"/>
          <w:kern w:val="0"/>
          <w:highlight w:val="none"/>
        </w:rPr>
        <w:br w:type="page"/>
      </w:r>
    </w:p>
    <w:p w14:paraId="72075B76">
      <w:pPr>
        <w:rPr>
          <w:color w:val="auto"/>
          <w:highlight w:val="none"/>
        </w:rPr>
      </w:pPr>
    </w:p>
    <w:p w14:paraId="609BFDDB">
      <w:pPr>
        <w:rPr>
          <w:color w:val="auto"/>
          <w:highlight w:val="none"/>
        </w:rPr>
      </w:pPr>
    </w:p>
    <w:p w14:paraId="6F6C32E2">
      <w:pPr>
        <w:rPr>
          <w:color w:val="auto"/>
          <w:highlight w:val="none"/>
        </w:rPr>
      </w:pPr>
    </w:p>
    <w:p w14:paraId="09F37736">
      <w:pPr>
        <w:rPr>
          <w:color w:val="auto"/>
          <w:highlight w:val="none"/>
        </w:rPr>
      </w:pPr>
    </w:p>
    <w:p w14:paraId="345B7562">
      <w:pPr>
        <w:rPr>
          <w:color w:val="auto"/>
          <w:highlight w:val="none"/>
        </w:rPr>
      </w:pPr>
    </w:p>
    <w:p w14:paraId="145D7307">
      <w:pPr>
        <w:rPr>
          <w:color w:val="auto"/>
          <w:kern w:val="0"/>
          <w:highlight w:val="none"/>
        </w:rPr>
      </w:pPr>
    </w:p>
    <w:p w14:paraId="21EE6EB4">
      <w:pPr>
        <w:rPr>
          <w:color w:val="auto"/>
          <w:kern w:val="0"/>
          <w:highlight w:val="none"/>
        </w:rPr>
      </w:pPr>
    </w:p>
    <w:p w14:paraId="6D139C34">
      <w:pPr>
        <w:rPr>
          <w:color w:val="auto"/>
          <w:kern w:val="0"/>
          <w:highlight w:val="none"/>
        </w:rPr>
      </w:pPr>
    </w:p>
    <w:p w14:paraId="6D6A814B">
      <w:pPr>
        <w:rPr>
          <w:color w:val="auto"/>
          <w:kern w:val="0"/>
          <w:highlight w:val="none"/>
        </w:rPr>
      </w:pPr>
    </w:p>
    <w:p w14:paraId="49383969">
      <w:pPr>
        <w:pStyle w:val="3"/>
        <w:ind w:firstLine="643"/>
        <w:jc w:val="center"/>
        <w:rPr>
          <w:color w:val="auto"/>
          <w:highlight w:val="none"/>
        </w:rPr>
      </w:pPr>
      <w:bookmarkStart w:id="139" w:name="_Toc5137"/>
      <w:r>
        <w:rPr>
          <w:rFonts w:hint="eastAsia"/>
          <w:color w:val="auto"/>
          <w:highlight w:val="none"/>
        </w:rPr>
        <w:t>第五章  拟签订的合同文本</w:t>
      </w:r>
      <w:bookmarkEnd w:id="139"/>
    </w:p>
    <w:p w14:paraId="31970A74">
      <w:pPr>
        <w:rPr>
          <w:color w:val="auto"/>
          <w:highlight w:val="none"/>
        </w:rPr>
      </w:pPr>
    </w:p>
    <w:p w14:paraId="49F43A52">
      <w:pPr>
        <w:rPr>
          <w:color w:val="auto"/>
          <w:highlight w:val="none"/>
        </w:rPr>
      </w:pPr>
    </w:p>
    <w:p w14:paraId="28CB6D78">
      <w:pPr>
        <w:rPr>
          <w:color w:val="auto"/>
          <w:highlight w:val="none"/>
        </w:rPr>
      </w:pPr>
    </w:p>
    <w:p w14:paraId="397D1B80">
      <w:pPr>
        <w:rPr>
          <w:color w:val="auto"/>
          <w:highlight w:val="none"/>
        </w:rPr>
      </w:pPr>
    </w:p>
    <w:p w14:paraId="1BB1FEC5">
      <w:pPr>
        <w:rPr>
          <w:color w:val="auto"/>
          <w:highlight w:val="none"/>
        </w:rPr>
      </w:pPr>
    </w:p>
    <w:p w14:paraId="69677C95">
      <w:pPr>
        <w:rPr>
          <w:color w:val="auto"/>
          <w:highlight w:val="none"/>
        </w:rPr>
      </w:pPr>
    </w:p>
    <w:p w14:paraId="3B3FFA9B">
      <w:pPr>
        <w:rPr>
          <w:color w:val="auto"/>
          <w:highlight w:val="none"/>
        </w:rPr>
      </w:pPr>
    </w:p>
    <w:p w14:paraId="67EE1D64">
      <w:pPr>
        <w:rPr>
          <w:color w:val="auto"/>
          <w:highlight w:val="none"/>
        </w:rPr>
      </w:pPr>
    </w:p>
    <w:p w14:paraId="6EAB24F4">
      <w:pPr>
        <w:rPr>
          <w:color w:val="auto"/>
          <w:highlight w:val="none"/>
        </w:rPr>
      </w:pPr>
    </w:p>
    <w:p w14:paraId="306BA921">
      <w:pPr>
        <w:rPr>
          <w:color w:val="auto"/>
          <w:highlight w:val="none"/>
        </w:rPr>
      </w:pPr>
    </w:p>
    <w:p w14:paraId="05D07ADA">
      <w:pPr>
        <w:rPr>
          <w:color w:val="auto"/>
          <w:highlight w:val="none"/>
        </w:rPr>
      </w:pPr>
    </w:p>
    <w:p w14:paraId="220678AC">
      <w:pPr>
        <w:rPr>
          <w:color w:val="auto"/>
          <w:highlight w:val="none"/>
        </w:rPr>
      </w:pPr>
    </w:p>
    <w:p w14:paraId="4276D50F">
      <w:pPr>
        <w:jc w:val="center"/>
        <w:rPr>
          <w:color w:val="auto"/>
          <w:sz w:val="24"/>
          <w:szCs w:val="24"/>
          <w:highlight w:val="none"/>
        </w:rPr>
      </w:pPr>
      <w:r>
        <w:rPr>
          <w:color w:val="auto"/>
          <w:highlight w:val="none"/>
        </w:rPr>
        <w:br w:type="page"/>
      </w:r>
      <w:bookmarkStart w:id="140" w:name="_Hlk55381736"/>
      <w:r>
        <w:rPr>
          <w:rFonts w:hint="eastAsia"/>
          <w:color w:val="auto"/>
          <w:highlight w:val="none"/>
        </w:rPr>
        <w:t xml:space="preserve"> </w:t>
      </w:r>
      <w:r>
        <w:rPr>
          <w:rFonts w:hint="eastAsia"/>
          <w:color w:val="auto"/>
          <w:sz w:val="24"/>
          <w:szCs w:val="24"/>
          <w:highlight w:val="none"/>
        </w:rPr>
        <w:t>《广西壮族自治区政府采购合同》</w:t>
      </w:r>
    </w:p>
    <w:p w14:paraId="3E12B940">
      <w:pPr>
        <w:rPr>
          <w:color w:val="auto"/>
          <w:kern w:val="0"/>
          <w:highlight w:val="none"/>
        </w:rPr>
      </w:pPr>
    </w:p>
    <w:p w14:paraId="4E4FF7E8">
      <w:pPr>
        <w:rPr>
          <w:color w:val="auto"/>
          <w:highlight w:val="none"/>
        </w:rPr>
      </w:pPr>
    </w:p>
    <w:p w14:paraId="243F4A2D">
      <w:pPr>
        <w:rPr>
          <w:color w:val="auto"/>
          <w:highlight w:val="none"/>
          <w:u w:val="single"/>
        </w:rPr>
      </w:pPr>
      <w:r>
        <w:rPr>
          <w:rFonts w:hint="eastAsia"/>
          <w:color w:val="auto"/>
          <w:highlight w:val="none"/>
        </w:rPr>
        <w:t>合同编号：</w:t>
      </w:r>
    </w:p>
    <w:p w14:paraId="0BC75D5F">
      <w:pPr>
        <w:rPr>
          <w:color w:val="auto"/>
          <w:highlight w:val="none"/>
        </w:rPr>
      </w:pPr>
    </w:p>
    <w:p w14:paraId="1736AD72">
      <w:pPr>
        <w:rPr>
          <w:color w:val="auto"/>
          <w:highlight w:val="none"/>
        </w:rPr>
      </w:pPr>
      <w:r>
        <w:rPr>
          <w:rFonts w:hint="eastAsia"/>
          <w:color w:val="auto"/>
          <w:highlight w:val="none"/>
        </w:rPr>
        <w:t xml:space="preserve">采购单位（甲方）    </w:t>
      </w:r>
    </w:p>
    <w:p w14:paraId="5BFA2B54">
      <w:pPr>
        <w:rPr>
          <w:color w:val="auto"/>
          <w:highlight w:val="none"/>
        </w:rPr>
      </w:pPr>
      <w:r>
        <w:rPr>
          <w:rFonts w:hint="eastAsia"/>
          <w:color w:val="auto"/>
          <w:highlight w:val="none"/>
        </w:rPr>
        <w:t xml:space="preserve">供 应 商（乙方）                              </w:t>
      </w:r>
    </w:p>
    <w:p w14:paraId="7E22946B">
      <w:pPr>
        <w:rPr>
          <w:rFonts w:hint="eastAsia"/>
          <w:color w:val="auto"/>
          <w:highlight w:val="none"/>
        </w:rPr>
      </w:pPr>
      <w:r>
        <w:rPr>
          <w:rFonts w:hint="eastAsia"/>
          <w:color w:val="auto"/>
          <w:highlight w:val="none"/>
        </w:rPr>
        <w:t xml:space="preserve">项  目  名 称                                </w:t>
      </w:r>
    </w:p>
    <w:p w14:paraId="50EB5FF6">
      <w:pPr>
        <w:ind w:firstLine="510" w:firstLineChars="300"/>
        <w:rPr>
          <w:color w:val="auto"/>
          <w:highlight w:val="none"/>
        </w:rPr>
      </w:pPr>
      <w:r>
        <w:rPr>
          <w:rFonts w:hint="eastAsia"/>
          <w:color w:val="auto"/>
          <w:spacing w:val="-20"/>
          <w:highlight w:val="none"/>
        </w:rPr>
        <w:t xml:space="preserve">项    </w:t>
      </w:r>
      <w:r>
        <w:rPr>
          <w:rFonts w:hint="eastAsia"/>
          <w:color w:val="auto"/>
          <w:highlight w:val="none"/>
        </w:rPr>
        <w:t>目</w:t>
      </w:r>
      <w:r>
        <w:rPr>
          <w:rFonts w:hint="eastAsia"/>
          <w:color w:val="auto"/>
          <w:spacing w:val="-20"/>
          <w:highlight w:val="none"/>
        </w:rPr>
        <w:t xml:space="preserve">   编  号</w:t>
      </w:r>
      <w:r>
        <w:rPr>
          <w:rFonts w:hint="eastAsia"/>
          <w:color w:val="auto"/>
          <w:highlight w:val="none"/>
        </w:rPr>
        <w:t xml:space="preserve">                                </w:t>
      </w:r>
    </w:p>
    <w:p w14:paraId="4490DE62">
      <w:pPr>
        <w:rPr>
          <w:color w:val="auto"/>
          <w:highlight w:val="none"/>
        </w:rPr>
      </w:pPr>
      <w:r>
        <w:rPr>
          <w:rFonts w:hint="eastAsia"/>
          <w:color w:val="auto"/>
          <w:highlight w:val="none"/>
        </w:rPr>
        <w:t xml:space="preserve">签  订  地 点                                   签 订 时 间                    </w:t>
      </w:r>
    </w:p>
    <w:p w14:paraId="5B6CC71B">
      <w:pPr>
        <w:rPr>
          <w:color w:val="auto"/>
          <w:highlight w:val="none"/>
        </w:rPr>
      </w:pPr>
      <w:r>
        <w:rPr>
          <w:rFonts w:hint="eastAsia"/>
          <w:color w:val="auto"/>
          <w:highlight w:val="none"/>
        </w:rPr>
        <w:t>合同类型：</w:t>
      </w:r>
      <w:r>
        <w:rPr>
          <w:rFonts w:hint="eastAsia"/>
          <w:color w:val="auto"/>
          <w:highlight w:val="none"/>
          <w:u w:val="single"/>
        </w:rPr>
        <w:t xml:space="preserve"> 货物 </w:t>
      </w:r>
      <w:r>
        <w:rPr>
          <w:rFonts w:hint="eastAsia"/>
          <w:color w:val="auto"/>
          <w:highlight w:val="none"/>
        </w:rPr>
        <w:t>合同</w:t>
      </w:r>
    </w:p>
    <w:p w14:paraId="40C9B2EB">
      <w:pPr>
        <w:rPr>
          <w:color w:val="auto"/>
          <w:highlight w:val="none"/>
        </w:rPr>
      </w:pPr>
      <w:r>
        <w:rPr>
          <w:rFonts w:hint="eastAsia"/>
          <w:color w:val="auto"/>
          <w:highlight w:val="none"/>
        </w:rPr>
        <w:t>本合同为中小企业预留合同：</w:t>
      </w:r>
      <w:r>
        <w:rPr>
          <w:rFonts w:hint="eastAsia"/>
          <w:color w:val="auto"/>
          <w:highlight w:val="none"/>
          <w:u w:val="single"/>
        </w:rPr>
        <w:t>（是/否）</w:t>
      </w:r>
      <w:r>
        <w:rPr>
          <w:rFonts w:hint="eastAsia"/>
          <w:color w:val="auto"/>
          <w:highlight w:val="none"/>
        </w:rPr>
        <w:t>。</w:t>
      </w:r>
    </w:p>
    <w:p w14:paraId="02063918">
      <w:pPr>
        <w:rPr>
          <w:color w:val="auto"/>
          <w:highlight w:val="none"/>
        </w:rPr>
      </w:pPr>
      <w:r>
        <w:rPr>
          <w:rFonts w:hint="eastAsia"/>
          <w:color w:val="auto"/>
          <w:highlight w:val="none"/>
        </w:rPr>
        <w:t>根据《中华人民共和国政府采购法》、《政府采购货物和服务招标投标管理办法》、《中华人民共和国民法典》等法律、法规规定，按照招标文件规定条款和乙方投标文件及其承诺，甲乙双方签订本合同。</w:t>
      </w:r>
    </w:p>
    <w:p w14:paraId="0FB2A495">
      <w:pPr>
        <w:rPr>
          <w:color w:val="auto"/>
          <w:highlight w:val="none"/>
        </w:rPr>
      </w:pPr>
      <w:r>
        <w:rPr>
          <w:rFonts w:hint="eastAsia"/>
          <w:color w:val="auto"/>
          <w:highlight w:val="none"/>
        </w:rPr>
        <w:t>第一条　合同标的</w:t>
      </w:r>
    </w:p>
    <w:p w14:paraId="5061D627">
      <w:pPr>
        <w:rPr>
          <w:color w:val="auto"/>
          <w:highlight w:val="none"/>
        </w:rPr>
      </w:pPr>
      <w:r>
        <w:rPr>
          <w:rFonts w:hint="eastAsia"/>
          <w:color w:val="auto"/>
          <w:highlight w:val="none"/>
        </w:rPr>
        <w:t>1.供货一览表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156"/>
        <w:gridCol w:w="952"/>
        <w:gridCol w:w="1055"/>
        <w:gridCol w:w="743"/>
        <w:gridCol w:w="668"/>
        <w:gridCol w:w="956"/>
        <w:gridCol w:w="671"/>
        <w:gridCol w:w="877"/>
        <w:gridCol w:w="903"/>
      </w:tblGrid>
      <w:tr w14:paraId="7430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24" w:type="pct"/>
            <w:tcBorders>
              <w:top w:val="single" w:color="auto" w:sz="4" w:space="0"/>
              <w:left w:val="single" w:color="auto" w:sz="4" w:space="0"/>
              <w:bottom w:val="single" w:color="auto" w:sz="4" w:space="0"/>
              <w:right w:val="single" w:color="auto" w:sz="4" w:space="0"/>
            </w:tcBorders>
            <w:vAlign w:val="center"/>
          </w:tcPr>
          <w:p w14:paraId="4FC03579">
            <w:pPr>
              <w:ind w:firstLine="0" w:firstLineChars="0"/>
              <w:rPr>
                <w:color w:val="auto"/>
                <w:highlight w:val="none"/>
              </w:rPr>
            </w:pPr>
            <w:r>
              <w:rPr>
                <w:rFonts w:hint="eastAsia"/>
                <w:color w:val="auto"/>
                <w:highlight w:val="none"/>
              </w:rPr>
              <w:t>序号</w:t>
            </w:r>
          </w:p>
        </w:tc>
        <w:tc>
          <w:tcPr>
            <w:tcW w:w="663" w:type="pct"/>
            <w:tcBorders>
              <w:top w:val="single" w:color="auto" w:sz="4" w:space="0"/>
              <w:left w:val="single" w:color="auto" w:sz="4" w:space="0"/>
              <w:bottom w:val="single" w:color="auto" w:sz="4" w:space="0"/>
              <w:right w:val="single" w:color="auto" w:sz="4" w:space="0"/>
            </w:tcBorders>
            <w:vAlign w:val="center"/>
          </w:tcPr>
          <w:p w14:paraId="0F3B8ECD">
            <w:pPr>
              <w:ind w:firstLine="0" w:firstLineChars="0"/>
              <w:rPr>
                <w:color w:val="auto"/>
                <w:highlight w:val="none"/>
              </w:rPr>
            </w:pPr>
            <w:r>
              <w:rPr>
                <w:rFonts w:hint="eastAsia"/>
                <w:color w:val="auto"/>
                <w:highlight w:val="none"/>
              </w:rPr>
              <w:t>货品名称</w:t>
            </w:r>
          </w:p>
        </w:tc>
        <w:tc>
          <w:tcPr>
            <w:tcW w:w="546" w:type="pct"/>
            <w:tcBorders>
              <w:top w:val="single" w:color="auto" w:sz="4" w:space="0"/>
              <w:left w:val="single" w:color="auto" w:sz="4" w:space="0"/>
              <w:bottom w:val="single" w:color="auto" w:sz="4" w:space="0"/>
              <w:right w:val="single" w:color="auto" w:sz="4" w:space="0"/>
            </w:tcBorders>
            <w:vAlign w:val="center"/>
          </w:tcPr>
          <w:p w14:paraId="60A1E3CA">
            <w:pPr>
              <w:ind w:firstLine="0" w:firstLineChars="0"/>
              <w:rPr>
                <w:color w:val="auto"/>
                <w:highlight w:val="none"/>
              </w:rPr>
            </w:pPr>
            <w:r>
              <w:rPr>
                <w:rFonts w:hint="eastAsia"/>
                <w:color w:val="auto"/>
                <w:highlight w:val="none"/>
              </w:rPr>
              <w:t>商标品牌</w:t>
            </w:r>
          </w:p>
        </w:tc>
        <w:tc>
          <w:tcPr>
            <w:tcW w:w="605" w:type="pct"/>
            <w:tcBorders>
              <w:top w:val="single" w:color="auto" w:sz="4" w:space="0"/>
              <w:left w:val="single" w:color="auto" w:sz="4" w:space="0"/>
              <w:bottom w:val="single" w:color="auto" w:sz="4" w:space="0"/>
              <w:right w:val="single" w:color="auto" w:sz="4" w:space="0"/>
            </w:tcBorders>
            <w:vAlign w:val="center"/>
          </w:tcPr>
          <w:p w14:paraId="2614145D">
            <w:pPr>
              <w:ind w:firstLine="0" w:firstLineChars="0"/>
              <w:rPr>
                <w:color w:val="auto"/>
                <w:highlight w:val="none"/>
              </w:rPr>
            </w:pPr>
            <w:r>
              <w:rPr>
                <w:rFonts w:hint="eastAsia"/>
                <w:color w:val="auto"/>
                <w:highlight w:val="none"/>
              </w:rPr>
              <w:t>型号</w:t>
            </w:r>
          </w:p>
          <w:p w14:paraId="3D1D0221">
            <w:pPr>
              <w:rPr>
                <w:color w:val="auto"/>
                <w:highlight w:val="none"/>
              </w:rPr>
            </w:pPr>
          </w:p>
        </w:tc>
        <w:tc>
          <w:tcPr>
            <w:tcW w:w="426" w:type="pct"/>
            <w:tcBorders>
              <w:top w:val="single" w:color="auto" w:sz="4" w:space="0"/>
              <w:left w:val="single" w:color="auto" w:sz="4" w:space="0"/>
              <w:bottom w:val="single" w:color="auto" w:sz="4" w:space="0"/>
              <w:right w:val="single" w:color="auto" w:sz="4" w:space="0"/>
            </w:tcBorders>
            <w:vAlign w:val="center"/>
          </w:tcPr>
          <w:p w14:paraId="3D15900B">
            <w:pPr>
              <w:ind w:firstLine="0" w:firstLineChars="0"/>
              <w:rPr>
                <w:color w:val="auto"/>
                <w:highlight w:val="none"/>
              </w:rPr>
            </w:pPr>
            <w:r>
              <w:rPr>
                <w:rFonts w:hint="eastAsia"/>
                <w:color w:val="auto"/>
                <w:highlight w:val="none"/>
              </w:rPr>
              <w:t>生产</w:t>
            </w:r>
          </w:p>
          <w:p w14:paraId="79D04F92">
            <w:pPr>
              <w:ind w:firstLine="0" w:firstLineChars="0"/>
              <w:rPr>
                <w:color w:val="auto"/>
                <w:highlight w:val="none"/>
              </w:rPr>
            </w:pPr>
            <w:r>
              <w:rPr>
                <w:rFonts w:hint="eastAsia"/>
                <w:color w:val="auto"/>
                <w:highlight w:val="none"/>
              </w:rPr>
              <w:t>厂家</w:t>
            </w:r>
          </w:p>
        </w:tc>
        <w:tc>
          <w:tcPr>
            <w:tcW w:w="383" w:type="pct"/>
            <w:tcBorders>
              <w:top w:val="single" w:color="auto" w:sz="4" w:space="0"/>
              <w:left w:val="single" w:color="auto" w:sz="4" w:space="0"/>
              <w:bottom w:val="single" w:color="auto" w:sz="4" w:space="0"/>
              <w:right w:val="single" w:color="auto" w:sz="4" w:space="0"/>
            </w:tcBorders>
            <w:vAlign w:val="center"/>
          </w:tcPr>
          <w:p w14:paraId="07E320AD">
            <w:pPr>
              <w:ind w:firstLine="0" w:firstLineChars="0"/>
              <w:rPr>
                <w:color w:val="auto"/>
                <w:highlight w:val="none"/>
              </w:rPr>
            </w:pPr>
            <w:r>
              <w:rPr>
                <w:rFonts w:hint="eastAsia"/>
                <w:color w:val="auto"/>
                <w:highlight w:val="none"/>
              </w:rPr>
              <w:t>产地</w:t>
            </w:r>
          </w:p>
        </w:tc>
        <w:tc>
          <w:tcPr>
            <w:tcW w:w="548" w:type="pct"/>
            <w:tcBorders>
              <w:top w:val="single" w:color="auto" w:sz="4" w:space="0"/>
              <w:left w:val="single" w:color="auto" w:sz="4" w:space="0"/>
              <w:bottom w:val="single" w:color="auto" w:sz="4" w:space="0"/>
              <w:right w:val="single" w:color="auto" w:sz="4" w:space="0"/>
            </w:tcBorders>
            <w:vAlign w:val="center"/>
          </w:tcPr>
          <w:p w14:paraId="2B2116F1">
            <w:pPr>
              <w:ind w:firstLine="0" w:firstLineChars="0"/>
              <w:rPr>
                <w:color w:val="auto"/>
                <w:highlight w:val="none"/>
              </w:rPr>
            </w:pPr>
            <w:r>
              <w:rPr>
                <w:rFonts w:hint="eastAsia"/>
                <w:color w:val="auto"/>
                <w:highlight w:val="none"/>
              </w:rPr>
              <w:t>数量</w:t>
            </w:r>
          </w:p>
        </w:tc>
        <w:tc>
          <w:tcPr>
            <w:tcW w:w="385" w:type="pct"/>
            <w:tcBorders>
              <w:top w:val="single" w:color="auto" w:sz="4" w:space="0"/>
              <w:left w:val="single" w:color="auto" w:sz="4" w:space="0"/>
              <w:bottom w:val="single" w:color="auto" w:sz="4" w:space="0"/>
              <w:right w:val="single" w:color="auto" w:sz="4" w:space="0"/>
            </w:tcBorders>
            <w:vAlign w:val="center"/>
          </w:tcPr>
          <w:p w14:paraId="0D1C6BB0">
            <w:pPr>
              <w:ind w:firstLine="0" w:firstLineChars="0"/>
              <w:rPr>
                <w:color w:val="auto"/>
                <w:highlight w:val="none"/>
              </w:rPr>
            </w:pPr>
            <w:r>
              <w:rPr>
                <w:rFonts w:hint="eastAsia"/>
                <w:color w:val="auto"/>
                <w:highlight w:val="none"/>
              </w:rPr>
              <w:t>单位</w:t>
            </w:r>
          </w:p>
        </w:tc>
        <w:tc>
          <w:tcPr>
            <w:tcW w:w="503" w:type="pct"/>
            <w:tcBorders>
              <w:top w:val="single" w:color="auto" w:sz="4" w:space="0"/>
              <w:left w:val="single" w:color="auto" w:sz="4" w:space="0"/>
              <w:bottom w:val="single" w:color="auto" w:sz="4" w:space="0"/>
              <w:right w:val="single" w:color="auto" w:sz="4" w:space="0"/>
            </w:tcBorders>
            <w:vAlign w:val="center"/>
          </w:tcPr>
          <w:p w14:paraId="001755AB">
            <w:pPr>
              <w:ind w:firstLine="0" w:firstLineChars="0"/>
              <w:rPr>
                <w:color w:val="auto"/>
                <w:highlight w:val="none"/>
              </w:rPr>
            </w:pPr>
            <w:r>
              <w:rPr>
                <w:color w:val="auto"/>
                <w:highlight w:val="none"/>
              </w:rPr>
              <w:t>单价（元）</w:t>
            </w:r>
          </w:p>
        </w:tc>
        <w:tc>
          <w:tcPr>
            <w:tcW w:w="512" w:type="pct"/>
            <w:tcBorders>
              <w:top w:val="single" w:color="auto" w:sz="4" w:space="0"/>
              <w:left w:val="single" w:color="auto" w:sz="4" w:space="0"/>
              <w:bottom w:val="single" w:color="auto" w:sz="4" w:space="0"/>
              <w:right w:val="single" w:color="auto" w:sz="4" w:space="0"/>
            </w:tcBorders>
            <w:vAlign w:val="center"/>
          </w:tcPr>
          <w:p w14:paraId="6DAA7302">
            <w:pPr>
              <w:ind w:firstLine="0" w:firstLineChars="0"/>
              <w:rPr>
                <w:color w:val="auto"/>
                <w:highlight w:val="none"/>
              </w:rPr>
            </w:pPr>
            <w:r>
              <w:rPr>
                <w:rFonts w:hint="eastAsia"/>
                <w:color w:val="auto"/>
                <w:highlight w:val="none"/>
              </w:rPr>
              <w:t>合</w:t>
            </w:r>
            <w:r>
              <w:rPr>
                <w:color w:val="auto"/>
                <w:highlight w:val="none"/>
              </w:rPr>
              <w:t>价（元）</w:t>
            </w:r>
          </w:p>
        </w:tc>
      </w:tr>
      <w:tr w14:paraId="7EC4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24" w:type="pct"/>
            <w:tcBorders>
              <w:top w:val="single" w:color="auto" w:sz="4" w:space="0"/>
              <w:left w:val="single" w:color="auto" w:sz="4" w:space="0"/>
              <w:bottom w:val="single" w:color="auto" w:sz="4" w:space="0"/>
              <w:right w:val="single" w:color="auto" w:sz="4" w:space="0"/>
            </w:tcBorders>
            <w:vAlign w:val="center"/>
          </w:tcPr>
          <w:p w14:paraId="4C9AEE33">
            <w:pPr>
              <w:ind w:left="0" w:leftChars="0" w:firstLine="0" w:firstLineChars="0"/>
              <w:jc w:val="center"/>
              <w:rPr>
                <w:color w:val="auto"/>
                <w:highlight w:val="none"/>
              </w:rPr>
            </w:pPr>
            <w:r>
              <w:rPr>
                <w:rFonts w:hint="eastAsia"/>
                <w:color w:val="auto"/>
                <w:highlight w:val="none"/>
              </w:rPr>
              <w:t>1</w:t>
            </w:r>
          </w:p>
        </w:tc>
        <w:tc>
          <w:tcPr>
            <w:tcW w:w="663" w:type="pct"/>
            <w:tcBorders>
              <w:top w:val="single" w:color="auto" w:sz="4" w:space="0"/>
              <w:left w:val="single" w:color="auto" w:sz="4" w:space="0"/>
              <w:bottom w:val="single" w:color="auto" w:sz="4" w:space="0"/>
              <w:right w:val="single" w:color="auto" w:sz="4" w:space="0"/>
            </w:tcBorders>
            <w:vAlign w:val="center"/>
          </w:tcPr>
          <w:p w14:paraId="674207CE">
            <w:pPr>
              <w:rPr>
                <w:color w:val="auto"/>
                <w:highlight w:val="none"/>
              </w:rPr>
            </w:pPr>
          </w:p>
        </w:tc>
        <w:tc>
          <w:tcPr>
            <w:tcW w:w="546" w:type="pct"/>
            <w:tcBorders>
              <w:top w:val="single" w:color="auto" w:sz="4" w:space="0"/>
              <w:left w:val="single" w:color="auto" w:sz="4" w:space="0"/>
              <w:bottom w:val="single" w:color="auto" w:sz="4" w:space="0"/>
              <w:right w:val="single" w:color="auto" w:sz="4" w:space="0"/>
            </w:tcBorders>
            <w:vAlign w:val="center"/>
          </w:tcPr>
          <w:p w14:paraId="6828EFAE">
            <w:pPr>
              <w:rPr>
                <w:color w:val="auto"/>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45B8599B">
            <w:pPr>
              <w:rPr>
                <w:color w:val="auto"/>
                <w:highlight w:val="none"/>
              </w:rPr>
            </w:pPr>
          </w:p>
        </w:tc>
        <w:tc>
          <w:tcPr>
            <w:tcW w:w="426" w:type="pct"/>
            <w:tcBorders>
              <w:top w:val="single" w:color="auto" w:sz="4" w:space="0"/>
              <w:left w:val="single" w:color="auto" w:sz="4" w:space="0"/>
              <w:bottom w:val="single" w:color="auto" w:sz="4" w:space="0"/>
              <w:right w:val="single" w:color="auto" w:sz="4" w:space="0"/>
            </w:tcBorders>
          </w:tcPr>
          <w:p w14:paraId="66A6B326">
            <w:pPr>
              <w:rPr>
                <w:color w:val="auto"/>
                <w:highlight w:val="none"/>
              </w:rPr>
            </w:pPr>
          </w:p>
        </w:tc>
        <w:tc>
          <w:tcPr>
            <w:tcW w:w="383" w:type="pct"/>
            <w:tcBorders>
              <w:top w:val="single" w:color="auto" w:sz="4" w:space="0"/>
              <w:left w:val="single" w:color="auto" w:sz="4" w:space="0"/>
              <w:bottom w:val="single" w:color="auto" w:sz="4" w:space="0"/>
              <w:right w:val="single" w:color="auto" w:sz="4" w:space="0"/>
            </w:tcBorders>
          </w:tcPr>
          <w:p w14:paraId="3CB91092">
            <w:pPr>
              <w:rPr>
                <w:color w:val="auto"/>
                <w:highlight w:val="none"/>
              </w:rPr>
            </w:pPr>
          </w:p>
        </w:tc>
        <w:tc>
          <w:tcPr>
            <w:tcW w:w="548" w:type="pct"/>
            <w:tcBorders>
              <w:top w:val="single" w:color="auto" w:sz="4" w:space="0"/>
              <w:left w:val="single" w:color="auto" w:sz="4" w:space="0"/>
              <w:bottom w:val="single" w:color="auto" w:sz="4" w:space="0"/>
              <w:right w:val="single" w:color="auto" w:sz="4" w:space="0"/>
            </w:tcBorders>
          </w:tcPr>
          <w:p w14:paraId="26CE1359">
            <w:pPr>
              <w:rPr>
                <w:color w:val="auto"/>
                <w:highlight w:val="none"/>
              </w:rPr>
            </w:pPr>
          </w:p>
        </w:tc>
        <w:tc>
          <w:tcPr>
            <w:tcW w:w="385" w:type="pct"/>
            <w:tcBorders>
              <w:top w:val="single" w:color="auto" w:sz="4" w:space="0"/>
              <w:left w:val="single" w:color="auto" w:sz="4" w:space="0"/>
              <w:bottom w:val="single" w:color="auto" w:sz="4" w:space="0"/>
              <w:right w:val="single" w:color="auto" w:sz="4" w:space="0"/>
            </w:tcBorders>
          </w:tcPr>
          <w:p w14:paraId="65111204">
            <w:pPr>
              <w:rPr>
                <w:color w:val="auto"/>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14:paraId="69959FDD">
            <w:pPr>
              <w:rPr>
                <w:color w:val="auto"/>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14:paraId="1328D5EF">
            <w:pPr>
              <w:rPr>
                <w:color w:val="auto"/>
                <w:highlight w:val="none"/>
              </w:rPr>
            </w:pPr>
          </w:p>
        </w:tc>
      </w:tr>
      <w:tr w14:paraId="2886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24" w:type="pct"/>
            <w:tcBorders>
              <w:top w:val="single" w:color="auto" w:sz="4" w:space="0"/>
              <w:left w:val="single" w:color="auto" w:sz="4" w:space="0"/>
              <w:bottom w:val="single" w:color="auto" w:sz="4" w:space="0"/>
              <w:right w:val="single" w:color="auto" w:sz="4" w:space="0"/>
            </w:tcBorders>
            <w:vAlign w:val="center"/>
          </w:tcPr>
          <w:p w14:paraId="395FFB0B">
            <w:pPr>
              <w:ind w:left="0" w:leftChars="0" w:firstLine="0" w:firstLineChars="0"/>
              <w:jc w:val="center"/>
              <w:rPr>
                <w:color w:val="auto"/>
                <w:highlight w:val="none"/>
              </w:rPr>
            </w:pPr>
            <w:r>
              <w:rPr>
                <w:rFonts w:hint="eastAsia"/>
                <w:color w:val="auto"/>
                <w:highlight w:val="none"/>
              </w:rPr>
              <w:t>2</w:t>
            </w:r>
          </w:p>
        </w:tc>
        <w:tc>
          <w:tcPr>
            <w:tcW w:w="663" w:type="pct"/>
            <w:tcBorders>
              <w:top w:val="single" w:color="auto" w:sz="4" w:space="0"/>
              <w:left w:val="single" w:color="auto" w:sz="4" w:space="0"/>
              <w:bottom w:val="single" w:color="auto" w:sz="4" w:space="0"/>
              <w:right w:val="single" w:color="auto" w:sz="4" w:space="0"/>
            </w:tcBorders>
            <w:vAlign w:val="center"/>
          </w:tcPr>
          <w:p w14:paraId="4F8541DA">
            <w:pPr>
              <w:rPr>
                <w:color w:val="auto"/>
                <w:highlight w:val="none"/>
              </w:rPr>
            </w:pPr>
          </w:p>
        </w:tc>
        <w:tc>
          <w:tcPr>
            <w:tcW w:w="546" w:type="pct"/>
            <w:tcBorders>
              <w:top w:val="single" w:color="auto" w:sz="4" w:space="0"/>
              <w:left w:val="single" w:color="auto" w:sz="4" w:space="0"/>
              <w:bottom w:val="single" w:color="auto" w:sz="4" w:space="0"/>
              <w:right w:val="single" w:color="auto" w:sz="4" w:space="0"/>
            </w:tcBorders>
            <w:vAlign w:val="center"/>
          </w:tcPr>
          <w:p w14:paraId="5AFDBB4A">
            <w:pPr>
              <w:rPr>
                <w:color w:val="auto"/>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3FB524D8">
            <w:pPr>
              <w:rPr>
                <w:color w:val="auto"/>
                <w:highlight w:val="none"/>
              </w:rPr>
            </w:pPr>
          </w:p>
        </w:tc>
        <w:tc>
          <w:tcPr>
            <w:tcW w:w="426" w:type="pct"/>
            <w:tcBorders>
              <w:top w:val="single" w:color="auto" w:sz="4" w:space="0"/>
              <w:left w:val="single" w:color="auto" w:sz="4" w:space="0"/>
              <w:bottom w:val="single" w:color="auto" w:sz="4" w:space="0"/>
              <w:right w:val="single" w:color="auto" w:sz="4" w:space="0"/>
            </w:tcBorders>
          </w:tcPr>
          <w:p w14:paraId="7240CDE9">
            <w:pPr>
              <w:rPr>
                <w:color w:val="auto"/>
                <w:highlight w:val="none"/>
              </w:rPr>
            </w:pPr>
          </w:p>
        </w:tc>
        <w:tc>
          <w:tcPr>
            <w:tcW w:w="383" w:type="pct"/>
            <w:tcBorders>
              <w:top w:val="single" w:color="auto" w:sz="4" w:space="0"/>
              <w:left w:val="single" w:color="auto" w:sz="4" w:space="0"/>
              <w:bottom w:val="single" w:color="auto" w:sz="4" w:space="0"/>
              <w:right w:val="single" w:color="auto" w:sz="4" w:space="0"/>
            </w:tcBorders>
          </w:tcPr>
          <w:p w14:paraId="340CC696">
            <w:pPr>
              <w:rPr>
                <w:color w:val="auto"/>
                <w:highlight w:val="none"/>
              </w:rPr>
            </w:pPr>
          </w:p>
        </w:tc>
        <w:tc>
          <w:tcPr>
            <w:tcW w:w="548" w:type="pct"/>
            <w:tcBorders>
              <w:top w:val="single" w:color="auto" w:sz="4" w:space="0"/>
              <w:left w:val="single" w:color="auto" w:sz="4" w:space="0"/>
              <w:bottom w:val="single" w:color="auto" w:sz="4" w:space="0"/>
              <w:right w:val="single" w:color="auto" w:sz="4" w:space="0"/>
            </w:tcBorders>
          </w:tcPr>
          <w:p w14:paraId="23C79D43">
            <w:pPr>
              <w:rPr>
                <w:color w:val="auto"/>
                <w:highlight w:val="none"/>
              </w:rPr>
            </w:pPr>
          </w:p>
        </w:tc>
        <w:tc>
          <w:tcPr>
            <w:tcW w:w="385" w:type="pct"/>
            <w:tcBorders>
              <w:top w:val="single" w:color="auto" w:sz="4" w:space="0"/>
              <w:left w:val="single" w:color="auto" w:sz="4" w:space="0"/>
              <w:bottom w:val="single" w:color="auto" w:sz="4" w:space="0"/>
              <w:right w:val="single" w:color="auto" w:sz="4" w:space="0"/>
            </w:tcBorders>
          </w:tcPr>
          <w:p w14:paraId="35F0BE38">
            <w:pPr>
              <w:rPr>
                <w:color w:val="auto"/>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14:paraId="4B36A056">
            <w:pPr>
              <w:rPr>
                <w:color w:val="auto"/>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14:paraId="701A14D8">
            <w:pPr>
              <w:rPr>
                <w:color w:val="auto"/>
                <w:highlight w:val="none"/>
              </w:rPr>
            </w:pPr>
          </w:p>
        </w:tc>
      </w:tr>
      <w:tr w14:paraId="4CA8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24" w:type="pct"/>
            <w:tcBorders>
              <w:top w:val="single" w:color="auto" w:sz="4" w:space="0"/>
              <w:left w:val="single" w:color="auto" w:sz="4" w:space="0"/>
              <w:bottom w:val="single" w:color="auto" w:sz="4" w:space="0"/>
              <w:right w:val="single" w:color="auto" w:sz="4" w:space="0"/>
            </w:tcBorders>
            <w:vAlign w:val="center"/>
          </w:tcPr>
          <w:p w14:paraId="20E98BFE">
            <w:pPr>
              <w:ind w:left="0" w:leftChars="0" w:firstLine="0" w:firstLineChars="0"/>
              <w:jc w:val="center"/>
              <w:rPr>
                <w:color w:val="auto"/>
                <w:highlight w:val="none"/>
              </w:rPr>
            </w:pPr>
            <w:r>
              <w:rPr>
                <w:rFonts w:hint="eastAsia"/>
                <w:color w:val="auto"/>
                <w:highlight w:val="none"/>
              </w:rPr>
              <w:t>3</w:t>
            </w:r>
          </w:p>
        </w:tc>
        <w:tc>
          <w:tcPr>
            <w:tcW w:w="663" w:type="pct"/>
            <w:tcBorders>
              <w:top w:val="single" w:color="auto" w:sz="4" w:space="0"/>
              <w:left w:val="single" w:color="auto" w:sz="4" w:space="0"/>
              <w:bottom w:val="single" w:color="auto" w:sz="4" w:space="0"/>
              <w:right w:val="single" w:color="auto" w:sz="4" w:space="0"/>
            </w:tcBorders>
            <w:vAlign w:val="center"/>
          </w:tcPr>
          <w:p w14:paraId="23E11E0B">
            <w:pPr>
              <w:rPr>
                <w:color w:val="auto"/>
                <w:highlight w:val="none"/>
              </w:rPr>
            </w:pPr>
          </w:p>
        </w:tc>
        <w:tc>
          <w:tcPr>
            <w:tcW w:w="546" w:type="pct"/>
            <w:tcBorders>
              <w:top w:val="single" w:color="auto" w:sz="4" w:space="0"/>
              <w:left w:val="single" w:color="auto" w:sz="4" w:space="0"/>
              <w:bottom w:val="single" w:color="auto" w:sz="4" w:space="0"/>
              <w:right w:val="single" w:color="auto" w:sz="4" w:space="0"/>
            </w:tcBorders>
            <w:vAlign w:val="center"/>
          </w:tcPr>
          <w:p w14:paraId="6799B9C2">
            <w:pPr>
              <w:rPr>
                <w:color w:val="auto"/>
                <w:highlight w:val="none"/>
              </w:rPr>
            </w:pPr>
          </w:p>
        </w:tc>
        <w:tc>
          <w:tcPr>
            <w:tcW w:w="605" w:type="pct"/>
            <w:tcBorders>
              <w:top w:val="single" w:color="auto" w:sz="4" w:space="0"/>
              <w:left w:val="single" w:color="auto" w:sz="4" w:space="0"/>
              <w:bottom w:val="single" w:color="auto" w:sz="4" w:space="0"/>
              <w:right w:val="single" w:color="auto" w:sz="4" w:space="0"/>
            </w:tcBorders>
            <w:vAlign w:val="center"/>
          </w:tcPr>
          <w:p w14:paraId="3EA4B53B">
            <w:pPr>
              <w:rPr>
                <w:color w:val="auto"/>
                <w:highlight w:val="none"/>
              </w:rPr>
            </w:pPr>
          </w:p>
        </w:tc>
        <w:tc>
          <w:tcPr>
            <w:tcW w:w="426" w:type="pct"/>
            <w:tcBorders>
              <w:top w:val="single" w:color="auto" w:sz="4" w:space="0"/>
              <w:left w:val="single" w:color="auto" w:sz="4" w:space="0"/>
              <w:bottom w:val="single" w:color="auto" w:sz="4" w:space="0"/>
              <w:right w:val="single" w:color="auto" w:sz="4" w:space="0"/>
            </w:tcBorders>
          </w:tcPr>
          <w:p w14:paraId="146541EF">
            <w:pPr>
              <w:rPr>
                <w:color w:val="auto"/>
                <w:highlight w:val="none"/>
              </w:rPr>
            </w:pPr>
          </w:p>
        </w:tc>
        <w:tc>
          <w:tcPr>
            <w:tcW w:w="383" w:type="pct"/>
            <w:tcBorders>
              <w:top w:val="single" w:color="auto" w:sz="4" w:space="0"/>
              <w:left w:val="single" w:color="auto" w:sz="4" w:space="0"/>
              <w:bottom w:val="single" w:color="auto" w:sz="4" w:space="0"/>
              <w:right w:val="single" w:color="auto" w:sz="4" w:space="0"/>
            </w:tcBorders>
          </w:tcPr>
          <w:p w14:paraId="1A2F2672">
            <w:pPr>
              <w:rPr>
                <w:color w:val="auto"/>
                <w:highlight w:val="none"/>
              </w:rPr>
            </w:pPr>
          </w:p>
        </w:tc>
        <w:tc>
          <w:tcPr>
            <w:tcW w:w="548" w:type="pct"/>
            <w:tcBorders>
              <w:top w:val="single" w:color="auto" w:sz="4" w:space="0"/>
              <w:left w:val="single" w:color="auto" w:sz="4" w:space="0"/>
              <w:bottom w:val="single" w:color="auto" w:sz="4" w:space="0"/>
              <w:right w:val="single" w:color="auto" w:sz="4" w:space="0"/>
            </w:tcBorders>
          </w:tcPr>
          <w:p w14:paraId="041AB6BA">
            <w:pPr>
              <w:rPr>
                <w:color w:val="auto"/>
                <w:highlight w:val="none"/>
              </w:rPr>
            </w:pPr>
          </w:p>
        </w:tc>
        <w:tc>
          <w:tcPr>
            <w:tcW w:w="385" w:type="pct"/>
            <w:tcBorders>
              <w:top w:val="single" w:color="auto" w:sz="4" w:space="0"/>
              <w:left w:val="single" w:color="auto" w:sz="4" w:space="0"/>
              <w:bottom w:val="single" w:color="auto" w:sz="4" w:space="0"/>
              <w:right w:val="single" w:color="auto" w:sz="4" w:space="0"/>
            </w:tcBorders>
          </w:tcPr>
          <w:p w14:paraId="589F4786">
            <w:pPr>
              <w:rPr>
                <w:color w:val="auto"/>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14:paraId="6BFB1422">
            <w:pPr>
              <w:rPr>
                <w:color w:val="auto"/>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14:paraId="5B471E0E">
            <w:pPr>
              <w:rPr>
                <w:color w:val="auto"/>
                <w:highlight w:val="none"/>
              </w:rPr>
            </w:pPr>
          </w:p>
        </w:tc>
      </w:tr>
      <w:tr w14:paraId="26FB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60942B78">
            <w:pPr>
              <w:rPr>
                <w:color w:val="auto"/>
                <w:highlight w:val="none"/>
              </w:rPr>
            </w:pPr>
            <w:r>
              <w:rPr>
                <w:rFonts w:hint="eastAsia"/>
                <w:color w:val="auto"/>
                <w:highlight w:val="none"/>
              </w:rPr>
              <w:t xml:space="preserve">人民币合计金额（大写）                          （小写）                 </w:t>
            </w:r>
          </w:p>
        </w:tc>
      </w:tr>
    </w:tbl>
    <w:p w14:paraId="51F66D7B">
      <w:pPr>
        <w:rPr>
          <w:color w:val="auto"/>
          <w:highlight w:val="none"/>
        </w:rPr>
      </w:pPr>
      <w:r>
        <w:rPr>
          <w:rFonts w:hint="eastAsia"/>
          <w:color w:val="auto"/>
          <w:highlight w:val="none"/>
        </w:rPr>
        <w:t>2.本合同价是履行合同的最终价格，且为人民币含税价，以及甲方指定地点的现场交货价，包括：</w:t>
      </w:r>
    </w:p>
    <w:p w14:paraId="65BFF923">
      <w:pPr>
        <w:rPr>
          <w:color w:val="auto"/>
          <w:highlight w:val="none"/>
        </w:rPr>
      </w:pPr>
      <w:r>
        <w:rPr>
          <w:rFonts w:hint="eastAsia"/>
          <w:color w:val="auto"/>
          <w:highlight w:val="none"/>
        </w:rPr>
        <w:t>（1）货物的价格：包括运输、装卸、培训、技术支持、售后服务费。</w:t>
      </w:r>
    </w:p>
    <w:p w14:paraId="0847C4D2">
      <w:pPr>
        <w:rPr>
          <w:color w:val="auto"/>
          <w:highlight w:val="none"/>
        </w:rPr>
      </w:pPr>
      <w:r>
        <w:rPr>
          <w:rFonts w:hint="eastAsia"/>
          <w:color w:val="auto"/>
          <w:highlight w:val="none"/>
        </w:rPr>
        <w:t>（2）招标代理服务费、保险费和各项税金。</w:t>
      </w:r>
    </w:p>
    <w:p w14:paraId="4D6288D6">
      <w:pPr>
        <w:rPr>
          <w:color w:val="auto"/>
          <w:highlight w:val="none"/>
        </w:rPr>
      </w:pPr>
      <w:r>
        <w:rPr>
          <w:rFonts w:hint="eastAsia"/>
          <w:color w:val="auto"/>
          <w:highlight w:val="none"/>
        </w:rPr>
        <w:t>第二条　质量保证</w:t>
      </w:r>
    </w:p>
    <w:p w14:paraId="6A53FC82">
      <w:pPr>
        <w:rPr>
          <w:color w:val="auto"/>
          <w:highlight w:val="none"/>
        </w:rPr>
      </w:pPr>
      <w:r>
        <w:rPr>
          <w:rFonts w:hint="eastAsia"/>
          <w:color w:val="auto"/>
          <w:highlight w:val="none"/>
        </w:rPr>
        <w:t>1.乙方所提供的产品名称、商标品牌、生产厂家、规格型号、技术参数等质量必须与招标文件规定及投标文件承诺相一致。乙方提供的节能和环保产品必须是列入政府采购品目清单的产品。</w:t>
      </w:r>
    </w:p>
    <w:p w14:paraId="2E5B5ED5">
      <w:pPr>
        <w:rPr>
          <w:color w:val="auto"/>
          <w:highlight w:val="none"/>
          <w:u w:val="single"/>
        </w:rPr>
      </w:pPr>
      <w:r>
        <w:rPr>
          <w:rFonts w:hint="eastAsia"/>
          <w:color w:val="auto"/>
          <w:highlight w:val="none"/>
        </w:rPr>
        <w:t>2.乙方所提供的货物必须是全新、未使用的原装产品，各项指标均达到招标文件规定或者投标文件承诺的质量要求。</w:t>
      </w:r>
    </w:p>
    <w:p w14:paraId="79A3F82D">
      <w:pPr>
        <w:rPr>
          <w:color w:val="auto"/>
          <w:highlight w:val="none"/>
        </w:rPr>
      </w:pPr>
      <w:r>
        <w:rPr>
          <w:rFonts w:hint="eastAsia"/>
          <w:color w:val="auto"/>
          <w:highlight w:val="none"/>
        </w:rPr>
        <w:t>第三条　权利保证</w:t>
      </w:r>
    </w:p>
    <w:p w14:paraId="13078733">
      <w:pPr>
        <w:rPr>
          <w:color w:val="auto"/>
          <w:highlight w:val="none"/>
        </w:rPr>
      </w:pPr>
      <w:r>
        <w:rPr>
          <w:rFonts w:hint="eastAsia"/>
          <w:color w:val="auto"/>
          <w:highlight w:val="none"/>
        </w:rPr>
        <w:t>1.乙方应保证所提供货物在使用时不会侵犯任何第三方的专利权、商标权、工业设计权或其他权利。</w:t>
      </w:r>
    </w:p>
    <w:p w14:paraId="3D342276">
      <w:pPr>
        <w:rPr>
          <w:color w:val="auto"/>
          <w:highlight w:val="none"/>
        </w:rPr>
      </w:pPr>
      <w:r>
        <w:rPr>
          <w:rFonts w:hint="eastAsia"/>
          <w:color w:val="auto"/>
          <w:highlight w:val="none"/>
        </w:rPr>
        <w:t>2.乙方应按招标文件规定的时间向甲方提供使用货物的有关技术资料。</w:t>
      </w:r>
    </w:p>
    <w:p w14:paraId="065D400A">
      <w:pPr>
        <w:rPr>
          <w:color w:val="auto"/>
          <w:highlight w:val="none"/>
        </w:rPr>
      </w:pPr>
      <w:r>
        <w:rPr>
          <w:rFonts w:hint="eastAsia"/>
          <w:color w:val="auto"/>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392EA3">
      <w:pPr>
        <w:rPr>
          <w:color w:val="auto"/>
          <w:highlight w:val="none"/>
        </w:rPr>
      </w:pPr>
      <w:r>
        <w:rPr>
          <w:rFonts w:hint="eastAsia"/>
          <w:color w:val="auto"/>
          <w:highlight w:val="none"/>
        </w:rPr>
        <w:t>4.乙方保证所交付的货物的所有权完全属于乙方且无任何抵押、质押、查封等产权瑕疵。</w:t>
      </w:r>
    </w:p>
    <w:p w14:paraId="63A3BA7F">
      <w:pPr>
        <w:rPr>
          <w:color w:val="auto"/>
          <w:highlight w:val="none"/>
        </w:rPr>
      </w:pPr>
      <w:r>
        <w:rPr>
          <w:rFonts w:hint="eastAsia"/>
          <w:color w:val="auto"/>
          <w:highlight w:val="none"/>
        </w:rPr>
        <w:t>第四条　包装和运输</w:t>
      </w:r>
    </w:p>
    <w:p w14:paraId="1D8F47D9">
      <w:pPr>
        <w:rPr>
          <w:color w:val="auto"/>
          <w:highlight w:val="none"/>
        </w:rPr>
      </w:pPr>
      <w:r>
        <w:rPr>
          <w:rFonts w:hint="eastAsia"/>
          <w:color w:val="auto"/>
          <w:highlight w:val="none"/>
        </w:rPr>
        <w:t>1.乙方提供的货物均应按招、投标文件要求的包装材料、包装标准、包装方式进行包装，每一包装单元内应附详细的装箱单和质量合格证。</w:t>
      </w:r>
    </w:p>
    <w:p w14:paraId="0A0C7F19">
      <w:pPr>
        <w:rPr>
          <w:color w:val="auto"/>
          <w:highlight w:val="none"/>
        </w:rPr>
      </w:pPr>
      <w:r>
        <w:rPr>
          <w:rFonts w:hint="eastAsia"/>
          <w:color w:val="auto"/>
          <w:highlight w:val="none"/>
        </w:rPr>
        <w:t>2.货物的运输方式：</w:t>
      </w:r>
      <w:r>
        <w:rPr>
          <w:rFonts w:hint="eastAsia"/>
          <w:color w:val="auto"/>
          <w:highlight w:val="none"/>
          <w:u w:val="single"/>
        </w:rPr>
        <w:t>乙方自定</w:t>
      </w:r>
      <w:r>
        <w:rPr>
          <w:rFonts w:hint="eastAsia"/>
          <w:color w:val="auto"/>
          <w:highlight w:val="none"/>
        </w:rPr>
        <w:t>。</w:t>
      </w:r>
    </w:p>
    <w:p w14:paraId="3FE5F4C8">
      <w:pPr>
        <w:rPr>
          <w:color w:val="auto"/>
          <w:highlight w:val="none"/>
          <w:u w:val="single"/>
        </w:rPr>
      </w:pPr>
      <w:r>
        <w:rPr>
          <w:rFonts w:hint="eastAsia"/>
          <w:color w:val="auto"/>
          <w:highlight w:val="none"/>
        </w:rPr>
        <w:t>3.乙方负责货物运输，货物运输合理损耗及计算方法：</w:t>
      </w:r>
      <w:r>
        <w:rPr>
          <w:rFonts w:hint="eastAsia"/>
          <w:color w:val="auto"/>
          <w:highlight w:val="none"/>
          <w:u w:val="single"/>
        </w:rPr>
        <w:t>本项目合同不接受损耗</w:t>
      </w:r>
      <w:r>
        <w:rPr>
          <w:rFonts w:hint="eastAsia"/>
          <w:color w:val="auto"/>
          <w:highlight w:val="none"/>
        </w:rPr>
        <w:t>。</w:t>
      </w:r>
    </w:p>
    <w:p w14:paraId="714A6E13">
      <w:pPr>
        <w:rPr>
          <w:color w:val="auto"/>
          <w:highlight w:val="none"/>
        </w:rPr>
      </w:pPr>
      <w:r>
        <w:rPr>
          <w:rFonts w:hint="eastAsia"/>
          <w:color w:val="auto"/>
          <w:highlight w:val="none"/>
        </w:rPr>
        <w:t>第五条　交付和验收</w:t>
      </w:r>
    </w:p>
    <w:p w14:paraId="505E2CD0">
      <w:pPr>
        <w:rPr>
          <w:color w:val="auto"/>
          <w:highlight w:val="none"/>
        </w:rPr>
      </w:pPr>
      <w:r>
        <w:rPr>
          <w:rFonts w:hint="eastAsia"/>
          <w:color w:val="auto"/>
          <w:highlight w:val="none"/>
        </w:rPr>
        <w:t>1.交货时间：按乙方投标文件中所承诺的时间；交付地点：甲方指定地点。</w:t>
      </w:r>
    </w:p>
    <w:p w14:paraId="152C04A4">
      <w:pPr>
        <w:rPr>
          <w:color w:val="auto"/>
          <w:highlight w:val="none"/>
        </w:rPr>
      </w:pPr>
      <w:r>
        <w:rPr>
          <w:rFonts w:hint="eastAsia"/>
          <w:color w:val="auto"/>
          <w:highlight w:val="none"/>
        </w:rPr>
        <w:t>2.乙方提供不符合招、投标文件和本合同规定的货物，甲方有权拒绝接受。</w:t>
      </w:r>
    </w:p>
    <w:p w14:paraId="41366335">
      <w:pPr>
        <w:rPr>
          <w:color w:val="auto"/>
          <w:highlight w:val="none"/>
        </w:rPr>
      </w:pPr>
      <w:r>
        <w:rPr>
          <w:rFonts w:hint="eastAsia"/>
          <w:color w:val="auto"/>
          <w:highlight w:val="none"/>
        </w:rPr>
        <w:t>3.乙方应将所提供货物的装箱清单、用户手册、原厂保修卡、随机资料、工具和备品、备件等交付给甲方，如有缺失应及时补齐，否则视为逾期交货。</w:t>
      </w:r>
    </w:p>
    <w:p w14:paraId="0EE0A4B5">
      <w:pPr>
        <w:rPr>
          <w:color w:val="auto"/>
          <w:highlight w:val="none"/>
        </w:rPr>
      </w:pPr>
      <w:r>
        <w:rPr>
          <w:rFonts w:hint="eastAsia"/>
          <w:color w:val="auto"/>
          <w:highlight w:val="none"/>
        </w:rPr>
        <w:t>4.甲方应当在到货并安装、调试完后七个工作日内进行最终验收，逾期不验收的，乙方可视同验收合格。</w:t>
      </w:r>
      <w:r>
        <w:rPr>
          <w:rFonts w:hint="eastAsia" w:cs="Arial"/>
          <w:color w:val="auto"/>
          <w:highlight w:val="none"/>
        </w:rPr>
        <w:t>如因甲方原因暂时不能安装、调试的货物，经双方签字确认后可视同验收合格。</w:t>
      </w:r>
      <w:r>
        <w:rPr>
          <w:rFonts w:hint="eastAsia"/>
          <w:color w:val="auto"/>
          <w:highlight w:val="none"/>
        </w:rPr>
        <w:t>验收合格后由甲乙双方签署货物验收单并加盖采购单位公章，甲乙双方各执一份。</w:t>
      </w:r>
    </w:p>
    <w:p w14:paraId="34D3D22A">
      <w:pPr>
        <w:rPr>
          <w:color w:val="auto"/>
          <w:highlight w:val="none"/>
        </w:rPr>
      </w:pPr>
      <w:r>
        <w:rPr>
          <w:rFonts w:hint="eastAsia"/>
          <w:color w:val="auto"/>
          <w:highlight w:val="none"/>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3B65B9D4">
      <w:pPr>
        <w:rPr>
          <w:color w:val="auto"/>
          <w:highlight w:val="none"/>
        </w:rPr>
      </w:pPr>
      <w:r>
        <w:rPr>
          <w:rFonts w:hint="eastAsia"/>
          <w:color w:val="auto"/>
          <w:highlight w:val="none"/>
        </w:rPr>
        <w:t>第六条　安装和培训</w:t>
      </w:r>
    </w:p>
    <w:p w14:paraId="30537191">
      <w:pPr>
        <w:rPr>
          <w:color w:val="auto"/>
          <w:highlight w:val="none"/>
        </w:rPr>
      </w:pPr>
      <w:r>
        <w:rPr>
          <w:rFonts w:hint="eastAsia"/>
          <w:color w:val="auto"/>
          <w:highlight w:val="none"/>
        </w:rPr>
        <w:t>1.甲方应提供必要安装条件（如场地、电源、水源等）。</w:t>
      </w:r>
    </w:p>
    <w:p w14:paraId="6BC41DF7">
      <w:pPr>
        <w:rPr>
          <w:color w:val="auto"/>
          <w:highlight w:val="none"/>
          <w:u w:val="single"/>
        </w:rPr>
      </w:pPr>
      <w:r>
        <w:rPr>
          <w:rFonts w:hint="eastAsia"/>
          <w:color w:val="auto"/>
          <w:highlight w:val="none"/>
        </w:rPr>
        <w:t>2.乙方负责甲方有关人员的培训。培训时间、地点：</w:t>
      </w:r>
      <w:r>
        <w:rPr>
          <w:rFonts w:hint="eastAsia"/>
          <w:color w:val="auto"/>
          <w:highlight w:val="none"/>
          <w:u w:val="single"/>
        </w:rPr>
        <w:t>由甲方决定。</w:t>
      </w:r>
    </w:p>
    <w:p w14:paraId="5EA7F7BB">
      <w:pPr>
        <w:rPr>
          <w:color w:val="auto"/>
          <w:highlight w:val="none"/>
        </w:rPr>
      </w:pPr>
      <w:r>
        <w:rPr>
          <w:rFonts w:hint="eastAsia"/>
          <w:color w:val="auto"/>
          <w:highlight w:val="none"/>
        </w:rPr>
        <w:t>第七条  售后服务、质保期</w:t>
      </w:r>
    </w:p>
    <w:p w14:paraId="38DAC3A8">
      <w:pPr>
        <w:rPr>
          <w:color w:val="auto"/>
          <w:highlight w:val="none"/>
        </w:rPr>
      </w:pPr>
      <w:r>
        <w:rPr>
          <w:rFonts w:hint="eastAsia"/>
          <w:color w:val="auto"/>
          <w:highlight w:val="none"/>
        </w:rPr>
        <w:t>1.乙方应按照国家有关法律法规和“三包”规定以及招、投标文件和本合同附件，为甲方提供售后服务。</w:t>
      </w:r>
    </w:p>
    <w:p w14:paraId="6C27E5BB">
      <w:pPr>
        <w:rPr>
          <w:color w:val="auto"/>
          <w:highlight w:val="none"/>
        </w:rPr>
      </w:pPr>
      <w:r>
        <w:rPr>
          <w:rFonts w:hint="eastAsia"/>
          <w:color w:val="auto"/>
          <w:highlight w:val="none"/>
        </w:rPr>
        <w:t>2.货物质保期：按乙方承诺，但是不得低于国家相关标准。</w:t>
      </w:r>
    </w:p>
    <w:p w14:paraId="5DDC39C8">
      <w:pPr>
        <w:rPr>
          <w:color w:val="auto"/>
          <w:highlight w:val="none"/>
          <w:u w:val="single"/>
        </w:rPr>
      </w:pPr>
      <w:r>
        <w:rPr>
          <w:rFonts w:hint="eastAsia"/>
          <w:color w:val="auto"/>
          <w:highlight w:val="none"/>
        </w:rPr>
        <w:t>3.乙方提供的服务承诺和售后服务及质保期责任等其它具体约定事项。（见合同附件）</w:t>
      </w:r>
    </w:p>
    <w:p w14:paraId="5AA6FA26">
      <w:pPr>
        <w:rPr>
          <w:color w:val="auto"/>
          <w:highlight w:val="none"/>
        </w:rPr>
      </w:pPr>
      <w:r>
        <w:rPr>
          <w:rFonts w:hint="eastAsia"/>
          <w:color w:val="auto"/>
          <w:highlight w:val="none"/>
        </w:rPr>
        <w:t>第八条　付款方式</w:t>
      </w:r>
    </w:p>
    <w:p w14:paraId="50004103">
      <w:pPr>
        <w:rPr>
          <w:bCs/>
          <w:color w:val="auto"/>
          <w:kern w:val="0"/>
          <w:highlight w:val="none"/>
        </w:rPr>
      </w:pPr>
      <w:r>
        <w:rPr>
          <w:rFonts w:hint="eastAsia"/>
          <w:bCs/>
          <w:color w:val="auto"/>
          <w:kern w:val="0"/>
          <w:highlight w:val="none"/>
        </w:rPr>
        <w:t>1.当采购数量与实际使用数量不一致时，乙方应根据实际使用量供货，</w:t>
      </w:r>
      <w:r>
        <w:rPr>
          <w:rFonts w:hint="eastAsia"/>
          <w:color w:val="auto"/>
          <w:highlight w:val="none"/>
        </w:rPr>
        <w:t>合同的最终结算金额按实际使用量乘以中标单价进行计算，但不得超出合同价的10%。</w:t>
      </w:r>
    </w:p>
    <w:p w14:paraId="35617E67">
      <w:pPr>
        <w:rPr>
          <w:color w:val="auto"/>
          <w:highlight w:val="none"/>
        </w:rPr>
      </w:pPr>
      <w:r>
        <w:rPr>
          <w:rFonts w:hint="eastAsia"/>
          <w:color w:val="auto"/>
          <w:highlight w:val="none"/>
        </w:rPr>
        <w:t xml:space="preserve">2.付款方式： </w:t>
      </w:r>
      <w:r>
        <w:rPr>
          <w:color w:val="auto"/>
          <w:highlight w:val="none"/>
        </w:rPr>
        <w:t xml:space="preserve">________                                     </w:t>
      </w:r>
    </w:p>
    <w:p w14:paraId="46C89132">
      <w:pPr>
        <w:rPr>
          <w:color w:val="auto"/>
          <w:highlight w:val="none"/>
        </w:rPr>
      </w:pPr>
      <w:r>
        <w:rPr>
          <w:rFonts w:hint="eastAsia"/>
          <w:color w:val="auto"/>
          <w:highlight w:val="none"/>
        </w:rPr>
        <w:t>第九条　履约保证金：无</w:t>
      </w:r>
    </w:p>
    <w:p w14:paraId="5DC40B9E">
      <w:pPr>
        <w:rPr>
          <w:color w:val="auto"/>
          <w:highlight w:val="none"/>
        </w:rPr>
      </w:pPr>
      <w:r>
        <w:rPr>
          <w:rFonts w:hint="eastAsia"/>
          <w:color w:val="auto"/>
          <w:highlight w:val="none"/>
        </w:rPr>
        <w:t>第十条  税费</w:t>
      </w:r>
    </w:p>
    <w:p w14:paraId="3D915E21">
      <w:pPr>
        <w:rPr>
          <w:color w:val="auto"/>
          <w:highlight w:val="none"/>
        </w:rPr>
      </w:pPr>
      <w:r>
        <w:rPr>
          <w:rFonts w:hint="eastAsia"/>
          <w:color w:val="auto"/>
          <w:highlight w:val="none"/>
        </w:rPr>
        <w:t>本合同执行中相关的一切税费均由乙方负担。</w:t>
      </w:r>
    </w:p>
    <w:p w14:paraId="5326E356">
      <w:pPr>
        <w:rPr>
          <w:color w:val="auto"/>
          <w:highlight w:val="none"/>
        </w:rPr>
      </w:pPr>
      <w:r>
        <w:rPr>
          <w:rFonts w:hint="eastAsia"/>
          <w:color w:val="auto"/>
          <w:highlight w:val="none"/>
        </w:rPr>
        <w:t>第十一条  质量保证及售后服务</w:t>
      </w:r>
    </w:p>
    <w:p w14:paraId="1C94448C">
      <w:pPr>
        <w:rPr>
          <w:color w:val="auto"/>
          <w:highlight w:val="none"/>
        </w:rPr>
      </w:pPr>
      <w:r>
        <w:rPr>
          <w:rFonts w:hint="eastAsia"/>
          <w:color w:val="auto"/>
          <w:highlight w:val="none"/>
        </w:rPr>
        <w:t>1.乙方应按招标文件规定的产品名称、商标品牌、生产厂家、规格型号、技术参数、质量标准向甲方提供未经使用的全新产品。不符合要求的，根据实际情况，经双方协商，可按以下办法处理：</w:t>
      </w:r>
    </w:p>
    <w:p w14:paraId="47671BC2">
      <w:pPr>
        <w:rPr>
          <w:color w:val="auto"/>
          <w:highlight w:val="none"/>
        </w:rPr>
      </w:pPr>
      <w:r>
        <w:rPr>
          <w:rFonts w:hint="eastAsia"/>
          <w:color w:val="auto"/>
          <w:highlight w:val="none"/>
        </w:rPr>
        <w:t>⑴更换：由乙方承担所发生的全部费用。</w:t>
      </w:r>
    </w:p>
    <w:p w14:paraId="633B8918">
      <w:pPr>
        <w:rPr>
          <w:color w:val="auto"/>
          <w:highlight w:val="none"/>
        </w:rPr>
      </w:pPr>
      <w:r>
        <w:rPr>
          <w:rFonts w:hint="eastAsia"/>
          <w:color w:val="auto"/>
          <w:highlight w:val="none"/>
        </w:rPr>
        <w:t>⑵贬值处理：由甲乙双方合议定价。</w:t>
      </w:r>
    </w:p>
    <w:p w14:paraId="5F9BEE05">
      <w:pPr>
        <w:rPr>
          <w:color w:val="auto"/>
          <w:highlight w:val="none"/>
        </w:rPr>
      </w:pPr>
      <w:r>
        <w:rPr>
          <w:rFonts w:hint="eastAsia"/>
          <w:color w:val="auto"/>
          <w:highlight w:val="none"/>
        </w:rPr>
        <w:t>⑶退货处理：乙方应退还甲方支付的合同款，同时应承担该货物的直接费用（运输、保险、检验、货款利息及银行手续费等）。</w:t>
      </w:r>
    </w:p>
    <w:p w14:paraId="5D955BCC">
      <w:pPr>
        <w:rPr>
          <w:color w:val="auto"/>
          <w:highlight w:val="none"/>
        </w:rPr>
      </w:pPr>
      <w:r>
        <w:rPr>
          <w:rFonts w:hint="eastAsia"/>
          <w:color w:val="auto"/>
          <w:highlight w:val="none"/>
        </w:rPr>
        <w:t>2.如在使用过程中发生质量问题，乙方在接到甲方通知后到达甲方现场处理的时间</w:t>
      </w:r>
      <w:r>
        <w:rPr>
          <w:rFonts w:hint="eastAsia"/>
          <w:color w:val="auto"/>
          <w:highlight w:val="none"/>
          <w:u w:val="single"/>
        </w:rPr>
        <w:t xml:space="preserve"> 乙方售后服务承诺 </w:t>
      </w:r>
      <w:r>
        <w:rPr>
          <w:rFonts w:hint="eastAsia"/>
          <w:color w:val="auto"/>
          <w:highlight w:val="none"/>
        </w:rPr>
        <w:t>小时内。</w:t>
      </w:r>
    </w:p>
    <w:p w14:paraId="64A85C45">
      <w:pPr>
        <w:rPr>
          <w:color w:val="auto"/>
          <w:highlight w:val="none"/>
        </w:rPr>
      </w:pPr>
      <w:r>
        <w:rPr>
          <w:rFonts w:hint="eastAsia"/>
          <w:color w:val="auto"/>
          <w:highlight w:val="none"/>
        </w:rPr>
        <w:t>3.在质保期内，乙方应对货物出现的质量及安全问题负责处理解决并承担一切费用。</w:t>
      </w:r>
    </w:p>
    <w:p w14:paraId="0EB6164D">
      <w:pPr>
        <w:rPr>
          <w:color w:val="auto"/>
          <w:highlight w:val="none"/>
        </w:rPr>
      </w:pPr>
      <w:r>
        <w:rPr>
          <w:rFonts w:hint="eastAsia"/>
          <w:color w:val="auto"/>
          <w:highlight w:val="none"/>
        </w:rPr>
        <w:t>4.设备类产品，因人为因素出现的故障不在免费保修范围内。超过质保期的机器设备的维修按乙方投标文件承诺实行。</w:t>
      </w:r>
    </w:p>
    <w:p w14:paraId="2D9BEF97">
      <w:pPr>
        <w:rPr>
          <w:color w:val="auto"/>
          <w:highlight w:val="none"/>
        </w:rPr>
      </w:pPr>
      <w:r>
        <w:rPr>
          <w:rFonts w:hint="eastAsia"/>
          <w:color w:val="auto"/>
          <w:highlight w:val="none"/>
        </w:rPr>
        <w:t>5.产品由制造商（指产品生产制造商或服务实际提供人）负责质保期内的售后服务的，相关的售后服务费用由乙方向制造商支付，甲方不予另行支付。</w:t>
      </w:r>
    </w:p>
    <w:p w14:paraId="2921FA54">
      <w:pPr>
        <w:rPr>
          <w:color w:val="auto"/>
          <w:highlight w:val="none"/>
        </w:rPr>
      </w:pPr>
      <w:r>
        <w:rPr>
          <w:rFonts w:hint="eastAsia"/>
          <w:color w:val="auto"/>
          <w:highlight w:val="none"/>
        </w:rPr>
        <w:t>第十二条  货物包装、发运及运输</w:t>
      </w:r>
    </w:p>
    <w:p w14:paraId="188C9D79">
      <w:pPr>
        <w:rPr>
          <w:color w:val="auto"/>
          <w:highlight w:val="none"/>
        </w:rPr>
      </w:pPr>
      <w:r>
        <w:rPr>
          <w:rFonts w:hint="eastAsia"/>
          <w:color w:val="auto"/>
          <w:highlight w:val="none"/>
        </w:rPr>
        <w:t>1.乙方应在货物发运前对其进行满足运输距离、防潮、防震、防锈和防破损装卸等要求包装，以保证货物安全运达甲方指定地点。</w:t>
      </w:r>
    </w:p>
    <w:p w14:paraId="14409315">
      <w:pPr>
        <w:rPr>
          <w:color w:val="auto"/>
          <w:highlight w:val="none"/>
        </w:rPr>
      </w:pPr>
      <w:r>
        <w:rPr>
          <w:rFonts w:hint="eastAsia"/>
          <w:color w:val="auto"/>
          <w:highlight w:val="none"/>
        </w:rPr>
        <w:t>2. 使用说明书、质量检验证明书、随配附件和工具以及清单一并附于货物内。</w:t>
      </w:r>
    </w:p>
    <w:p w14:paraId="60EEDB5A">
      <w:pPr>
        <w:rPr>
          <w:color w:val="auto"/>
          <w:highlight w:val="none"/>
        </w:rPr>
      </w:pPr>
      <w:r>
        <w:rPr>
          <w:rFonts w:hint="eastAsia"/>
          <w:color w:val="auto"/>
          <w:highlight w:val="none"/>
        </w:rPr>
        <w:t>3.乙方在货物发运手续办理完毕后二十四小时内或货到甲方四十八小时前通知甲方，以准备接货。</w:t>
      </w:r>
    </w:p>
    <w:p w14:paraId="4AFBB66B">
      <w:pPr>
        <w:rPr>
          <w:color w:val="auto"/>
          <w:highlight w:val="none"/>
        </w:rPr>
      </w:pPr>
      <w:r>
        <w:rPr>
          <w:rFonts w:hint="eastAsia"/>
          <w:color w:val="auto"/>
          <w:highlight w:val="none"/>
        </w:rPr>
        <w:t>4.货物在交付甲方前发生的风险均由乙方负责。</w:t>
      </w:r>
    </w:p>
    <w:p w14:paraId="21BF697D">
      <w:pPr>
        <w:rPr>
          <w:color w:val="auto"/>
          <w:highlight w:val="none"/>
        </w:rPr>
      </w:pPr>
      <w:r>
        <w:rPr>
          <w:rFonts w:hint="eastAsia"/>
          <w:color w:val="auto"/>
          <w:highlight w:val="none"/>
        </w:rPr>
        <w:t>5.货物在规定的交付期限内由乙方到货（安装、调试）后七个工作日内进行验收，验收合格后视为交付。</w:t>
      </w:r>
    </w:p>
    <w:p w14:paraId="26135BD0">
      <w:pPr>
        <w:rPr>
          <w:color w:val="auto"/>
          <w:highlight w:val="none"/>
        </w:rPr>
      </w:pPr>
      <w:r>
        <w:rPr>
          <w:rFonts w:hint="eastAsia"/>
          <w:color w:val="auto"/>
          <w:highlight w:val="none"/>
        </w:rPr>
        <w:t>第十三条 交货及验收要求</w:t>
      </w:r>
    </w:p>
    <w:p w14:paraId="2C08B1C3">
      <w:pPr>
        <w:rPr>
          <w:color w:val="auto"/>
          <w:highlight w:val="none"/>
        </w:rPr>
      </w:pPr>
      <w:r>
        <w:rPr>
          <w:rFonts w:hint="eastAsia"/>
          <w:color w:val="auto"/>
          <w:highlight w:val="none"/>
        </w:rPr>
        <w:t>1.甲方对乙方提交的货物依据招标文件上的技术规格要求和国家有关质量标准进行现场初步验收，外观、说明书符合招标文件技术要求的，给予签收，初步验收不合格的不予签收。</w:t>
      </w:r>
    </w:p>
    <w:p w14:paraId="01309CE7">
      <w:pPr>
        <w:rPr>
          <w:color w:val="auto"/>
          <w:highlight w:val="none"/>
        </w:rPr>
      </w:pPr>
      <w:r>
        <w:rPr>
          <w:rFonts w:hint="eastAsia"/>
          <w:color w:val="auto"/>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2BCE58DF">
      <w:pPr>
        <w:rPr>
          <w:color w:val="auto"/>
          <w:highlight w:val="none"/>
        </w:rPr>
      </w:pPr>
      <w:r>
        <w:rPr>
          <w:rFonts w:hint="eastAsia"/>
          <w:color w:val="auto"/>
          <w:highlight w:val="none"/>
        </w:rPr>
        <w:t>3.设备类产品，甲方对乙方提供的货物在使用前进行调试时，乙方需负责安装并培训甲方的使用操作人员，并协助甲方一起调试，直到符合技术要求，甲方才做最终验收。</w:t>
      </w:r>
    </w:p>
    <w:p w14:paraId="245E84B6">
      <w:pPr>
        <w:rPr>
          <w:color w:val="auto"/>
          <w:highlight w:val="none"/>
        </w:rPr>
      </w:pPr>
      <w:r>
        <w:rPr>
          <w:rFonts w:hint="eastAsia"/>
          <w:color w:val="auto"/>
          <w:highlight w:val="none"/>
        </w:rPr>
        <w:t>4.对技术复杂的货物，甲方应请国家认可的专业检测机构参与初步验收及最终验收，并由其出具质量检测报告。</w:t>
      </w:r>
    </w:p>
    <w:p w14:paraId="03803065">
      <w:pPr>
        <w:rPr>
          <w:color w:val="auto"/>
          <w:highlight w:val="none"/>
        </w:rPr>
      </w:pPr>
      <w:r>
        <w:rPr>
          <w:rFonts w:hint="eastAsia"/>
          <w:color w:val="auto"/>
          <w:highlight w:val="none"/>
        </w:rPr>
        <w:t xml:space="preserve">5.最终验收时乙方必须在现场，验收完毕后作出验收结果报告（验收书）。 </w:t>
      </w:r>
    </w:p>
    <w:p w14:paraId="5007BD80">
      <w:pPr>
        <w:rPr>
          <w:color w:val="auto"/>
          <w:highlight w:val="none"/>
        </w:rPr>
      </w:pPr>
      <w:r>
        <w:rPr>
          <w:rFonts w:hint="eastAsia"/>
          <w:color w:val="auto"/>
          <w:highlight w:val="none"/>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0507F86A">
      <w:pPr>
        <w:rPr>
          <w:color w:val="auto"/>
          <w:highlight w:val="none"/>
        </w:rPr>
      </w:pPr>
      <w:r>
        <w:rPr>
          <w:rFonts w:hint="eastAsia"/>
          <w:color w:val="auto"/>
          <w:highlight w:val="none"/>
        </w:rPr>
        <w:t>第十四条　违约责任</w:t>
      </w:r>
    </w:p>
    <w:p w14:paraId="08B93116">
      <w:pPr>
        <w:rPr>
          <w:color w:val="auto"/>
          <w:highlight w:val="none"/>
        </w:rPr>
      </w:pPr>
      <w:r>
        <w:rPr>
          <w:rFonts w:hint="eastAsia"/>
          <w:color w:val="auto"/>
          <w:highlight w:val="none"/>
        </w:rPr>
        <w:t>除招标文件另有约定外，合同履行过程中的其他违约行为按下列处理：</w:t>
      </w:r>
    </w:p>
    <w:p w14:paraId="12357352">
      <w:pPr>
        <w:rPr>
          <w:color w:val="auto"/>
          <w:highlight w:val="none"/>
        </w:rPr>
      </w:pPr>
      <w:r>
        <w:rPr>
          <w:rFonts w:hint="eastAsia"/>
          <w:color w:val="auto"/>
          <w:highlight w:val="none"/>
        </w:rPr>
        <w:t xml:space="preserve">1.乙方所提供的货物规格、技术标准、材料等质量不合格的，应在甲方规定期限内及时更换，更换不及时的按逾期交货处罚；因质量问题甲方不同意接收的或特殊情况甲方同意接收的，乙方应向甲方支付违约货款额10%的违约金并赔偿甲方经济损失。                                       </w:t>
      </w:r>
    </w:p>
    <w:p w14:paraId="1B1CDF69">
      <w:pPr>
        <w:rPr>
          <w:color w:val="auto"/>
          <w:highlight w:val="none"/>
        </w:rPr>
      </w:pPr>
      <w:r>
        <w:rPr>
          <w:rFonts w:hint="eastAsia"/>
          <w:color w:val="auto"/>
          <w:highlight w:val="none"/>
        </w:rPr>
        <w:t>2.乙方提供的货物如侵犯了第三方合法权益而引发的任何纠纷或诉讼，均由乙方负责交涉并承担全部责任。</w:t>
      </w:r>
    </w:p>
    <w:p w14:paraId="2485A1F6">
      <w:pPr>
        <w:rPr>
          <w:rFonts w:hint="eastAsia"/>
          <w:color w:val="auto"/>
          <w:highlight w:val="none"/>
        </w:rPr>
      </w:pPr>
      <w:r>
        <w:rPr>
          <w:rFonts w:hint="eastAsia"/>
          <w:color w:val="auto"/>
          <w:highlight w:val="none"/>
        </w:rPr>
        <w:t>3.因包装、运输引起的货物损坏，按质量不合格由乙方负责更换并承担全部费用，如由此导致逾期交货的，按逾期交货支付违约金。</w:t>
      </w:r>
    </w:p>
    <w:p w14:paraId="08CF2807">
      <w:pPr>
        <w:rPr>
          <w:rFonts w:hint="eastAsia"/>
          <w:color w:val="auto"/>
          <w:highlight w:val="none"/>
        </w:rPr>
      </w:pPr>
      <w:r>
        <w:rPr>
          <w:rFonts w:hint="eastAsia"/>
          <w:color w:val="auto"/>
          <w:highlight w:val="none"/>
        </w:rPr>
        <w:t>4.甲方无故延期接收货物、乙方逾期交货的，每天向对方偿付违约货款额4‰违约金，但违约金累计不得超过违约货款额30%，超过 20 天对方有权解除合同，违约方按照合同金额30%支付违约金并承担因此给对方造成经济损失；甲方延期付货款的，每天向乙方偿付延期货款额4‰违约金，但违约金累计不得超过延期货款额30%。</w:t>
      </w:r>
    </w:p>
    <w:p w14:paraId="7F87223C">
      <w:pPr>
        <w:rPr>
          <w:rFonts w:hint="eastAsia"/>
          <w:color w:val="auto"/>
          <w:highlight w:val="none"/>
        </w:rPr>
      </w:pPr>
      <w:r>
        <w:rPr>
          <w:rFonts w:hint="eastAsia"/>
          <w:color w:val="auto"/>
          <w:highlight w:val="none"/>
        </w:rPr>
        <w:t>5.乙方未按本合同和投标文件中规定的服务承诺提供服务的，乙方应按本合同合计金额30%向甲方支付违约金。</w:t>
      </w:r>
    </w:p>
    <w:p w14:paraId="4D6B29F9">
      <w:pPr>
        <w:rPr>
          <w:rFonts w:hint="eastAsia"/>
          <w:color w:val="auto"/>
          <w:highlight w:val="none"/>
        </w:rPr>
      </w:pPr>
      <w:r>
        <w:rPr>
          <w:rFonts w:hint="eastAsia"/>
          <w:color w:val="auto"/>
          <w:highlight w:val="none"/>
        </w:rPr>
        <w:t>6.乙方提供的货物在质保期内，因设计、工艺或材料的缺陷和其它质量原因造成的问题，由乙方负责修复，如无法修复的乙方负责更换全新货物，或者按合同价向甲方赔偿经济损失。</w:t>
      </w:r>
    </w:p>
    <w:p w14:paraId="0CD4C687">
      <w:pPr>
        <w:rPr>
          <w:rFonts w:hint="eastAsia"/>
          <w:color w:val="auto"/>
          <w:highlight w:val="none"/>
        </w:rPr>
      </w:pPr>
      <w:r>
        <w:rPr>
          <w:rFonts w:hint="eastAsia"/>
          <w:color w:val="auto"/>
          <w:highlight w:val="none"/>
        </w:rPr>
        <w:t>7.其它违约行为按违约货款额30%收取违约金并赔偿经济损失。</w:t>
      </w:r>
    </w:p>
    <w:p w14:paraId="44B1CC47">
      <w:pPr>
        <w:rPr>
          <w:color w:val="auto"/>
          <w:highlight w:val="none"/>
        </w:rPr>
      </w:pPr>
      <w:r>
        <w:rPr>
          <w:rFonts w:hint="eastAsia"/>
          <w:color w:val="auto"/>
          <w:highlight w:val="none"/>
        </w:rPr>
        <w:t>8.守约方为实现合同权益而支出的诉讼费、律师费、财产保全费、诉讼财产保全责任保险费、鉴定费、评估费、差旅费、公告费等一切费用均由违约方承担。</w:t>
      </w:r>
    </w:p>
    <w:p w14:paraId="6B1363C0">
      <w:pPr>
        <w:rPr>
          <w:color w:val="auto"/>
          <w:highlight w:val="none"/>
        </w:rPr>
      </w:pPr>
      <w:r>
        <w:rPr>
          <w:rFonts w:hint="eastAsia"/>
          <w:color w:val="auto"/>
          <w:highlight w:val="none"/>
        </w:rPr>
        <w:t>第十五条  不可抗力事件处理</w:t>
      </w:r>
    </w:p>
    <w:p w14:paraId="2026AC1B">
      <w:pPr>
        <w:rPr>
          <w:color w:val="auto"/>
          <w:highlight w:val="none"/>
        </w:rPr>
      </w:pPr>
      <w:r>
        <w:rPr>
          <w:rFonts w:hint="eastAsia"/>
          <w:color w:val="auto"/>
          <w:highlight w:val="none"/>
        </w:rPr>
        <w:t>1.在合同有效期内，任何一方因不可抗力事件导致不能履行合同，则合同履行期可延长，其延长期与不可抗力影响期相同。</w:t>
      </w:r>
    </w:p>
    <w:p w14:paraId="6663758F">
      <w:pPr>
        <w:rPr>
          <w:color w:val="auto"/>
          <w:highlight w:val="none"/>
        </w:rPr>
      </w:pPr>
      <w:r>
        <w:rPr>
          <w:rFonts w:hint="eastAsia"/>
          <w:color w:val="auto"/>
          <w:highlight w:val="none"/>
        </w:rPr>
        <w:t>2.不可抗力事件发生后，应立即通知对方，并寄送有关权威机构出具的证明。</w:t>
      </w:r>
    </w:p>
    <w:p w14:paraId="6CE34B8C">
      <w:pPr>
        <w:rPr>
          <w:color w:val="auto"/>
          <w:highlight w:val="none"/>
        </w:rPr>
      </w:pPr>
      <w:r>
        <w:rPr>
          <w:rFonts w:hint="eastAsia"/>
          <w:color w:val="auto"/>
          <w:highlight w:val="none"/>
        </w:rPr>
        <w:t>3.不可抗力事件延续120天以上，双方应通过友好协商，确定是否继续履行合同。</w:t>
      </w:r>
    </w:p>
    <w:p w14:paraId="7A82256C">
      <w:pPr>
        <w:rPr>
          <w:color w:val="auto"/>
          <w:highlight w:val="none"/>
        </w:rPr>
      </w:pPr>
      <w:r>
        <w:rPr>
          <w:rFonts w:hint="eastAsia"/>
          <w:color w:val="auto"/>
          <w:highlight w:val="none"/>
        </w:rPr>
        <w:t>第十六条  合同争议解决</w:t>
      </w:r>
    </w:p>
    <w:p w14:paraId="2A0EBD42">
      <w:pPr>
        <w:rPr>
          <w:color w:val="auto"/>
          <w:highlight w:val="none"/>
        </w:rPr>
      </w:pPr>
      <w:r>
        <w:rPr>
          <w:rFonts w:hint="eastAsia"/>
          <w:color w:val="auto"/>
          <w:highlight w:val="none"/>
        </w:rPr>
        <w:t>1.因货物质量问题发生争议的，应邀请国家认可的质量检测机构按照国家标准对货物质量进行鉴定。货物符合国家标准的，鉴定费由甲方承担；货物不符合国家标准的，鉴定费由乙方承担。</w:t>
      </w:r>
    </w:p>
    <w:p w14:paraId="79AA9015">
      <w:pPr>
        <w:rPr>
          <w:color w:val="auto"/>
          <w:highlight w:val="none"/>
        </w:rPr>
      </w:pPr>
      <w:r>
        <w:rPr>
          <w:rFonts w:hint="eastAsia"/>
          <w:color w:val="auto"/>
          <w:highlight w:val="none"/>
        </w:rPr>
        <w:t>2.因履行本合同引起的或与本合同有关的争议，甲乙双方应首先通过友好协商解决，如果协商不能解决，可向甲方所在地人民法院提起诉讼。</w:t>
      </w:r>
    </w:p>
    <w:p w14:paraId="457FF83F">
      <w:pPr>
        <w:rPr>
          <w:color w:val="auto"/>
          <w:highlight w:val="none"/>
        </w:rPr>
      </w:pPr>
      <w:r>
        <w:rPr>
          <w:rFonts w:hint="eastAsia"/>
          <w:color w:val="auto"/>
          <w:highlight w:val="none"/>
        </w:rPr>
        <w:t>3.诉讼期间，本合同继续履行。</w:t>
      </w:r>
    </w:p>
    <w:p w14:paraId="21187131">
      <w:pPr>
        <w:rPr>
          <w:color w:val="auto"/>
          <w:highlight w:val="none"/>
        </w:rPr>
      </w:pPr>
      <w:r>
        <w:rPr>
          <w:rFonts w:hint="eastAsia"/>
          <w:color w:val="auto"/>
          <w:highlight w:val="none"/>
        </w:rPr>
        <w:t>第十七条  合同生效及其它</w:t>
      </w:r>
    </w:p>
    <w:p w14:paraId="27703D23">
      <w:pPr>
        <w:rPr>
          <w:color w:val="auto"/>
          <w:highlight w:val="none"/>
        </w:rPr>
      </w:pPr>
      <w:r>
        <w:rPr>
          <w:rFonts w:hint="eastAsia"/>
          <w:color w:val="auto"/>
          <w:highlight w:val="none"/>
        </w:rPr>
        <w:t>1.</w:t>
      </w:r>
      <w:r>
        <w:rPr>
          <w:rFonts w:cs="Arial"/>
          <w:color w:val="auto"/>
          <w:highlight w:val="none"/>
        </w:rPr>
        <w:t>本合同履行期限为：</w:t>
      </w:r>
      <w:r>
        <w:rPr>
          <w:rFonts w:cs="Arial"/>
          <w:color w:val="auto"/>
          <w:highlight w:val="none"/>
          <w:u w:val="single"/>
        </w:rPr>
        <w:t>按照本合同约定</w:t>
      </w:r>
      <w:r>
        <w:rPr>
          <w:rFonts w:cs="Arial"/>
          <w:color w:val="auto"/>
          <w:highlight w:val="none"/>
        </w:rPr>
        <w:t>；</w:t>
      </w:r>
      <w:r>
        <w:rPr>
          <w:rFonts w:hint="eastAsia"/>
          <w:color w:val="auto"/>
          <w:highlight w:val="none"/>
        </w:rPr>
        <w:t>合同履行地点为：</w:t>
      </w:r>
      <w:r>
        <w:rPr>
          <w:rFonts w:hint="eastAsia"/>
          <w:color w:val="auto"/>
          <w:highlight w:val="none"/>
          <w:u w:val="single"/>
        </w:rPr>
        <w:t>广西南宁市</w:t>
      </w:r>
      <w:r>
        <w:rPr>
          <w:rFonts w:hint="eastAsia"/>
          <w:color w:val="auto"/>
          <w:highlight w:val="none"/>
        </w:rPr>
        <w:t>；合同履行的方式：</w:t>
      </w:r>
      <w:r>
        <w:rPr>
          <w:rFonts w:hint="eastAsia"/>
          <w:color w:val="auto"/>
          <w:highlight w:val="none"/>
          <w:u w:val="single"/>
        </w:rPr>
        <w:t>按照本合同约定</w:t>
      </w:r>
      <w:r>
        <w:rPr>
          <w:rFonts w:hint="eastAsia"/>
          <w:color w:val="auto"/>
          <w:highlight w:val="none"/>
        </w:rPr>
        <w:t>。</w:t>
      </w:r>
    </w:p>
    <w:p w14:paraId="6E5824E0">
      <w:pPr>
        <w:rPr>
          <w:color w:val="auto"/>
          <w:highlight w:val="none"/>
        </w:rPr>
      </w:pPr>
      <w:r>
        <w:rPr>
          <w:rFonts w:hint="eastAsia"/>
          <w:color w:val="auto"/>
          <w:highlight w:val="none"/>
        </w:rPr>
        <w:t>2.合同经双方法定代表人或委托代理人签字并加盖单位公章后生效。</w:t>
      </w:r>
    </w:p>
    <w:p w14:paraId="4CC46C5C">
      <w:pPr>
        <w:rPr>
          <w:rFonts w:cs="Times New Roman"/>
          <w:color w:val="auto"/>
          <w:highlight w:val="none"/>
        </w:rPr>
      </w:pPr>
      <w:r>
        <w:rPr>
          <w:rFonts w:hint="eastAsia" w:cs="Times New Roman"/>
          <w:color w:val="auto"/>
          <w:highlight w:val="none"/>
        </w:rPr>
        <w:t>3.合同执行中涉及采购资金和采购内容修改或补充的，</w:t>
      </w:r>
      <w:r>
        <w:rPr>
          <w:color w:val="auto"/>
          <w:highlight w:val="none"/>
        </w:rPr>
        <w:t>须经财政部门审批，并签书面补充协议报财政部门备案，方可作为主合同不可分割的一部分。</w:t>
      </w:r>
    </w:p>
    <w:p w14:paraId="5590C81D">
      <w:pPr>
        <w:rPr>
          <w:color w:val="auto"/>
          <w:highlight w:val="none"/>
        </w:rPr>
      </w:pPr>
      <w:r>
        <w:rPr>
          <w:rFonts w:hint="eastAsia"/>
          <w:color w:val="auto"/>
          <w:highlight w:val="none"/>
        </w:rPr>
        <w:t>4.本合同未尽事宜，遵照《中华人民共和国民法典》有关条文执行。</w:t>
      </w:r>
    </w:p>
    <w:p w14:paraId="681C28AA">
      <w:pPr>
        <w:rPr>
          <w:color w:val="auto"/>
          <w:highlight w:val="none"/>
        </w:rPr>
      </w:pPr>
      <w:r>
        <w:rPr>
          <w:rFonts w:hint="eastAsia"/>
          <w:color w:val="auto"/>
          <w:highlight w:val="none"/>
        </w:rPr>
        <w:t>第十八条　合同的变更、终止与转让</w:t>
      </w:r>
    </w:p>
    <w:p w14:paraId="7803A6DA">
      <w:pPr>
        <w:rPr>
          <w:color w:val="auto"/>
          <w:highlight w:val="none"/>
        </w:rPr>
      </w:pPr>
      <w:r>
        <w:rPr>
          <w:rFonts w:hint="eastAsia"/>
          <w:color w:val="auto"/>
          <w:highlight w:val="none"/>
        </w:rPr>
        <w:t>1. 除《中华人民共和国政府采购法》第五十条规定的情形外，本合同一经签订，甲乙双方不得擅自变更、中止或终止。</w:t>
      </w:r>
    </w:p>
    <w:p w14:paraId="1894079A">
      <w:pPr>
        <w:rPr>
          <w:rFonts w:cs="Times New Roman"/>
          <w:color w:val="auto"/>
          <w:highlight w:val="none"/>
        </w:rPr>
      </w:pPr>
      <w:r>
        <w:rPr>
          <w:rFonts w:hint="eastAsia" w:cs="Times New Roman"/>
          <w:color w:val="auto"/>
          <w:highlight w:val="none"/>
        </w:rPr>
        <w:t>2.未经甲方书面同意</w:t>
      </w:r>
      <w:r>
        <w:rPr>
          <w:color w:val="auto"/>
          <w:highlight w:val="none"/>
        </w:rPr>
        <w:t>，乙方不得擅自转让（无进口资格的乙方委托进口货物除外）其应履行的合同义务</w:t>
      </w:r>
      <w:r>
        <w:rPr>
          <w:rFonts w:hint="eastAsia" w:cs="Times New Roman"/>
          <w:color w:val="auto"/>
          <w:highlight w:val="none"/>
        </w:rPr>
        <w:t>。</w:t>
      </w:r>
    </w:p>
    <w:p w14:paraId="2BDDCFA9">
      <w:pPr>
        <w:rPr>
          <w:color w:val="auto"/>
          <w:highlight w:val="none"/>
        </w:rPr>
      </w:pPr>
      <w:r>
        <w:rPr>
          <w:rFonts w:hint="eastAsia"/>
          <w:color w:val="auto"/>
          <w:highlight w:val="none"/>
        </w:rPr>
        <w:t>第十九条　签订本合同依据</w:t>
      </w:r>
    </w:p>
    <w:p w14:paraId="759CD3DF">
      <w:pPr>
        <w:rPr>
          <w:color w:val="auto"/>
          <w:highlight w:val="none"/>
        </w:rPr>
      </w:pPr>
      <w:r>
        <w:rPr>
          <w:rFonts w:hint="eastAsia"/>
          <w:color w:val="auto"/>
          <w:highlight w:val="none"/>
        </w:rPr>
        <w:t>1.政府采购招标文件；</w:t>
      </w:r>
    </w:p>
    <w:p w14:paraId="4F7A60E3">
      <w:pPr>
        <w:rPr>
          <w:color w:val="auto"/>
          <w:highlight w:val="none"/>
        </w:rPr>
      </w:pPr>
      <w:r>
        <w:rPr>
          <w:rFonts w:hint="eastAsia"/>
          <w:color w:val="auto"/>
          <w:highlight w:val="none"/>
        </w:rPr>
        <w:t>2.乙方提供的投标文件；</w:t>
      </w:r>
    </w:p>
    <w:p w14:paraId="07960894">
      <w:pPr>
        <w:rPr>
          <w:color w:val="auto"/>
          <w:highlight w:val="none"/>
        </w:rPr>
      </w:pPr>
      <w:r>
        <w:rPr>
          <w:rFonts w:hint="eastAsia"/>
          <w:color w:val="auto"/>
          <w:highlight w:val="none"/>
        </w:rPr>
        <w:t>3.投标承诺书；</w:t>
      </w:r>
    </w:p>
    <w:p w14:paraId="4BBADD24">
      <w:pPr>
        <w:rPr>
          <w:color w:val="auto"/>
          <w:highlight w:val="none"/>
        </w:rPr>
      </w:pPr>
      <w:r>
        <w:rPr>
          <w:rFonts w:hint="eastAsia"/>
          <w:color w:val="auto"/>
          <w:highlight w:val="none"/>
        </w:rPr>
        <w:t>4.中标通知书。</w:t>
      </w:r>
    </w:p>
    <w:p w14:paraId="7279FCBD">
      <w:pPr>
        <w:ind w:firstLine="422"/>
        <w:rPr>
          <w:color w:val="auto"/>
          <w:kern w:val="1"/>
          <w:highlight w:val="none"/>
        </w:rPr>
      </w:pPr>
      <w:r>
        <w:rPr>
          <w:rFonts w:hint="eastAsia"/>
          <w:b/>
          <w:color w:val="auto"/>
          <w:highlight w:val="none"/>
        </w:rPr>
        <w:t>第二十条</w:t>
      </w:r>
      <w:r>
        <w:rPr>
          <w:rFonts w:hint="eastAsia"/>
          <w:color w:val="auto"/>
          <w:highlight w:val="none"/>
          <w:lang w:eastAsia="ar-SA"/>
        </w:rPr>
        <w:t>本合同一式</w:t>
      </w:r>
      <w:r>
        <w:rPr>
          <w:rFonts w:hint="eastAsia"/>
          <w:color w:val="auto"/>
          <w:highlight w:val="none"/>
        </w:rPr>
        <w:t>4</w:t>
      </w:r>
      <w:r>
        <w:rPr>
          <w:rFonts w:hint="eastAsia"/>
          <w:color w:val="auto"/>
          <w:highlight w:val="none"/>
          <w:lang w:eastAsia="ar-SA"/>
        </w:rPr>
        <w:t>份，具有同等法律效力。甲方</w:t>
      </w:r>
      <w:r>
        <w:rPr>
          <w:rFonts w:hint="eastAsia"/>
          <w:color w:val="auto"/>
          <w:highlight w:val="none"/>
        </w:rPr>
        <w:t>2</w:t>
      </w:r>
      <w:r>
        <w:rPr>
          <w:rFonts w:hint="eastAsia"/>
          <w:color w:val="auto"/>
          <w:highlight w:val="none"/>
          <w:lang w:eastAsia="ar-SA"/>
        </w:rPr>
        <w:t>份，乙方</w:t>
      </w:r>
      <w:r>
        <w:rPr>
          <w:rFonts w:hint="eastAsia"/>
          <w:color w:val="auto"/>
          <w:highlight w:val="none"/>
        </w:rPr>
        <w:t>1</w:t>
      </w:r>
      <w:r>
        <w:rPr>
          <w:rFonts w:hint="eastAsia"/>
          <w:color w:val="auto"/>
          <w:highlight w:val="none"/>
          <w:lang w:eastAsia="ar-SA"/>
        </w:rPr>
        <w:t>份，采购代理机构</w:t>
      </w:r>
      <w:r>
        <w:rPr>
          <w:rFonts w:hint="eastAsia"/>
          <w:color w:val="auto"/>
          <w:highlight w:val="none"/>
        </w:rPr>
        <w:t>1</w:t>
      </w:r>
      <w:r>
        <w:rPr>
          <w:rFonts w:hint="eastAsia"/>
          <w:color w:val="auto"/>
          <w:highlight w:val="none"/>
          <w:lang w:eastAsia="ar-SA"/>
        </w:rPr>
        <w:t>份</w:t>
      </w:r>
      <w:r>
        <w:rPr>
          <w:rFonts w:hint="eastAsia"/>
          <w:color w:val="auto"/>
          <w:highlight w:val="none"/>
        </w:rPr>
        <w:t>，本合同经甲乙双方法定代表人（或负责人）或授权代表签字并加盖单位公章后生效</w:t>
      </w:r>
      <w:r>
        <w:rPr>
          <w:rFonts w:hint="eastAsia"/>
          <w:color w:val="auto"/>
          <w:highlight w:val="none"/>
          <w:lang w:eastAsia="ar-SA"/>
        </w:rPr>
        <w:t>。合同附件是合同的不可分割的组成部分，与合同具有同等法律效力。</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716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2B23285B">
            <w:pPr>
              <w:ind w:firstLine="0" w:firstLineChars="0"/>
              <w:rPr>
                <w:color w:val="auto"/>
                <w:highlight w:val="none"/>
              </w:rPr>
            </w:pPr>
            <w:r>
              <w:rPr>
                <w:rFonts w:hint="eastAsia"/>
                <w:color w:val="auto"/>
                <w:highlight w:val="none"/>
              </w:rPr>
              <w:t xml:space="preserve">甲方（章）          </w:t>
            </w:r>
          </w:p>
          <w:p w14:paraId="505F2477">
            <w:pPr>
              <w:ind w:firstLine="0" w:firstLineChars="0"/>
              <w:jc w:val="right"/>
              <w:rPr>
                <w:color w:val="auto"/>
                <w:highlight w:val="none"/>
              </w:rPr>
            </w:pPr>
            <w:r>
              <w:rPr>
                <w:rFonts w:hint="eastAsia"/>
                <w:color w:val="auto"/>
                <w:highlight w:val="none"/>
              </w:rPr>
              <w:t>年月日</w:t>
            </w:r>
          </w:p>
        </w:tc>
        <w:tc>
          <w:tcPr>
            <w:tcW w:w="4517" w:type="dxa"/>
            <w:tcBorders>
              <w:top w:val="single" w:color="auto" w:sz="4" w:space="0"/>
              <w:left w:val="single" w:color="auto" w:sz="4" w:space="0"/>
              <w:bottom w:val="single" w:color="auto" w:sz="4" w:space="0"/>
              <w:right w:val="single" w:color="auto" w:sz="4" w:space="0"/>
            </w:tcBorders>
            <w:vAlign w:val="center"/>
          </w:tcPr>
          <w:p w14:paraId="2753F673">
            <w:pPr>
              <w:ind w:firstLine="0" w:firstLineChars="0"/>
              <w:rPr>
                <w:color w:val="auto"/>
                <w:highlight w:val="none"/>
              </w:rPr>
            </w:pPr>
            <w:r>
              <w:rPr>
                <w:rFonts w:hint="eastAsia"/>
                <w:color w:val="auto"/>
                <w:highlight w:val="none"/>
              </w:rPr>
              <w:t xml:space="preserve">乙方（章）              </w:t>
            </w:r>
          </w:p>
          <w:p w14:paraId="3E5A6DB6">
            <w:pPr>
              <w:ind w:firstLine="0" w:firstLineChars="0"/>
              <w:jc w:val="right"/>
              <w:rPr>
                <w:color w:val="auto"/>
                <w:highlight w:val="none"/>
              </w:rPr>
            </w:pPr>
            <w:r>
              <w:rPr>
                <w:rFonts w:hint="eastAsia"/>
                <w:color w:val="auto"/>
                <w:highlight w:val="none"/>
              </w:rPr>
              <w:t>年月日</w:t>
            </w:r>
          </w:p>
        </w:tc>
      </w:tr>
      <w:tr w14:paraId="5CD3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270CA27A">
            <w:pPr>
              <w:ind w:firstLine="0" w:firstLineChars="0"/>
              <w:rPr>
                <w:color w:val="auto"/>
                <w:highlight w:val="none"/>
              </w:rPr>
            </w:pPr>
            <w:r>
              <w:rPr>
                <w:rFonts w:hint="eastAsia"/>
                <w:color w:val="auto"/>
                <w:highlight w:val="none"/>
              </w:rPr>
              <w:t>单位地址：</w:t>
            </w:r>
          </w:p>
        </w:tc>
        <w:tc>
          <w:tcPr>
            <w:tcW w:w="4517" w:type="dxa"/>
            <w:tcBorders>
              <w:top w:val="single" w:color="auto" w:sz="4" w:space="0"/>
              <w:left w:val="single" w:color="auto" w:sz="4" w:space="0"/>
              <w:bottom w:val="single" w:color="auto" w:sz="4" w:space="0"/>
              <w:right w:val="single" w:color="auto" w:sz="4" w:space="0"/>
            </w:tcBorders>
            <w:vAlign w:val="center"/>
          </w:tcPr>
          <w:p w14:paraId="2F979773">
            <w:pPr>
              <w:ind w:firstLine="0" w:firstLineChars="0"/>
              <w:rPr>
                <w:color w:val="auto"/>
                <w:highlight w:val="none"/>
              </w:rPr>
            </w:pPr>
            <w:r>
              <w:rPr>
                <w:rFonts w:hint="eastAsia"/>
                <w:color w:val="auto"/>
                <w:highlight w:val="none"/>
              </w:rPr>
              <w:t>单位地址：</w:t>
            </w:r>
          </w:p>
        </w:tc>
      </w:tr>
      <w:tr w14:paraId="6E81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08A90E89">
            <w:pPr>
              <w:ind w:firstLine="0" w:firstLineChars="0"/>
              <w:rPr>
                <w:color w:val="auto"/>
                <w:highlight w:val="none"/>
              </w:rPr>
            </w:pPr>
            <w:r>
              <w:rPr>
                <w:rFonts w:hint="eastAsia"/>
                <w:color w:val="auto"/>
                <w:highlight w:val="none"/>
              </w:rPr>
              <w:t>法定代表人或授权代表：</w:t>
            </w:r>
          </w:p>
        </w:tc>
        <w:tc>
          <w:tcPr>
            <w:tcW w:w="4517" w:type="dxa"/>
            <w:tcBorders>
              <w:top w:val="single" w:color="auto" w:sz="4" w:space="0"/>
              <w:left w:val="single" w:color="auto" w:sz="4" w:space="0"/>
              <w:bottom w:val="single" w:color="auto" w:sz="4" w:space="0"/>
              <w:right w:val="single" w:color="auto" w:sz="4" w:space="0"/>
            </w:tcBorders>
            <w:vAlign w:val="center"/>
          </w:tcPr>
          <w:p w14:paraId="68BCDE65">
            <w:pPr>
              <w:ind w:firstLine="0" w:firstLineChars="0"/>
              <w:rPr>
                <w:color w:val="auto"/>
                <w:highlight w:val="none"/>
              </w:rPr>
            </w:pPr>
            <w:r>
              <w:rPr>
                <w:rFonts w:hint="eastAsia"/>
                <w:color w:val="auto"/>
                <w:highlight w:val="none"/>
              </w:rPr>
              <w:t>法定代表人或授权代表：</w:t>
            </w:r>
          </w:p>
        </w:tc>
      </w:tr>
      <w:tr w14:paraId="5C06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7D5BA559">
            <w:pPr>
              <w:ind w:firstLine="0" w:firstLineChars="0"/>
              <w:rPr>
                <w:color w:val="auto"/>
                <w:highlight w:val="none"/>
              </w:rPr>
            </w:pPr>
            <w:r>
              <w:rPr>
                <w:rFonts w:hint="eastAsia"/>
                <w:color w:val="auto"/>
                <w:highlight w:val="none"/>
              </w:rPr>
              <w:t>委托代理人：</w:t>
            </w:r>
          </w:p>
        </w:tc>
        <w:tc>
          <w:tcPr>
            <w:tcW w:w="4517" w:type="dxa"/>
            <w:tcBorders>
              <w:top w:val="single" w:color="auto" w:sz="4" w:space="0"/>
              <w:left w:val="single" w:color="auto" w:sz="4" w:space="0"/>
              <w:bottom w:val="single" w:color="auto" w:sz="4" w:space="0"/>
              <w:right w:val="single" w:color="auto" w:sz="4" w:space="0"/>
            </w:tcBorders>
            <w:vAlign w:val="center"/>
          </w:tcPr>
          <w:p w14:paraId="43C7F5D7">
            <w:pPr>
              <w:ind w:firstLine="0" w:firstLineChars="0"/>
              <w:rPr>
                <w:color w:val="auto"/>
                <w:highlight w:val="none"/>
              </w:rPr>
            </w:pPr>
            <w:r>
              <w:rPr>
                <w:rFonts w:hint="eastAsia"/>
                <w:color w:val="auto"/>
                <w:highlight w:val="none"/>
              </w:rPr>
              <w:t>委托代理人：</w:t>
            </w:r>
          </w:p>
        </w:tc>
      </w:tr>
      <w:tr w14:paraId="3560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16CF898A">
            <w:pPr>
              <w:ind w:firstLine="0" w:firstLineChars="0"/>
              <w:rPr>
                <w:color w:val="auto"/>
                <w:highlight w:val="none"/>
              </w:rPr>
            </w:pPr>
            <w:r>
              <w:rPr>
                <w:rFonts w:hint="eastAsia"/>
                <w:color w:val="auto"/>
                <w:highlight w:val="none"/>
              </w:rPr>
              <w:t>联系人及电话：</w:t>
            </w:r>
          </w:p>
        </w:tc>
        <w:tc>
          <w:tcPr>
            <w:tcW w:w="4517" w:type="dxa"/>
            <w:tcBorders>
              <w:top w:val="single" w:color="auto" w:sz="4" w:space="0"/>
              <w:left w:val="single" w:color="auto" w:sz="4" w:space="0"/>
              <w:bottom w:val="single" w:color="auto" w:sz="4" w:space="0"/>
              <w:right w:val="single" w:color="auto" w:sz="4" w:space="0"/>
            </w:tcBorders>
            <w:vAlign w:val="center"/>
          </w:tcPr>
          <w:p w14:paraId="4D9146CC">
            <w:pPr>
              <w:ind w:firstLine="0" w:firstLineChars="0"/>
              <w:rPr>
                <w:color w:val="auto"/>
                <w:highlight w:val="none"/>
              </w:rPr>
            </w:pPr>
            <w:r>
              <w:rPr>
                <w:rFonts w:hint="eastAsia"/>
                <w:color w:val="auto"/>
                <w:highlight w:val="none"/>
              </w:rPr>
              <w:t>联系人及电话：</w:t>
            </w:r>
          </w:p>
        </w:tc>
      </w:tr>
      <w:tr w14:paraId="1870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6E1B5A24">
            <w:pPr>
              <w:ind w:firstLine="0" w:firstLineChars="0"/>
              <w:rPr>
                <w:color w:val="auto"/>
                <w:highlight w:val="none"/>
              </w:rPr>
            </w:pPr>
            <w:r>
              <w:rPr>
                <w:rFonts w:hint="eastAsia"/>
                <w:color w:val="auto"/>
                <w:highlight w:val="none"/>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14:paraId="7D25AF6E">
            <w:pPr>
              <w:ind w:firstLine="0" w:firstLineChars="0"/>
              <w:rPr>
                <w:color w:val="auto"/>
                <w:highlight w:val="none"/>
              </w:rPr>
            </w:pPr>
            <w:r>
              <w:rPr>
                <w:rFonts w:hint="eastAsia"/>
                <w:color w:val="auto"/>
                <w:highlight w:val="none"/>
              </w:rPr>
              <w:t>电子邮箱：</w:t>
            </w:r>
          </w:p>
        </w:tc>
      </w:tr>
      <w:tr w14:paraId="4338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04B84464">
            <w:pPr>
              <w:ind w:firstLine="0" w:firstLineChars="0"/>
              <w:rPr>
                <w:color w:val="auto"/>
                <w:highlight w:val="none"/>
              </w:rPr>
            </w:pPr>
            <w:r>
              <w:rPr>
                <w:rFonts w:hint="eastAsia"/>
                <w:color w:val="auto"/>
                <w:highlight w:val="none"/>
              </w:rPr>
              <w:t>开户银行：</w:t>
            </w:r>
          </w:p>
        </w:tc>
        <w:tc>
          <w:tcPr>
            <w:tcW w:w="4517" w:type="dxa"/>
            <w:tcBorders>
              <w:top w:val="single" w:color="auto" w:sz="4" w:space="0"/>
              <w:left w:val="single" w:color="auto" w:sz="4" w:space="0"/>
              <w:bottom w:val="single" w:color="auto" w:sz="4" w:space="0"/>
              <w:right w:val="single" w:color="auto" w:sz="4" w:space="0"/>
            </w:tcBorders>
            <w:vAlign w:val="center"/>
          </w:tcPr>
          <w:p w14:paraId="5DB44D27">
            <w:pPr>
              <w:ind w:firstLine="0" w:firstLineChars="0"/>
              <w:rPr>
                <w:color w:val="auto"/>
                <w:highlight w:val="none"/>
              </w:rPr>
            </w:pPr>
            <w:r>
              <w:rPr>
                <w:rFonts w:hint="eastAsia"/>
                <w:color w:val="auto"/>
                <w:highlight w:val="none"/>
              </w:rPr>
              <w:t>开户银行：</w:t>
            </w:r>
          </w:p>
        </w:tc>
      </w:tr>
      <w:tr w14:paraId="1B0A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01A466DD">
            <w:pPr>
              <w:ind w:firstLine="0" w:firstLineChars="0"/>
              <w:rPr>
                <w:color w:val="auto"/>
                <w:highlight w:val="none"/>
              </w:rPr>
            </w:pPr>
            <w:r>
              <w:rPr>
                <w:rFonts w:hint="eastAsia"/>
                <w:color w:val="auto"/>
                <w:highlight w:val="none"/>
              </w:rPr>
              <w:t>账号：</w:t>
            </w:r>
          </w:p>
        </w:tc>
        <w:tc>
          <w:tcPr>
            <w:tcW w:w="4517" w:type="dxa"/>
            <w:tcBorders>
              <w:top w:val="single" w:color="auto" w:sz="4" w:space="0"/>
              <w:left w:val="single" w:color="auto" w:sz="4" w:space="0"/>
              <w:bottom w:val="single" w:color="auto" w:sz="4" w:space="0"/>
              <w:right w:val="single" w:color="auto" w:sz="4" w:space="0"/>
            </w:tcBorders>
            <w:vAlign w:val="center"/>
          </w:tcPr>
          <w:p w14:paraId="26C8AB2D">
            <w:pPr>
              <w:ind w:firstLine="0" w:firstLineChars="0"/>
              <w:rPr>
                <w:color w:val="auto"/>
                <w:highlight w:val="none"/>
              </w:rPr>
            </w:pPr>
            <w:r>
              <w:rPr>
                <w:rFonts w:hint="eastAsia"/>
                <w:color w:val="auto"/>
                <w:highlight w:val="none"/>
              </w:rPr>
              <w:t>账号：</w:t>
            </w:r>
          </w:p>
        </w:tc>
      </w:tr>
      <w:tr w14:paraId="0802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64BA7AF1">
            <w:pPr>
              <w:ind w:firstLine="0" w:firstLineChars="0"/>
              <w:rPr>
                <w:color w:val="auto"/>
                <w:highlight w:val="none"/>
              </w:rPr>
            </w:pPr>
            <w:r>
              <w:rPr>
                <w:rFonts w:hint="eastAsia"/>
                <w:color w:val="auto"/>
                <w:highlight w:val="none"/>
              </w:rPr>
              <w:t>邮政编码：</w:t>
            </w:r>
          </w:p>
        </w:tc>
        <w:tc>
          <w:tcPr>
            <w:tcW w:w="4517" w:type="dxa"/>
            <w:tcBorders>
              <w:top w:val="single" w:color="auto" w:sz="4" w:space="0"/>
              <w:left w:val="single" w:color="auto" w:sz="4" w:space="0"/>
              <w:bottom w:val="single" w:color="auto" w:sz="4" w:space="0"/>
              <w:right w:val="single" w:color="auto" w:sz="4" w:space="0"/>
            </w:tcBorders>
            <w:vAlign w:val="center"/>
          </w:tcPr>
          <w:p w14:paraId="3BB54CB8">
            <w:pPr>
              <w:ind w:firstLine="0" w:firstLineChars="0"/>
              <w:rPr>
                <w:color w:val="auto"/>
                <w:highlight w:val="none"/>
              </w:rPr>
            </w:pPr>
            <w:r>
              <w:rPr>
                <w:rFonts w:hint="eastAsia"/>
                <w:color w:val="auto"/>
                <w:highlight w:val="none"/>
              </w:rPr>
              <w:t>邮政编码：</w:t>
            </w:r>
          </w:p>
        </w:tc>
      </w:tr>
      <w:tr w14:paraId="495A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60AAEFF6">
            <w:pPr>
              <w:ind w:firstLine="0" w:firstLineChars="0"/>
              <w:rPr>
                <w:color w:val="auto"/>
                <w:highlight w:val="none"/>
              </w:rPr>
            </w:pPr>
            <w:r>
              <w:rPr>
                <w:rFonts w:hint="eastAsia"/>
                <w:color w:val="auto"/>
                <w:highlight w:val="none"/>
              </w:rPr>
              <w:t>社会统一信用代码证：</w:t>
            </w:r>
          </w:p>
          <w:p w14:paraId="23C66356">
            <w:pPr>
              <w:ind w:firstLine="0" w:firstLineChars="0"/>
              <w:rPr>
                <w:color w:val="auto"/>
                <w:highlight w:val="none"/>
              </w:rPr>
            </w:pPr>
          </w:p>
        </w:tc>
        <w:tc>
          <w:tcPr>
            <w:tcW w:w="4517" w:type="dxa"/>
            <w:tcBorders>
              <w:top w:val="single" w:color="auto" w:sz="4" w:space="0"/>
              <w:left w:val="single" w:color="auto" w:sz="4" w:space="0"/>
              <w:bottom w:val="single" w:color="auto" w:sz="4" w:space="0"/>
              <w:right w:val="single" w:color="auto" w:sz="4" w:space="0"/>
            </w:tcBorders>
            <w:vAlign w:val="center"/>
          </w:tcPr>
          <w:p w14:paraId="53F26FD6">
            <w:pPr>
              <w:ind w:firstLine="0" w:firstLineChars="0"/>
              <w:rPr>
                <w:color w:val="auto"/>
                <w:highlight w:val="none"/>
              </w:rPr>
            </w:pPr>
            <w:r>
              <w:rPr>
                <w:rFonts w:hint="eastAsia"/>
                <w:color w:val="auto"/>
                <w:highlight w:val="none"/>
              </w:rPr>
              <w:t>社会统一信用代码证：</w:t>
            </w:r>
          </w:p>
          <w:p w14:paraId="534F6676">
            <w:pPr>
              <w:ind w:firstLine="0" w:firstLineChars="0"/>
              <w:rPr>
                <w:color w:val="auto"/>
                <w:highlight w:val="none"/>
              </w:rPr>
            </w:pPr>
          </w:p>
        </w:tc>
      </w:tr>
      <w:tr w14:paraId="7F47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33" w:type="dxa"/>
            <w:gridSpan w:val="2"/>
            <w:tcBorders>
              <w:top w:val="single" w:color="auto" w:sz="4" w:space="0"/>
              <w:left w:val="single" w:color="auto" w:sz="4" w:space="0"/>
              <w:bottom w:val="single" w:color="auto" w:sz="4" w:space="0"/>
              <w:right w:val="single" w:color="auto" w:sz="4" w:space="0"/>
            </w:tcBorders>
          </w:tcPr>
          <w:p w14:paraId="3AE7BF0C">
            <w:pPr>
              <w:rPr>
                <w:color w:val="auto"/>
                <w:highlight w:val="none"/>
              </w:rPr>
            </w:pPr>
            <w:r>
              <w:rPr>
                <w:rFonts w:hint="eastAsia"/>
                <w:color w:val="auto"/>
                <w:highlight w:val="none"/>
              </w:rPr>
              <w:t>经办人：                                              年   月  日</w:t>
            </w:r>
          </w:p>
        </w:tc>
      </w:tr>
    </w:tbl>
    <w:p w14:paraId="73C90473">
      <w:pPr>
        <w:rPr>
          <w:color w:val="auto"/>
          <w:kern w:val="1"/>
          <w:highlight w:val="none"/>
        </w:rPr>
      </w:pPr>
    </w:p>
    <w:p w14:paraId="3FAF0CD8">
      <w:pPr>
        <w:rPr>
          <w:color w:val="auto"/>
          <w:highlight w:val="none"/>
        </w:rPr>
      </w:pPr>
      <w:r>
        <w:rPr>
          <w:color w:val="auto"/>
          <w:highlight w:val="none"/>
        </w:rPr>
        <w:br w:type="page"/>
      </w:r>
    </w:p>
    <w:bookmarkEnd w:id="140"/>
    <w:p w14:paraId="499A1F22">
      <w:pPr>
        <w:rPr>
          <w:color w:val="auto"/>
          <w:highlight w:val="none"/>
        </w:rPr>
      </w:pPr>
    </w:p>
    <w:p w14:paraId="150FA064">
      <w:pPr>
        <w:pStyle w:val="3"/>
        <w:ind w:firstLine="643"/>
        <w:jc w:val="center"/>
        <w:rPr>
          <w:color w:val="auto"/>
          <w:highlight w:val="none"/>
        </w:rPr>
      </w:pPr>
      <w:bookmarkStart w:id="141" w:name="_Toc10000"/>
      <w:r>
        <w:rPr>
          <w:rFonts w:hint="eastAsia"/>
          <w:color w:val="auto"/>
          <w:highlight w:val="none"/>
        </w:rPr>
        <w:t>第六章　投标文件格式</w:t>
      </w:r>
      <w:bookmarkEnd w:id="141"/>
    </w:p>
    <w:p w14:paraId="28734CEC">
      <w:pPr>
        <w:rPr>
          <w:b/>
          <w:bCs/>
          <w:color w:val="auto"/>
          <w:highlight w:val="none"/>
        </w:rPr>
      </w:pPr>
      <w:bookmarkStart w:id="142" w:name="_Toc19686836"/>
      <w:bookmarkStart w:id="143" w:name="_Toc254970557"/>
      <w:bookmarkStart w:id="144" w:name="_Toc254970698"/>
      <w:r>
        <w:rPr>
          <w:rFonts w:hint="eastAsia"/>
          <w:b/>
          <w:bCs/>
          <w:color w:val="auto"/>
          <w:highlight w:val="none"/>
        </w:rPr>
        <w:t>一、报价文件格式</w:t>
      </w:r>
      <w:bookmarkEnd w:id="142"/>
    </w:p>
    <w:p w14:paraId="15EE4824">
      <w:pPr>
        <w:rPr>
          <w:rFonts w:hint="eastAsia"/>
          <w:color w:val="auto"/>
          <w:highlight w:val="none"/>
        </w:rPr>
      </w:pPr>
    </w:p>
    <w:p w14:paraId="7A787D23">
      <w:pPr>
        <w:rPr>
          <w:color w:val="auto"/>
          <w:highlight w:val="none"/>
        </w:rPr>
      </w:pPr>
      <w:r>
        <w:rPr>
          <w:rFonts w:hint="eastAsia"/>
          <w:color w:val="auto"/>
          <w:highlight w:val="none"/>
          <w:lang w:val="en-US" w:eastAsia="zh-CN"/>
        </w:rPr>
        <w:t xml:space="preserve"> </w:t>
      </w:r>
      <w:r>
        <w:rPr>
          <w:rFonts w:hint="eastAsia"/>
          <w:color w:val="auto"/>
          <w:highlight w:val="none"/>
        </w:rPr>
        <w:t xml:space="preserve">报价文件封面格式： </w:t>
      </w:r>
    </w:p>
    <w:p w14:paraId="446CE6B3">
      <w:pPr>
        <w:ind w:firstLine="560"/>
        <w:jc w:val="center"/>
        <w:rPr>
          <w:color w:val="auto"/>
          <w:sz w:val="28"/>
          <w:szCs w:val="28"/>
          <w:highlight w:val="none"/>
        </w:rPr>
      </w:pPr>
      <w:r>
        <w:rPr>
          <w:rFonts w:hint="eastAsia"/>
          <w:color w:val="auto"/>
          <w:sz w:val="28"/>
          <w:szCs w:val="28"/>
          <w:highlight w:val="none"/>
        </w:rPr>
        <w:t>电子投标文件</w:t>
      </w:r>
    </w:p>
    <w:p w14:paraId="3C41CB1B">
      <w:pPr>
        <w:jc w:val="center"/>
        <w:rPr>
          <w:color w:val="auto"/>
          <w:highlight w:val="none"/>
        </w:rPr>
      </w:pPr>
    </w:p>
    <w:p w14:paraId="62E0CE11">
      <w:pPr>
        <w:ind w:firstLine="560"/>
        <w:jc w:val="center"/>
        <w:rPr>
          <w:color w:val="auto"/>
          <w:sz w:val="28"/>
          <w:szCs w:val="28"/>
          <w:highlight w:val="none"/>
        </w:rPr>
      </w:pPr>
      <w:r>
        <w:rPr>
          <w:rFonts w:hint="eastAsia"/>
          <w:color w:val="auto"/>
          <w:sz w:val="28"/>
          <w:szCs w:val="28"/>
          <w:highlight w:val="none"/>
        </w:rPr>
        <w:t>报  价  文  件</w:t>
      </w:r>
    </w:p>
    <w:p w14:paraId="056BB14A">
      <w:pPr>
        <w:rPr>
          <w:color w:val="auto"/>
          <w:highlight w:val="none"/>
        </w:rPr>
      </w:pPr>
    </w:p>
    <w:p w14:paraId="1CACD74C">
      <w:pPr>
        <w:rPr>
          <w:color w:val="auto"/>
          <w:highlight w:val="none"/>
        </w:rPr>
      </w:pPr>
    </w:p>
    <w:p w14:paraId="2A1FF17B">
      <w:pPr>
        <w:rPr>
          <w:color w:val="auto"/>
          <w:highlight w:val="none"/>
        </w:rPr>
      </w:pPr>
    </w:p>
    <w:p w14:paraId="050192FA">
      <w:pPr>
        <w:rPr>
          <w:color w:val="auto"/>
          <w:highlight w:val="none"/>
        </w:rPr>
      </w:pPr>
      <w:r>
        <w:rPr>
          <w:rFonts w:hint="eastAsia"/>
          <w:color w:val="auto"/>
          <w:highlight w:val="none"/>
        </w:rPr>
        <w:t xml:space="preserve">项目名称： </w:t>
      </w:r>
    </w:p>
    <w:p w14:paraId="4F611FE7">
      <w:pPr>
        <w:rPr>
          <w:color w:val="auto"/>
          <w:highlight w:val="none"/>
        </w:rPr>
      </w:pPr>
    </w:p>
    <w:p w14:paraId="1342A985">
      <w:pPr>
        <w:rPr>
          <w:color w:val="auto"/>
          <w:highlight w:val="none"/>
        </w:rPr>
      </w:pPr>
      <w:r>
        <w:rPr>
          <w:rFonts w:hint="eastAsia"/>
          <w:color w:val="auto"/>
          <w:highlight w:val="none"/>
        </w:rPr>
        <w:t xml:space="preserve">项目编号： </w:t>
      </w:r>
    </w:p>
    <w:p w14:paraId="560720CA">
      <w:pPr>
        <w:rPr>
          <w:color w:val="auto"/>
          <w:highlight w:val="none"/>
        </w:rPr>
      </w:pPr>
    </w:p>
    <w:p w14:paraId="60980252">
      <w:pPr>
        <w:rPr>
          <w:color w:val="auto"/>
          <w:highlight w:val="none"/>
        </w:rPr>
      </w:pPr>
      <w:r>
        <w:rPr>
          <w:rFonts w:hint="eastAsia"/>
          <w:color w:val="auto"/>
          <w:highlight w:val="none"/>
        </w:rPr>
        <w:t>所投分标：无，则写“/”</w:t>
      </w:r>
    </w:p>
    <w:p w14:paraId="71A1C577">
      <w:pPr>
        <w:rPr>
          <w:color w:val="auto"/>
          <w:highlight w:val="none"/>
        </w:rPr>
      </w:pPr>
    </w:p>
    <w:p w14:paraId="4CFD1AE9">
      <w:pPr>
        <w:rPr>
          <w:color w:val="auto"/>
          <w:highlight w:val="none"/>
        </w:rPr>
      </w:pPr>
      <w:r>
        <w:rPr>
          <w:rFonts w:hint="eastAsia"/>
          <w:color w:val="auto"/>
          <w:highlight w:val="none"/>
        </w:rPr>
        <w:t>投标人名称：</w:t>
      </w:r>
    </w:p>
    <w:p w14:paraId="69BD3675">
      <w:pPr>
        <w:rPr>
          <w:color w:val="auto"/>
          <w:highlight w:val="none"/>
        </w:rPr>
      </w:pPr>
    </w:p>
    <w:p w14:paraId="1DA29F02">
      <w:pPr>
        <w:rPr>
          <w:color w:val="auto"/>
          <w:highlight w:val="none"/>
        </w:rPr>
      </w:pPr>
      <w:r>
        <w:rPr>
          <w:rFonts w:hint="eastAsia"/>
          <w:color w:val="auto"/>
          <w:highlight w:val="none"/>
        </w:rPr>
        <w:t>投标人地址：</w:t>
      </w:r>
    </w:p>
    <w:p w14:paraId="33B70ACC">
      <w:pPr>
        <w:rPr>
          <w:color w:val="auto"/>
          <w:highlight w:val="none"/>
        </w:rPr>
      </w:pPr>
    </w:p>
    <w:p w14:paraId="3DD2CD3D">
      <w:pPr>
        <w:rPr>
          <w:color w:val="auto"/>
          <w:sz w:val="30"/>
          <w:szCs w:val="20"/>
          <w:highlight w:val="none"/>
        </w:rPr>
      </w:pPr>
      <w:r>
        <w:rPr>
          <w:rFonts w:hint="eastAsia"/>
          <w:color w:val="auto"/>
          <w:highlight w:val="none"/>
        </w:rPr>
        <w:t xml:space="preserve">                                   </w:t>
      </w:r>
      <w:r>
        <w:rPr>
          <w:rFonts w:hint="eastAsia" w:cs="FangSong_GB2312" w:asciiTheme="minorEastAsia" w:hAnsiTheme="minorEastAsia" w:eastAsiaTheme="minorEastAsia"/>
          <w:color w:val="auto"/>
          <w:szCs w:val="21"/>
          <w:highlight w:val="none"/>
          <w:lang w:eastAsia="zh-CN"/>
        </w:rPr>
        <w:t>日期：</w:t>
      </w:r>
      <w:r>
        <w:rPr>
          <w:rFonts w:hint="eastAsia" w:cs="FangSong_GB2312" w:asciiTheme="minorEastAsia" w:hAnsiTheme="minorEastAsia" w:eastAsiaTheme="minorEastAsia"/>
          <w:color w:val="auto"/>
          <w:szCs w:val="21"/>
          <w:highlight w:val="none"/>
          <w:lang w:val="en-US" w:eastAsia="zh-CN"/>
        </w:rPr>
        <w:t xml:space="preserve">  </w:t>
      </w:r>
      <w:r>
        <w:rPr>
          <w:rFonts w:hint="eastAsia" w:cs="FangSong_GB2312" w:asciiTheme="minorEastAsia" w:hAnsiTheme="minorEastAsia" w:eastAsiaTheme="minorEastAsia"/>
          <w:color w:val="auto"/>
          <w:szCs w:val="21"/>
          <w:highlight w:val="none"/>
        </w:rPr>
        <w:t>年  月  日</w:t>
      </w:r>
    </w:p>
    <w:p w14:paraId="24C8CD04">
      <w:pPr>
        <w:rPr>
          <w:color w:val="auto"/>
          <w:szCs w:val="20"/>
          <w:highlight w:val="none"/>
        </w:rPr>
      </w:pPr>
      <w:r>
        <w:rPr>
          <w:color w:val="auto"/>
          <w:highlight w:val="none"/>
        </w:rPr>
        <w:br w:type="page"/>
      </w:r>
      <w:r>
        <w:rPr>
          <w:rFonts w:hint="eastAsia"/>
          <w:color w:val="auto"/>
          <w:highlight w:val="none"/>
          <w:lang w:val="en-US" w:eastAsia="zh-CN"/>
        </w:rPr>
        <w:t xml:space="preserve"> </w:t>
      </w:r>
      <w:r>
        <w:rPr>
          <w:rFonts w:hint="eastAsia"/>
          <w:color w:val="auto"/>
          <w:highlight w:val="none"/>
        </w:rPr>
        <w:t>报价文件目录</w:t>
      </w:r>
    </w:p>
    <w:p w14:paraId="5BD3EC8F">
      <w:pPr>
        <w:rPr>
          <w:b/>
          <w:color w:val="auto"/>
          <w:sz w:val="24"/>
          <w:szCs w:val="24"/>
          <w:highlight w:val="none"/>
        </w:rPr>
      </w:pPr>
      <w:r>
        <w:rPr>
          <w:rFonts w:hint="eastAsia"/>
          <w:color w:val="auto"/>
          <w:highlight w:val="none"/>
        </w:rPr>
        <w:t>根据招标文件规定及投标人提供的材料自行编写目录。</w:t>
      </w:r>
    </w:p>
    <w:p w14:paraId="4625AF63">
      <w:pPr>
        <w:rPr>
          <w:color w:val="auto"/>
          <w:highlight w:val="none"/>
        </w:rPr>
      </w:pPr>
    </w:p>
    <w:p w14:paraId="0FF180C3">
      <w:pPr>
        <w:rPr>
          <w:color w:val="auto"/>
          <w:highlight w:val="none"/>
        </w:rPr>
      </w:pPr>
    </w:p>
    <w:p w14:paraId="6E7AE13E">
      <w:pPr>
        <w:rPr>
          <w:color w:val="auto"/>
          <w:highlight w:val="none"/>
        </w:rPr>
      </w:pPr>
    </w:p>
    <w:p w14:paraId="3757E0DE">
      <w:pPr>
        <w:rPr>
          <w:color w:val="auto"/>
          <w:highlight w:val="none"/>
        </w:rPr>
      </w:pPr>
      <w:r>
        <w:rPr>
          <w:color w:val="auto"/>
          <w:highlight w:val="none"/>
        </w:rPr>
        <w:br w:type="page"/>
      </w:r>
      <w:r>
        <w:rPr>
          <w:rFonts w:hint="eastAsia"/>
          <w:color w:val="auto"/>
          <w:highlight w:val="none"/>
          <w:lang w:val="en-US" w:eastAsia="zh-CN"/>
        </w:rPr>
        <w:t>1</w:t>
      </w:r>
      <w:r>
        <w:rPr>
          <w:rFonts w:hint="eastAsia"/>
          <w:color w:val="auto"/>
          <w:highlight w:val="none"/>
        </w:rPr>
        <w:t>.投标函格式：</w:t>
      </w:r>
    </w:p>
    <w:p w14:paraId="10704C0D">
      <w:pPr>
        <w:ind w:firstLine="560"/>
        <w:jc w:val="center"/>
        <w:rPr>
          <w:color w:val="auto"/>
          <w:sz w:val="28"/>
          <w:szCs w:val="28"/>
          <w:highlight w:val="none"/>
        </w:rPr>
      </w:pPr>
      <w:r>
        <w:rPr>
          <w:rFonts w:hint="eastAsia"/>
          <w:color w:val="auto"/>
          <w:sz w:val="28"/>
          <w:szCs w:val="28"/>
          <w:highlight w:val="none"/>
        </w:rPr>
        <w:t>投 标 函</w:t>
      </w:r>
    </w:p>
    <w:p w14:paraId="6321B6FF">
      <w:pPr>
        <w:rPr>
          <w:color w:val="auto"/>
          <w:highlight w:val="none"/>
        </w:rPr>
      </w:pPr>
    </w:p>
    <w:p w14:paraId="4D659EDC">
      <w:pPr>
        <w:rPr>
          <w:color w:val="auto"/>
          <w:highlight w:val="none"/>
        </w:rPr>
      </w:pPr>
      <w:r>
        <w:rPr>
          <w:rFonts w:hint="eastAsia"/>
          <w:color w:val="auto"/>
          <w:highlight w:val="none"/>
        </w:rPr>
        <w:t>致：采购人名称：</w:t>
      </w:r>
    </w:p>
    <w:p w14:paraId="1F33BF59">
      <w:pPr>
        <w:rPr>
          <w:color w:val="auto"/>
          <w:highlight w:val="none"/>
        </w:rPr>
      </w:pPr>
      <w:r>
        <w:rPr>
          <w:rFonts w:hint="eastAsia"/>
          <w:color w:val="auto"/>
          <w:highlight w:val="none"/>
        </w:rPr>
        <w:t>根据贵方</w:t>
      </w:r>
      <w:r>
        <w:rPr>
          <w:rFonts w:hint="eastAsia"/>
          <w:color w:val="auto"/>
          <w:highlight w:val="none"/>
          <w:u w:val="single"/>
        </w:rPr>
        <w:t xml:space="preserve"> 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）的招标公告，签字代表______</w:t>
      </w:r>
      <w:r>
        <w:rPr>
          <w:rFonts w:hint="eastAsia"/>
          <w:color w:val="auto"/>
          <w:highlight w:val="none"/>
          <w:u w:val="single"/>
        </w:rPr>
        <w:t xml:space="preserve">     </w:t>
      </w:r>
      <w:r>
        <w:rPr>
          <w:rFonts w:hint="eastAsia"/>
          <w:color w:val="auto"/>
          <w:highlight w:val="none"/>
        </w:rPr>
        <w:t>（姓名）经正式授权并代表投标人</w:t>
      </w:r>
      <w:r>
        <w:rPr>
          <w:rFonts w:hint="eastAsia"/>
          <w:color w:val="auto"/>
          <w:highlight w:val="none"/>
          <w:u w:val="single"/>
        </w:rPr>
        <w:t xml:space="preserve">                 </w:t>
      </w:r>
      <w:r>
        <w:rPr>
          <w:rFonts w:hint="eastAsia"/>
          <w:color w:val="auto"/>
          <w:highlight w:val="none"/>
        </w:rPr>
        <w:t>（投标人名称）提交投标文件。</w:t>
      </w:r>
    </w:p>
    <w:p w14:paraId="48D1B45A">
      <w:pPr>
        <w:rPr>
          <w:color w:val="auto"/>
          <w:highlight w:val="none"/>
        </w:rPr>
      </w:pPr>
      <w:r>
        <w:rPr>
          <w:rFonts w:hint="eastAsia"/>
          <w:color w:val="auto"/>
          <w:highlight w:val="none"/>
        </w:rPr>
        <w:t>据此函，我方宣布同意如下：</w:t>
      </w:r>
    </w:p>
    <w:p w14:paraId="6BFE049C">
      <w:pPr>
        <w:rPr>
          <w:color w:val="auto"/>
          <w:highlight w:val="none"/>
        </w:rPr>
      </w:pPr>
      <w:r>
        <w:rPr>
          <w:rFonts w:hint="eastAsia"/>
          <w:color w:val="auto"/>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7CBA994D">
      <w:pPr>
        <w:rPr>
          <w:color w:val="auto"/>
          <w:highlight w:val="none"/>
        </w:rPr>
      </w:pPr>
      <w:r>
        <w:rPr>
          <w:rFonts w:hint="eastAsia"/>
          <w:color w:val="auto"/>
          <w:highlight w:val="none"/>
        </w:rPr>
        <w:t>2.我方在投标之前已经完全理解并接受招标文件的各项规定和要求，对招标文件的合理性、合法性不再有异议。</w:t>
      </w:r>
    </w:p>
    <w:p w14:paraId="67D9CB35">
      <w:pPr>
        <w:rPr>
          <w:color w:val="auto"/>
          <w:highlight w:val="none"/>
        </w:rPr>
      </w:pPr>
      <w:r>
        <w:rPr>
          <w:rFonts w:hint="eastAsia"/>
          <w:color w:val="auto"/>
          <w:highlight w:val="none"/>
        </w:rPr>
        <w:t>3.本投标有效期自投标截止之日起</w:t>
      </w:r>
      <w:r>
        <w:rPr>
          <w:color w:val="auto"/>
          <w:highlight w:val="none"/>
          <w:u w:val="single"/>
        </w:rPr>
        <w:t xml:space="preserve">    </w:t>
      </w:r>
      <w:r>
        <w:rPr>
          <w:rFonts w:hint="eastAsia"/>
          <w:color w:val="auto"/>
          <w:highlight w:val="none"/>
        </w:rPr>
        <w:t>日。</w:t>
      </w:r>
    </w:p>
    <w:p w14:paraId="4D08CB5A">
      <w:pPr>
        <w:rPr>
          <w:color w:val="auto"/>
          <w:highlight w:val="none"/>
        </w:rPr>
      </w:pPr>
      <w:r>
        <w:rPr>
          <w:rFonts w:hint="eastAsia"/>
          <w:color w:val="auto"/>
          <w:highlight w:val="none"/>
        </w:rPr>
        <w:t>4.如中标，本投标文件至本项目合同履行完毕止均保持有效，我方将按“招标文件”及政府采购法律、法规的规定履行合同责任和义务。</w:t>
      </w:r>
    </w:p>
    <w:p w14:paraId="69A9DAD7">
      <w:pPr>
        <w:rPr>
          <w:color w:val="auto"/>
          <w:highlight w:val="none"/>
        </w:rPr>
      </w:pPr>
      <w:r>
        <w:rPr>
          <w:rFonts w:hint="eastAsia"/>
          <w:color w:val="auto"/>
          <w:highlight w:val="none"/>
        </w:rPr>
        <w:t>5.我方同意按照贵方要求提供与投标有关的一切数据或者资料。</w:t>
      </w:r>
    </w:p>
    <w:p w14:paraId="21BD3683">
      <w:pPr>
        <w:rPr>
          <w:color w:val="auto"/>
          <w:highlight w:val="none"/>
        </w:rPr>
      </w:pPr>
      <w:r>
        <w:rPr>
          <w:rFonts w:hint="eastAsia"/>
          <w:color w:val="auto"/>
          <w:highlight w:val="none"/>
        </w:rPr>
        <w:t>6.我方向贵方提交的所有投标文件、资料都是准确的和真实的。</w:t>
      </w:r>
    </w:p>
    <w:p w14:paraId="545BBE96">
      <w:pPr>
        <w:rPr>
          <w:color w:val="auto"/>
          <w:highlight w:val="none"/>
        </w:rPr>
      </w:pPr>
      <w:r>
        <w:rPr>
          <w:rFonts w:hint="eastAsia"/>
          <w:color w:val="auto"/>
          <w:highlight w:val="none"/>
        </w:rPr>
        <w:t>7.以上事项如有虚假或者隐瞒，我方愿意承担一切后果，并不再寻求任何旨在减轻或者免除法律责任的辩解。</w:t>
      </w:r>
    </w:p>
    <w:p w14:paraId="30FC7F24">
      <w:pPr>
        <w:rPr>
          <w:color w:val="auto"/>
          <w:highlight w:val="none"/>
        </w:rPr>
      </w:pPr>
      <w:r>
        <w:rPr>
          <w:rFonts w:hint="eastAsia"/>
          <w:color w:val="auto"/>
          <w:highlight w:val="none"/>
        </w:rPr>
        <w:t>8.根据</w:t>
      </w:r>
      <w:r>
        <w:rPr>
          <w:color w:val="auto"/>
          <w:highlight w:val="none"/>
        </w:rPr>
        <w:t>《中华人民共和国政府采购法实施条例》第五十条要求对政府采购合同进行公告</w:t>
      </w:r>
      <w:r>
        <w:rPr>
          <w:rFonts w:hint="eastAsia"/>
          <w:color w:val="auto"/>
          <w:highlight w:val="none"/>
        </w:rPr>
        <w:t>，</w:t>
      </w:r>
      <w:r>
        <w:rPr>
          <w:color w:val="auto"/>
          <w:highlight w:val="none"/>
        </w:rPr>
        <w:t>但政府采购合同中涉及国家秘密、商业秘密的内容除外。</w:t>
      </w:r>
      <w:r>
        <w:rPr>
          <w:rFonts w:hint="eastAsia"/>
          <w:color w:val="auto"/>
          <w:highlight w:val="none"/>
        </w:rPr>
        <w:t>我方就对本次投标文件进行注明如下：（两项内容中必须选择一项）</w:t>
      </w:r>
    </w:p>
    <w:p w14:paraId="667BB58A">
      <w:pPr>
        <w:rPr>
          <w:color w:val="auto"/>
          <w:highlight w:val="none"/>
        </w:rPr>
      </w:pPr>
      <w:r>
        <w:rPr>
          <w:rFonts w:hint="eastAsia"/>
          <w:color w:val="auto"/>
          <w:highlight w:val="none"/>
        </w:rPr>
        <w:t>□我方本次投标文件</w:t>
      </w:r>
      <w:r>
        <w:rPr>
          <w:color w:val="auto"/>
          <w:kern w:val="0"/>
          <w:highlight w:val="none"/>
        </w:rPr>
        <w:t>内容中</w:t>
      </w:r>
      <w:r>
        <w:rPr>
          <w:rFonts w:hint="eastAsia"/>
          <w:color w:val="auto"/>
          <w:highlight w:val="none"/>
        </w:rPr>
        <w:t>未</w:t>
      </w:r>
      <w:r>
        <w:rPr>
          <w:color w:val="auto"/>
          <w:kern w:val="0"/>
          <w:highlight w:val="none"/>
        </w:rPr>
        <w:t>涉及商业秘密</w:t>
      </w:r>
      <w:r>
        <w:rPr>
          <w:rFonts w:hint="eastAsia"/>
          <w:color w:val="auto"/>
          <w:kern w:val="0"/>
          <w:highlight w:val="none"/>
        </w:rPr>
        <w:t>；</w:t>
      </w:r>
    </w:p>
    <w:p w14:paraId="0C1C3991">
      <w:pPr>
        <w:rPr>
          <w:rFonts w:cs="Times New Roman"/>
          <w:color w:val="auto"/>
          <w:highlight w:val="none"/>
        </w:rPr>
      </w:pPr>
      <w:r>
        <w:rPr>
          <w:rFonts w:hint="eastAsia" w:cs="Times New Roman"/>
          <w:color w:val="auto"/>
          <w:highlight w:val="none"/>
        </w:rPr>
        <w:t>□我方本次投标文件</w:t>
      </w:r>
      <w:r>
        <w:rPr>
          <w:color w:val="auto"/>
          <w:kern w:val="0"/>
          <w:highlight w:val="none"/>
        </w:rPr>
        <w:t>涉及商业秘密</w:t>
      </w:r>
      <w:r>
        <w:rPr>
          <w:rFonts w:hint="eastAsia"/>
          <w:color w:val="auto"/>
          <w:kern w:val="0"/>
          <w:highlight w:val="none"/>
        </w:rPr>
        <w:t>的</w:t>
      </w:r>
      <w:r>
        <w:rPr>
          <w:color w:val="auto"/>
          <w:kern w:val="0"/>
          <w:highlight w:val="none"/>
        </w:rPr>
        <w:t>内容</w:t>
      </w:r>
      <w:r>
        <w:rPr>
          <w:rFonts w:hint="eastAsia"/>
          <w:color w:val="auto"/>
          <w:kern w:val="0"/>
          <w:highlight w:val="none"/>
        </w:rPr>
        <w:t>有：</w:t>
      </w:r>
      <w:r>
        <w:rPr>
          <w:rFonts w:hint="eastAsia"/>
          <w:color w:val="auto"/>
          <w:kern w:val="0"/>
          <w:highlight w:val="none"/>
          <w:u w:val="single"/>
        </w:rPr>
        <w:t xml:space="preserve">                         </w:t>
      </w:r>
      <w:r>
        <w:rPr>
          <w:rFonts w:hint="eastAsia"/>
          <w:color w:val="auto"/>
          <w:kern w:val="0"/>
          <w:highlight w:val="none"/>
        </w:rPr>
        <w:t>；</w:t>
      </w:r>
    </w:p>
    <w:p w14:paraId="3532A738">
      <w:pPr>
        <w:rPr>
          <w:color w:val="auto"/>
          <w:highlight w:val="none"/>
        </w:rPr>
      </w:pPr>
      <w:r>
        <w:rPr>
          <w:rFonts w:hint="eastAsia"/>
          <w:color w:val="auto"/>
          <w:highlight w:val="none"/>
        </w:rPr>
        <w:t>9.与本投标有关的一切正式往来信函请寄：</w:t>
      </w:r>
    </w:p>
    <w:p w14:paraId="795308B3">
      <w:pPr>
        <w:rPr>
          <w:color w:val="auto"/>
          <w:highlight w:val="none"/>
        </w:rPr>
      </w:pPr>
      <w:r>
        <w:rPr>
          <w:rFonts w:hint="eastAsia"/>
          <w:color w:val="auto"/>
          <w:highlight w:val="none"/>
        </w:rPr>
        <w:t xml:space="preserve">地址：          邮编：            </w:t>
      </w:r>
    </w:p>
    <w:p w14:paraId="30460085">
      <w:pPr>
        <w:rPr>
          <w:color w:val="auto"/>
          <w:highlight w:val="none"/>
        </w:rPr>
      </w:pPr>
      <w:r>
        <w:rPr>
          <w:rFonts w:hint="eastAsia"/>
          <w:color w:val="auto"/>
          <w:highlight w:val="none"/>
        </w:rPr>
        <w:t xml:space="preserve">电话：        传真：          邮箱： </w:t>
      </w:r>
      <w:r>
        <w:rPr>
          <w:color w:val="auto"/>
          <w:highlight w:val="none"/>
        </w:rPr>
        <w:t xml:space="preserve">        </w:t>
      </w:r>
    </w:p>
    <w:p w14:paraId="5C130340">
      <w:pPr>
        <w:rPr>
          <w:color w:val="auto"/>
          <w:highlight w:val="none"/>
        </w:rPr>
      </w:pPr>
      <w:r>
        <w:rPr>
          <w:rFonts w:hint="eastAsia"/>
          <w:color w:val="auto"/>
          <w:highlight w:val="none"/>
        </w:rPr>
        <w:t xml:space="preserve">投标人名称:                </w:t>
      </w:r>
    </w:p>
    <w:p w14:paraId="376AF035">
      <w:pPr>
        <w:rPr>
          <w:color w:val="auto"/>
          <w:highlight w:val="none"/>
        </w:rPr>
      </w:pPr>
      <w:r>
        <w:rPr>
          <w:rFonts w:hint="eastAsia"/>
          <w:color w:val="auto"/>
          <w:highlight w:val="none"/>
        </w:rPr>
        <w:t xml:space="preserve">开户银行：                         银行帐号：                     </w:t>
      </w:r>
    </w:p>
    <w:p w14:paraId="1372DC1C">
      <w:pPr>
        <w:rPr>
          <w:color w:val="auto"/>
          <w:highlight w:val="none"/>
        </w:rPr>
      </w:pPr>
      <w:r>
        <w:rPr>
          <w:rFonts w:hint="eastAsia"/>
          <w:color w:val="auto"/>
          <w:highlight w:val="none"/>
        </w:rPr>
        <w:t xml:space="preserve">法定代表人（或负责人）或者委托代理人（签字或电子签名）:___________ </w:t>
      </w:r>
    </w:p>
    <w:p w14:paraId="70F5409A">
      <w:pPr>
        <w:rPr>
          <w:color w:val="auto"/>
          <w:kern w:val="0"/>
          <w:highlight w:val="none"/>
          <w:u w:val="single"/>
        </w:rPr>
      </w:pPr>
      <w:r>
        <w:rPr>
          <w:rFonts w:hint="eastAsia"/>
          <w:color w:val="auto"/>
          <w:kern w:val="0"/>
          <w:highlight w:val="none"/>
        </w:rPr>
        <w:t>投标人名称（电子签章）：</w:t>
      </w:r>
    </w:p>
    <w:p w14:paraId="18491C8C">
      <w:pPr>
        <w:rPr>
          <w:color w:val="auto"/>
          <w:kern w:val="0"/>
          <w:highlight w:val="none"/>
        </w:rPr>
      </w:pPr>
      <w:r>
        <w:rPr>
          <w:rFonts w:hint="eastAsia"/>
          <w:color w:val="auto"/>
          <w:kern w:val="0"/>
          <w:highlight w:val="none"/>
        </w:rPr>
        <w:t xml:space="preserve">                                                </w:t>
      </w:r>
      <w:r>
        <w:rPr>
          <w:rFonts w:hint="eastAsia" w:cs="FangSong_GB2312" w:asciiTheme="minorEastAsia" w:hAnsiTheme="minorEastAsia" w:eastAsiaTheme="minorEastAsia"/>
          <w:color w:val="auto"/>
          <w:szCs w:val="21"/>
          <w:highlight w:val="none"/>
          <w:lang w:eastAsia="zh-CN"/>
        </w:rPr>
        <w:t>日期：</w:t>
      </w:r>
      <w:r>
        <w:rPr>
          <w:rFonts w:hint="eastAsia" w:cs="FangSong_GB2312" w:asciiTheme="minorEastAsia" w:hAnsiTheme="minorEastAsia" w:eastAsiaTheme="minorEastAsia"/>
          <w:color w:val="auto"/>
          <w:szCs w:val="21"/>
          <w:highlight w:val="none"/>
          <w:lang w:val="en-US" w:eastAsia="zh-CN"/>
        </w:rPr>
        <w:t xml:space="preserve">  </w:t>
      </w:r>
      <w:r>
        <w:rPr>
          <w:rFonts w:hint="eastAsia" w:cs="FangSong_GB2312" w:asciiTheme="minorEastAsia" w:hAnsiTheme="minorEastAsia" w:eastAsiaTheme="minorEastAsia"/>
          <w:color w:val="auto"/>
          <w:szCs w:val="21"/>
          <w:highlight w:val="none"/>
        </w:rPr>
        <w:t>年  月  日</w:t>
      </w:r>
    </w:p>
    <w:p w14:paraId="7273266A">
      <w:pPr>
        <w:rPr>
          <w:color w:val="auto"/>
          <w:szCs w:val="20"/>
          <w:highlight w:val="none"/>
        </w:rPr>
      </w:pPr>
      <w:r>
        <w:rPr>
          <w:color w:val="auto"/>
          <w:highlight w:val="none"/>
          <w:u w:val="single"/>
        </w:rPr>
        <w:br w:type="page"/>
      </w:r>
      <w:r>
        <w:rPr>
          <w:rFonts w:hint="eastAsia"/>
          <w:color w:val="auto"/>
          <w:highlight w:val="none"/>
          <w:lang w:val="en-US" w:eastAsia="zh-CN"/>
        </w:rPr>
        <w:t>2</w:t>
      </w:r>
      <w:r>
        <w:rPr>
          <w:rFonts w:hint="eastAsia"/>
          <w:color w:val="auto"/>
          <w:highlight w:val="none"/>
        </w:rPr>
        <w:t>.开标一览表（货物类格式）</w:t>
      </w:r>
    </w:p>
    <w:p w14:paraId="3E64488E">
      <w:pPr>
        <w:ind w:firstLine="560"/>
        <w:jc w:val="center"/>
        <w:rPr>
          <w:color w:val="auto"/>
          <w:sz w:val="28"/>
          <w:szCs w:val="28"/>
          <w:highlight w:val="none"/>
        </w:rPr>
      </w:pPr>
      <w:r>
        <w:rPr>
          <w:rFonts w:hint="eastAsia"/>
          <w:color w:val="auto"/>
          <w:sz w:val="28"/>
          <w:szCs w:val="28"/>
          <w:highlight w:val="none"/>
        </w:rPr>
        <w:t>开标一览表</w:t>
      </w:r>
    </w:p>
    <w:p w14:paraId="70F8419F">
      <w:pPr>
        <w:rPr>
          <w:color w:val="auto"/>
          <w:highlight w:val="none"/>
        </w:rPr>
      </w:pPr>
    </w:p>
    <w:p w14:paraId="4FDD6D71">
      <w:pPr>
        <w:rPr>
          <w:color w:val="auto"/>
          <w:highlight w:val="none"/>
        </w:rPr>
      </w:pPr>
      <w:r>
        <w:rPr>
          <w:rFonts w:hint="eastAsia"/>
          <w:color w:val="auto"/>
          <w:highlight w:val="none"/>
        </w:rPr>
        <w:t xml:space="preserve">项目名称：      </w:t>
      </w:r>
      <w:r>
        <w:rPr>
          <w:color w:val="auto"/>
          <w:highlight w:val="none"/>
        </w:rPr>
        <w:t xml:space="preserve">              </w:t>
      </w:r>
      <w:r>
        <w:rPr>
          <w:rFonts w:hint="eastAsia"/>
          <w:color w:val="auto"/>
          <w:highlight w:val="none"/>
        </w:rPr>
        <w:t xml:space="preserve">项目编号：  </w:t>
      </w:r>
      <w:r>
        <w:rPr>
          <w:color w:val="auto"/>
          <w:highlight w:val="none"/>
        </w:rPr>
        <w:t xml:space="preserve">      </w:t>
      </w:r>
      <w:r>
        <w:rPr>
          <w:rFonts w:hint="eastAsia"/>
          <w:color w:val="auto"/>
          <w:highlight w:val="none"/>
        </w:rPr>
        <w:t xml:space="preserve">             分标：           </w:t>
      </w:r>
    </w:p>
    <w:p w14:paraId="6BA3A28A">
      <w:pPr>
        <w:rPr>
          <w:color w:val="auto"/>
          <w:highlight w:val="none"/>
        </w:rPr>
      </w:pPr>
      <w:r>
        <w:rPr>
          <w:rFonts w:hint="eastAsia"/>
          <w:color w:val="auto"/>
          <w:highlight w:val="none"/>
        </w:rPr>
        <w:t>投标人名称：</w:t>
      </w:r>
      <w:r>
        <w:rPr>
          <w:rFonts w:hint="eastAsia"/>
          <w:color w:val="auto"/>
          <w:highlight w:val="none"/>
          <w:u w:val="single"/>
        </w:rPr>
        <w:t xml:space="preserve">                     </w:t>
      </w:r>
      <w:r>
        <w:rPr>
          <w:rFonts w:hint="eastAsia"/>
          <w:color w:val="auto"/>
          <w:highlight w:val="none"/>
        </w:rPr>
        <w:t xml:space="preserve">                            单位：元</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1111"/>
        <w:gridCol w:w="994"/>
        <w:gridCol w:w="849"/>
        <w:gridCol w:w="710"/>
        <w:gridCol w:w="851"/>
        <w:gridCol w:w="992"/>
        <w:gridCol w:w="992"/>
        <w:gridCol w:w="1523"/>
      </w:tblGrid>
      <w:tr w14:paraId="23B9C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D8D4981">
            <w:pPr>
              <w:ind w:firstLine="0" w:firstLineChars="0"/>
              <w:rPr>
                <w:color w:val="auto"/>
                <w:highlight w:val="none"/>
              </w:rPr>
            </w:pPr>
            <w:r>
              <w:rPr>
                <w:rFonts w:hint="eastAsia"/>
                <w:color w:val="auto"/>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14:paraId="4F1D5C61">
            <w:pPr>
              <w:ind w:firstLine="0" w:firstLineChars="0"/>
              <w:rPr>
                <w:color w:val="auto"/>
                <w:highlight w:val="none"/>
              </w:rPr>
            </w:pPr>
            <w:r>
              <w:rPr>
                <w:rFonts w:hint="eastAsia"/>
                <w:color w:val="auto"/>
                <w:highlight w:val="none"/>
              </w:rPr>
              <w:t>标的名称</w:t>
            </w:r>
          </w:p>
        </w:tc>
        <w:tc>
          <w:tcPr>
            <w:tcW w:w="994" w:type="dxa"/>
            <w:tcBorders>
              <w:top w:val="single" w:color="auto" w:sz="4" w:space="0"/>
              <w:left w:val="single" w:color="auto" w:sz="4" w:space="0"/>
              <w:bottom w:val="single" w:color="auto" w:sz="4" w:space="0"/>
              <w:right w:val="single" w:color="auto" w:sz="4" w:space="0"/>
            </w:tcBorders>
            <w:vAlign w:val="center"/>
          </w:tcPr>
          <w:p w14:paraId="37251779">
            <w:pPr>
              <w:ind w:firstLine="0" w:firstLineChars="0"/>
              <w:rPr>
                <w:color w:val="auto"/>
                <w:highlight w:val="none"/>
              </w:rPr>
            </w:pPr>
            <w:r>
              <w:rPr>
                <w:rFonts w:hint="eastAsia"/>
                <w:color w:val="auto"/>
                <w:highlight w:val="none"/>
              </w:rPr>
              <w:t>品牌</w:t>
            </w:r>
          </w:p>
        </w:tc>
        <w:tc>
          <w:tcPr>
            <w:tcW w:w="849" w:type="dxa"/>
            <w:tcBorders>
              <w:top w:val="single" w:color="auto" w:sz="4" w:space="0"/>
              <w:left w:val="single" w:color="auto" w:sz="4" w:space="0"/>
              <w:bottom w:val="single" w:color="auto" w:sz="4" w:space="0"/>
              <w:right w:val="single" w:color="auto" w:sz="4" w:space="0"/>
            </w:tcBorders>
            <w:vAlign w:val="center"/>
          </w:tcPr>
          <w:p w14:paraId="79B462E1">
            <w:pPr>
              <w:ind w:firstLine="0" w:firstLineChars="0"/>
              <w:rPr>
                <w:color w:val="auto"/>
                <w:highlight w:val="none"/>
              </w:rPr>
            </w:pPr>
            <w:r>
              <w:rPr>
                <w:rFonts w:hint="eastAsia"/>
                <w:color w:val="auto"/>
                <w:highlight w:val="none"/>
              </w:rPr>
              <w:t>规格型号</w:t>
            </w:r>
          </w:p>
        </w:tc>
        <w:tc>
          <w:tcPr>
            <w:tcW w:w="710" w:type="dxa"/>
            <w:tcBorders>
              <w:top w:val="single" w:color="auto" w:sz="4" w:space="0"/>
              <w:left w:val="single" w:color="auto" w:sz="4" w:space="0"/>
              <w:bottom w:val="single" w:color="auto" w:sz="4" w:space="0"/>
              <w:right w:val="single" w:color="auto" w:sz="4" w:space="0"/>
            </w:tcBorders>
            <w:vAlign w:val="center"/>
          </w:tcPr>
          <w:p w14:paraId="183FE87C">
            <w:pPr>
              <w:ind w:firstLine="0" w:firstLineChars="0"/>
              <w:rPr>
                <w:color w:val="auto"/>
                <w:highlight w:val="none"/>
              </w:rPr>
            </w:pPr>
            <w:r>
              <w:rPr>
                <w:rFonts w:hint="eastAsia"/>
                <w:color w:val="auto"/>
                <w:highlight w:val="none"/>
              </w:rPr>
              <w:t>生产厂家</w:t>
            </w:r>
          </w:p>
        </w:tc>
        <w:tc>
          <w:tcPr>
            <w:tcW w:w="851" w:type="dxa"/>
            <w:tcBorders>
              <w:top w:val="single" w:color="auto" w:sz="4" w:space="0"/>
              <w:left w:val="single" w:color="auto" w:sz="4" w:space="0"/>
              <w:bottom w:val="single" w:color="auto" w:sz="4" w:space="0"/>
              <w:right w:val="single" w:color="auto" w:sz="4" w:space="0"/>
            </w:tcBorders>
            <w:vAlign w:val="center"/>
          </w:tcPr>
          <w:p w14:paraId="66268F5F">
            <w:pPr>
              <w:ind w:firstLine="0" w:firstLineChars="0"/>
              <w:rPr>
                <w:color w:val="auto"/>
                <w:highlight w:val="none"/>
              </w:rPr>
            </w:pPr>
            <w:r>
              <w:rPr>
                <w:rFonts w:hint="eastAsia"/>
                <w:color w:val="auto"/>
                <w:highlight w:val="none"/>
              </w:rPr>
              <w:t>国别</w:t>
            </w:r>
          </w:p>
        </w:tc>
        <w:tc>
          <w:tcPr>
            <w:tcW w:w="992" w:type="dxa"/>
            <w:tcBorders>
              <w:top w:val="single" w:color="auto" w:sz="4" w:space="0"/>
              <w:left w:val="single" w:color="auto" w:sz="4" w:space="0"/>
              <w:bottom w:val="single" w:color="auto" w:sz="4" w:space="0"/>
              <w:right w:val="single" w:color="auto" w:sz="4" w:space="0"/>
            </w:tcBorders>
            <w:vAlign w:val="center"/>
          </w:tcPr>
          <w:p w14:paraId="3DF4B883">
            <w:pPr>
              <w:ind w:firstLine="0" w:firstLineChars="0"/>
              <w:rPr>
                <w:color w:val="auto"/>
                <w:highlight w:val="none"/>
              </w:rPr>
            </w:pPr>
            <w:r>
              <w:rPr>
                <w:rFonts w:hint="eastAsia"/>
                <w:color w:val="auto"/>
                <w:highlight w:val="none"/>
              </w:rPr>
              <w:t>数量及单位①</w:t>
            </w:r>
          </w:p>
        </w:tc>
        <w:tc>
          <w:tcPr>
            <w:tcW w:w="992" w:type="dxa"/>
            <w:tcBorders>
              <w:top w:val="single" w:color="auto" w:sz="4" w:space="0"/>
              <w:left w:val="single" w:color="auto" w:sz="4" w:space="0"/>
              <w:bottom w:val="single" w:color="auto" w:sz="4" w:space="0"/>
              <w:right w:val="single" w:color="auto" w:sz="4" w:space="0"/>
            </w:tcBorders>
            <w:vAlign w:val="center"/>
          </w:tcPr>
          <w:p w14:paraId="7DDA41F9">
            <w:pPr>
              <w:ind w:firstLine="0" w:firstLineChars="0"/>
              <w:rPr>
                <w:color w:val="auto"/>
                <w:highlight w:val="none"/>
              </w:rPr>
            </w:pPr>
            <w:r>
              <w:rPr>
                <w:rFonts w:hint="eastAsia"/>
                <w:color w:val="auto"/>
                <w:highlight w:val="none"/>
              </w:rPr>
              <w:t>单价</w:t>
            </w:r>
          </w:p>
          <w:p w14:paraId="581695AB">
            <w:pPr>
              <w:ind w:firstLine="0" w:firstLineChars="0"/>
              <w:rPr>
                <w:color w:val="auto"/>
                <w:highlight w:val="none"/>
              </w:rPr>
            </w:pPr>
            <w:r>
              <w:rPr>
                <w:rFonts w:hint="eastAsia"/>
                <w:color w:val="auto"/>
                <w:highlight w:val="none"/>
              </w:rPr>
              <w:t>②</w:t>
            </w:r>
          </w:p>
        </w:tc>
        <w:tc>
          <w:tcPr>
            <w:tcW w:w="1523" w:type="dxa"/>
            <w:tcBorders>
              <w:top w:val="single" w:color="auto" w:sz="4" w:space="0"/>
              <w:left w:val="single" w:color="auto" w:sz="4" w:space="0"/>
              <w:bottom w:val="single" w:color="auto" w:sz="4" w:space="0"/>
              <w:right w:val="single" w:color="auto" w:sz="4" w:space="0"/>
            </w:tcBorders>
            <w:vAlign w:val="center"/>
          </w:tcPr>
          <w:p w14:paraId="7573D79B">
            <w:pPr>
              <w:ind w:firstLine="0" w:firstLineChars="0"/>
              <w:rPr>
                <w:color w:val="auto"/>
                <w:highlight w:val="none"/>
              </w:rPr>
            </w:pPr>
            <w:r>
              <w:rPr>
                <w:rFonts w:hint="eastAsia"/>
                <w:color w:val="auto"/>
                <w:highlight w:val="none"/>
              </w:rPr>
              <w:t>投标报价</w:t>
            </w:r>
          </w:p>
          <w:p w14:paraId="43988D97">
            <w:pPr>
              <w:ind w:firstLine="0" w:firstLineChars="0"/>
              <w:rPr>
                <w:color w:val="auto"/>
                <w:highlight w:val="none"/>
              </w:rPr>
            </w:pPr>
            <w:r>
              <w:rPr>
                <w:color w:val="auto"/>
                <w:highlight w:val="none"/>
              </w:rPr>
              <w:t>③</w:t>
            </w:r>
            <w:r>
              <w:rPr>
                <w:rFonts w:hint="eastAsia"/>
                <w:color w:val="auto"/>
                <w:highlight w:val="none"/>
              </w:rPr>
              <w:t>=①×②</w:t>
            </w:r>
          </w:p>
        </w:tc>
      </w:tr>
      <w:tr w14:paraId="39E93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993308B">
            <w:pPr>
              <w:ind w:firstLine="0" w:firstLineChars="0"/>
              <w:rPr>
                <w:color w:val="auto"/>
                <w:highlight w:val="none"/>
              </w:rPr>
            </w:pPr>
            <w:r>
              <w:rPr>
                <w:rFonts w:hint="eastAsia"/>
                <w:color w:val="auto"/>
                <w:highlight w:val="none"/>
              </w:rPr>
              <w:t>1</w:t>
            </w:r>
          </w:p>
        </w:tc>
        <w:tc>
          <w:tcPr>
            <w:tcW w:w="1111" w:type="dxa"/>
            <w:tcBorders>
              <w:top w:val="single" w:color="auto" w:sz="4" w:space="0"/>
              <w:left w:val="single" w:color="auto" w:sz="4" w:space="0"/>
              <w:bottom w:val="single" w:color="auto" w:sz="4" w:space="0"/>
              <w:right w:val="single" w:color="auto" w:sz="4" w:space="0"/>
            </w:tcBorders>
            <w:vAlign w:val="center"/>
          </w:tcPr>
          <w:p w14:paraId="16C260B1">
            <w:pPr>
              <w:rPr>
                <w:color w:val="auto"/>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0B5A62DA">
            <w:pPr>
              <w:rPr>
                <w:color w:val="auto"/>
                <w:highlight w:val="none"/>
              </w:rPr>
            </w:pPr>
          </w:p>
        </w:tc>
        <w:tc>
          <w:tcPr>
            <w:tcW w:w="849" w:type="dxa"/>
            <w:tcBorders>
              <w:top w:val="single" w:color="auto" w:sz="4" w:space="0"/>
              <w:left w:val="single" w:color="auto" w:sz="4" w:space="0"/>
              <w:bottom w:val="single" w:color="auto" w:sz="4" w:space="0"/>
              <w:right w:val="single" w:color="auto" w:sz="4" w:space="0"/>
            </w:tcBorders>
          </w:tcPr>
          <w:p w14:paraId="0E7F2D9C">
            <w:pPr>
              <w:rPr>
                <w:color w:val="auto"/>
                <w:highlight w:val="none"/>
              </w:rPr>
            </w:pPr>
          </w:p>
        </w:tc>
        <w:tc>
          <w:tcPr>
            <w:tcW w:w="710" w:type="dxa"/>
            <w:tcBorders>
              <w:top w:val="single" w:color="auto" w:sz="4" w:space="0"/>
              <w:left w:val="single" w:color="auto" w:sz="4" w:space="0"/>
              <w:bottom w:val="single" w:color="auto" w:sz="4" w:space="0"/>
              <w:right w:val="single" w:color="auto" w:sz="4" w:space="0"/>
            </w:tcBorders>
          </w:tcPr>
          <w:p w14:paraId="0F8536CD">
            <w:pPr>
              <w:rPr>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6EC0340A">
            <w:pP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9971F36">
            <w:pP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FC4D8AB">
            <w:pPr>
              <w:rPr>
                <w:color w:val="auto"/>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7C49087A">
            <w:pPr>
              <w:rPr>
                <w:color w:val="auto"/>
                <w:highlight w:val="none"/>
              </w:rPr>
            </w:pPr>
          </w:p>
        </w:tc>
      </w:tr>
      <w:tr w14:paraId="05097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52C5AEC">
            <w:pPr>
              <w:ind w:firstLine="0" w:firstLineChars="0"/>
              <w:rPr>
                <w:color w:val="auto"/>
                <w:highlight w:val="none"/>
              </w:rPr>
            </w:pPr>
            <w:r>
              <w:rPr>
                <w:rFonts w:hint="eastAsia"/>
                <w:color w:val="auto"/>
                <w:highlight w:val="none"/>
              </w:rPr>
              <w:t>2</w:t>
            </w:r>
          </w:p>
        </w:tc>
        <w:tc>
          <w:tcPr>
            <w:tcW w:w="1111" w:type="dxa"/>
            <w:tcBorders>
              <w:top w:val="single" w:color="auto" w:sz="4" w:space="0"/>
              <w:left w:val="single" w:color="auto" w:sz="4" w:space="0"/>
              <w:bottom w:val="single" w:color="auto" w:sz="4" w:space="0"/>
              <w:right w:val="single" w:color="auto" w:sz="4" w:space="0"/>
            </w:tcBorders>
            <w:vAlign w:val="center"/>
          </w:tcPr>
          <w:p w14:paraId="408AFEA9">
            <w:pPr>
              <w:rPr>
                <w:color w:val="auto"/>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14:paraId="068C1875">
            <w:pPr>
              <w:rPr>
                <w:color w:val="auto"/>
                <w:highlight w:val="none"/>
              </w:rPr>
            </w:pPr>
          </w:p>
        </w:tc>
        <w:tc>
          <w:tcPr>
            <w:tcW w:w="849" w:type="dxa"/>
            <w:tcBorders>
              <w:top w:val="single" w:color="auto" w:sz="4" w:space="0"/>
              <w:left w:val="single" w:color="auto" w:sz="4" w:space="0"/>
              <w:bottom w:val="single" w:color="auto" w:sz="4" w:space="0"/>
              <w:right w:val="single" w:color="auto" w:sz="4" w:space="0"/>
            </w:tcBorders>
          </w:tcPr>
          <w:p w14:paraId="2D00BC09">
            <w:pPr>
              <w:rPr>
                <w:color w:val="auto"/>
                <w:highlight w:val="none"/>
              </w:rPr>
            </w:pPr>
          </w:p>
        </w:tc>
        <w:tc>
          <w:tcPr>
            <w:tcW w:w="710" w:type="dxa"/>
            <w:tcBorders>
              <w:top w:val="single" w:color="auto" w:sz="4" w:space="0"/>
              <w:left w:val="single" w:color="auto" w:sz="4" w:space="0"/>
              <w:bottom w:val="single" w:color="auto" w:sz="4" w:space="0"/>
              <w:right w:val="single" w:color="auto" w:sz="4" w:space="0"/>
            </w:tcBorders>
          </w:tcPr>
          <w:p w14:paraId="5CC7681D">
            <w:pPr>
              <w:rPr>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3A778E91">
            <w:pP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DEA86EB">
            <w:pP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450A261">
            <w:pPr>
              <w:rPr>
                <w:color w:val="auto"/>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1DEB14F3">
            <w:pPr>
              <w:rPr>
                <w:color w:val="auto"/>
                <w:highlight w:val="none"/>
              </w:rPr>
            </w:pPr>
          </w:p>
        </w:tc>
      </w:tr>
      <w:tr w14:paraId="5C2CB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7DD87DC">
            <w:pPr>
              <w:ind w:firstLine="0" w:firstLineChars="0"/>
              <w:rPr>
                <w:color w:val="auto"/>
                <w:highlight w:val="none"/>
              </w:rPr>
            </w:pPr>
            <w:r>
              <w:rPr>
                <w:rFonts w:hint="eastAsia"/>
                <w:color w:val="auto"/>
                <w:highlight w:val="none"/>
              </w:rPr>
              <w:t>……</w:t>
            </w:r>
          </w:p>
        </w:tc>
        <w:tc>
          <w:tcPr>
            <w:tcW w:w="1111" w:type="dxa"/>
            <w:tcBorders>
              <w:top w:val="single" w:color="auto" w:sz="4" w:space="0"/>
              <w:left w:val="single" w:color="auto" w:sz="4" w:space="0"/>
              <w:bottom w:val="single" w:color="auto" w:sz="4" w:space="0"/>
              <w:right w:val="single" w:color="auto" w:sz="4" w:space="0"/>
            </w:tcBorders>
            <w:vAlign w:val="center"/>
          </w:tcPr>
          <w:p w14:paraId="5CF493F1">
            <w:pPr>
              <w:ind w:firstLine="0" w:firstLineChars="0"/>
              <w:rPr>
                <w:color w:val="auto"/>
                <w:highlight w:val="none"/>
              </w:rPr>
            </w:pPr>
            <w:r>
              <w:rPr>
                <w:rFonts w:hint="eastAsia"/>
                <w:color w:val="auto"/>
                <w:highlight w:val="none"/>
              </w:rPr>
              <w:t>……</w:t>
            </w:r>
          </w:p>
        </w:tc>
        <w:tc>
          <w:tcPr>
            <w:tcW w:w="994" w:type="dxa"/>
            <w:tcBorders>
              <w:top w:val="single" w:color="auto" w:sz="4" w:space="0"/>
              <w:left w:val="single" w:color="auto" w:sz="4" w:space="0"/>
              <w:bottom w:val="single" w:color="auto" w:sz="4" w:space="0"/>
              <w:right w:val="single" w:color="auto" w:sz="4" w:space="0"/>
            </w:tcBorders>
            <w:vAlign w:val="center"/>
          </w:tcPr>
          <w:p w14:paraId="4C2EB318">
            <w:pPr>
              <w:rPr>
                <w:color w:val="auto"/>
                <w:highlight w:val="none"/>
              </w:rPr>
            </w:pPr>
          </w:p>
        </w:tc>
        <w:tc>
          <w:tcPr>
            <w:tcW w:w="849" w:type="dxa"/>
            <w:tcBorders>
              <w:top w:val="single" w:color="auto" w:sz="4" w:space="0"/>
              <w:left w:val="single" w:color="auto" w:sz="4" w:space="0"/>
              <w:bottom w:val="single" w:color="auto" w:sz="4" w:space="0"/>
              <w:right w:val="single" w:color="auto" w:sz="4" w:space="0"/>
            </w:tcBorders>
          </w:tcPr>
          <w:p w14:paraId="41D2A3FD">
            <w:pPr>
              <w:rPr>
                <w:color w:val="auto"/>
                <w:highlight w:val="none"/>
              </w:rPr>
            </w:pPr>
          </w:p>
        </w:tc>
        <w:tc>
          <w:tcPr>
            <w:tcW w:w="710" w:type="dxa"/>
            <w:tcBorders>
              <w:top w:val="single" w:color="auto" w:sz="4" w:space="0"/>
              <w:left w:val="single" w:color="auto" w:sz="4" w:space="0"/>
              <w:bottom w:val="single" w:color="auto" w:sz="4" w:space="0"/>
              <w:right w:val="single" w:color="auto" w:sz="4" w:space="0"/>
            </w:tcBorders>
          </w:tcPr>
          <w:p w14:paraId="483E2928">
            <w:pPr>
              <w:rPr>
                <w:color w:val="auto"/>
                <w:highlight w:val="none"/>
              </w:rPr>
            </w:pPr>
          </w:p>
        </w:tc>
        <w:tc>
          <w:tcPr>
            <w:tcW w:w="851" w:type="dxa"/>
            <w:tcBorders>
              <w:top w:val="single" w:color="auto" w:sz="4" w:space="0"/>
              <w:left w:val="single" w:color="auto" w:sz="4" w:space="0"/>
              <w:bottom w:val="single" w:color="auto" w:sz="4" w:space="0"/>
              <w:right w:val="single" w:color="auto" w:sz="4" w:space="0"/>
            </w:tcBorders>
          </w:tcPr>
          <w:p w14:paraId="032FBB27">
            <w:pP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80718CD">
            <w:pP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BF0A325">
            <w:pPr>
              <w:rPr>
                <w:color w:val="auto"/>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76FAB18E">
            <w:pPr>
              <w:rPr>
                <w:color w:val="auto"/>
                <w:highlight w:val="none"/>
              </w:rPr>
            </w:pPr>
          </w:p>
        </w:tc>
      </w:tr>
      <w:tr w14:paraId="0BFCE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720" w:type="dxa"/>
            <w:gridSpan w:val="9"/>
            <w:tcBorders>
              <w:top w:val="single" w:color="auto" w:sz="4" w:space="0"/>
              <w:left w:val="single" w:color="auto" w:sz="4" w:space="0"/>
              <w:bottom w:val="single" w:color="auto" w:sz="4" w:space="0"/>
              <w:right w:val="single" w:color="auto" w:sz="4" w:space="0"/>
            </w:tcBorders>
          </w:tcPr>
          <w:p w14:paraId="6A016F32">
            <w:pPr>
              <w:rPr>
                <w:rFonts w:cs="Times New Roman"/>
                <w:color w:val="auto"/>
                <w:highlight w:val="none"/>
              </w:rPr>
            </w:pPr>
            <w:r>
              <w:rPr>
                <w:rFonts w:hint="eastAsia"/>
                <w:color w:val="auto"/>
                <w:highlight w:val="none"/>
              </w:rPr>
              <w:t>合计金额大写：人民币           （￥           ）</w:t>
            </w:r>
          </w:p>
        </w:tc>
      </w:tr>
    </w:tbl>
    <w:p w14:paraId="651F32BD">
      <w:pPr>
        <w:rPr>
          <w:color w:val="auto"/>
          <w:highlight w:val="none"/>
        </w:rPr>
      </w:pPr>
      <w:r>
        <w:rPr>
          <w:rFonts w:hint="eastAsia"/>
          <w:color w:val="auto"/>
          <w:highlight w:val="none"/>
        </w:rPr>
        <w:t xml:space="preserve">注: </w:t>
      </w:r>
    </w:p>
    <w:p w14:paraId="418588B3">
      <w:pPr>
        <w:rPr>
          <w:color w:val="auto"/>
          <w:highlight w:val="none"/>
        </w:rPr>
      </w:pPr>
      <w:r>
        <w:rPr>
          <w:rFonts w:hint="eastAsia"/>
          <w:color w:val="auto"/>
          <w:highlight w:val="none"/>
        </w:rPr>
        <w:t>1.投标人的开标一览表必须加盖投标人电子签章并由法定代表人（或负责人）</w:t>
      </w:r>
      <w:r>
        <w:rPr>
          <w:color w:val="auto"/>
          <w:highlight w:val="none"/>
        </w:rPr>
        <w:t>或者委托代理人</w:t>
      </w:r>
      <w:r>
        <w:rPr>
          <w:rFonts w:hint="eastAsia"/>
          <w:color w:val="auto"/>
          <w:highlight w:val="none"/>
        </w:rPr>
        <w:t>（签字或电子签名），</w:t>
      </w:r>
      <w:r>
        <w:rPr>
          <w:rFonts w:hint="eastAsia"/>
          <w:b/>
          <w:color w:val="auto"/>
          <w:highlight w:val="none"/>
        </w:rPr>
        <w:t>否则其投标作无效标处理</w:t>
      </w:r>
      <w:r>
        <w:rPr>
          <w:rFonts w:hint="eastAsia"/>
          <w:color w:val="auto"/>
          <w:highlight w:val="none"/>
        </w:rPr>
        <w:t>。</w:t>
      </w:r>
    </w:p>
    <w:p w14:paraId="50E023E2">
      <w:pPr>
        <w:rPr>
          <w:b/>
          <w:color w:val="auto"/>
          <w:highlight w:val="none"/>
        </w:rPr>
      </w:pPr>
      <w:r>
        <w:rPr>
          <w:rFonts w:hint="eastAsia"/>
          <w:bCs/>
          <w:color w:val="auto"/>
          <w:highlight w:val="none"/>
        </w:rPr>
        <w:t>2.</w:t>
      </w:r>
      <w:r>
        <w:rPr>
          <w:rFonts w:hint="eastAsia"/>
          <w:color w:val="auto"/>
          <w:highlight w:val="none"/>
        </w:rPr>
        <w:t>报价一经涂改，应在涂改处加盖投标人公章或者由法定代表人（或负责人）或者委托代理人（签字或电子签名）或者盖章</w:t>
      </w:r>
      <w:r>
        <w:rPr>
          <w:rFonts w:hint="eastAsia"/>
          <w:b/>
          <w:color w:val="auto"/>
          <w:highlight w:val="none"/>
        </w:rPr>
        <w:t>，否则其投标作无效标处理。</w:t>
      </w:r>
    </w:p>
    <w:p w14:paraId="5CB51842">
      <w:pPr>
        <w:rPr>
          <w:color w:val="auto"/>
          <w:highlight w:val="none"/>
        </w:rPr>
      </w:pPr>
      <w:r>
        <w:rPr>
          <w:rFonts w:hint="eastAsia"/>
          <w:color w:val="auto"/>
          <w:highlight w:val="none"/>
        </w:rPr>
        <w:t>3.招标文件中列明采购专用耗材的，应按招标文件规定的耗材量或者按耗材的常规试用量提供报价。</w:t>
      </w:r>
    </w:p>
    <w:p w14:paraId="07424F4B">
      <w:pPr>
        <w:rPr>
          <w:color w:val="auto"/>
          <w:highlight w:val="none"/>
        </w:rPr>
      </w:pPr>
      <w:r>
        <w:rPr>
          <w:rFonts w:hint="eastAsia"/>
          <w:color w:val="auto"/>
          <w:highlight w:val="none"/>
        </w:rPr>
        <w:t>4.如为联合体投标，“投标人名称”处必须列明联合体各方名称，并标注联合体牵头人名称，</w:t>
      </w:r>
      <w:r>
        <w:rPr>
          <w:rFonts w:hint="eastAsia"/>
          <w:b/>
          <w:color w:val="auto"/>
          <w:highlight w:val="none"/>
        </w:rPr>
        <w:t>否则其投标作无效标处理。</w:t>
      </w:r>
    </w:p>
    <w:p w14:paraId="36E8EDC4">
      <w:pPr>
        <w:rPr>
          <w:color w:val="auto"/>
          <w:highlight w:val="none"/>
        </w:rPr>
      </w:pPr>
      <w:r>
        <w:rPr>
          <w:rFonts w:hint="eastAsia"/>
          <w:color w:val="auto"/>
          <w:highlight w:val="none"/>
        </w:rPr>
        <w:t>5.如为联合体投标，盖章处须加盖联合体牵头人电子签章，</w:t>
      </w:r>
      <w:r>
        <w:rPr>
          <w:rFonts w:hint="eastAsia"/>
          <w:b/>
          <w:color w:val="auto"/>
          <w:highlight w:val="none"/>
        </w:rPr>
        <w:t>否则其投标作无效标处理。</w:t>
      </w:r>
    </w:p>
    <w:p w14:paraId="29412FB0">
      <w:pPr>
        <w:rPr>
          <w:b/>
          <w:color w:val="auto"/>
          <w:highlight w:val="none"/>
        </w:rPr>
      </w:pPr>
      <w:r>
        <w:rPr>
          <w:rFonts w:hint="eastAsia"/>
          <w:color w:val="auto"/>
          <w:highlight w:val="none"/>
        </w:rPr>
        <w:t>6.如有多分标，按分标分别提供开标一览表，</w:t>
      </w:r>
      <w:r>
        <w:rPr>
          <w:rFonts w:hint="eastAsia"/>
          <w:b/>
          <w:color w:val="auto"/>
          <w:highlight w:val="none"/>
        </w:rPr>
        <w:t>否则投标无效。</w:t>
      </w:r>
    </w:p>
    <w:p w14:paraId="568814AA">
      <w:pPr>
        <w:rPr>
          <w:color w:val="auto"/>
          <w:kern w:val="0"/>
          <w:highlight w:val="none"/>
        </w:rPr>
      </w:pPr>
    </w:p>
    <w:p w14:paraId="59B04DB2">
      <w:pPr>
        <w:rPr>
          <w:color w:val="auto"/>
          <w:highlight w:val="none"/>
        </w:rPr>
      </w:pPr>
      <w:r>
        <w:rPr>
          <w:rFonts w:hint="eastAsia"/>
          <w:color w:val="auto"/>
          <w:highlight w:val="none"/>
        </w:rPr>
        <w:t xml:space="preserve">法定代表人（或负责人）或者委托代理人（签字或电子签名）： </w:t>
      </w:r>
    </w:p>
    <w:p w14:paraId="29ED4F6A">
      <w:pPr>
        <w:rPr>
          <w:color w:val="auto"/>
          <w:highlight w:val="none"/>
        </w:rPr>
      </w:pPr>
      <w:r>
        <w:rPr>
          <w:rFonts w:hint="eastAsia"/>
          <w:color w:val="auto"/>
          <w:highlight w:val="none"/>
        </w:rPr>
        <w:t xml:space="preserve">                                  投标人名称（电子签章）：</w:t>
      </w:r>
    </w:p>
    <w:p w14:paraId="156DEE6A">
      <w:pPr>
        <w:rPr>
          <w:color w:val="auto"/>
          <w:highlight w:val="none"/>
        </w:rPr>
      </w:pPr>
      <w:r>
        <w:rPr>
          <w:rFonts w:hint="eastAsia"/>
          <w:color w:val="auto"/>
          <w:highlight w:val="none"/>
        </w:rPr>
        <w:t xml:space="preserve">                                  日期：    年   月   日</w:t>
      </w:r>
    </w:p>
    <w:p w14:paraId="7A3A5F5C">
      <w:pPr>
        <w:numPr>
          <w:ilvl w:val="0"/>
          <w:numId w:val="0"/>
        </w:numPr>
        <w:rPr>
          <w:rFonts w:hint="eastAsia"/>
          <w:color w:val="auto"/>
          <w:highlight w:val="none"/>
        </w:rPr>
      </w:pPr>
      <w:r>
        <w:rPr>
          <w:bCs/>
          <w:color w:val="auto"/>
          <w:sz w:val="24"/>
          <w:szCs w:val="24"/>
          <w:highlight w:val="none"/>
        </w:rPr>
        <w:br w:type="page"/>
      </w:r>
      <w:bookmarkStart w:id="145" w:name="_Toc19686837"/>
      <w:r>
        <w:rPr>
          <w:rFonts w:hint="eastAsia"/>
          <w:bCs/>
          <w:color w:val="auto"/>
          <w:sz w:val="24"/>
          <w:szCs w:val="24"/>
          <w:highlight w:val="none"/>
          <w:lang w:val="en-US" w:eastAsia="zh-CN"/>
        </w:rPr>
        <w:t>3.</w:t>
      </w:r>
      <w:r>
        <w:rPr>
          <w:rFonts w:hint="eastAsia"/>
          <w:color w:val="auto"/>
          <w:highlight w:val="none"/>
        </w:rPr>
        <w:t>投标人针对报价需要说明的其他文件和说明（</w:t>
      </w:r>
      <w:r>
        <w:rPr>
          <w:rFonts w:hint="eastAsia"/>
          <w:color w:val="auto"/>
          <w:highlight w:val="none"/>
          <w:lang w:eastAsia="zh-CN"/>
        </w:rPr>
        <w:t>如有，</w:t>
      </w:r>
      <w:r>
        <w:rPr>
          <w:rFonts w:hint="eastAsia"/>
          <w:color w:val="auto"/>
          <w:highlight w:val="none"/>
        </w:rPr>
        <w:t>格式自拟）</w:t>
      </w:r>
    </w:p>
    <w:p w14:paraId="7102338E">
      <w:pPr>
        <w:numPr>
          <w:ilvl w:val="0"/>
          <w:numId w:val="0"/>
        </w:numPr>
        <w:rPr>
          <w:rFonts w:hint="eastAsia"/>
          <w:color w:val="auto"/>
          <w:highlight w:val="none"/>
        </w:rPr>
      </w:pPr>
    </w:p>
    <w:p w14:paraId="556EFBB3">
      <w:pPr>
        <w:numPr>
          <w:ilvl w:val="0"/>
          <w:numId w:val="0"/>
        </w:numPr>
        <w:rPr>
          <w:rFonts w:hint="eastAsia"/>
          <w:color w:val="auto"/>
          <w:highlight w:val="none"/>
        </w:rPr>
      </w:pPr>
    </w:p>
    <w:p w14:paraId="5C5C6E6F">
      <w:pPr>
        <w:rPr>
          <w:rFonts w:hint="eastAsia"/>
          <w:color w:val="auto"/>
          <w:highlight w:val="none"/>
        </w:rPr>
      </w:pPr>
      <w:r>
        <w:rPr>
          <w:rFonts w:hint="eastAsia"/>
          <w:color w:val="auto"/>
          <w:highlight w:val="none"/>
        </w:rPr>
        <w:br w:type="page"/>
      </w:r>
    </w:p>
    <w:p w14:paraId="38EA7541">
      <w:pPr>
        <w:numPr>
          <w:ilvl w:val="0"/>
          <w:numId w:val="0"/>
        </w:numPr>
        <w:rPr>
          <w:b/>
          <w:bCs/>
          <w:color w:val="auto"/>
          <w:highlight w:val="none"/>
        </w:rPr>
      </w:pPr>
      <w:r>
        <w:rPr>
          <w:rFonts w:hint="eastAsia"/>
          <w:b/>
          <w:bCs/>
          <w:color w:val="auto"/>
          <w:highlight w:val="none"/>
        </w:rPr>
        <w:t>二、资格证明文件格式</w:t>
      </w:r>
      <w:bookmarkEnd w:id="143"/>
      <w:bookmarkEnd w:id="144"/>
      <w:bookmarkEnd w:id="145"/>
    </w:p>
    <w:p w14:paraId="4F55ED5D">
      <w:pPr>
        <w:rPr>
          <w:color w:val="auto"/>
          <w:highlight w:val="none"/>
        </w:rPr>
      </w:pPr>
      <w:r>
        <w:rPr>
          <w:rFonts w:hint="eastAsia"/>
          <w:color w:val="auto"/>
          <w:highlight w:val="none"/>
        </w:rPr>
        <w:t xml:space="preserve">资格证明文件封面格式： </w:t>
      </w:r>
    </w:p>
    <w:p w14:paraId="480E42A2">
      <w:pPr>
        <w:rPr>
          <w:color w:val="auto"/>
          <w:highlight w:val="none"/>
        </w:rPr>
      </w:pPr>
    </w:p>
    <w:p w14:paraId="2869BFB9">
      <w:pPr>
        <w:ind w:firstLine="560"/>
        <w:jc w:val="center"/>
        <w:rPr>
          <w:color w:val="auto"/>
          <w:sz w:val="28"/>
          <w:szCs w:val="28"/>
          <w:highlight w:val="none"/>
        </w:rPr>
      </w:pPr>
      <w:r>
        <w:rPr>
          <w:rFonts w:hint="eastAsia"/>
          <w:color w:val="auto"/>
          <w:sz w:val="28"/>
          <w:szCs w:val="28"/>
          <w:highlight w:val="none"/>
        </w:rPr>
        <w:t>电子投标文件</w:t>
      </w:r>
    </w:p>
    <w:p w14:paraId="7C5437C3">
      <w:pPr>
        <w:ind w:firstLine="560"/>
        <w:jc w:val="center"/>
        <w:rPr>
          <w:color w:val="auto"/>
          <w:kern w:val="0"/>
          <w:sz w:val="28"/>
          <w:szCs w:val="28"/>
          <w:highlight w:val="none"/>
        </w:rPr>
      </w:pPr>
    </w:p>
    <w:p w14:paraId="2CCDD8D9">
      <w:pPr>
        <w:ind w:firstLine="560"/>
        <w:jc w:val="center"/>
        <w:rPr>
          <w:color w:val="auto"/>
          <w:sz w:val="28"/>
          <w:szCs w:val="28"/>
          <w:highlight w:val="none"/>
        </w:rPr>
      </w:pPr>
      <w:r>
        <w:rPr>
          <w:rFonts w:hint="eastAsia"/>
          <w:color w:val="auto"/>
          <w:sz w:val="28"/>
          <w:szCs w:val="28"/>
          <w:highlight w:val="none"/>
        </w:rPr>
        <w:t>资格证明文件</w:t>
      </w:r>
    </w:p>
    <w:p w14:paraId="231BF850">
      <w:pPr>
        <w:rPr>
          <w:color w:val="auto"/>
          <w:highlight w:val="none"/>
        </w:rPr>
      </w:pPr>
    </w:p>
    <w:p w14:paraId="078D8D54">
      <w:pPr>
        <w:rPr>
          <w:color w:val="auto"/>
          <w:highlight w:val="none"/>
        </w:rPr>
      </w:pPr>
    </w:p>
    <w:p w14:paraId="0C9F03D2">
      <w:pPr>
        <w:rPr>
          <w:color w:val="auto"/>
          <w:highlight w:val="none"/>
        </w:rPr>
      </w:pPr>
    </w:p>
    <w:p w14:paraId="0CDDEEE2">
      <w:pPr>
        <w:rPr>
          <w:color w:val="auto"/>
          <w:highlight w:val="none"/>
        </w:rPr>
      </w:pPr>
    </w:p>
    <w:p w14:paraId="6AF2E3AA">
      <w:pPr>
        <w:rPr>
          <w:color w:val="auto"/>
          <w:highlight w:val="none"/>
        </w:rPr>
      </w:pPr>
    </w:p>
    <w:p w14:paraId="79D993E2">
      <w:pPr>
        <w:rPr>
          <w:color w:val="auto"/>
          <w:highlight w:val="none"/>
        </w:rPr>
      </w:pPr>
    </w:p>
    <w:p w14:paraId="4FA89192">
      <w:pPr>
        <w:rPr>
          <w:color w:val="auto"/>
          <w:highlight w:val="none"/>
        </w:rPr>
      </w:pPr>
    </w:p>
    <w:p w14:paraId="579E7414">
      <w:pPr>
        <w:rPr>
          <w:color w:val="auto"/>
          <w:highlight w:val="none"/>
        </w:rPr>
      </w:pPr>
      <w:r>
        <w:rPr>
          <w:rFonts w:hint="eastAsia"/>
          <w:color w:val="auto"/>
          <w:highlight w:val="none"/>
        </w:rPr>
        <w:t>项目名称：</w:t>
      </w:r>
    </w:p>
    <w:p w14:paraId="6DEC24E4">
      <w:pPr>
        <w:rPr>
          <w:color w:val="auto"/>
          <w:highlight w:val="none"/>
        </w:rPr>
      </w:pPr>
    </w:p>
    <w:p w14:paraId="1F965BB6">
      <w:pPr>
        <w:rPr>
          <w:color w:val="auto"/>
          <w:highlight w:val="none"/>
        </w:rPr>
      </w:pPr>
      <w:r>
        <w:rPr>
          <w:rFonts w:hint="eastAsia"/>
          <w:color w:val="auto"/>
          <w:highlight w:val="none"/>
        </w:rPr>
        <w:t>项目编号：</w:t>
      </w:r>
    </w:p>
    <w:p w14:paraId="5E59413F">
      <w:pPr>
        <w:rPr>
          <w:color w:val="auto"/>
          <w:szCs w:val="20"/>
          <w:highlight w:val="none"/>
        </w:rPr>
      </w:pPr>
      <w:r>
        <w:rPr>
          <w:rFonts w:hint="eastAsia"/>
          <w:color w:val="auto"/>
          <w:highlight w:val="none"/>
        </w:rPr>
        <w:t xml:space="preserve"> </w:t>
      </w:r>
    </w:p>
    <w:p w14:paraId="0AE3B9BE">
      <w:pPr>
        <w:rPr>
          <w:color w:val="auto"/>
          <w:highlight w:val="none"/>
        </w:rPr>
      </w:pPr>
      <w:r>
        <w:rPr>
          <w:rFonts w:hint="eastAsia"/>
          <w:color w:val="auto"/>
          <w:highlight w:val="none"/>
        </w:rPr>
        <w:t>所投分标：无，则写“/”</w:t>
      </w:r>
    </w:p>
    <w:p w14:paraId="1DDB94BF">
      <w:pPr>
        <w:rPr>
          <w:color w:val="auto"/>
          <w:highlight w:val="none"/>
        </w:rPr>
      </w:pPr>
    </w:p>
    <w:p w14:paraId="6ECDF9C3">
      <w:pPr>
        <w:rPr>
          <w:color w:val="auto"/>
          <w:highlight w:val="none"/>
        </w:rPr>
      </w:pPr>
      <w:r>
        <w:rPr>
          <w:rFonts w:hint="eastAsia"/>
          <w:color w:val="auto"/>
          <w:highlight w:val="none"/>
        </w:rPr>
        <w:t>投标人名称：</w:t>
      </w:r>
    </w:p>
    <w:p w14:paraId="2B4317A9">
      <w:pPr>
        <w:rPr>
          <w:color w:val="auto"/>
          <w:highlight w:val="none"/>
        </w:rPr>
      </w:pPr>
    </w:p>
    <w:p w14:paraId="47A258A1">
      <w:pPr>
        <w:rPr>
          <w:color w:val="auto"/>
          <w:highlight w:val="none"/>
        </w:rPr>
      </w:pPr>
    </w:p>
    <w:p w14:paraId="10CE9A20">
      <w:pPr>
        <w:rPr>
          <w:color w:val="auto"/>
          <w:highlight w:val="none"/>
        </w:rPr>
      </w:pPr>
      <w:r>
        <w:rPr>
          <w:rFonts w:hint="eastAsia" w:cs="FangSong_GB2312" w:asciiTheme="minorEastAsia" w:hAnsiTheme="minorEastAsia" w:eastAsiaTheme="minorEastAsia"/>
          <w:color w:val="auto"/>
          <w:szCs w:val="21"/>
          <w:highlight w:val="none"/>
          <w:lang w:eastAsia="zh-CN"/>
        </w:rPr>
        <w:t>日期：</w:t>
      </w:r>
      <w:r>
        <w:rPr>
          <w:rFonts w:hint="eastAsia" w:cs="FangSong_GB2312" w:asciiTheme="minorEastAsia" w:hAnsiTheme="minorEastAsia" w:eastAsiaTheme="minorEastAsia"/>
          <w:color w:val="auto"/>
          <w:szCs w:val="21"/>
          <w:highlight w:val="none"/>
          <w:lang w:val="en-US" w:eastAsia="zh-CN"/>
        </w:rPr>
        <w:t xml:space="preserve">  </w:t>
      </w:r>
      <w:r>
        <w:rPr>
          <w:rFonts w:hint="eastAsia" w:cs="FangSong_GB2312" w:asciiTheme="minorEastAsia" w:hAnsiTheme="minorEastAsia" w:eastAsiaTheme="minorEastAsia"/>
          <w:color w:val="auto"/>
          <w:szCs w:val="21"/>
          <w:highlight w:val="none"/>
        </w:rPr>
        <w:t>年  月  日</w:t>
      </w:r>
      <w:r>
        <w:rPr>
          <w:color w:val="auto"/>
          <w:highlight w:val="none"/>
        </w:rPr>
        <w:t xml:space="preserve"> </w:t>
      </w:r>
    </w:p>
    <w:p w14:paraId="5E37949C">
      <w:pPr>
        <w:rPr>
          <w:color w:val="auto"/>
          <w:highlight w:val="none"/>
        </w:rPr>
      </w:pPr>
    </w:p>
    <w:p w14:paraId="59AF46BD">
      <w:pPr>
        <w:rPr>
          <w:color w:val="auto"/>
          <w:szCs w:val="20"/>
          <w:highlight w:val="none"/>
        </w:rPr>
      </w:pPr>
      <w:r>
        <w:rPr>
          <w:color w:val="auto"/>
          <w:highlight w:val="none"/>
        </w:rPr>
        <w:br w:type="page"/>
      </w:r>
      <w:r>
        <w:rPr>
          <w:rFonts w:hint="eastAsia"/>
          <w:color w:val="auto"/>
          <w:highlight w:val="none"/>
        </w:rPr>
        <w:t>资格证明文件目录</w:t>
      </w:r>
    </w:p>
    <w:p w14:paraId="2D904A7E">
      <w:pPr>
        <w:rPr>
          <w:color w:val="auto"/>
          <w:highlight w:val="none"/>
        </w:rPr>
      </w:pPr>
      <w:r>
        <w:rPr>
          <w:rFonts w:hint="eastAsia"/>
          <w:color w:val="auto"/>
          <w:highlight w:val="none"/>
        </w:rPr>
        <w:t>根据招标文件规定及投标人提供的材料自行编写目录。</w:t>
      </w:r>
    </w:p>
    <w:p w14:paraId="6B7F377C">
      <w:pPr>
        <w:rPr>
          <w:color w:val="auto"/>
          <w:highlight w:val="none"/>
        </w:rPr>
      </w:pPr>
    </w:p>
    <w:p w14:paraId="355882A2">
      <w:pPr>
        <w:rPr>
          <w:color w:val="auto"/>
          <w:highlight w:val="none"/>
        </w:rPr>
      </w:pPr>
    </w:p>
    <w:p w14:paraId="3EA63E68">
      <w:pPr>
        <w:ind w:firstLine="480"/>
        <w:rPr>
          <w:color w:val="auto"/>
          <w:sz w:val="24"/>
          <w:szCs w:val="24"/>
          <w:highlight w:val="none"/>
        </w:rPr>
      </w:pPr>
      <w:r>
        <w:rPr>
          <w:color w:val="auto"/>
          <w:sz w:val="24"/>
          <w:szCs w:val="24"/>
          <w:highlight w:val="none"/>
        </w:rPr>
        <w:br w:type="page"/>
      </w:r>
    </w:p>
    <w:p w14:paraId="6C5CA7E3">
      <w:pPr>
        <w:numPr>
          <w:ilvl w:val="0"/>
          <w:numId w:val="7"/>
        </w:numPr>
        <w:rPr>
          <w:rFonts w:hint="eastAsia"/>
          <w:color w:val="auto"/>
          <w:highlight w:val="none"/>
        </w:rPr>
      </w:pPr>
      <w:r>
        <w:rPr>
          <w:rFonts w:hint="eastAsia"/>
          <w:color w:val="auto"/>
          <w:highlight w:val="none"/>
        </w:rPr>
        <w:t>投标人为法人或者其他组织的，提供营业执照等证明文件（如营业执照或者事业单位法人证书或者</w:t>
      </w:r>
      <w:r>
        <w:rPr>
          <w:color w:val="auto"/>
          <w:sz w:val="22"/>
          <w:highlight w:val="none"/>
          <w:lang w:val="zh-CN" w:bidi="zh-CN"/>
        </w:rPr>
        <w:t>执业许可证</w:t>
      </w:r>
      <w:r>
        <w:rPr>
          <w:rFonts w:hint="eastAsia"/>
          <w:color w:val="auto"/>
          <w:highlight w:val="none"/>
        </w:rPr>
        <w:t>或者登记证书等），投标人为自然人的，提供身份证复印件；（</w:t>
      </w:r>
      <w:r>
        <w:rPr>
          <w:rFonts w:hint="eastAsia"/>
          <w:b/>
          <w:color w:val="auto"/>
          <w:highlight w:val="none"/>
        </w:rPr>
        <w:t>必须提供，否则按无效投标处理</w:t>
      </w:r>
      <w:r>
        <w:rPr>
          <w:rFonts w:hint="eastAsia"/>
          <w:color w:val="auto"/>
          <w:highlight w:val="none"/>
        </w:rPr>
        <w:t>）</w:t>
      </w:r>
    </w:p>
    <w:p w14:paraId="4B656B19">
      <w:pPr>
        <w:widowControl w:val="0"/>
        <w:numPr>
          <w:ilvl w:val="0"/>
          <w:numId w:val="0"/>
        </w:numPr>
        <w:spacing w:line="360" w:lineRule="auto"/>
        <w:jc w:val="both"/>
        <w:rPr>
          <w:rFonts w:hint="eastAsia"/>
          <w:color w:val="auto"/>
          <w:highlight w:val="none"/>
        </w:rPr>
      </w:pPr>
    </w:p>
    <w:p w14:paraId="43DEB581">
      <w:pPr>
        <w:widowControl w:val="0"/>
        <w:numPr>
          <w:ilvl w:val="0"/>
          <w:numId w:val="0"/>
        </w:numPr>
        <w:spacing w:line="360" w:lineRule="auto"/>
        <w:jc w:val="both"/>
        <w:rPr>
          <w:rFonts w:hint="eastAsia"/>
          <w:color w:val="auto"/>
          <w:highlight w:val="none"/>
        </w:rPr>
      </w:pPr>
    </w:p>
    <w:p w14:paraId="116CADC2">
      <w:pPr>
        <w:rPr>
          <w:rFonts w:cs="Courier New"/>
          <w:b/>
          <w:color w:val="auto"/>
          <w:highlight w:val="none"/>
        </w:rPr>
      </w:pPr>
      <w:r>
        <w:rPr>
          <w:rFonts w:hint="eastAsia"/>
          <w:color w:val="auto"/>
          <w:highlight w:val="none"/>
        </w:rPr>
        <w:t>2.投标人依法缴纳税收的相关材料（</w:t>
      </w:r>
      <w:r>
        <w:rPr>
          <w:rFonts w:hint="eastAsia"/>
          <w:color w:val="auto"/>
          <w:highlight w:val="none"/>
          <w:lang w:eastAsia="zh-CN"/>
        </w:rPr>
        <w:t>2025年2月至2025年4月</w:t>
      </w:r>
      <w:r>
        <w:rPr>
          <w:rFonts w:hint="eastAsia"/>
          <w:color w:val="auto"/>
          <w:highlight w:val="none"/>
        </w:rPr>
        <w:t>内任意</w:t>
      </w:r>
      <w:r>
        <w:rPr>
          <w:rFonts w:hint="eastAsia"/>
          <w:color w:val="auto"/>
          <w:highlight w:val="none"/>
          <w:u w:val="single"/>
        </w:rPr>
        <w:t xml:space="preserve"> 1</w:t>
      </w:r>
      <w:r>
        <w:rPr>
          <w:rFonts w:hint="eastAsia"/>
          <w:color w:val="auto"/>
          <w:highlight w:val="none"/>
        </w:rPr>
        <w:t>个月的依法缴纳税收的凭据复印件；</w:t>
      </w:r>
      <w:r>
        <w:rPr>
          <w:rFonts w:hint="eastAsia" w:cs="Times New Roman"/>
          <w:color w:val="auto"/>
          <w:highlight w:val="none"/>
        </w:rPr>
        <w:t>依法免税的供应商，必须提供相应文件证明其依法免税。</w:t>
      </w:r>
      <w:r>
        <w:rPr>
          <w:rFonts w:hint="eastAsia"/>
          <w:color w:val="auto"/>
          <w:highlight w:val="none"/>
        </w:rPr>
        <w:t>从</w:t>
      </w:r>
      <w:r>
        <w:rPr>
          <w:rFonts w:hint="eastAsia" w:cs="Times New Roman"/>
          <w:color w:val="auto"/>
          <w:highlight w:val="none"/>
        </w:rPr>
        <w:t>成立之日</w:t>
      </w:r>
      <w:r>
        <w:rPr>
          <w:rFonts w:hint="eastAsia"/>
          <w:color w:val="auto"/>
          <w:highlight w:val="none"/>
        </w:rPr>
        <w:t>起到投标文件提交截止时间止不足要求月数的，只需提供从</w:t>
      </w:r>
      <w:r>
        <w:rPr>
          <w:rFonts w:hint="eastAsia" w:cs="Times New Roman"/>
          <w:color w:val="auto"/>
          <w:highlight w:val="none"/>
        </w:rPr>
        <w:t>成立之日起</w:t>
      </w:r>
      <w:r>
        <w:rPr>
          <w:rFonts w:hint="eastAsia"/>
          <w:color w:val="auto"/>
          <w:highlight w:val="none"/>
        </w:rPr>
        <w:t>的依法缴纳税收</w:t>
      </w:r>
      <w:r>
        <w:rPr>
          <w:rFonts w:hint="eastAsia" w:cs="Times New Roman"/>
          <w:color w:val="auto"/>
          <w:highlight w:val="none"/>
        </w:rPr>
        <w:t>相应证明文件</w:t>
      </w:r>
      <w:r>
        <w:rPr>
          <w:rFonts w:hint="eastAsia"/>
          <w:color w:val="auto"/>
          <w:highlight w:val="none"/>
        </w:rPr>
        <w:t>）</w:t>
      </w:r>
      <w:r>
        <w:rPr>
          <w:rFonts w:hint="eastAsia" w:cs="Times New Roman"/>
          <w:color w:val="auto"/>
          <w:highlight w:val="none"/>
        </w:rPr>
        <w:t>；（</w:t>
      </w:r>
      <w:r>
        <w:rPr>
          <w:rFonts w:hint="eastAsia" w:cs="Times New Roman"/>
          <w:b/>
          <w:color w:val="auto"/>
          <w:highlight w:val="none"/>
        </w:rPr>
        <w:t>必须提供，否则按无效投标处理</w:t>
      </w:r>
      <w:r>
        <w:rPr>
          <w:rFonts w:hint="eastAsia" w:cs="Times New Roman"/>
          <w:color w:val="auto"/>
          <w:highlight w:val="none"/>
        </w:rPr>
        <w:t>）</w:t>
      </w:r>
    </w:p>
    <w:p w14:paraId="12B3E4F4">
      <w:pPr>
        <w:rPr>
          <w:rFonts w:hint="eastAsia"/>
          <w:color w:val="auto"/>
          <w:highlight w:val="none"/>
        </w:rPr>
      </w:pPr>
    </w:p>
    <w:p w14:paraId="419F68FC">
      <w:pPr>
        <w:rPr>
          <w:rFonts w:hint="eastAsia"/>
          <w:color w:val="auto"/>
          <w:highlight w:val="none"/>
        </w:rPr>
      </w:pPr>
    </w:p>
    <w:p w14:paraId="7D4DBB4F">
      <w:pPr>
        <w:rPr>
          <w:rFonts w:cs="Courier New"/>
          <w:b/>
          <w:color w:val="auto"/>
          <w:highlight w:val="none"/>
        </w:rPr>
      </w:pPr>
      <w:r>
        <w:rPr>
          <w:rFonts w:hint="eastAsia"/>
          <w:color w:val="auto"/>
          <w:highlight w:val="none"/>
        </w:rPr>
        <w:t>3.投标人依法缴纳社会保障资金的相关材料</w:t>
      </w:r>
      <w:r>
        <w:rPr>
          <w:rFonts w:hint="eastAsia"/>
          <w:color w:val="auto"/>
          <w:highlight w:val="none"/>
          <w:lang w:eastAsia="zh-CN"/>
        </w:rPr>
        <w:t>2025年2月至2025年4月</w:t>
      </w:r>
      <w:r>
        <w:rPr>
          <w:rFonts w:hint="eastAsia"/>
          <w:color w:val="auto"/>
          <w:highlight w:val="none"/>
        </w:rPr>
        <w:t>内任意</w:t>
      </w:r>
      <w:r>
        <w:rPr>
          <w:rFonts w:hint="eastAsia"/>
          <w:color w:val="auto"/>
          <w:highlight w:val="none"/>
          <w:u w:val="single"/>
        </w:rPr>
        <w:t>1</w:t>
      </w:r>
      <w:r>
        <w:rPr>
          <w:rFonts w:hint="eastAsia"/>
          <w:color w:val="auto"/>
          <w:highlight w:val="none"/>
        </w:rPr>
        <w:t>个月的依法缴纳社会保障资金的缴费凭证（专用收据或者社会保险缴纳清单）复印件；</w:t>
      </w:r>
      <w:r>
        <w:rPr>
          <w:rFonts w:hint="eastAsia" w:cs="Times New Roman"/>
          <w:color w:val="auto"/>
          <w:highlight w:val="none"/>
        </w:rPr>
        <w:t>依法不需要缴纳社会保障资金的供应商，必须提供相应文件证明不需要缴纳社会保障资金。</w:t>
      </w:r>
      <w:r>
        <w:rPr>
          <w:rFonts w:hint="eastAsia"/>
          <w:color w:val="auto"/>
          <w:highlight w:val="none"/>
        </w:rPr>
        <w:t>从</w:t>
      </w:r>
      <w:r>
        <w:rPr>
          <w:rFonts w:hint="eastAsia" w:cs="Times New Roman"/>
          <w:color w:val="auto"/>
          <w:highlight w:val="none"/>
        </w:rPr>
        <w:t>成立之日起</w:t>
      </w:r>
      <w:r>
        <w:rPr>
          <w:rFonts w:hint="eastAsia"/>
          <w:color w:val="auto"/>
          <w:highlight w:val="none"/>
        </w:rPr>
        <w:t>到投标文件提交截止时间止不足要求月数的只需提供从</w:t>
      </w:r>
      <w:r>
        <w:rPr>
          <w:rFonts w:hint="eastAsia" w:cs="Times New Roman"/>
          <w:color w:val="auto"/>
          <w:highlight w:val="none"/>
        </w:rPr>
        <w:t>成立之日起</w:t>
      </w:r>
      <w:r>
        <w:rPr>
          <w:rFonts w:hint="eastAsia"/>
          <w:color w:val="auto"/>
          <w:highlight w:val="none"/>
        </w:rPr>
        <w:t>的依法缴纳社会保障资金的</w:t>
      </w:r>
      <w:r>
        <w:rPr>
          <w:rFonts w:hint="eastAsia" w:cs="Times New Roman"/>
          <w:color w:val="auto"/>
          <w:highlight w:val="none"/>
        </w:rPr>
        <w:t>相应证明文件</w:t>
      </w:r>
      <w:r>
        <w:rPr>
          <w:rFonts w:hint="eastAsia"/>
          <w:color w:val="auto"/>
          <w:highlight w:val="none"/>
        </w:rPr>
        <w:t>]</w:t>
      </w:r>
      <w:r>
        <w:rPr>
          <w:rFonts w:hint="eastAsia" w:cs="Times New Roman"/>
          <w:color w:val="auto"/>
          <w:highlight w:val="none"/>
        </w:rPr>
        <w:t>；（</w:t>
      </w:r>
      <w:r>
        <w:rPr>
          <w:rFonts w:hint="eastAsia" w:cs="Times New Roman"/>
          <w:b/>
          <w:color w:val="auto"/>
          <w:highlight w:val="none"/>
        </w:rPr>
        <w:t>必须提供，否则按无效投标处理</w:t>
      </w:r>
      <w:r>
        <w:rPr>
          <w:rFonts w:hint="eastAsia" w:cs="Times New Roman"/>
          <w:color w:val="auto"/>
          <w:highlight w:val="none"/>
        </w:rPr>
        <w:t>）</w:t>
      </w:r>
    </w:p>
    <w:p w14:paraId="6D6307BD">
      <w:pPr>
        <w:ind w:firstLine="480"/>
        <w:rPr>
          <w:rFonts w:hint="eastAsia"/>
          <w:color w:val="auto"/>
          <w:highlight w:val="none"/>
        </w:rPr>
      </w:pPr>
    </w:p>
    <w:p w14:paraId="25242303">
      <w:pPr>
        <w:ind w:firstLine="480"/>
        <w:rPr>
          <w:rFonts w:hint="eastAsia"/>
          <w:color w:val="auto"/>
          <w:highlight w:val="none"/>
        </w:rPr>
      </w:pPr>
    </w:p>
    <w:p w14:paraId="5EB41940">
      <w:pPr>
        <w:ind w:firstLine="480"/>
        <w:rPr>
          <w:color w:val="auto"/>
          <w:sz w:val="24"/>
          <w:szCs w:val="24"/>
          <w:highlight w:val="none"/>
        </w:rPr>
      </w:pPr>
      <w:r>
        <w:rPr>
          <w:rFonts w:hint="eastAsia"/>
          <w:color w:val="auto"/>
          <w:highlight w:val="none"/>
        </w:rPr>
        <w:t>4.投标人财务状况报告（</w:t>
      </w:r>
      <w:r>
        <w:rPr>
          <w:rFonts w:hint="eastAsia"/>
          <w:color w:val="auto"/>
          <w:highlight w:val="none"/>
          <w:u w:val="single"/>
          <w:lang w:eastAsia="zh-CN"/>
        </w:rPr>
        <w:t>2024年度</w:t>
      </w:r>
      <w:r>
        <w:rPr>
          <w:rFonts w:hint="eastAsia"/>
          <w:color w:val="auto"/>
          <w:highlight w:val="none"/>
        </w:rPr>
        <w:t>财务报表复印件或者银行出具的资信证明；投标人属于成立时间</w:t>
      </w:r>
      <w:r>
        <w:rPr>
          <w:rFonts w:hint="eastAsia"/>
          <w:color w:val="auto"/>
          <w:kern w:val="0"/>
          <w:highlight w:val="none"/>
        </w:rPr>
        <w:t>在规定年度之后</w:t>
      </w:r>
      <w:r>
        <w:rPr>
          <w:rFonts w:hint="eastAsia"/>
          <w:color w:val="auto"/>
          <w:highlight w:val="none"/>
        </w:rPr>
        <w:t>的法人或其他组织，需提供成立之日起至投标截止时间前的月报表或银行出具的资信证明；资信证明应在有效期内，未注明有效期的，银行出具时间至投标截止时间不超过一年）；（</w:t>
      </w:r>
      <w:r>
        <w:rPr>
          <w:rFonts w:hint="eastAsia"/>
          <w:b/>
          <w:color w:val="auto"/>
          <w:highlight w:val="none"/>
        </w:rPr>
        <w:t>必须提供，否则按无效投标处理</w:t>
      </w:r>
      <w:r>
        <w:rPr>
          <w:rFonts w:hint="eastAsia"/>
          <w:color w:val="auto"/>
          <w:highlight w:val="none"/>
        </w:rPr>
        <w:t>）</w:t>
      </w:r>
    </w:p>
    <w:p w14:paraId="7EEEE3EC">
      <w:pPr>
        <w:ind w:firstLine="480"/>
        <w:rPr>
          <w:rFonts w:hint="eastAsia"/>
          <w:color w:val="auto"/>
          <w:highlight w:val="none"/>
          <w:lang w:val="en-US" w:eastAsia="zh-CN"/>
        </w:rPr>
      </w:pPr>
    </w:p>
    <w:p w14:paraId="320C5D26">
      <w:pPr>
        <w:ind w:firstLine="480"/>
        <w:rPr>
          <w:rFonts w:hint="eastAsia"/>
          <w:color w:val="auto"/>
          <w:highlight w:val="none"/>
          <w:lang w:val="en-US" w:eastAsia="zh-CN"/>
        </w:rPr>
      </w:pPr>
    </w:p>
    <w:p w14:paraId="5E5F9D05">
      <w:pPr>
        <w:rPr>
          <w:rFonts w:hint="eastAsia"/>
          <w:color w:val="auto"/>
          <w:highlight w:val="none"/>
          <w:lang w:val="en-US" w:eastAsia="zh-CN"/>
        </w:rPr>
      </w:pPr>
      <w:r>
        <w:rPr>
          <w:rFonts w:hint="eastAsia"/>
          <w:color w:val="auto"/>
          <w:highlight w:val="none"/>
          <w:lang w:val="en-US" w:eastAsia="zh-CN"/>
        </w:rPr>
        <w:br w:type="page"/>
      </w:r>
    </w:p>
    <w:p w14:paraId="5BD77F1E">
      <w:pPr>
        <w:ind w:firstLine="480"/>
        <w:rPr>
          <w:color w:val="auto"/>
          <w:sz w:val="24"/>
          <w:szCs w:val="24"/>
          <w:highlight w:val="none"/>
        </w:rPr>
      </w:pPr>
      <w:r>
        <w:rPr>
          <w:rFonts w:hint="eastAsia"/>
          <w:color w:val="auto"/>
          <w:highlight w:val="none"/>
          <w:lang w:val="en-US" w:eastAsia="zh-CN"/>
        </w:rPr>
        <w:t>5.</w:t>
      </w:r>
      <w:r>
        <w:rPr>
          <w:rFonts w:hint="eastAsia"/>
          <w:color w:val="auto"/>
          <w:highlight w:val="none"/>
        </w:rPr>
        <w:t>投标人直接控股、管理关系信息表</w:t>
      </w:r>
    </w:p>
    <w:p w14:paraId="7F4D8187">
      <w:pPr>
        <w:rPr>
          <w:color w:val="auto"/>
          <w:highlight w:val="none"/>
        </w:rPr>
      </w:pPr>
    </w:p>
    <w:p w14:paraId="5E6AC01E">
      <w:pPr>
        <w:ind w:firstLine="560"/>
        <w:jc w:val="center"/>
        <w:rPr>
          <w:color w:val="auto"/>
          <w:sz w:val="21"/>
          <w:szCs w:val="21"/>
          <w:highlight w:val="none"/>
        </w:rPr>
      </w:pPr>
      <w:r>
        <w:rPr>
          <w:rFonts w:hint="eastAsia"/>
          <w:color w:val="auto"/>
          <w:sz w:val="21"/>
          <w:szCs w:val="21"/>
          <w:highlight w:val="none"/>
          <w:lang w:val="en-US" w:eastAsia="zh-CN"/>
        </w:rPr>
        <w:t>5.1</w:t>
      </w:r>
      <w:r>
        <w:rPr>
          <w:rFonts w:hint="eastAsia"/>
          <w:color w:val="auto"/>
          <w:sz w:val="21"/>
          <w:szCs w:val="21"/>
          <w:highlight w:val="none"/>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06"/>
        <w:gridCol w:w="1134"/>
      </w:tblGrid>
      <w:tr w14:paraId="7BD0268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A02B3B">
            <w:pPr>
              <w:ind w:firstLine="0" w:firstLineChars="0"/>
              <w:rPr>
                <w:color w:val="auto"/>
                <w:kern w:val="0"/>
                <w:highlight w:val="none"/>
              </w:rPr>
            </w:pPr>
            <w:r>
              <w:rPr>
                <w:rFonts w:hint="eastAsia"/>
                <w:color w:val="auto"/>
                <w:kern w:val="0"/>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E982A76">
            <w:pPr>
              <w:ind w:firstLine="0" w:firstLineChars="0"/>
              <w:rPr>
                <w:color w:val="auto"/>
                <w:kern w:val="0"/>
                <w:highlight w:val="none"/>
              </w:rPr>
            </w:pPr>
            <w:r>
              <w:rPr>
                <w:rFonts w:hint="eastAsia"/>
                <w:color w:val="auto"/>
                <w:kern w:val="0"/>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A8792B">
            <w:pPr>
              <w:ind w:firstLine="0" w:firstLineChars="0"/>
              <w:rPr>
                <w:color w:val="auto"/>
                <w:kern w:val="0"/>
                <w:highlight w:val="none"/>
              </w:rPr>
            </w:pPr>
            <w:r>
              <w:rPr>
                <w:rFonts w:hint="eastAsia"/>
                <w:color w:val="auto"/>
                <w:kern w:val="0"/>
                <w:highlight w:val="none"/>
              </w:rPr>
              <w:t>出资比例</w:t>
            </w:r>
          </w:p>
        </w:tc>
        <w:tc>
          <w:tcPr>
            <w:tcW w:w="400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ACDDE3">
            <w:pPr>
              <w:ind w:firstLine="0" w:firstLineChars="0"/>
              <w:rPr>
                <w:color w:val="auto"/>
                <w:kern w:val="0"/>
                <w:highlight w:val="none"/>
              </w:rPr>
            </w:pPr>
            <w:r>
              <w:rPr>
                <w:rFonts w:hint="eastAsia"/>
                <w:color w:val="auto"/>
                <w:kern w:val="0"/>
                <w:highlight w:val="none"/>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B1B757">
            <w:pPr>
              <w:ind w:firstLine="0" w:firstLineChars="0"/>
              <w:rPr>
                <w:color w:val="auto"/>
                <w:kern w:val="0"/>
                <w:highlight w:val="none"/>
              </w:rPr>
            </w:pPr>
            <w:r>
              <w:rPr>
                <w:rFonts w:hint="eastAsia"/>
                <w:color w:val="auto"/>
                <w:kern w:val="0"/>
                <w:highlight w:val="none"/>
              </w:rPr>
              <w:t>备注</w:t>
            </w:r>
          </w:p>
        </w:tc>
      </w:tr>
      <w:tr w14:paraId="03712B6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E3D4B5">
            <w:pPr>
              <w:rPr>
                <w:color w:val="auto"/>
                <w:kern w:val="0"/>
                <w:highlight w:val="none"/>
              </w:rPr>
            </w:pPr>
            <w:r>
              <w:rPr>
                <w:rFonts w:hint="eastAsia"/>
                <w:color w:val="auto"/>
                <w:kern w:val="0"/>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2AAEBD">
            <w:pPr>
              <w:rPr>
                <w:color w:val="auto"/>
                <w:kern w:val="0"/>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95A27E">
            <w:pPr>
              <w:rPr>
                <w:color w:val="auto"/>
                <w:kern w:val="0"/>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E8AFB3">
            <w:pPr>
              <w:rPr>
                <w:color w:val="auto"/>
                <w:kern w:val="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A7C35A">
            <w:pPr>
              <w:rPr>
                <w:color w:val="auto"/>
                <w:kern w:val="0"/>
                <w:highlight w:val="none"/>
              </w:rPr>
            </w:pPr>
          </w:p>
        </w:tc>
      </w:tr>
      <w:tr w14:paraId="32795B1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AAB455">
            <w:pPr>
              <w:rPr>
                <w:color w:val="auto"/>
                <w:kern w:val="0"/>
                <w:highlight w:val="none"/>
              </w:rPr>
            </w:pPr>
            <w:r>
              <w:rPr>
                <w:rFonts w:hint="eastAsia"/>
                <w:color w:val="auto"/>
                <w:kern w:val="0"/>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46E9ED">
            <w:pPr>
              <w:rPr>
                <w:color w:val="auto"/>
                <w:kern w:val="0"/>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9364AC">
            <w:pPr>
              <w:rPr>
                <w:color w:val="auto"/>
                <w:kern w:val="0"/>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121D8F">
            <w:pPr>
              <w:rPr>
                <w:color w:val="auto"/>
                <w:kern w:val="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234DCD">
            <w:pPr>
              <w:rPr>
                <w:color w:val="auto"/>
                <w:kern w:val="0"/>
                <w:highlight w:val="none"/>
              </w:rPr>
            </w:pPr>
          </w:p>
        </w:tc>
      </w:tr>
      <w:tr w14:paraId="07D5E10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DE83A5">
            <w:pPr>
              <w:rPr>
                <w:color w:val="auto"/>
                <w:kern w:val="0"/>
                <w:highlight w:val="none"/>
              </w:rPr>
            </w:pPr>
            <w:r>
              <w:rPr>
                <w:rFonts w:hint="eastAsia"/>
                <w:color w:val="auto"/>
                <w:kern w:val="0"/>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512785">
            <w:pPr>
              <w:rPr>
                <w:color w:val="auto"/>
                <w:kern w:val="0"/>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FE8340">
            <w:pPr>
              <w:rPr>
                <w:color w:val="auto"/>
                <w:kern w:val="0"/>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63AC8B">
            <w:pPr>
              <w:rPr>
                <w:color w:val="auto"/>
                <w:kern w:val="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BB15AA">
            <w:pPr>
              <w:rPr>
                <w:color w:val="auto"/>
                <w:kern w:val="0"/>
                <w:highlight w:val="none"/>
              </w:rPr>
            </w:pPr>
          </w:p>
        </w:tc>
      </w:tr>
      <w:tr w14:paraId="3351222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055C1E">
            <w:pPr>
              <w:ind w:firstLine="0" w:firstLineChars="0"/>
              <w:rPr>
                <w:color w:val="auto"/>
                <w:kern w:val="0"/>
                <w:highlight w:val="none"/>
              </w:rPr>
            </w:pPr>
            <w:r>
              <w:rPr>
                <w:rFonts w:hint="eastAsia"/>
                <w:color w:val="auto"/>
                <w:kern w:val="0"/>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CD3A25">
            <w:pPr>
              <w:rPr>
                <w:color w:val="auto"/>
                <w:kern w:val="0"/>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9C219">
            <w:pPr>
              <w:rPr>
                <w:color w:val="auto"/>
                <w:kern w:val="0"/>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C3691C">
            <w:pPr>
              <w:rPr>
                <w:color w:val="auto"/>
                <w:kern w:val="0"/>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D4166B">
            <w:pPr>
              <w:rPr>
                <w:color w:val="auto"/>
                <w:kern w:val="0"/>
                <w:highlight w:val="none"/>
              </w:rPr>
            </w:pPr>
          </w:p>
        </w:tc>
      </w:tr>
    </w:tbl>
    <w:p w14:paraId="5C902451">
      <w:pPr>
        <w:rPr>
          <w:color w:val="auto"/>
          <w:highlight w:val="none"/>
        </w:rPr>
      </w:pPr>
      <w:r>
        <w:rPr>
          <w:rFonts w:hint="eastAsia"/>
          <w:color w:val="auto"/>
          <w:highlight w:val="none"/>
        </w:rPr>
        <w:t>注：</w:t>
      </w:r>
    </w:p>
    <w:p w14:paraId="5DC7DB60">
      <w:pPr>
        <w:rPr>
          <w:color w:val="auto"/>
          <w:highlight w:val="none"/>
        </w:rPr>
      </w:pPr>
      <w:r>
        <w:rPr>
          <w:rFonts w:hint="eastAsia"/>
          <w:color w:val="auto"/>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B4C7EA">
      <w:pPr>
        <w:rPr>
          <w:color w:val="auto"/>
          <w:highlight w:val="none"/>
        </w:rPr>
      </w:pPr>
      <w:r>
        <w:rPr>
          <w:rFonts w:hint="eastAsia"/>
          <w:color w:val="auto"/>
          <w:highlight w:val="none"/>
        </w:rPr>
        <w:t>2.本表所指的控股关系仅限于直接控股关系，不包括间接的控股关系。公司实际控制人与公司之间的关系不属于本表所指的直接控股关系。</w:t>
      </w:r>
    </w:p>
    <w:p w14:paraId="2E087FC7">
      <w:pPr>
        <w:rPr>
          <w:color w:val="auto"/>
          <w:highlight w:val="none"/>
        </w:rPr>
      </w:pPr>
      <w:r>
        <w:rPr>
          <w:rFonts w:hint="eastAsia"/>
          <w:color w:val="auto"/>
          <w:highlight w:val="none"/>
        </w:rPr>
        <w:t>3.供应商不存在直接控股股东的，则在“</w:t>
      </w:r>
      <w:r>
        <w:rPr>
          <w:rFonts w:hint="eastAsia"/>
          <w:b/>
          <w:bCs/>
          <w:color w:val="auto"/>
          <w:kern w:val="0"/>
          <w:highlight w:val="none"/>
        </w:rPr>
        <w:t>直接控股股东名称</w:t>
      </w:r>
      <w:r>
        <w:rPr>
          <w:rFonts w:hint="eastAsia"/>
          <w:color w:val="auto"/>
          <w:highlight w:val="none"/>
        </w:rPr>
        <w:t>”中填“无”。</w:t>
      </w:r>
    </w:p>
    <w:p w14:paraId="6821BF66">
      <w:pPr>
        <w:rPr>
          <w:color w:val="auto"/>
          <w:highlight w:val="none"/>
        </w:rPr>
      </w:pPr>
    </w:p>
    <w:p w14:paraId="60CB6DE2">
      <w:pPr>
        <w:rPr>
          <w:color w:val="auto"/>
          <w:highlight w:val="none"/>
        </w:rPr>
      </w:pPr>
    </w:p>
    <w:p w14:paraId="11AB69F1">
      <w:pPr>
        <w:rPr>
          <w:color w:val="auto"/>
          <w:highlight w:val="none"/>
        </w:rPr>
      </w:pPr>
    </w:p>
    <w:p w14:paraId="1F81BB96">
      <w:pPr>
        <w:rPr>
          <w:color w:val="auto"/>
          <w:highlight w:val="none"/>
        </w:rPr>
      </w:pPr>
      <w:r>
        <w:rPr>
          <w:rFonts w:hint="eastAsia"/>
          <w:color w:val="auto"/>
          <w:highlight w:val="none"/>
        </w:rPr>
        <w:t xml:space="preserve">法定代表人（或负责人）或者委托代理人（签字或电子签名）： </w:t>
      </w:r>
    </w:p>
    <w:p w14:paraId="1CA7246F">
      <w:pPr>
        <w:rPr>
          <w:color w:val="auto"/>
          <w:highlight w:val="none"/>
        </w:rPr>
      </w:pPr>
      <w:r>
        <w:rPr>
          <w:rFonts w:hint="eastAsia"/>
          <w:color w:val="auto"/>
          <w:highlight w:val="none"/>
        </w:rPr>
        <w:t xml:space="preserve">                                    投标人名称（电子签章）：</w:t>
      </w:r>
    </w:p>
    <w:p w14:paraId="2E2A2D53">
      <w:pPr>
        <w:rPr>
          <w:color w:val="auto"/>
          <w:highlight w:val="none"/>
        </w:rPr>
      </w:pPr>
      <w:r>
        <w:rPr>
          <w:rFonts w:hint="eastAsia"/>
          <w:color w:val="auto"/>
          <w:highlight w:val="none"/>
        </w:rPr>
        <w:t xml:space="preserve">                                    日期：    年   月   日</w:t>
      </w:r>
    </w:p>
    <w:p w14:paraId="3DD24DC8">
      <w:pPr>
        <w:rPr>
          <w:color w:val="auto"/>
          <w:highlight w:val="none"/>
        </w:rPr>
      </w:pPr>
    </w:p>
    <w:p w14:paraId="08EB8AF6">
      <w:pPr>
        <w:jc w:val="center"/>
        <w:rPr>
          <w:color w:val="auto"/>
          <w:sz w:val="28"/>
          <w:szCs w:val="28"/>
          <w:highlight w:val="none"/>
        </w:rPr>
      </w:pPr>
      <w:r>
        <w:rPr>
          <w:color w:val="auto"/>
          <w:highlight w:val="none"/>
        </w:rPr>
        <w:br w:type="page"/>
      </w:r>
      <w:r>
        <w:rPr>
          <w:rFonts w:hint="eastAsia"/>
          <w:color w:val="auto"/>
          <w:sz w:val="21"/>
          <w:szCs w:val="21"/>
          <w:highlight w:val="none"/>
          <w:lang w:val="en-US" w:eastAsia="zh-CN"/>
        </w:rPr>
        <w:t>5.2</w:t>
      </w:r>
      <w:r>
        <w:rPr>
          <w:rFonts w:hint="eastAsia"/>
          <w:color w:val="auto"/>
          <w:sz w:val="21"/>
          <w:szCs w:val="21"/>
          <w:highlight w:val="none"/>
        </w:rPr>
        <w:t>投标人直接管理关系信息表</w:t>
      </w:r>
    </w:p>
    <w:tbl>
      <w:tblPr>
        <w:tblStyle w:val="4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D3E97CD">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3624E6">
            <w:pPr>
              <w:ind w:firstLine="0" w:firstLineChars="0"/>
              <w:rPr>
                <w:color w:val="auto"/>
                <w:kern w:val="0"/>
                <w:highlight w:val="none"/>
              </w:rPr>
            </w:pPr>
            <w:r>
              <w:rPr>
                <w:rFonts w:hint="eastAsia"/>
                <w:color w:val="auto"/>
                <w:kern w:val="0"/>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8C65E36">
            <w:pPr>
              <w:ind w:firstLine="0" w:firstLineChars="0"/>
              <w:rPr>
                <w:color w:val="auto"/>
                <w:kern w:val="0"/>
                <w:highlight w:val="none"/>
              </w:rPr>
            </w:pPr>
            <w:r>
              <w:rPr>
                <w:rFonts w:hint="eastAsia"/>
                <w:color w:val="auto"/>
                <w:kern w:val="0"/>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8AEB53">
            <w:pPr>
              <w:ind w:firstLine="0" w:firstLineChars="0"/>
              <w:rPr>
                <w:color w:val="auto"/>
                <w:kern w:val="0"/>
                <w:highlight w:val="none"/>
              </w:rPr>
            </w:pPr>
            <w:r>
              <w:rPr>
                <w:rFonts w:hint="eastAsia"/>
                <w:color w:val="auto"/>
                <w:kern w:val="0"/>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FE62F7">
            <w:pPr>
              <w:ind w:firstLine="0" w:firstLineChars="0"/>
              <w:rPr>
                <w:color w:val="auto"/>
                <w:kern w:val="0"/>
                <w:highlight w:val="none"/>
              </w:rPr>
            </w:pPr>
            <w:r>
              <w:rPr>
                <w:rFonts w:hint="eastAsia"/>
                <w:color w:val="auto"/>
                <w:kern w:val="0"/>
                <w:highlight w:val="none"/>
              </w:rPr>
              <w:t>备注</w:t>
            </w:r>
          </w:p>
        </w:tc>
      </w:tr>
      <w:tr w14:paraId="08B25AB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28A658">
            <w:pPr>
              <w:rPr>
                <w:color w:val="auto"/>
                <w:kern w:val="0"/>
                <w:highlight w:val="none"/>
              </w:rPr>
            </w:pPr>
            <w:r>
              <w:rPr>
                <w:rFonts w:hint="eastAsia"/>
                <w:color w:val="auto"/>
                <w:kern w:val="0"/>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D52009">
            <w:pPr>
              <w:rPr>
                <w:color w:val="auto"/>
                <w:kern w:val="0"/>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5D40C9">
            <w:pPr>
              <w:rPr>
                <w:color w:val="auto"/>
                <w:kern w:val="0"/>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931447">
            <w:pPr>
              <w:rPr>
                <w:color w:val="auto"/>
                <w:kern w:val="0"/>
                <w:highlight w:val="none"/>
              </w:rPr>
            </w:pPr>
          </w:p>
        </w:tc>
      </w:tr>
      <w:tr w14:paraId="35D3C3E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E6B173">
            <w:pPr>
              <w:rPr>
                <w:color w:val="auto"/>
                <w:kern w:val="0"/>
                <w:highlight w:val="none"/>
              </w:rPr>
            </w:pPr>
            <w:r>
              <w:rPr>
                <w:rFonts w:hint="eastAsia"/>
                <w:color w:val="auto"/>
                <w:kern w:val="0"/>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C582BF">
            <w:pPr>
              <w:rPr>
                <w:color w:val="auto"/>
                <w:kern w:val="0"/>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3DD6B0">
            <w:pPr>
              <w:rPr>
                <w:color w:val="auto"/>
                <w:kern w:val="0"/>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B9FCED">
            <w:pPr>
              <w:rPr>
                <w:color w:val="auto"/>
                <w:kern w:val="0"/>
                <w:highlight w:val="none"/>
              </w:rPr>
            </w:pPr>
          </w:p>
        </w:tc>
      </w:tr>
      <w:tr w14:paraId="5DA66D8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DBD64">
            <w:pPr>
              <w:rPr>
                <w:color w:val="auto"/>
                <w:kern w:val="0"/>
                <w:highlight w:val="none"/>
              </w:rPr>
            </w:pPr>
            <w:r>
              <w:rPr>
                <w:rFonts w:hint="eastAsia"/>
                <w:color w:val="auto"/>
                <w:kern w:val="0"/>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801EFA">
            <w:pPr>
              <w:rPr>
                <w:color w:val="auto"/>
                <w:kern w:val="0"/>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5292CD">
            <w:pPr>
              <w:rPr>
                <w:color w:val="auto"/>
                <w:kern w:val="0"/>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DA4B2A">
            <w:pPr>
              <w:rPr>
                <w:color w:val="auto"/>
                <w:kern w:val="0"/>
                <w:highlight w:val="none"/>
              </w:rPr>
            </w:pPr>
          </w:p>
        </w:tc>
      </w:tr>
      <w:tr w14:paraId="4D8A3AE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458F7F">
            <w:pPr>
              <w:ind w:firstLine="0" w:firstLineChars="0"/>
              <w:rPr>
                <w:color w:val="auto"/>
                <w:kern w:val="0"/>
                <w:highlight w:val="none"/>
              </w:rPr>
            </w:pPr>
            <w:r>
              <w:rPr>
                <w:rFonts w:hint="eastAsia"/>
                <w:color w:val="auto"/>
                <w:kern w:val="0"/>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BB149E">
            <w:pPr>
              <w:rPr>
                <w:color w:val="auto"/>
                <w:kern w:val="0"/>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60CA88">
            <w:pPr>
              <w:rPr>
                <w:color w:val="auto"/>
                <w:kern w:val="0"/>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A523AE">
            <w:pPr>
              <w:rPr>
                <w:color w:val="auto"/>
                <w:kern w:val="0"/>
                <w:highlight w:val="none"/>
              </w:rPr>
            </w:pPr>
          </w:p>
        </w:tc>
      </w:tr>
    </w:tbl>
    <w:p w14:paraId="78D20AC6">
      <w:pPr>
        <w:rPr>
          <w:color w:val="auto"/>
          <w:highlight w:val="none"/>
        </w:rPr>
      </w:pPr>
      <w:r>
        <w:rPr>
          <w:rFonts w:hint="eastAsia"/>
          <w:color w:val="auto"/>
          <w:highlight w:val="none"/>
        </w:rPr>
        <w:t>注：</w:t>
      </w:r>
    </w:p>
    <w:p w14:paraId="5C2A7E0F">
      <w:pPr>
        <w:rPr>
          <w:color w:val="auto"/>
          <w:highlight w:val="none"/>
        </w:rPr>
      </w:pPr>
      <w:r>
        <w:rPr>
          <w:rFonts w:hint="eastAsia"/>
          <w:color w:val="auto"/>
          <w:highlight w:val="none"/>
        </w:rPr>
        <w:t>1.管理关系：是指不具有出资持股关系的其他单位之间存在的管理与被管理关系，如一些上下级关系的事业单位和团体组织。</w:t>
      </w:r>
    </w:p>
    <w:p w14:paraId="7CB17950">
      <w:pPr>
        <w:rPr>
          <w:color w:val="auto"/>
          <w:highlight w:val="none"/>
        </w:rPr>
      </w:pPr>
      <w:r>
        <w:rPr>
          <w:rFonts w:hint="eastAsia"/>
          <w:color w:val="auto"/>
          <w:highlight w:val="none"/>
        </w:rPr>
        <w:t>2.本表所指的管理关系仅限于直接管理关系，不包括间接的管理关系。</w:t>
      </w:r>
    </w:p>
    <w:p w14:paraId="31247192">
      <w:pPr>
        <w:rPr>
          <w:color w:val="auto"/>
          <w:highlight w:val="none"/>
        </w:rPr>
      </w:pPr>
      <w:r>
        <w:rPr>
          <w:rFonts w:hint="eastAsia"/>
          <w:color w:val="auto"/>
          <w:highlight w:val="none"/>
        </w:rPr>
        <w:t>3.供应商不存在直接管理关系的，则在“</w:t>
      </w:r>
      <w:r>
        <w:rPr>
          <w:rFonts w:hint="eastAsia"/>
          <w:b/>
          <w:bCs/>
          <w:color w:val="auto"/>
          <w:kern w:val="0"/>
          <w:highlight w:val="none"/>
        </w:rPr>
        <w:t>直接管理关系单位名称</w:t>
      </w:r>
      <w:r>
        <w:rPr>
          <w:rFonts w:hint="eastAsia"/>
          <w:color w:val="auto"/>
          <w:highlight w:val="none"/>
        </w:rPr>
        <w:t>”中填“无”。</w:t>
      </w:r>
    </w:p>
    <w:p w14:paraId="3FE3E8B4">
      <w:pPr>
        <w:rPr>
          <w:color w:val="auto"/>
          <w:highlight w:val="none"/>
        </w:rPr>
      </w:pPr>
    </w:p>
    <w:p w14:paraId="6227CBBA">
      <w:pPr>
        <w:rPr>
          <w:color w:val="auto"/>
          <w:highlight w:val="none"/>
        </w:rPr>
      </w:pPr>
    </w:p>
    <w:p w14:paraId="3C3771C6">
      <w:pPr>
        <w:rPr>
          <w:color w:val="auto"/>
          <w:highlight w:val="none"/>
        </w:rPr>
      </w:pPr>
    </w:p>
    <w:p w14:paraId="31B0FB04">
      <w:pPr>
        <w:rPr>
          <w:color w:val="auto"/>
          <w:highlight w:val="none"/>
        </w:rPr>
      </w:pPr>
    </w:p>
    <w:p w14:paraId="52F340A5">
      <w:pPr>
        <w:rPr>
          <w:color w:val="auto"/>
          <w:highlight w:val="none"/>
        </w:rPr>
      </w:pPr>
      <w:r>
        <w:rPr>
          <w:rFonts w:hint="eastAsia"/>
          <w:color w:val="auto"/>
          <w:highlight w:val="none"/>
        </w:rPr>
        <w:t xml:space="preserve">法定代表人（或负责人）或者委托代理人（签字或电子签名）： </w:t>
      </w:r>
    </w:p>
    <w:p w14:paraId="56D93248">
      <w:pPr>
        <w:rPr>
          <w:color w:val="auto"/>
          <w:highlight w:val="none"/>
        </w:rPr>
      </w:pPr>
      <w:r>
        <w:rPr>
          <w:rFonts w:hint="eastAsia"/>
          <w:color w:val="auto"/>
          <w:highlight w:val="none"/>
        </w:rPr>
        <w:t xml:space="preserve">                                  投标人名称（电子签章）：</w:t>
      </w:r>
    </w:p>
    <w:p w14:paraId="10EAB052">
      <w:pPr>
        <w:rPr>
          <w:color w:val="auto"/>
          <w:highlight w:val="none"/>
        </w:rPr>
      </w:pPr>
      <w:r>
        <w:rPr>
          <w:rFonts w:hint="eastAsia"/>
          <w:color w:val="auto"/>
          <w:highlight w:val="none"/>
        </w:rPr>
        <w:t xml:space="preserve">                                日期：    年   月   日</w:t>
      </w:r>
    </w:p>
    <w:p w14:paraId="621CD6D4">
      <w:pPr>
        <w:rPr>
          <w:color w:val="auto"/>
          <w:highlight w:val="none"/>
        </w:rPr>
      </w:pPr>
    </w:p>
    <w:p w14:paraId="428F348D">
      <w:pPr>
        <w:rPr>
          <w:color w:val="auto"/>
          <w:szCs w:val="20"/>
          <w:highlight w:val="none"/>
        </w:rPr>
      </w:pPr>
      <w:r>
        <w:rPr>
          <w:color w:val="auto"/>
          <w:highlight w:val="none"/>
        </w:rPr>
        <w:br w:type="page"/>
      </w:r>
      <w:r>
        <w:rPr>
          <w:rFonts w:hint="eastAsia"/>
          <w:color w:val="auto"/>
          <w:highlight w:val="none"/>
          <w:lang w:val="en-US" w:eastAsia="zh-CN"/>
        </w:rPr>
        <w:t>6.</w:t>
      </w:r>
      <w:r>
        <w:rPr>
          <w:rFonts w:hint="eastAsia"/>
          <w:color w:val="auto"/>
          <w:highlight w:val="none"/>
        </w:rPr>
        <w:t>投标声明</w:t>
      </w:r>
    </w:p>
    <w:p w14:paraId="6924F737">
      <w:pPr>
        <w:rPr>
          <w:color w:val="auto"/>
          <w:highlight w:val="none"/>
        </w:rPr>
      </w:pPr>
    </w:p>
    <w:p w14:paraId="12728BA3">
      <w:pPr>
        <w:ind w:firstLine="560"/>
        <w:jc w:val="center"/>
        <w:rPr>
          <w:color w:val="auto"/>
          <w:sz w:val="28"/>
          <w:szCs w:val="28"/>
          <w:highlight w:val="none"/>
        </w:rPr>
      </w:pPr>
      <w:r>
        <w:rPr>
          <w:rFonts w:hint="eastAsia"/>
          <w:color w:val="auto"/>
          <w:sz w:val="28"/>
          <w:szCs w:val="28"/>
          <w:highlight w:val="none"/>
        </w:rPr>
        <w:t>投标声明</w:t>
      </w:r>
    </w:p>
    <w:p w14:paraId="1E85F885">
      <w:pPr>
        <w:rPr>
          <w:color w:val="auto"/>
          <w:highlight w:val="none"/>
        </w:rPr>
      </w:pPr>
      <w:r>
        <w:rPr>
          <w:rFonts w:hint="eastAsia"/>
          <w:color w:val="auto"/>
          <w:highlight w:val="none"/>
        </w:rPr>
        <w:t>（采购人名称）：</w:t>
      </w:r>
    </w:p>
    <w:p w14:paraId="70EB1CDF">
      <w:pPr>
        <w:rPr>
          <w:color w:val="auto"/>
          <w:highlight w:val="none"/>
        </w:rPr>
      </w:pPr>
      <w:r>
        <w:rPr>
          <w:rFonts w:hint="eastAsia"/>
          <w:color w:val="auto"/>
          <w:highlight w:val="none"/>
        </w:rPr>
        <w:t>我方参加贵单位组织</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）的政府采购活动。我方在此郑重声明：</w:t>
      </w:r>
    </w:p>
    <w:p w14:paraId="01ACFBA4">
      <w:pPr>
        <w:rPr>
          <w:color w:val="auto"/>
          <w:highlight w:val="none"/>
        </w:rPr>
      </w:pPr>
      <w:r>
        <w:rPr>
          <w:rFonts w:hint="eastAsia"/>
          <w:color w:val="auto"/>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6E2A9F2">
      <w:pPr>
        <w:rPr>
          <w:color w:val="auto"/>
          <w:highlight w:val="none"/>
        </w:rPr>
      </w:pPr>
      <w:r>
        <w:rPr>
          <w:rFonts w:hint="eastAsia"/>
          <w:color w:val="auto"/>
          <w:highlight w:val="none"/>
        </w:rPr>
        <w:t>2.我方不是为本次采购项目提供整体设计、规范编制或者项目管理、监理、检测等服务的供应商。</w:t>
      </w:r>
    </w:p>
    <w:p w14:paraId="3FA3F27E">
      <w:pPr>
        <w:rPr>
          <w:color w:val="auto"/>
          <w:highlight w:val="none"/>
        </w:rPr>
      </w:pPr>
      <w:r>
        <w:rPr>
          <w:rFonts w:hint="eastAsia"/>
          <w:color w:val="auto"/>
          <w:highlight w:val="none"/>
        </w:rPr>
        <w:t>3. 我方承诺符合《中华人民共和国政府采购法》第二十二条规定：</w:t>
      </w:r>
    </w:p>
    <w:p w14:paraId="5A1326D8">
      <w:pPr>
        <w:rPr>
          <w:color w:val="auto"/>
          <w:highlight w:val="none"/>
        </w:rPr>
      </w:pPr>
      <w:r>
        <w:rPr>
          <w:rFonts w:hint="eastAsia"/>
          <w:color w:val="auto"/>
          <w:highlight w:val="none"/>
        </w:rPr>
        <w:t>（一）具有独立承担民事责任的能力；</w:t>
      </w:r>
    </w:p>
    <w:p w14:paraId="7E3818B3">
      <w:pPr>
        <w:rPr>
          <w:color w:val="auto"/>
          <w:highlight w:val="none"/>
        </w:rPr>
      </w:pPr>
      <w:r>
        <w:rPr>
          <w:rFonts w:hint="eastAsia"/>
          <w:color w:val="auto"/>
          <w:highlight w:val="none"/>
        </w:rPr>
        <w:t>（二）具有良好的商业信誉和健全的财务会计制度；</w:t>
      </w:r>
    </w:p>
    <w:p w14:paraId="47EEEA55">
      <w:pPr>
        <w:rPr>
          <w:color w:val="auto"/>
          <w:highlight w:val="none"/>
        </w:rPr>
      </w:pPr>
      <w:r>
        <w:rPr>
          <w:rFonts w:hint="eastAsia"/>
          <w:color w:val="auto"/>
          <w:highlight w:val="none"/>
        </w:rPr>
        <w:t>（三）具有履行合同所必需的设备和专业技术能力；</w:t>
      </w:r>
    </w:p>
    <w:p w14:paraId="11932AA8">
      <w:pPr>
        <w:rPr>
          <w:color w:val="auto"/>
          <w:highlight w:val="none"/>
        </w:rPr>
      </w:pPr>
      <w:r>
        <w:rPr>
          <w:rFonts w:hint="eastAsia"/>
          <w:color w:val="auto"/>
          <w:highlight w:val="none"/>
        </w:rPr>
        <w:t>（四）有依法缴纳税收和社会保障资金的良好记录；</w:t>
      </w:r>
    </w:p>
    <w:p w14:paraId="427FF3C3">
      <w:pPr>
        <w:rPr>
          <w:color w:val="auto"/>
          <w:highlight w:val="none"/>
        </w:rPr>
      </w:pPr>
      <w:r>
        <w:rPr>
          <w:rFonts w:hint="eastAsia"/>
          <w:color w:val="auto"/>
          <w:highlight w:val="none"/>
        </w:rPr>
        <w:t>（五）参加政府采购活动前三年内，在经营活动中没有重大违法记录；</w:t>
      </w:r>
    </w:p>
    <w:p w14:paraId="31A25344">
      <w:pPr>
        <w:rPr>
          <w:color w:val="auto"/>
          <w:highlight w:val="none"/>
        </w:rPr>
      </w:pPr>
      <w:r>
        <w:rPr>
          <w:rFonts w:hint="eastAsia"/>
          <w:color w:val="auto"/>
          <w:highlight w:val="none"/>
        </w:rPr>
        <w:t>（六）法律、行政法规规定的其他条件。</w:t>
      </w:r>
    </w:p>
    <w:p w14:paraId="1E9333CD">
      <w:pPr>
        <w:rPr>
          <w:color w:val="auto"/>
          <w:highlight w:val="none"/>
        </w:rPr>
      </w:pPr>
      <w:r>
        <w:rPr>
          <w:rFonts w:hint="eastAsia"/>
          <w:color w:val="auto"/>
          <w:highlight w:val="none"/>
        </w:rPr>
        <w:t>4.以上事项如有虚假或者隐瞒，我方愿意承担一切后果，并不再寻求任何旨在减轻或者免除法律责任的辩解。</w:t>
      </w:r>
    </w:p>
    <w:p w14:paraId="6B8D9E64">
      <w:pPr>
        <w:rPr>
          <w:color w:val="auto"/>
          <w:highlight w:val="none"/>
        </w:rPr>
      </w:pPr>
      <w:r>
        <w:rPr>
          <w:rFonts w:hint="eastAsia"/>
          <w:color w:val="auto"/>
          <w:highlight w:val="none"/>
        </w:rPr>
        <w:t>特此承诺。</w:t>
      </w:r>
    </w:p>
    <w:p w14:paraId="6CCED40D">
      <w:pPr>
        <w:rPr>
          <w:color w:val="auto"/>
          <w:highlight w:val="none"/>
        </w:rPr>
      </w:pPr>
      <w:bookmarkStart w:id="146" w:name="OLE_LINK54"/>
      <w:bookmarkStart w:id="147" w:name="OLE_LINK55"/>
      <w:r>
        <w:rPr>
          <w:rFonts w:hint="eastAsia"/>
          <w:color w:val="auto"/>
          <w:highlight w:val="none"/>
        </w:rPr>
        <w:t>法定代表人（或负责人</w:t>
      </w:r>
      <w:r>
        <w:rPr>
          <w:rFonts w:hint="eastAsia" w:ascii="Times New Roman" w:hAnsi="Times New Roman"/>
          <w:color w:val="auto"/>
          <w:highlight w:val="none"/>
        </w:rPr>
        <w:t>或委托代理人</w:t>
      </w:r>
      <w:r>
        <w:rPr>
          <w:rFonts w:hint="eastAsia"/>
          <w:color w:val="auto"/>
          <w:highlight w:val="none"/>
        </w:rPr>
        <w:t>）（签字或电子签名）：</w:t>
      </w:r>
      <w:r>
        <w:rPr>
          <w:rFonts w:hint="eastAsia"/>
          <w:color w:val="auto"/>
          <w:highlight w:val="none"/>
          <w:u w:val="single"/>
        </w:rPr>
        <w:t xml:space="preserve">             </w:t>
      </w:r>
      <w:bookmarkEnd w:id="146"/>
    </w:p>
    <w:p w14:paraId="45F7EFBD">
      <w:pPr>
        <w:rPr>
          <w:color w:val="auto"/>
          <w:highlight w:val="none"/>
        </w:rPr>
      </w:pPr>
      <w:r>
        <w:rPr>
          <w:rFonts w:hint="eastAsia"/>
          <w:color w:val="auto"/>
          <w:highlight w:val="none"/>
        </w:rPr>
        <w:t xml:space="preserve">                                         投标人名称（电子签章）：</w:t>
      </w:r>
      <w:r>
        <w:rPr>
          <w:rFonts w:hint="eastAsia"/>
          <w:color w:val="auto"/>
          <w:highlight w:val="none"/>
          <w:u w:val="single"/>
        </w:rPr>
        <w:t xml:space="preserve">              </w:t>
      </w:r>
      <w:bookmarkEnd w:id="147"/>
      <w:r>
        <w:rPr>
          <w:rFonts w:hint="eastAsia"/>
          <w:color w:val="auto"/>
          <w:highlight w:val="none"/>
          <w:u w:val="single"/>
        </w:rPr>
        <w:t xml:space="preserve">   </w:t>
      </w:r>
    </w:p>
    <w:p w14:paraId="5B99C98A">
      <w:pPr>
        <w:rPr>
          <w:color w:val="auto"/>
          <w:highlight w:val="none"/>
        </w:rPr>
      </w:pPr>
      <w:r>
        <w:rPr>
          <w:rFonts w:hint="eastAsia"/>
          <w:color w:val="auto"/>
          <w:highlight w:val="none"/>
        </w:rPr>
        <w:t xml:space="preserve">                                                  </w:t>
      </w:r>
      <w:r>
        <w:rPr>
          <w:rFonts w:hint="eastAsia" w:cs="FangSong_GB2312" w:asciiTheme="minorEastAsia" w:hAnsiTheme="minorEastAsia" w:eastAsiaTheme="minorEastAsia"/>
          <w:color w:val="auto"/>
          <w:szCs w:val="21"/>
          <w:highlight w:val="none"/>
          <w:lang w:eastAsia="zh-CN"/>
        </w:rPr>
        <w:t>日期：</w:t>
      </w:r>
      <w:r>
        <w:rPr>
          <w:rFonts w:hint="eastAsia" w:cs="FangSong_GB2312" w:asciiTheme="minorEastAsia" w:hAnsiTheme="minorEastAsia" w:eastAsiaTheme="minorEastAsia"/>
          <w:color w:val="auto"/>
          <w:szCs w:val="21"/>
          <w:highlight w:val="none"/>
          <w:lang w:val="en-US" w:eastAsia="zh-CN"/>
        </w:rPr>
        <w:t xml:space="preserve">  </w:t>
      </w:r>
      <w:r>
        <w:rPr>
          <w:rFonts w:hint="eastAsia" w:cs="FangSong_GB2312" w:asciiTheme="minorEastAsia" w:hAnsiTheme="minorEastAsia" w:eastAsiaTheme="minorEastAsia"/>
          <w:color w:val="auto"/>
          <w:szCs w:val="21"/>
          <w:highlight w:val="none"/>
        </w:rPr>
        <w:t>年  月  日</w:t>
      </w:r>
    </w:p>
    <w:p w14:paraId="03182DFC">
      <w:pPr>
        <w:rPr>
          <w:color w:val="auto"/>
          <w:highlight w:val="none"/>
        </w:rPr>
      </w:pPr>
      <w:bookmarkStart w:id="148" w:name="_Toc19686838"/>
      <w:r>
        <w:rPr>
          <w:rFonts w:hint="eastAsia"/>
          <w:color w:val="auto"/>
          <w:highlight w:val="none"/>
        </w:rPr>
        <w:t>注：1.如为联合体投标，盖章处须加盖联合体牵头人电子签章并由联合体各方法定代表人（或负责人）分别签字或者电子签名，否则投标无效。</w:t>
      </w:r>
    </w:p>
    <w:p w14:paraId="0F09978F">
      <w:pPr>
        <w:ind w:firstLine="422"/>
        <w:rPr>
          <w:rFonts w:cs="Times New Roman"/>
          <w:b/>
          <w:color w:val="auto"/>
          <w:highlight w:val="none"/>
        </w:rPr>
      </w:pPr>
      <w:r>
        <w:rPr>
          <w:rFonts w:hint="eastAsia" w:cs="Times New Roman"/>
          <w:b/>
          <w:color w:val="auto"/>
          <w:highlight w:val="none"/>
        </w:rPr>
        <w:t>2</w:t>
      </w:r>
      <w:r>
        <w:rPr>
          <w:rFonts w:hint="eastAsia"/>
          <w:color w:val="auto"/>
          <w:highlight w:val="none"/>
        </w:rPr>
        <w:t>.法定代表人（或负责人）必须在授权委托书上亲笔签字或者盖章</w:t>
      </w:r>
      <w:r>
        <w:rPr>
          <w:rFonts w:hint="eastAsia" w:cs="Times New Roman"/>
          <w:color w:val="auto"/>
          <w:highlight w:val="none"/>
        </w:rPr>
        <w:t>或者电子签名</w:t>
      </w:r>
      <w:r>
        <w:rPr>
          <w:rFonts w:hint="eastAsia"/>
          <w:color w:val="auto"/>
          <w:highlight w:val="none"/>
        </w:rPr>
        <w:t>，</w:t>
      </w:r>
      <w:r>
        <w:rPr>
          <w:rFonts w:hint="eastAsia"/>
          <w:b/>
          <w:bCs/>
          <w:color w:val="auto"/>
          <w:highlight w:val="none"/>
        </w:rPr>
        <w:t>否则按无效投标处理</w:t>
      </w:r>
      <w:r>
        <w:rPr>
          <w:rFonts w:hint="eastAsia"/>
          <w:color w:val="auto"/>
          <w:highlight w:val="none"/>
        </w:rPr>
        <w:t>；</w:t>
      </w:r>
    </w:p>
    <w:p w14:paraId="56E22778">
      <w:pPr>
        <w:rPr>
          <w:color w:val="auto"/>
          <w:highlight w:val="none"/>
        </w:rPr>
      </w:pPr>
      <w:r>
        <w:rPr>
          <w:color w:val="auto"/>
          <w:highlight w:val="none"/>
        </w:rPr>
        <w:br w:type="page"/>
      </w:r>
    </w:p>
    <w:p w14:paraId="47EA8A22">
      <w:pPr>
        <w:rPr>
          <w:rFonts w:hint="eastAsia"/>
          <w:color w:val="auto"/>
          <w:highlight w:val="none"/>
        </w:rPr>
      </w:pPr>
      <w:r>
        <w:rPr>
          <w:rFonts w:hint="eastAsia"/>
          <w:color w:val="auto"/>
          <w:highlight w:val="none"/>
        </w:rPr>
        <w:t>7.联合体协议书（格式后附）；</w:t>
      </w:r>
    </w:p>
    <w:p w14:paraId="5CD26105">
      <w:pPr>
        <w:pStyle w:val="7"/>
        <w:overflowPunct w:val="0"/>
        <w:spacing w:line="520" w:lineRule="exact"/>
        <w:ind w:firstLine="0"/>
        <w:jc w:val="center"/>
        <w:rPr>
          <w:rFonts w:cs="方正小标宋简体" w:asciiTheme="minorEastAsia" w:hAnsiTheme="minorEastAsia" w:eastAsiaTheme="minorEastAsia"/>
          <w:b/>
          <w:color w:val="auto"/>
          <w:szCs w:val="21"/>
          <w:highlight w:val="none"/>
        </w:rPr>
      </w:pPr>
      <w:r>
        <w:rPr>
          <w:rFonts w:hint="eastAsia" w:cs="方正小标宋简体" w:asciiTheme="minorEastAsia" w:hAnsiTheme="minorEastAsia" w:eastAsiaTheme="minorEastAsia"/>
          <w:b/>
          <w:color w:val="auto"/>
          <w:szCs w:val="21"/>
          <w:highlight w:val="none"/>
        </w:rPr>
        <w:t>联合体</w:t>
      </w:r>
      <w:r>
        <w:rPr>
          <w:rFonts w:hint="eastAsia" w:cs="方正小标宋简体" w:asciiTheme="minorEastAsia" w:hAnsiTheme="minorEastAsia" w:eastAsiaTheme="minorEastAsia"/>
          <w:b/>
          <w:color w:val="auto"/>
          <w:szCs w:val="21"/>
          <w:highlight w:val="none"/>
          <w:lang w:eastAsia="zh-CN"/>
        </w:rPr>
        <w:t>投</w:t>
      </w:r>
      <w:r>
        <w:rPr>
          <w:rFonts w:hint="eastAsia" w:cs="方正小标宋简体" w:asciiTheme="minorEastAsia" w:hAnsiTheme="minorEastAsia" w:eastAsiaTheme="minorEastAsia"/>
          <w:b/>
          <w:color w:val="auto"/>
          <w:szCs w:val="21"/>
          <w:highlight w:val="none"/>
        </w:rPr>
        <w:t>标协议书</w:t>
      </w:r>
    </w:p>
    <w:p w14:paraId="1057584E">
      <w:pPr>
        <w:pStyle w:val="7"/>
        <w:overflowPunct w:val="0"/>
        <w:spacing w:line="520" w:lineRule="exact"/>
        <w:ind w:firstLine="0"/>
        <w:rPr>
          <w:rFonts w:asciiTheme="minorEastAsia" w:hAnsiTheme="minorEastAsia" w:eastAsiaTheme="minorEastAsia"/>
          <w:color w:val="auto"/>
          <w:szCs w:val="21"/>
          <w:highlight w:val="none"/>
        </w:rPr>
      </w:pPr>
    </w:p>
    <w:p w14:paraId="2F81EEFC">
      <w:pPr>
        <w:pStyle w:val="7"/>
        <w:overflowPunct w:val="0"/>
        <w:spacing w:line="360" w:lineRule="auto"/>
        <w:ind w:firstLineChars="20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（所有成员单位名称）自愿组成（联合体名称）联合体，共同参加（项目名称）采购项目</w:t>
      </w:r>
      <w:r>
        <w:rPr>
          <w:rFonts w:hint="eastAsia" w:cs="FangSong_GB2312" w:asciiTheme="minorEastAsia" w:hAnsiTheme="minorEastAsia" w:eastAsiaTheme="minorEastAsia"/>
          <w:color w:val="auto"/>
          <w:szCs w:val="21"/>
          <w:highlight w:val="none"/>
          <w:lang w:eastAsia="zh-CN"/>
        </w:rPr>
        <w:t>投标</w:t>
      </w:r>
      <w:r>
        <w:rPr>
          <w:rFonts w:hint="eastAsia" w:cs="FangSong_GB2312" w:asciiTheme="minorEastAsia" w:hAnsiTheme="minorEastAsia" w:eastAsiaTheme="minorEastAsia"/>
          <w:color w:val="auto"/>
          <w:szCs w:val="21"/>
          <w:highlight w:val="none"/>
        </w:rPr>
        <w:t>。现就联合体</w:t>
      </w:r>
      <w:r>
        <w:rPr>
          <w:rFonts w:hint="eastAsia" w:cs="FangSong_GB2312" w:asciiTheme="minorEastAsia" w:hAnsiTheme="minorEastAsia" w:eastAsiaTheme="minorEastAsia"/>
          <w:color w:val="auto"/>
          <w:szCs w:val="21"/>
          <w:highlight w:val="none"/>
          <w:lang w:eastAsia="zh-CN"/>
        </w:rPr>
        <w:t>投标</w:t>
      </w:r>
      <w:r>
        <w:rPr>
          <w:rFonts w:hint="eastAsia" w:cs="FangSong_GB2312" w:asciiTheme="minorEastAsia" w:hAnsiTheme="minorEastAsia" w:eastAsiaTheme="minorEastAsia"/>
          <w:color w:val="auto"/>
          <w:szCs w:val="21"/>
          <w:highlight w:val="none"/>
        </w:rPr>
        <w:t>事宜订立如下协议：</w:t>
      </w:r>
    </w:p>
    <w:p w14:paraId="1A5CE2CF">
      <w:pPr>
        <w:pStyle w:val="7"/>
        <w:overflowPunct w:val="0"/>
        <w:spacing w:line="360" w:lineRule="auto"/>
        <w:ind w:firstLineChars="20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1.</w:t>
      </w:r>
      <w:r>
        <w:rPr>
          <w:rFonts w:hint="eastAsia" w:cs="FangSong_GB2312" w:asciiTheme="minorEastAsia" w:hAnsiTheme="minorEastAsia" w:eastAsiaTheme="minorEastAsia"/>
          <w:color w:val="auto"/>
          <w:szCs w:val="21"/>
          <w:highlight w:val="none"/>
          <w:u w:val="single"/>
        </w:rPr>
        <w:tab/>
      </w:r>
      <w:r>
        <w:rPr>
          <w:rFonts w:hint="eastAsia" w:cs="FangSong_GB2312" w:asciiTheme="minorEastAsia" w:hAnsiTheme="minorEastAsia" w:eastAsiaTheme="minorEastAsia"/>
          <w:color w:val="auto"/>
          <w:szCs w:val="21"/>
          <w:highlight w:val="none"/>
          <w:u w:val="single"/>
          <w:lang w:val="en-US" w:eastAsia="zh-CN"/>
        </w:rPr>
        <w:t xml:space="preserve">        </w:t>
      </w:r>
      <w:r>
        <w:rPr>
          <w:rFonts w:hint="eastAsia" w:cs="FangSong_GB2312" w:asciiTheme="minorEastAsia" w:hAnsiTheme="minorEastAsia" w:eastAsiaTheme="minorEastAsia"/>
          <w:color w:val="auto"/>
          <w:szCs w:val="21"/>
          <w:highlight w:val="none"/>
        </w:rPr>
        <w:t>（某成员单位名称）为（联合体名称）牵头人。</w:t>
      </w:r>
    </w:p>
    <w:p w14:paraId="3C4A06F3">
      <w:pPr>
        <w:pStyle w:val="7"/>
        <w:overflowPunct w:val="0"/>
        <w:spacing w:line="360" w:lineRule="auto"/>
        <w:ind w:firstLineChars="20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2.联合体各成员授权牵头人代表联合体参加</w:t>
      </w:r>
      <w:r>
        <w:rPr>
          <w:rFonts w:hint="eastAsia" w:cs="FangSong_GB2312" w:asciiTheme="minorEastAsia" w:hAnsiTheme="minorEastAsia" w:eastAsiaTheme="minorEastAsia"/>
          <w:color w:val="auto"/>
          <w:szCs w:val="21"/>
          <w:highlight w:val="none"/>
          <w:lang w:eastAsia="zh-CN"/>
        </w:rPr>
        <w:t>投标</w:t>
      </w:r>
      <w:r>
        <w:rPr>
          <w:rFonts w:hint="eastAsia" w:cs="FangSong_GB2312" w:asciiTheme="minorEastAsia" w:hAnsiTheme="minorEastAsia" w:eastAsiaTheme="minorEastAsia"/>
          <w:color w:val="auto"/>
          <w:szCs w:val="21"/>
          <w:highlight w:val="none"/>
        </w:rPr>
        <w:t>活动，签署文件及对文件的盖章，提交和接收相关的资料、信息及指示，进行合同磋商活动，负责合同实施阶段的组织和协调工作，以及处理与本</w:t>
      </w:r>
      <w:r>
        <w:rPr>
          <w:rFonts w:hint="eastAsia" w:cs="FangSong_GB2312" w:asciiTheme="minorEastAsia" w:hAnsiTheme="minorEastAsia" w:eastAsiaTheme="minorEastAsia"/>
          <w:color w:val="auto"/>
          <w:szCs w:val="21"/>
          <w:highlight w:val="none"/>
          <w:lang w:eastAsia="zh-CN"/>
        </w:rPr>
        <w:t>投标</w:t>
      </w:r>
      <w:r>
        <w:rPr>
          <w:rFonts w:hint="eastAsia" w:cs="FangSong_GB2312" w:asciiTheme="minorEastAsia" w:hAnsiTheme="minorEastAsia" w:eastAsiaTheme="minorEastAsia"/>
          <w:color w:val="auto"/>
          <w:szCs w:val="21"/>
          <w:highlight w:val="none"/>
        </w:rPr>
        <w:t>项目有关的一切事宜。</w:t>
      </w:r>
    </w:p>
    <w:p w14:paraId="2B266723">
      <w:pPr>
        <w:pStyle w:val="7"/>
        <w:overflowPunct w:val="0"/>
        <w:spacing w:line="360" w:lineRule="auto"/>
        <w:ind w:firstLineChars="20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0B61F725">
      <w:pPr>
        <w:pStyle w:val="7"/>
        <w:overflowPunct w:val="0"/>
        <w:spacing w:line="360" w:lineRule="auto"/>
        <w:ind w:firstLineChars="20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4.联合体各成员单位内部的职责分工如下：</w:t>
      </w:r>
      <w:r>
        <w:rPr>
          <w:rFonts w:hint="eastAsia" w:cs="FangSong_GB2312" w:asciiTheme="minorEastAsia" w:hAnsiTheme="minorEastAsia" w:eastAsiaTheme="minorEastAsia"/>
          <w:color w:val="auto"/>
          <w:szCs w:val="21"/>
          <w:highlight w:val="none"/>
          <w:u w:val="single"/>
          <w:lang w:val="en-US" w:eastAsia="zh-CN"/>
        </w:rPr>
        <w:t xml:space="preserve">             </w:t>
      </w:r>
      <w:r>
        <w:rPr>
          <w:rFonts w:hint="eastAsia" w:cs="FangSong_GB2312" w:asciiTheme="minorEastAsia" w:hAnsiTheme="minorEastAsia" w:eastAsiaTheme="minorEastAsia"/>
          <w:color w:val="auto"/>
          <w:szCs w:val="21"/>
          <w:highlight w:val="none"/>
        </w:rPr>
        <w:t>。</w:t>
      </w:r>
    </w:p>
    <w:p w14:paraId="48CDDB78">
      <w:pPr>
        <w:pStyle w:val="7"/>
        <w:overflowPunct w:val="0"/>
        <w:spacing w:line="360" w:lineRule="auto"/>
        <w:ind w:firstLineChars="20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5.本</w:t>
      </w:r>
      <w:r>
        <w:rPr>
          <w:rFonts w:hint="eastAsia" w:cs="FangSong_GB2312" w:asciiTheme="minorEastAsia" w:hAnsiTheme="minorEastAsia" w:eastAsiaTheme="minorEastAsia"/>
          <w:color w:val="auto"/>
          <w:spacing w:val="-6"/>
          <w:szCs w:val="21"/>
          <w:highlight w:val="none"/>
        </w:rPr>
        <w:t>协议书自所有成员单位法定代表人或者其委托代理人签字或者盖单位章之日起生效，合同履行完毕后自动失效。</w:t>
      </w:r>
    </w:p>
    <w:p w14:paraId="068E0208">
      <w:pPr>
        <w:pStyle w:val="7"/>
        <w:overflowPunct w:val="0"/>
        <w:spacing w:line="360" w:lineRule="auto"/>
        <w:ind w:firstLineChars="20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6.本协议书一式</w:t>
      </w:r>
      <w:r>
        <w:rPr>
          <w:rFonts w:hint="eastAsia" w:cs="FangSong_GB2312" w:asciiTheme="minorEastAsia" w:hAnsiTheme="minorEastAsia" w:eastAsiaTheme="minorEastAsia"/>
          <w:color w:val="auto"/>
          <w:szCs w:val="21"/>
          <w:highlight w:val="none"/>
          <w:u w:val="single"/>
        </w:rPr>
        <w:tab/>
      </w:r>
      <w:r>
        <w:rPr>
          <w:rFonts w:hint="eastAsia" w:cs="FangSong_GB2312" w:asciiTheme="minorEastAsia" w:hAnsiTheme="minorEastAsia" w:eastAsiaTheme="minorEastAsia"/>
          <w:color w:val="auto"/>
          <w:szCs w:val="21"/>
          <w:highlight w:val="none"/>
        </w:rPr>
        <w:t>份，联合体成员和采购人各执一份。</w:t>
      </w:r>
    </w:p>
    <w:p w14:paraId="6E20DAFF">
      <w:pPr>
        <w:pStyle w:val="7"/>
        <w:overflowPunct w:val="0"/>
        <w:spacing w:line="360" w:lineRule="auto"/>
        <w:ind w:firstLineChars="20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注：本协议书由法定代表人签字的，应附法定代表人身份证明书；由委托代理人签字的，应附联合体协议签订授权委托书（格式自拟）。</w:t>
      </w:r>
    </w:p>
    <w:p w14:paraId="1B0818C5">
      <w:pPr>
        <w:pStyle w:val="7"/>
        <w:overflowPunct w:val="0"/>
        <w:spacing w:line="360" w:lineRule="auto"/>
        <w:ind w:firstLine="367" w:firstLineChars="175"/>
        <w:rPr>
          <w:rFonts w:cs="FangSong_GB2312" w:asciiTheme="minorEastAsia" w:hAnsiTheme="minorEastAsia" w:eastAsiaTheme="minorEastAsia"/>
          <w:color w:val="auto"/>
          <w:szCs w:val="21"/>
          <w:highlight w:val="none"/>
        </w:rPr>
      </w:pPr>
    </w:p>
    <w:p w14:paraId="6D84767C">
      <w:pPr>
        <w:pStyle w:val="7"/>
        <w:overflowPunct w:val="0"/>
        <w:spacing w:line="360" w:lineRule="auto"/>
        <w:ind w:firstLine="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联合体牵头人名称（盖公章）：</w:t>
      </w:r>
    </w:p>
    <w:p w14:paraId="1B760954">
      <w:pPr>
        <w:pStyle w:val="7"/>
        <w:overflowPunct w:val="0"/>
        <w:spacing w:line="360" w:lineRule="auto"/>
        <w:ind w:firstLine="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法定代表人或者其委托代理人（签字）：</w:t>
      </w:r>
    </w:p>
    <w:p w14:paraId="61656001">
      <w:pPr>
        <w:pStyle w:val="7"/>
        <w:overflowPunct w:val="0"/>
        <w:spacing w:line="360" w:lineRule="auto"/>
        <w:ind w:firstLineChars="200"/>
        <w:rPr>
          <w:rFonts w:cs="FangSong_GB2312" w:asciiTheme="minorEastAsia" w:hAnsiTheme="minorEastAsia" w:eastAsiaTheme="minorEastAsia"/>
          <w:color w:val="auto"/>
          <w:szCs w:val="21"/>
          <w:highlight w:val="none"/>
        </w:rPr>
      </w:pPr>
    </w:p>
    <w:p w14:paraId="61A8C384">
      <w:pPr>
        <w:pStyle w:val="7"/>
        <w:overflowPunct w:val="0"/>
        <w:spacing w:line="360" w:lineRule="auto"/>
        <w:ind w:firstLine="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联合体成员名称（盖公章）：</w:t>
      </w:r>
    </w:p>
    <w:p w14:paraId="1CAF53DF">
      <w:pPr>
        <w:pStyle w:val="7"/>
        <w:overflowPunct w:val="0"/>
        <w:spacing w:line="360" w:lineRule="auto"/>
        <w:ind w:firstLine="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法定代表人或者其委托代理人（签字）：</w:t>
      </w:r>
    </w:p>
    <w:p w14:paraId="3235C99D">
      <w:pPr>
        <w:pStyle w:val="7"/>
        <w:overflowPunct w:val="0"/>
        <w:spacing w:line="360" w:lineRule="auto"/>
        <w:ind w:firstLineChars="200"/>
        <w:rPr>
          <w:rFonts w:cs="FangSong_GB2312" w:asciiTheme="minorEastAsia" w:hAnsiTheme="minorEastAsia" w:eastAsiaTheme="minorEastAsia"/>
          <w:color w:val="auto"/>
          <w:szCs w:val="21"/>
          <w:highlight w:val="none"/>
        </w:rPr>
      </w:pPr>
    </w:p>
    <w:p w14:paraId="54B28FDE">
      <w:pPr>
        <w:pStyle w:val="7"/>
        <w:overflowPunct w:val="0"/>
        <w:spacing w:line="360" w:lineRule="auto"/>
        <w:ind w:firstLine="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联合体成员名称（盖公章）：</w:t>
      </w:r>
    </w:p>
    <w:p w14:paraId="44E9BF59">
      <w:pPr>
        <w:pStyle w:val="7"/>
        <w:overflowPunct w:val="0"/>
        <w:spacing w:line="360" w:lineRule="auto"/>
        <w:ind w:firstLine="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法定代表人或者其委托代理人（签字）：</w:t>
      </w:r>
    </w:p>
    <w:p w14:paraId="21761434">
      <w:pPr>
        <w:pStyle w:val="7"/>
        <w:overflowPunct w:val="0"/>
        <w:spacing w:line="360" w:lineRule="auto"/>
        <w:ind w:firstLine="0"/>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w:t>
      </w:r>
    </w:p>
    <w:p w14:paraId="40DD1BC0">
      <w:pPr>
        <w:pStyle w:val="7"/>
        <w:overflowPunct w:val="0"/>
        <w:spacing w:line="360" w:lineRule="auto"/>
        <w:ind w:firstLine="367" w:firstLineChars="175"/>
        <w:jc w:val="right"/>
        <w:rPr>
          <w:rFonts w:cs="FangSong_GB2312" w:asciiTheme="minorEastAsia" w:hAnsiTheme="minorEastAsia" w:eastAsiaTheme="minorEastAsia"/>
          <w:color w:val="auto"/>
          <w:szCs w:val="21"/>
          <w:highlight w:val="none"/>
        </w:rPr>
      </w:pPr>
      <w:r>
        <w:rPr>
          <w:rFonts w:hint="eastAsia" w:cs="FangSong_GB2312" w:asciiTheme="minorEastAsia" w:hAnsiTheme="minorEastAsia" w:eastAsiaTheme="minorEastAsia"/>
          <w:color w:val="auto"/>
          <w:szCs w:val="21"/>
          <w:highlight w:val="none"/>
        </w:rPr>
        <w:t xml:space="preserve"> </w:t>
      </w:r>
      <w:r>
        <w:rPr>
          <w:rFonts w:hint="eastAsia" w:cs="FangSong_GB2312" w:asciiTheme="minorEastAsia" w:hAnsiTheme="minorEastAsia" w:eastAsiaTheme="minorEastAsia"/>
          <w:color w:val="auto"/>
          <w:szCs w:val="21"/>
          <w:highlight w:val="none"/>
          <w:lang w:eastAsia="zh-CN"/>
        </w:rPr>
        <w:t>日期：</w:t>
      </w:r>
      <w:r>
        <w:rPr>
          <w:rFonts w:hint="eastAsia" w:cs="FangSong_GB2312" w:asciiTheme="minorEastAsia" w:hAnsiTheme="minorEastAsia" w:eastAsiaTheme="minorEastAsia"/>
          <w:color w:val="auto"/>
          <w:szCs w:val="21"/>
          <w:highlight w:val="none"/>
          <w:lang w:val="en-US" w:eastAsia="zh-CN"/>
        </w:rPr>
        <w:t xml:space="preserve">  </w:t>
      </w:r>
      <w:r>
        <w:rPr>
          <w:rFonts w:hint="eastAsia" w:cs="FangSong_GB2312" w:asciiTheme="minorEastAsia" w:hAnsiTheme="minorEastAsia" w:eastAsiaTheme="minorEastAsia"/>
          <w:color w:val="auto"/>
          <w:szCs w:val="21"/>
          <w:highlight w:val="none"/>
        </w:rPr>
        <w:t>年  月  日</w:t>
      </w:r>
    </w:p>
    <w:p w14:paraId="1D5148F7">
      <w:pPr>
        <w:rPr>
          <w:rFonts w:hint="eastAsia"/>
          <w:color w:val="auto"/>
          <w:highlight w:val="none"/>
        </w:rPr>
      </w:pPr>
    </w:p>
    <w:p w14:paraId="35232E10">
      <w:pPr>
        <w:rPr>
          <w:rFonts w:hint="eastAsia"/>
          <w:color w:val="auto"/>
          <w:highlight w:val="none"/>
        </w:rPr>
      </w:pPr>
    </w:p>
    <w:p w14:paraId="61787871">
      <w:pPr>
        <w:rPr>
          <w:rFonts w:hint="eastAsia"/>
          <w:color w:val="auto"/>
          <w:highlight w:val="none"/>
        </w:rPr>
      </w:pPr>
    </w:p>
    <w:p w14:paraId="7300FBF8">
      <w:pPr>
        <w:rPr>
          <w:rFonts w:hint="eastAsia"/>
          <w:color w:val="auto"/>
          <w:highlight w:val="none"/>
        </w:rPr>
      </w:pPr>
      <w:r>
        <w:rPr>
          <w:rFonts w:hint="eastAsia"/>
          <w:color w:val="auto"/>
          <w:highlight w:val="none"/>
        </w:rPr>
        <w:br w:type="page"/>
      </w:r>
    </w:p>
    <w:p w14:paraId="02130F81">
      <w:pPr>
        <w:rPr>
          <w:color w:val="auto"/>
          <w:highlight w:val="none"/>
        </w:rPr>
      </w:pPr>
      <w:r>
        <w:rPr>
          <w:rFonts w:hint="eastAsia"/>
          <w:color w:val="auto"/>
          <w:highlight w:val="none"/>
        </w:rPr>
        <w:t>8.除招标文件规定必须提供以外，投标人认为需要提供的其他</w:t>
      </w:r>
      <w:r>
        <w:rPr>
          <w:rFonts w:hint="eastAsia"/>
          <w:color w:val="auto"/>
          <w:highlight w:val="none"/>
          <w:lang w:eastAsia="zh-CN"/>
        </w:rPr>
        <w:t>资格</w:t>
      </w:r>
      <w:r>
        <w:rPr>
          <w:rFonts w:hint="eastAsia"/>
          <w:color w:val="auto"/>
          <w:highlight w:val="none"/>
        </w:rPr>
        <w:t>证明材料。</w:t>
      </w:r>
    </w:p>
    <w:p w14:paraId="6DA1D701">
      <w:pPr>
        <w:rPr>
          <w:color w:val="auto"/>
          <w:highlight w:val="none"/>
        </w:rPr>
      </w:pPr>
    </w:p>
    <w:p w14:paraId="5AB3D0E9">
      <w:pPr>
        <w:rPr>
          <w:color w:val="auto"/>
          <w:highlight w:val="none"/>
        </w:rPr>
      </w:pPr>
    </w:p>
    <w:p w14:paraId="08B08D81">
      <w:pPr>
        <w:rPr>
          <w:rFonts w:hint="eastAsia"/>
          <w:color w:val="auto"/>
          <w:sz w:val="28"/>
          <w:szCs w:val="28"/>
          <w:highlight w:val="none"/>
        </w:rPr>
      </w:pPr>
      <w:r>
        <w:rPr>
          <w:rFonts w:hint="eastAsia"/>
          <w:color w:val="auto"/>
          <w:sz w:val="28"/>
          <w:szCs w:val="28"/>
          <w:highlight w:val="none"/>
        </w:rPr>
        <w:br w:type="page"/>
      </w:r>
    </w:p>
    <w:p w14:paraId="599B4CA2">
      <w:pPr>
        <w:rPr>
          <w:b/>
          <w:bCs/>
          <w:color w:val="auto"/>
          <w:sz w:val="28"/>
          <w:szCs w:val="28"/>
          <w:highlight w:val="none"/>
        </w:rPr>
      </w:pPr>
      <w:r>
        <w:rPr>
          <w:rFonts w:hint="eastAsia"/>
          <w:b/>
          <w:bCs/>
          <w:color w:val="auto"/>
          <w:sz w:val="28"/>
          <w:szCs w:val="28"/>
          <w:highlight w:val="none"/>
        </w:rPr>
        <w:t>三、商务文件格式</w:t>
      </w:r>
      <w:bookmarkEnd w:id="148"/>
    </w:p>
    <w:p w14:paraId="52060AB8">
      <w:pPr>
        <w:ind w:firstLine="560"/>
        <w:rPr>
          <w:color w:val="auto"/>
          <w:sz w:val="28"/>
          <w:szCs w:val="28"/>
          <w:highlight w:val="none"/>
        </w:rPr>
      </w:pPr>
      <w:r>
        <w:rPr>
          <w:rFonts w:hint="eastAsia"/>
          <w:color w:val="auto"/>
          <w:sz w:val="28"/>
          <w:szCs w:val="28"/>
          <w:highlight w:val="none"/>
        </w:rPr>
        <w:t xml:space="preserve">商务文件封面格式： </w:t>
      </w:r>
    </w:p>
    <w:p w14:paraId="652B32F2">
      <w:pPr>
        <w:rPr>
          <w:color w:val="auto"/>
          <w:highlight w:val="none"/>
        </w:rPr>
      </w:pPr>
    </w:p>
    <w:p w14:paraId="591DD053">
      <w:pPr>
        <w:ind w:firstLine="560"/>
        <w:jc w:val="center"/>
        <w:rPr>
          <w:color w:val="auto"/>
          <w:sz w:val="28"/>
          <w:szCs w:val="28"/>
          <w:highlight w:val="none"/>
        </w:rPr>
      </w:pPr>
      <w:r>
        <w:rPr>
          <w:rFonts w:hint="eastAsia"/>
          <w:color w:val="auto"/>
          <w:sz w:val="28"/>
          <w:szCs w:val="28"/>
          <w:highlight w:val="none"/>
        </w:rPr>
        <w:t>电子投标文件</w:t>
      </w:r>
    </w:p>
    <w:p w14:paraId="6F1128DE">
      <w:pPr>
        <w:ind w:firstLine="560"/>
        <w:jc w:val="center"/>
        <w:rPr>
          <w:color w:val="auto"/>
          <w:sz w:val="28"/>
          <w:szCs w:val="28"/>
          <w:highlight w:val="none"/>
        </w:rPr>
      </w:pPr>
    </w:p>
    <w:p w14:paraId="0DA78E8D">
      <w:pPr>
        <w:ind w:firstLine="560"/>
        <w:jc w:val="center"/>
        <w:rPr>
          <w:color w:val="auto"/>
          <w:sz w:val="28"/>
          <w:szCs w:val="28"/>
          <w:highlight w:val="none"/>
        </w:rPr>
      </w:pPr>
      <w:r>
        <w:rPr>
          <w:rFonts w:hint="eastAsia"/>
          <w:color w:val="auto"/>
          <w:sz w:val="28"/>
          <w:szCs w:val="28"/>
          <w:highlight w:val="none"/>
        </w:rPr>
        <w:t>商  务  文  件</w:t>
      </w:r>
    </w:p>
    <w:p w14:paraId="171101D2">
      <w:pPr>
        <w:rPr>
          <w:color w:val="auto"/>
          <w:highlight w:val="none"/>
        </w:rPr>
      </w:pPr>
    </w:p>
    <w:p w14:paraId="3A7EC00D">
      <w:pPr>
        <w:rPr>
          <w:color w:val="auto"/>
          <w:highlight w:val="none"/>
        </w:rPr>
      </w:pPr>
      <w:r>
        <w:rPr>
          <w:rFonts w:hint="eastAsia"/>
          <w:color w:val="auto"/>
          <w:highlight w:val="none"/>
        </w:rPr>
        <w:t>项目名称：</w:t>
      </w:r>
    </w:p>
    <w:p w14:paraId="14D19D5B">
      <w:pPr>
        <w:rPr>
          <w:color w:val="auto"/>
          <w:highlight w:val="none"/>
        </w:rPr>
      </w:pPr>
    </w:p>
    <w:p w14:paraId="79531F61">
      <w:pPr>
        <w:rPr>
          <w:color w:val="auto"/>
          <w:highlight w:val="none"/>
        </w:rPr>
      </w:pPr>
      <w:r>
        <w:rPr>
          <w:rFonts w:hint="eastAsia"/>
          <w:color w:val="auto"/>
          <w:highlight w:val="none"/>
        </w:rPr>
        <w:t>项目编号：</w:t>
      </w:r>
    </w:p>
    <w:p w14:paraId="786F1BE9">
      <w:pPr>
        <w:rPr>
          <w:color w:val="auto"/>
          <w:szCs w:val="20"/>
          <w:highlight w:val="none"/>
        </w:rPr>
      </w:pPr>
      <w:r>
        <w:rPr>
          <w:rFonts w:hint="eastAsia"/>
          <w:color w:val="auto"/>
          <w:highlight w:val="none"/>
        </w:rPr>
        <w:t xml:space="preserve"> </w:t>
      </w:r>
    </w:p>
    <w:p w14:paraId="279A3613">
      <w:pPr>
        <w:rPr>
          <w:color w:val="auto"/>
          <w:highlight w:val="none"/>
        </w:rPr>
      </w:pPr>
      <w:r>
        <w:rPr>
          <w:rFonts w:hint="eastAsia"/>
          <w:color w:val="auto"/>
          <w:highlight w:val="none"/>
        </w:rPr>
        <w:t>所投分标：无，则写“/”</w:t>
      </w:r>
    </w:p>
    <w:p w14:paraId="0230A924">
      <w:pPr>
        <w:rPr>
          <w:color w:val="auto"/>
          <w:highlight w:val="none"/>
        </w:rPr>
      </w:pPr>
    </w:p>
    <w:p w14:paraId="0A67AC1D">
      <w:pPr>
        <w:rPr>
          <w:color w:val="auto"/>
          <w:highlight w:val="none"/>
        </w:rPr>
      </w:pPr>
      <w:r>
        <w:rPr>
          <w:rFonts w:hint="eastAsia"/>
          <w:color w:val="auto"/>
          <w:highlight w:val="none"/>
        </w:rPr>
        <w:t>投标人名称：</w:t>
      </w:r>
    </w:p>
    <w:p w14:paraId="59D5C512">
      <w:pPr>
        <w:rPr>
          <w:color w:val="auto"/>
          <w:highlight w:val="none"/>
        </w:rPr>
      </w:pPr>
    </w:p>
    <w:p w14:paraId="7F945D2D">
      <w:pPr>
        <w:rPr>
          <w:color w:val="auto"/>
          <w:highlight w:val="none"/>
        </w:rPr>
      </w:pPr>
      <w:r>
        <w:rPr>
          <w:rFonts w:hint="eastAsia"/>
          <w:color w:val="auto"/>
          <w:highlight w:val="none"/>
        </w:rPr>
        <w:t>投标人地址：</w:t>
      </w:r>
    </w:p>
    <w:p w14:paraId="19A7C56C">
      <w:pPr>
        <w:rPr>
          <w:color w:val="auto"/>
          <w:highlight w:val="none"/>
        </w:rPr>
      </w:pPr>
    </w:p>
    <w:p w14:paraId="46A2265A">
      <w:pPr>
        <w:rPr>
          <w:color w:val="auto"/>
          <w:highlight w:val="none"/>
        </w:rPr>
      </w:pPr>
      <w:r>
        <w:rPr>
          <w:rFonts w:hint="eastAsia"/>
          <w:color w:val="auto"/>
          <w:highlight w:val="none"/>
        </w:rPr>
        <w:t xml:space="preserve">                        日期：    年   月   日</w:t>
      </w:r>
    </w:p>
    <w:p w14:paraId="6E5213F2">
      <w:pPr>
        <w:rPr>
          <w:color w:val="auto"/>
          <w:highlight w:val="none"/>
        </w:rPr>
      </w:pPr>
      <w:r>
        <w:rPr>
          <w:color w:val="auto"/>
          <w:highlight w:val="none"/>
        </w:rPr>
        <w:t xml:space="preserve"> </w:t>
      </w:r>
    </w:p>
    <w:p w14:paraId="760B2864">
      <w:pPr>
        <w:rPr>
          <w:color w:val="auto"/>
          <w:highlight w:val="none"/>
        </w:rPr>
      </w:pPr>
      <w:r>
        <w:rPr>
          <w:color w:val="auto"/>
          <w:szCs w:val="20"/>
          <w:highlight w:val="none"/>
        </w:rPr>
        <w:br w:type="page"/>
      </w:r>
      <w:r>
        <w:rPr>
          <w:rFonts w:hint="eastAsia"/>
          <w:color w:val="auto"/>
          <w:highlight w:val="none"/>
        </w:rPr>
        <w:t>商务文件目录</w:t>
      </w:r>
    </w:p>
    <w:p w14:paraId="1165B807">
      <w:pPr>
        <w:rPr>
          <w:b/>
          <w:bCs/>
          <w:color w:val="auto"/>
          <w:highlight w:val="none"/>
        </w:rPr>
      </w:pPr>
      <w:r>
        <w:rPr>
          <w:rFonts w:hint="eastAsia"/>
          <w:color w:val="auto"/>
          <w:highlight w:val="none"/>
        </w:rPr>
        <w:t>根据招标文件规定及投标人提供的材料自行编写目录。</w:t>
      </w:r>
    </w:p>
    <w:p w14:paraId="4DB78592">
      <w:pPr>
        <w:rPr>
          <w:color w:val="auto"/>
          <w:highlight w:val="none"/>
        </w:rPr>
      </w:pPr>
    </w:p>
    <w:p w14:paraId="547758D6">
      <w:pPr>
        <w:rPr>
          <w:rFonts w:hint="eastAsia" w:eastAsia="宋体"/>
          <w:color w:val="auto"/>
          <w:highlight w:val="none"/>
          <w:lang w:eastAsia="zh-CN"/>
        </w:rPr>
      </w:pPr>
      <w:r>
        <w:rPr>
          <w:color w:val="auto"/>
          <w:highlight w:val="none"/>
        </w:rPr>
        <w:br w:type="page"/>
      </w:r>
      <w:r>
        <w:rPr>
          <w:rFonts w:hint="eastAsia"/>
          <w:color w:val="auto"/>
          <w:highlight w:val="none"/>
          <w:lang w:val="en-US" w:eastAsia="zh-CN"/>
        </w:rPr>
        <w:t>1</w:t>
      </w:r>
      <w:r>
        <w:rPr>
          <w:rFonts w:hint="eastAsia"/>
          <w:color w:val="auto"/>
          <w:highlight w:val="none"/>
        </w:rPr>
        <w:t>.无围标串标行为的承诺</w:t>
      </w:r>
      <w:r>
        <w:rPr>
          <w:rFonts w:hint="eastAsia"/>
          <w:color w:val="auto"/>
          <w:highlight w:val="none"/>
          <w:lang w:eastAsia="zh-CN"/>
        </w:rPr>
        <w:t>函</w:t>
      </w:r>
    </w:p>
    <w:p w14:paraId="57FBC8B8">
      <w:pPr>
        <w:rPr>
          <w:color w:val="auto"/>
          <w:highlight w:val="none"/>
        </w:rPr>
      </w:pPr>
    </w:p>
    <w:p w14:paraId="77C1C4CB">
      <w:pPr>
        <w:ind w:firstLine="560"/>
        <w:jc w:val="center"/>
        <w:rPr>
          <w:rFonts w:cs="Times New Roman"/>
          <w:b/>
          <w:color w:val="auto"/>
          <w:sz w:val="28"/>
          <w:szCs w:val="28"/>
          <w:highlight w:val="none"/>
        </w:rPr>
      </w:pPr>
      <w:r>
        <w:rPr>
          <w:rFonts w:hint="eastAsia"/>
          <w:color w:val="auto"/>
          <w:sz w:val="28"/>
          <w:szCs w:val="28"/>
          <w:highlight w:val="none"/>
        </w:rPr>
        <w:t>无围标串标行为的承诺函</w:t>
      </w:r>
    </w:p>
    <w:p w14:paraId="34A4AD3E">
      <w:pPr>
        <w:rPr>
          <w:color w:val="auto"/>
          <w:highlight w:val="none"/>
        </w:rPr>
      </w:pPr>
      <w:r>
        <w:rPr>
          <w:rFonts w:hint="eastAsia"/>
          <w:color w:val="auto"/>
          <w:highlight w:val="none"/>
        </w:rPr>
        <w:t>一、我方承诺无下列相互串通投标的情形：</w:t>
      </w:r>
    </w:p>
    <w:p w14:paraId="3FD74BF3">
      <w:pPr>
        <w:rPr>
          <w:color w:val="auto"/>
          <w:highlight w:val="none"/>
        </w:rPr>
      </w:pPr>
      <w:r>
        <w:rPr>
          <w:rFonts w:hint="eastAsia"/>
          <w:color w:val="auto"/>
          <w:highlight w:val="none"/>
        </w:rPr>
        <w:t>1.不同投标人的投标文件由同一单位或者个人编制；</w:t>
      </w:r>
    </w:p>
    <w:p w14:paraId="1A6C7E17">
      <w:pPr>
        <w:rPr>
          <w:color w:val="auto"/>
          <w:highlight w:val="none"/>
        </w:rPr>
      </w:pPr>
      <w:r>
        <w:rPr>
          <w:rFonts w:hint="eastAsia"/>
          <w:color w:val="auto"/>
          <w:highlight w:val="none"/>
        </w:rPr>
        <w:t>2.不同投标人委托同一单位或者个人办理投标事宜；</w:t>
      </w:r>
    </w:p>
    <w:p w14:paraId="49B23E6F">
      <w:pPr>
        <w:rPr>
          <w:color w:val="auto"/>
          <w:highlight w:val="none"/>
        </w:rPr>
      </w:pPr>
      <w:r>
        <w:rPr>
          <w:rFonts w:hint="eastAsia"/>
          <w:color w:val="auto"/>
          <w:highlight w:val="none"/>
        </w:rPr>
        <w:t>3.不同的投标人的投标文件载明的项目管理员为同一个人；</w:t>
      </w:r>
    </w:p>
    <w:p w14:paraId="164BF87A">
      <w:pPr>
        <w:rPr>
          <w:color w:val="auto"/>
          <w:highlight w:val="none"/>
        </w:rPr>
      </w:pPr>
      <w:r>
        <w:rPr>
          <w:rFonts w:hint="eastAsia"/>
          <w:color w:val="auto"/>
          <w:highlight w:val="none"/>
        </w:rPr>
        <w:t>4.不同投标人的投标文件异常一致或者投标报价呈规律性差异；</w:t>
      </w:r>
    </w:p>
    <w:p w14:paraId="187FEFEA">
      <w:pPr>
        <w:rPr>
          <w:color w:val="auto"/>
          <w:highlight w:val="none"/>
        </w:rPr>
      </w:pPr>
      <w:r>
        <w:rPr>
          <w:rFonts w:hint="eastAsia"/>
          <w:color w:val="auto"/>
          <w:highlight w:val="none"/>
        </w:rPr>
        <w:t>5.不同投标人的投标文件相互混装；</w:t>
      </w:r>
    </w:p>
    <w:p w14:paraId="78795084">
      <w:pPr>
        <w:rPr>
          <w:color w:val="auto"/>
          <w:highlight w:val="none"/>
        </w:rPr>
      </w:pPr>
      <w:r>
        <w:rPr>
          <w:rFonts w:hint="eastAsia"/>
          <w:color w:val="auto"/>
          <w:highlight w:val="none"/>
        </w:rPr>
        <w:t>6.不同投标人的投标保证金从同一单位或者个人账户转出。</w:t>
      </w:r>
    </w:p>
    <w:p w14:paraId="0C83607C">
      <w:pPr>
        <w:rPr>
          <w:color w:val="auto"/>
          <w:highlight w:val="none"/>
        </w:rPr>
      </w:pPr>
      <w:r>
        <w:rPr>
          <w:rFonts w:hint="eastAsia"/>
          <w:color w:val="auto"/>
          <w:highlight w:val="none"/>
        </w:rPr>
        <w:t>二、我方承诺无下列恶意串通的情形：</w:t>
      </w:r>
    </w:p>
    <w:p w14:paraId="667752CC">
      <w:pPr>
        <w:rPr>
          <w:color w:val="auto"/>
          <w:highlight w:val="none"/>
        </w:rPr>
      </w:pPr>
      <w:r>
        <w:rPr>
          <w:rFonts w:hint="eastAsia"/>
          <w:color w:val="auto"/>
          <w:highlight w:val="none"/>
        </w:rPr>
        <w:t>1.投标人直接或者间接从采购人或者采购代理机构处获得其他投标人的相关信息并修改其投标文件或者响应文件；</w:t>
      </w:r>
    </w:p>
    <w:p w14:paraId="484257E6">
      <w:pPr>
        <w:rPr>
          <w:color w:val="auto"/>
          <w:highlight w:val="none"/>
        </w:rPr>
      </w:pPr>
      <w:r>
        <w:rPr>
          <w:rFonts w:hint="eastAsia"/>
          <w:color w:val="auto"/>
          <w:highlight w:val="none"/>
        </w:rPr>
        <w:t>2.投标人按照采购人或者采购代理机构的授意撤换、修改投标文件或者响应文件；</w:t>
      </w:r>
    </w:p>
    <w:p w14:paraId="5357C1B8">
      <w:pPr>
        <w:rPr>
          <w:color w:val="auto"/>
          <w:highlight w:val="none"/>
        </w:rPr>
      </w:pPr>
      <w:r>
        <w:rPr>
          <w:rFonts w:hint="eastAsia"/>
          <w:color w:val="auto"/>
          <w:highlight w:val="none"/>
        </w:rPr>
        <w:t>3.投标人之间协商报价、技术方案等投标文件或者响应文件的实质性内容；</w:t>
      </w:r>
    </w:p>
    <w:p w14:paraId="7376BF35">
      <w:pPr>
        <w:rPr>
          <w:color w:val="auto"/>
          <w:highlight w:val="none"/>
        </w:rPr>
      </w:pPr>
      <w:r>
        <w:rPr>
          <w:rFonts w:hint="eastAsia"/>
          <w:color w:val="auto"/>
          <w:highlight w:val="none"/>
        </w:rPr>
        <w:t>4.属于同一集团、协会、商会等组织成员的投标人按照该组织要求协同参加政府采购活动；</w:t>
      </w:r>
    </w:p>
    <w:p w14:paraId="2386F48C">
      <w:pPr>
        <w:rPr>
          <w:color w:val="auto"/>
          <w:highlight w:val="none"/>
        </w:rPr>
      </w:pPr>
      <w:r>
        <w:rPr>
          <w:rFonts w:hint="eastAsia"/>
          <w:color w:val="auto"/>
          <w:highlight w:val="none"/>
        </w:rPr>
        <w:t>5.投标人之间事先约定一致抬高或者压低投标报价，或者在招标项目中事先约定轮流以高价位或者低价位中标，或者事先约定由某一特定投标人中标，然后再参加投标；</w:t>
      </w:r>
    </w:p>
    <w:p w14:paraId="2741ACD8">
      <w:pPr>
        <w:rPr>
          <w:color w:val="auto"/>
          <w:highlight w:val="none"/>
        </w:rPr>
      </w:pPr>
      <w:r>
        <w:rPr>
          <w:rFonts w:hint="eastAsia"/>
          <w:color w:val="auto"/>
          <w:highlight w:val="none"/>
        </w:rPr>
        <w:t>6.投标人之间商定部分投标人放弃参加政府采购活动或者放弃中标；</w:t>
      </w:r>
    </w:p>
    <w:p w14:paraId="405C0A77">
      <w:pPr>
        <w:rPr>
          <w:color w:val="auto"/>
          <w:highlight w:val="none"/>
        </w:rPr>
      </w:pPr>
      <w:r>
        <w:rPr>
          <w:rFonts w:hint="eastAsia"/>
          <w:color w:val="auto"/>
          <w:highlight w:val="none"/>
        </w:rPr>
        <w:t>7.投标人与采购人或者采购代理机构之间、投标人相互之间，为谋求特定投标人中标或者排斥其他投标人的其他串通行为。</w:t>
      </w:r>
    </w:p>
    <w:p w14:paraId="753FE605">
      <w:pPr>
        <w:rPr>
          <w:color w:val="auto"/>
          <w:highlight w:val="none"/>
        </w:rPr>
      </w:pPr>
      <w:r>
        <w:rPr>
          <w:rFonts w:hint="eastAsia"/>
          <w:color w:val="auto"/>
          <w:highlight w:val="none"/>
        </w:rPr>
        <w:t>以上情形一经核查属实，我方愿意承担一切后果，并不再寻求任何旨在减轻或者免除法律责任的辩解。</w:t>
      </w:r>
    </w:p>
    <w:p w14:paraId="04C243E3">
      <w:pPr>
        <w:rPr>
          <w:color w:val="auto"/>
          <w:kern w:val="0"/>
          <w:highlight w:val="none"/>
        </w:rPr>
      </w:pPr>
    </w:p>
    <w:p w14:paraId="2109A6D4">
      <w:pPr>
        <w:rPr>
          <w:color w:val="auto"/>
          <w:kern w:val="0"/>
          <w:highlight w:val="none"/>
        </w:rPr>
      </w:pPr>
      <w:r>
        <w:rPr>
          <w:rFonts w:hint="eastAsia"/>
          <w:color w:val="auto"/>
          <w:kern w:val="0"/>
          <w:highlight w:val="none"/>
        </w:rPr>
        <w:t xml:space="preserve"> </w:t>
      </w:r>
      <w:r>
        <w:rPr>
          <w:color w:val="auto"/>
          <w:kern w:val="0"/>
          <w:highlight w:val="none"/>
        </w:rPr>
        <w:t xml:space="preserve">                                   </w:t>
      </w:r>
      <w:r>
        <w:rPr>
          <w:rFonts w:hint="eastAsia"/>
          <w:color w:val="auto"/>
          <w:kern w:val="0"/>
          <w:highlight w:val="none"/>
        </w:rPr>
        <w:t>投标人名称（电子签章）</w:t>
      </w:r>
    </w:p>
    <w:p w14:paraId="2F6C1677">
      <w:pPr>
        <w:rPr>
          <w:color w:val="auto"/>
          <w:kern w:val="0"/>
          <w:highlight w:val="none"/>
        </w:rPr>
        <w:sectPr>
          <w:pgSz w:w="11906" w:h="16838"/>
          <w:pgMar w:top="1701" w:right="1701" w:bottom="1701" w:left="1701" w:header="851" w:footer="992" w:gutter="0"/>
          <w:cols w:space="720" w:num="1"/>
          <w:titlePg/>
          <w:docGrid w:linePitch="312" w:charSpace="0"/>
        </w:sectPr>
      </w:pPr>
      <w:r>
        <w:rPr>
          <w:rFonts w:hint="eastAsia"/>
          <w:color w:val="auto"/>
          <w:kern w:val="0"/>
          <w:highlight w:val="none"/>
        </w:rPr>
        <w:t xml:space="preserve">                                                </w:t>
      </w:r>
      <w:r>
        <w:rPr>
          <w:rFonts w:hint="eastAsia"/>
          <w:color w:val="auto"/>
          <w:highlight w:val="none"/>
        </w:rPr>
        <w:t>日期：    年   月   日</w:t>
      </w:r>
    </w:p>
    <w:p w14:paraId="49383485">
      <w:pPr>
        <w:numPr>
          <w:ilvl w:val="0"/>
          <w:numId w:val="0"/>
        </w:numPr>
        <w:ind w:leftChars="200"/>
        <w:rPr>
          <w:rFonts w:hint="eastAsia"/>
          <w:color w:val="auto"/>
          <w:highlight w:val="none"/>
        </w:rPr>
      </w:pPr>
      <w:r>
        <w:rPr>
          <w:rFonts w:hint="eastAsia"/>
          <w:color w:val="auto"/>
          <w:highlight w:val="none"/>
          <w:lang w:val="en-US" w:eastAsia="zh-CN"/>
        </w:rPr>
        <w:t>2.</w:t>
      </w:r>
      <w:r>
        <w:rPr>
          <w:rFonts w:hint="eastAsia"/>
          <w:color w:val="auto"/>
          <w:highlight w:val="none"/>
        </w:rPr>
        <w:t>投标保证金提交凭证</w:t>
      </w:r>
    </w:p>
    <w:p w14:paraId="0BAFDC2A">
      <w:pPr>
        <w:numPr>
          <w:ilvl w:val="0"/>
          <w:numId w:val="0"/>
        </w:numPr>
        <w:ind w:leftChars="200"/>
        <w:rPr>
          <w:rFonts w:hint="eastAsia"/>
          <w:color w:val="auto"/>
          <w:highlight w:val="none"/>
        </w:rPr>
      </w:pPr>
    </w:p>
    <w:p w14:paraId="4C42B2EC">
      <w:pPr>
        <w:numPr>
          <w:ilvl w:val="0"/>
          <w:numId w:val="0"/>
        </w:numPr>
        <w:ind w:leftChars="200"/>
        <w:rPr>
          <w:rFonts w:hint="eastAsia"/>
          <w:color w:val="auto"/>
          <w:highlight w:val="none"/>
        </w:rPr>
      </w:pPr>
    </w:p>
    <w:p w14:paraId="0CD2F783">
      <w:pPr>
        <w:rPr>
          <w:rFonts w:hint="eastAsia"/>
          <w:color w:val="auto"/>
          <w:highlight w:val="none"/>
        </w:rPr>
      </w:pPr>
      <w:r>
        <w:rPr>
          <w:rFonts w:hint="eastAsia"/>
          <w:color w:val="auto"/>
          <w:highlight w:val="none"/>
        </w:rPr>
        <w:br w:type="page"/>
      </w:r>
    </w:p>
    <w:p w14:paraId="225BD8BD">
      <w:pPr>
        <w:numPr>
          <w:ilvl w:val="0"/>
          <w:numId w:val="0"/>
        </w:numPr>
        <w:ind w:leftChars="200"/>
        <w:rPr>
          <w:color w:val="auto"/>
          <w:szCs w:val="20"/>
          <w:highlight w:val="none"/>
        </w:rPr>
      </w:pPr>
      <w:r>
        <w:rPr>
          <w:rFonts w:hint="eastAsia"/>
          <w:color w:val="auto"/>
          <w:highlight w:val="none"/>
          <w:lang w:val="en-US" w:eastAsia="zh-CN"/>
        </w:rPr>
        <w:t>3</w:t>
      </w:r>
      <w:r>
        <w:rPr>
          <w:rFonts w:hint="eastAsia"/>
          <w:color w:val="auto"/>
          <w:highlight w:val="none"/>
        </w:rPr>
        <w:t>.法定代表人（或负责人）身份证明及法定代表人（或负责人）有效身份证正反面复印件</w:t>
      </w:r>
    </w:p>
    <w:p w14:paraId="67DB2666">
      <w:pPr>
        <w:rPr>
          <w:color w:val="auto"/>
          <w:highlight w:val="none"/>
        </w:rPr>
      </w:pPr>
    </w:p>
    <w:p w14:paraId="6814E81B">
      <w:pPr>
        <w:ind w:firstLine="560"/>
        <w:jc w:val="center"/>
        <w:rPr>
          <w:color w:val="auto"/>
          <w:sz w:val="28"/>
          <w:szCs w:val="28"/>
          <w:highlight w:val="none"/>
        </w:rPr>
      </w:pPr>
      <w:r>
        <w:rPr>
          <w:rFonts w:hint="eastAsia"/>
          <w:color w:val="auto"/>
          <w:sz w:val="28"/>
          <w:szCs w:val="28"/>
          <w:highlight w:val="none"/>
        </w:rPr>
        <w:t>法定代表人（或负责人）身份证明</w:t>
      </w:r>
    </w:p>
    <w:p w14:paraId="75A872A7">
      <w:pPr>
        <w:rPr>
          <w:color w:val="auto"/>
          <w:highlight w:val="none"/>
        </w:rPr>
      </w:pPr>
      <w:r>
        <w:rPr>
          <w:rFonts w:hint="eastAsia"/>
          <w:color w:val="auto"/>
          <w:highlight w:val="none"/>
        </w:rPr>
        <w:t xml:space="preserve">投 标 人：                                                        </w:t>
      </w:r>
    </w:p>
    <w:p w14:paraId="759EA4C2">
      <w:pPr>
        <w:rPr>
          <w:color w:val="auto"/>
          <w:highlight w:val="none"/>
        </w:rPr>
      </w:pPr>
      <w:r>
        <w:rPr>
          <w:rFonts w:hint="eastAsia"/>
          <w:color w:val="auto"/>
          <w:highlight w:val="none"/>
        </w:rPr>
        <w:t xml:space="preserve">地    址：                                                        </w:t>
      </w:r>
    </w:p>
    <w:p w14:paraId="3D3493EE">
      <w:pPr>
        <w:rPr>
          <w:color w:val="auto"/>
          <w:highlight w:val="none"/>
        </w:rPr>
      </w:pPr>
      <w:r>
        <w:rPr>
          <w:rFonts w:hint="eastAsia"/>
          <w:color w:val="auto"/>
          <w:highlight w:val="none"/>
        </w:rPr>
        <w:t xml:space="preserve">姓    名：                          性      别：                </w:t>
      </w:r>
    </w:p>
    <w:p w14:paraId="4A4C8612">
      <w:pPr>
        <w:rPr>
          <w:color w:val="auto"/>
          <w:highlight w:val="none"/>
        </w:rPr>
      </w:pPr>
      <w:r>
        <w:rPr>
          <w:rFonts w:hint="eastAsia"/>
          <w:color w:val="auto"/>
          <w:highlight w:val="none"/>
        </w:rPr>
        <w:t xml:space="preserve">年    龄：                          职      务：                </w:t>
      </w:r>
    </w:p>
    <w:p w14:paraId="7D768459">
      <w:pPr>
        <w:rPr>
          <w:color w:val="auto"/>
          <w:highlight w:val="none"/>
        </w:rPr>
      </w:pPr>
      <w:r>
        <w:rPr>
          <w:rFonts w:hint="eastAsia"/>
          <w:color w:val="auto"/>
          <w:highlight w:val="none"/>
        </w:rPr>
        <w:t xml:space="preserve">身份证号码：                                 </w:t>
      </w:r>
    </w:p>
    <w:p w14:paraId="3BFC2127">
      <w:pPr>
        <w:rPr>
          <w:color w:val="auto"/>
          <w:highlight w:val="none"/>
        </w:rPr>
      </w:pPr>
      <w:r>
        <w:rPr>
          <w:rFonts w:hint="eastAsia"/>
          <w:color w:val="auto"/>
          <w:highlight w:val="none"/>
        </w:rPr>
        <w:t>系            （投标人名称）              的法定代表人（或负责人）。</w:t>
      </w:r>
    </w:p>
    <w:p w14:paraId="03CA5EC4">
      <w:pPr>
        <w:rPr>
          <w:color w:val="auto"/>
          <w:highlight w:val="none"/>
        </w:rPr>
      </w:pPr>
      <w:r>
        <w:rPr>
          <w:rFonts w:hint="eastAsia"/>
          <w:color w:val="auto"/>
          <w:highlight w:val="none"/>
        </w:rPr>
        <w:t>特此证明。</w:t>
      </w:r>
    </w:p>
    <w:p w14:paraId="566A640F">
      <w:pPr>
        <w:rPr>
          <w:color w:val="auto"/>
          <w:highlight w:val="none"/>
        </w:rPr>
      </w:pPr>
    </w:p>
    <w:p w14:paraId="5C656A19">
      <w:pPr>
        <w:rPr>
          <w:color w:val="auto"/>
          <w:highlight w:val="none"/>
        </w:rPr>
      </w:pPr>
    </w:p>
    <w:p w14:paraId="08E48846">
      <w:pPr>
        <w:rPr>
          <w:color w:val="auto"/>
          <w:highlight w:val="none"/>
        </w:rPr>
      </w:pPr>
      <w:r>
        <w:rPr>
          <w:rFonts w:hint="eastAsia"/>
          <w:color w:val="auto"/>
          <w:highlight w:val="none"/>
        </w:rPr>
        <w:t>附件：法定代表人（或负责人）有效身份证正反面复印件</w:t>
      </w:r>
    </w:p>
    <w:p w14:paraId="3180A3B0">
      <w:pPr>
        <w:rPr>
          <w:color w:val="auto"/>
          <w:highlight w:val="none"/>
        </w:rPr>
      </w:pPr>
    </w:p>
    <w:p w14:paraId="08FFC509">
      <w:pPr>
        <w:rPr>
          <w:color w:val="auto"/>
          <w:highlight w:val="none"/>
        </w:rPr>
      </w:pPr>
      <w:r>
        <w:rPr>
          <w:rFonts w:hint="eastAsia"/>
          <w:color w:val="auto"/>
          <w:highlight w:val="none"/>
        </w:rPr>
        <w:t>投标人名称（电子签章）</w:t>
      </w:r>
    </w:p>
    <w:p w14:paraId="2CB1DB8F">
      <w:pPr>
        <w:rPr>
          <w:color w:val="auto"/>
          <w:highlight w:val="none"/>
        </w:rPr>
      </w:pPr>
    </w:p>
    <w:p w14:paraId="53EDF878">
      <w:pPr>
        <w:rPr>
          <w:color w:val="auto"/>
          <w:highlight w:val="none"/>
        </w:rPr>
      </w:pPr>
      <w:r>
        <w:rPr>
          <w:rFonts w:hint="eastAsia"/>
          <w:color w:val="auto"/>
          <w:highlight w:val="none"/>
        </w:rPr>
        <w:t xml:space="preserve">       日期：    年   月   日</w:t>
      </w:r>
    </w:p>
    <w:p w14:paraId="74A091E8">
      <w:pPr>
        <w:rPr>
          <w:color w:val="auto"/>
          <w:highlight w:val="none"/>
        </w:rPr>
      </w:pPr>
    </w:p>
    <w:p w14:paraId="6E9BDAFA">
      <w:pPr>
        <w:rPr>
          <w:b/>
          <w:color w:val="auto"/>
          <w:highlight w:val="none"/>
        </w:rPr>
      </w:pPr>
      <w:r>
        <w:rPr>
          <w:rFonts w:hint="eastAsia"/>
          <w:color w:val="auto"/>
          <w:highlight w:val="none"/>
        </w:rPr>
        <w:t>注：自然人投标的无需提供</w:t>
      </w:r>
    </w:p>
    <w:p w14:paraId="76EE8B12">
      <w:pPr>
        <w:rPr>
          <w:color w:val="auto"/>
          <w:szCs w:val="20"/>
          <w:highlight w:val="none"/>
        </w:rPr>
      </w:pPr>
      <w:r>
        <w:rPr>
          <w:color w:val="auto"/>
          <w:highlight w:val="none"/>
        </w:rPr>
        <w:br w:type="page"/>
      </w:r>
      <w:r>
        <w:rPr>
          <w:rFonts w:hint="eastAsia"/>
          <w:color w:val="auto"/>
          <w:highlight w:val="none"/>
          <w:lang w:val="en-US" w:eastAsia="zh-CN"/>
        </w:rPr>
        <w:t>4</w:t>
      </w:r>
      <w:r>
        <w:rPr>
          <w:rFonts w:hint="eastAsia"/>
          <w:color w:val="auto"/>
          <w:highlight w:val="none"/>
        </w:rPr>
        <w:t>.授权委托书及委托代理人有效身份证正反面复印件</w:t>
      </w:r>
    </w:p>
    <w:p w14:paraId="7D58390B">
      <w:pPr>
        <w:ind w:firstLine="560"/>
        <w:jc w:val="center"/>
        <w:rPr>
          <w:color w:val="auto"/>
          <w:sz w:val="28"/>
          <w:szCs w:val="28"/>
          <w:highlight w:val="none"/>
        </w:rPr>
      </w:pPr>
      <w:r>
        <w:rPr>
          <w:rFonts w:hint="eastAsia"/>
          <w:color w:val="auto"/>
          <w:sz w:val="28"/>
          <w:szCs w:val="28"/>
          <w:highlight w:val="none"/>
        </w:rPr>
        <w:t>授权委托书</w:t>
      </w:r>
    </w:p>
    <w:p w14:paraId="6628280D">
      <w:pPr>
        <w:ind w:firstLine="560"/>
        <w:jc w:val="center"/>
        <w:rPr>
          <w:color w:val="auto"/>
          <w:sz w:val="28"/>
          <w:szCs w:val="28"/>
          <w:highlight w:val="none"/>
        </w:rPr>
      </w:pPr>
      <w:r>
        <w:rPr>
          <w:rFonts w:hint="eastAsia"/>
          <w:color w:val="auto"/>
          <w:sz w:val="28"/>
          <w:szCs w:val="28"/>
          <w:highlight w:val="none"/>
        </w:rPr>
        <w:t>（非联合体投标格式）</w:t>
      </w:r>
    </w:p>
    <w:p w14:paraId="3C567B68">
      <w:pPr>
        <w:ind w:firstLine="560"/>
        <w:jc w:val="center"/>
        <w:rPr>
          <w:color w:val="auto"/>
          <w:sz w:val="28"/>
          <w:szCs w:val="28"/>
          <w:highlight w:val="none"/>
        </w:rPr>
      </w:pPr>
      <w:r>
        <w:rPr>
          <w:rFonts w:hint="eastAsia"/>
          <w:color w:val="auto"/>
          <w:sz w:val="28"/>
          <w:szCs w:val="28"/>
          <w:highlight w:val="none"/>
        </w:rPr>
        <w:t>（如有委托时）</w:t>
      </w:r>
    </w:p>
    <w:p w14:paraId="2F80769E">
      <w:pPr>
        <w:rPr>
          <w:color w:val="auto"/>
          <w:highlight w:val="none"/>
        </w:rPr>
      </w:pPr>
    </w:p>
    <w:p w14:paraId="4C835456">
      <w:pPr>
        <w:rPr>
          <w:b/>
          <w:bCs/>
          <w:color w:val="auto"/>
          <w:highlight w:val="none"/>
        </w:rPr>
      </w:pPr>
      <w:r>
        <w:rPr>
          <w:rFonts w:hint="eastAsia"/>
          <w:bCs/>
          <w:color w:val="auto"/>
          <w:highlight w:val="none"/>
        </w:rPr>
        <w:t>致：</w:t>
      </w:r>
      <w:r>
        <w:rPr>
          <w:rFonts w:hint="eastAsia"/>
          <w:color w:val="auto"/>
          <w:highlight w:val="none"/>
        </w:rPr>
        <w:t>采购人名称：</w:t>
      </w:r>
    </w:p>
    <w:p w14:paraId="11F71405">
      <w:pPr>
        <w:rPr>
          <w:color w:val="auto"/>
          <w:highlight w:val="none"/>
        </w:rPr>
      </w:pPr>
      <w:r>
        <w:rPr>
          <w:rFonts w:hint="eastAsia"/>
          <w:color w:val="auto"/>
          <w:highlight w:val="none"/>
        </w:rPr>
        <w:t>我</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（投标人名称）的法定代表人（或负责人），现授权委托</w:t>
      </w:r>
      <w:r>
        <w:rPr>
          <w:rFonts w:hint="eastAsia"/>
          <w:color w:val="auto"/>
          <w:highlight w:val="none"/>
          <w:u w:val="single"/>
        </w:rPr>
        <w:t xml:space="preserve">              （姓名）</w:t>
      </w:r>
      <w:r>
        <w:rPr>
          <w:rFonts w:hint="eastAsia"/>
          <w:color w:val="auto"/>
          <w:highlight w:val="none"/>
        </w:rPr>
        <w:t>以我方的名义参加</w:t>
      </w:r>
      <w:r>
        <w:rPr>
          <w:rFonts w:hint="eastAsia"/>
          <w:color w:val="auto"/>
          <w:highlight w:val="none"/>
          <w:u w:val="single"/>
        </w:rPr>
        <w:t xml:space="preserve">              </w:t>
      </w:r>
      <w:r>
        <w:rPr>
          <w:rFonts w:hint="eastAsia"/>
          <w:color w:val="auto"/>
          <w:highlight w:val="none"/>
        </w:rPr>
        <w:t>项目的投标活动，并代表我方全权办理针对上述项目的所有采购程序和环节的具体事务和签署相关文件。</w:t>
      </w:r>
    </w:p>
    <w:p w14:paraId="7B861E7F">
      <w:pPr>
        <w:rPr>
          <w:color w:val="auto"/>
          <w:highlight w:val="none"/>
        </w:rPr>
      </w:pPr>
      <w:r>
        <w:rPr>
          <w:rFonts w:hint="eastAsia"/>
          <w:color w:val="auto"/>
          <w:highlight w:val="none"/>
        </w:rPr>
        <w:t xml:space="preserve">    我方对委托代理人的签字或者电子签名事项负全部责任。</w:t>
      </w:r>
    </w:p>
    <w:p w14:paraId="012097A3">
      <w:pPr>
        <w:rPr>
          <w:color w:val="auto"/>
          <w:highlight w:val="none"/>
        </w:rPr>
      </w:pPr>
      <w:r>
        <w:rPr>
          <w:rFonts w:hint="eastAsia"/>
          <w:color w:val="auto"/>
          <w:highlight w:val="none"/>
        </w:rPr>
        <w:t>本授权书自签署之日起生效，在撤销授权的书面通知以前，本授权书一直有效。委托代理人在授权书有效期内签署的所有文件不因授权的撤销而失效。</w:t>
      </w:r>
    </w:p>
    <w:p w14:paraId="2500DFCC">
      <w:pPr>
        <w:rPr>
          <w:color w:val="auto"/>
          <w:highlight w:val="none"/>
        </w:rPr>
      </w:pPr>
      <w:r>
        <w:rPr>
          <w:rFonts w:hint="eastAsia"/>
          <w:color w:val="auto"/>
          <w:highlight w:val="none"/>
        </w:rPr>
        <w:t>委托代理人无转委托权，特此委托。</w:t>
      </w:r>
    </w:p>
    <w:p w14:paraId="3FB546E3">
      <w:pPr>
        <w:rPr>
          <w:color w:val="auto"/>
          <w:highlight w:val="none"/>
        </w:rPr>
      </w:pPr>
      <w:r>
        <w:rPr>
          <w:rFonts w:hint="eastAsia"/>
          <w:color w:val="auto"/>
          <w:highlight w:val="none"/>
        </w:rPr>
        <w:t>附：法定代表人（或负责人）身份证明及委托代理人有效身份证正反面复印件</w:t>
      </w:r>
    </w:p>
    <w:p w14:paraId="6B3E83A3">
      <w:pPr>
        <w:rPr>
          <w:color w:val="auto"/>
          <w:highlight w:val="none"/>
        </w:rPr>
      </w:pPr>
    </w:p>
    <w:p w14:paraId="05249FF3">
      <w:pPr>
        <w:rPr>
          <w:color w:val="auto"/>
          <w:highlight w:val="none"/>
        </w:rPr>
      </w:pPr>
      <w:r>
        <w:rPr>
          <w:rFonts w:hint="eastAsia"/>
          <w:color w:val="auto"/>
          <w:highlight w:val="none"/>
        </w:rPr>
        <w:t>委托代理人（签字或电子签名）：</w:t>
      </w:r>
      <w:r>
        <w:rPr>
          <w:rFonts w:hint="eastAsia"/>
          <w:color w:val="auto"/>
          <w:highlight w:val="none"/>
          <w:u w:val="single"/>
        </w:rPr>
        <w:t xml:space="preserve">               </w:t>
      </w:r>
      <w:r>
        <w:rPr>
          <w:rFonts w:hint="eastAsia"/>
          <w:color w:val="auto"/>
          <w:highlight w:val="none"/>
        </w:rPr>
        <w:t xml:space="preserve">            </w:t>
      </w:r>
    </w:p>
    <w:p w14:paraId="4C927399">
      <w:pPr>
        <w:rPr>
          <w:color w:val="auto"/>
          <w:highlight w:val="none"/>
        </w:rPr>
      </w:pPr>
      <w:r>
        <w:rPr>
          <w:rFonts w:hint="eastAsia"/>
          <w:color w:val="auto"/>
          <w:highlight w:val="none"/>
        </w:rPr>
        <w:t xml:space="preserve">委托代理人身份证号码：                             </w:t>
      </w:r>
    </w:p>
    <w:p w14:paraId="69BC6FD3">
      <w:pPr>
        <w:rPr>
          <w:color w:val="auto"/>
          <w:highlight w:val="none"/>
          <w:u w:val="single"/>
        </w:rPr>
      </w:pPr>
      <w:r>
        <w:rPr>
          <w:rFonts w:hint="eastAsia"/>
          <w:color w:val="auto"/>
          <w:highlight w:val="none"/>
        </w:rPr>
        <w:t>法定代表人（或负责人）（签字或电子签名）：</w:t>
      </w:r>
      <w:r>
        <w:rPr>
          <w:rFonts w:hint="eastAsia"/>
          <w:color w:val="auto"/>
          <w:highlight w:val="none"/>
          <w:u w:val="single"/>
        </w:rPr>
        <w:t xml:space="preserve">              </w:t>
      </w:r>
    </w:p>
    <w:p w14:paraId="18811750">
      <w:pPr>
        <w:rPr>
          <w:color w:val="auto"/>
          <w:highlight w:val="none"/>
        </w:rPr>
      </w:pPr>
      <w:r>
        <w:rPr>
          <w:rFonts w:hint="eastAsia"/>
          <w:color w:val="auto"/>
          <w:highlight w:val="none"/>
        </w:rPr>
        <w:t xml:space="preserve"> </w:t>
      </w:r>
    </w:p>
    <w:p w14:paraId="3786FDD1">
      <w:pPr>
        <w:rPr>
          <w:color w:val="auto"/>
          <w:highlight w:val="none"/>
        </w:rPr>
      </w:pPr>
      <w:r>
        <w:rPr>
          <w:rFonts w:hint="eastAsia"/>
          <w:color w:val="auto"/>
          <w:highlight w:val="none"/>
        </w:rPr>
        <w:t xml:space="preserve">                                                投标人名称（电子签章）：</w:t>
      </w:r>
    </w:p>
    <w:p w14:paraId="52D7CF4F">
      <w:pPr>
        <w:rPr>
          <w:color w:val="auto"/>
          <w:highlight w:val="none"/>
        </w:rPr>
      </w:pPr>
      <w:r>
        <w:rPr>
          <w:rFonts w:hint="eastAsia"/>
          <w:color w:val="auto"/>
          <w:highlight w:val="none"/>
        </w:rPr>
        <w:t xml:space="preserve">                                              日期：    年   月   日</w:t>
      </w:r>
    </w:p>
    <w:p w14:paraId="7147EDD0">
      <w:pPr>
        <w:rPr>
          <w:color w:val="auto"/>
          <w:highlight w:val="none"/>
        </w:rPr>
      </w:pPr>
      <w:r>
        <w:rPr>
          <w:rFonts w:hint="eastAsia"/>
          <w:color w:val="auto"/>
          <w:highlight w:val="none"/>
        </w:rPr>
        <w:t>注：1.</w:t>
      </w:r>
      <w:bookmarkStart w:id="149" w:name="_Hlk65851555"/>
      <w:bookmarkStart w:id="150" w:name="_Hlk65851620"/>
      <w:r>
        <w:rPr>
          <w:rFonts w:hint="eastAsia"/>
          <w:color w:val="auto"/>
          <w:highlight w:val="none"/>
        </w:rPr>
        <w:t>法定代表人（或负责人）必须在授权委托书上亲笔签字或者盖章</w:t>
      </w:r>
      <w:r>
        <w:rPr>
          <w:rFonts w:hint="eastAsia" w:cs="Times New Roman"/>
          <w:color w:val="auto"/>
          <w:highlight w:val="none"/>
        </w:rPr>
        <w:t>或者电子签名</w:t>
      </w:r>
      <w:r>
        <w:rPr>
          <w:rFonts w:hint="eastAsia"/>
          <w:color w:val="auto"/>
          <w:highlight w:val="none"/>
        </w:rPr>
        <w:t>，</w:t>
      </w:r>
      <w:bookmarkEnd w:id="149"/>
      <w:r>
        <w:rPr>
          <w:rFonts w:hint="eastAsia"/>
          <w:color w:val="auto"/>
          <w:highlight w:val="none"/>
        </w:rPr>
        <w:t>委托代理人必须在授权委托书上亲笔签字</w:t>
      </w:r>
      <w:r>
        <w:rPr>
          <w:rFonts w:hint="eastAsia" w:cs="Times New Roman"/>
          <w:color w:val="auto"/>
          <w:highlight w:val="none"/>
        </w:rPr>
        <w:t>或者电子签名</w:t>
      </w:r>
      <w:r>
        <w:rPr>
          <w:rFonts w:hint="eastAsia"/>
          <w:color w:val="auto"/>
          <w:highlight w:val="none"/>
        </w:rPr>
        <w:t>，</w:t>
      </w:r>
      <w:r>
        <w:rPr>
          <w:rFonts w:hint="eastAsia"/>
          <w:b/>
          <w:bCs/>
          <w:color w:val="auto"/>
          <w:highlight w:val="none"/>
        </w:rPr>
        <w:t>否则按无效投标处理</w:t>
      </w:r>
      <w:r>
        <w:rPr>
          <w:rFonts w:hint="eastAsia"/>
          <w:color w:val="auto"/>
          <w:highlight w:val="none"/>
        </w:rPr>
        <w:t>；</w:t>
      </w:r>
      <w:bookmarkEnd w:id="150"/>
    </w:p>
    <w:p w14:paraId="33A408AC">
      <w:pPr>
        <w:rPr>
          <w:rFonts w:cs="Times New Roman"/>
          <w:color w:val="auto"/>
          <w:highlight w:val="none"/>
        </w:rPr>
      </w:pPr>
      <w:r>
        <w:rPr>
          <w:rFonts w:hint="eastAsia"/>
          <w:color w:val="auto"/>
          <w:highlight w:val="none"/>
        </w:rPr>
        <w:t>2.法人、其他组织投标时“我方”是指“我单位”，自然人投标时“我方”是指“本人”。</w:t>
      </w:r>
    </w:p>
    <w:p w14:paraId="732ECEE9">
      <w:pPr>
        <w:rPr>
          <w:color w:val="auto"/>
          <w:highlight w:val="none"/>
        </w:rPr>
      </w:pPr>
      <w:r>
        <w:rPr>
          <w:color w:val="auto"/>
          <w:highlight w:val="none"/>
        </w:rPr>
        <w:br w:type="page"/>
      </w:r>
    </w:p>
    <w:p w14:paraId="587A62DF">
      <w:pPr>
        <w:rPr>
          <w:color w:val="auto"/>
          <w:szCs w:val="20"/>
          <w:highlight w:val="none"/>
        </w:rPr>
      </w:pPr>
      <w:r>
        <w:rPr>
          <w:rFonts w:hint="eastAsia"/>
          <w:color w:val="auto"/>
          <w:highlight w:val="none"/>
          <w:lang w:val="en-US" w:eastAsia="zh-CN"/>
        </w:rPr>
        <w:t>5</w:t>
      </w:r>
      <w:r>
        <w:rPr>
          <w:rFonts w:hint="eastAsia"/>
          <w:color w:val="auto"/>
          <w:highlight w:val="none"/>
        </w:rPr>
        <w:t>.商务要求偏离表格式</w:t>
      </w:r>
    </w:p>
    <w:p w14:paraId="37F89232">
      <w:pPr>
        <w:ind w:firstLine="0" w:firstLineChars="0"/>
        <w:jc w:val="center"/>
        <w:rPr>
          <w:color w:val="auto"/>
          <w:sz w:val="28"/>
          <w:szCs w:val="28"/>
          <w:highlight w:val="none"/>
        </w:rPr>
      </w:pPr>
      <w:r>
        <w:rPr>
          <w:rFonts w:hint="eastAsia"/>
          <w:color w:val="auto"/>
          <w:sz w:val="28"/>
          <w:szCs w:val="28"/>
          <w:highlight w:val="none"/>
        </w:rPr>
        <w:t>商务要求偏离表</w:t>
      </w:r>
    </w:p>
    <w:p w14:paraId="17B148E2">
      <w:pPr>
        <w:rPr>
          <w:color w:val="auto"/>
          <w:highlight w:val="none"/>
        </w:rPr>
      </w:pPr>
      <w:r>
        <w:rPr>
          <w:rFonts w:hint="eastAsia"/>
          <w:color w:val="auto"/>
          <w:highlight w:val="none"/>
        </w:rPr>
        <w:t xml:space="preserve">项目名称：                                     项目编号：                        </w:t>
      </w:r>
    </w:p>
    <w:p w14:paraId="36EDCE8D">
      <w:pPr>
        <w:rPr>
          <w:color w:val="auto"/>
          <w:highlight w:val="none"/>
        </w:rPr>
      </w:pPr>
      <w:r>
        <w:rPr>
          <w:rFonts w:hint="eastAsia"/>
          <w:color w:val="auto"/>
          <w:highlight w:val="none"/>
        </w:rPr>
        <w:t xml:space="preserve"> 分标：                     </w:t>
      </w: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9"/>
        <w:gridCol w:w="2460"/>
        <w:gridCol w:w="1812"/>
        <w:gridCol w:w="2080"/>
      </w:tblGrid>
      <w:tr w14:paraId="28B8D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89" w:type="dxa"/>
            <w:tcBorders>
              <w:top w:val="single" w:color="auto" w:sz="4" w:space="0"/>
              <w:left w:val="single" w:color="auto" w:sz="4" w:space="0"/>
              <w:bottom w:val="single" w:color="auto" w:sz="4" w:space="0"/>
              <w:right w:val="single" w:color="auto" w:sz="4" w:space="0"/>
            </w:tcBorders>
          </w:tcPr>
          <w:p w14:paraId="05DA9057">
            <w:pPr>
              <w:ind w:firstLine="0" w:firstLineChars="0"/>
              <w:rPr>
                <w:color w:val="auto"/>
                <w:highlight w:val="none"/>
              </w:rPr>
            </w:pPr>
            <w:r>
              <w:rPr>
                <w:rFonts w:hint="eastAsia"/>
                <w:color w:val="auto"/>
                <w:highlight w:val="none"/>
              </w:rPr>
              <w:t>项目</w:t>
            </w:r>
          </w:p>
        </w:tc>
        <w:tc>
          <w:tcPr>
            <w:tcW w:w="2460" w:type="dxa"/>
            <w:tcBorders>
              <w:top w:val="single" w:color="auto" w:sz="4" w:space="0"/>
              <w:left w:val="single" w:color="auto" w:sz="4" w:space="0"/>
              <w:bottom w:val="single" w:color="auto" w:sz="4" w:space="0"/>
              <w:right w:val="single" w:color="auto" w:sz="4" w:space="0"/>
            </w:tcBorders>
          </w:tcPr>
          <w:p w14:paraId="4760111F">
            <w:pPr>
              <w:ind w:firstLine="0" w:firstLineChars="0"/>
              <w:rPr>
                <w:color w:val="auto"/>
                <w:highlight w:val="none"/>
              </w:rPr>
            </w:pPr>
            <w:r>
              <w:rPr>
                <w:rFonts w:hint="eastAsia"/>
                <w:color w:val="auto"/>
                <w:highlight w:val="none"/>
              </w:rPr>
              <w:t>招标文件商务要求</w:t>
            </w:r>
          </w:p>
        </w:tc>
        <w:tc>
          <w:tcPr>
            <w:tcW w:w="1812" w:type="dxa"/>
            <w:tcBorders>
              <w:top w:val="single" w:color="auto" w:sz="4" w:space="0"/>
              <w:left w:val="single" w:color="auto" w:sz="4" w:space="0"/>
              <w:bottom w:val="single" w:color="auto" w:sz="4" w:space="0"/>
              <w:right w:val="single" w:color="auto" w:sz="4" w:space="0"/>
            </w:tcBorders>
          </w:tcPr>
          <w:p w14:paraId="1C9F8AD8">
            <w:pPr>
              <w:ind w:firstLine="0" w:firstLineChars="0"/>
              <w:rPr>
                <w:color w:val="auto"/>
                <w:highlight w:val="none"/>
              </w:rPr>
            </w:pPr>
            <w:r>
              <w:rPr>
                <w:rFonts w:hint="eastAsia"/>
                <w:color w:val="auto"/>
                <w:highlight w:val="none"/>
              </w:rPr>
              <w:t>投标人的承诺</w:t>
            </w:r>
          </w:p>
        </w:tc>
        <w:tc>
          <w:tcPr>
            <w:tcW w:w="2080" w:type="dxa"/>
            <w:tcBorders>
              <w:top w:val="single" w:color="auto" w:sz="4" w:space="0"/>
              <w:left w:val="single" w:color="auto" w:sz="4" w:space="0"/>
              <w:bottom w:val="single" w:color="auto" w:sz="4" w:space="0"/>
              <w:right w:val="single" w:color="auto" w:sz="4" w:space="0"/>
            </w:tcBorders>
          </w:tcPr>
          <w:p w14:paraId="5BB9B8EB">
            <w:pPr>
              <w:ind w:firstLine="0" w:firstLineChars="0"/>
              <w:rPr>
                <w:color w:val="auto"/>
                <w:highlight w:val="none"/>
              </w:rPr>
            </w:pPr>
            <w:r>
              <w:rPr>
                <w:rFonts w:hint="eastAsia"/>
                <w:color w:val="auto"/>
                <w:highlight w:val="none"/>
              </w:rPr>
              <w:t>偏离说明</w:t>
            </w:r>
          </w:p>
        </w:tc>
      </w:tr>
      <w:tr w14:paraId="2E01A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89" w:type="dxa"/>
            <w:tcBorders>
              <w:top w:val="single" w:color="auto" w:sz="4" w:space="0"/>
              <w:left w:val="single" w:color="auto" w:sz="4" w:space="0"/>
              <w:bottom w:val="single" w:color="auto" w:sz="4" w:space="0"/>
              <w:right w:val="single" w:color="auto" w:sz="4" w:space="0"/>
            </w:tcBorders>
            <w:vAlign w:val="center"/>
          </w:tcPr>
          <w:p w14:paraId="3F626644">
            <w:pPr>
              <w:rPr>
                <w:color w:val="auto"/>
                <w:highlight w:val="none"/>
              </w:rPr>
            </w:pPr>
          </w:p>
        </w:tc>
        <w:tc>
          <w:tcPr>
            <w:tcW w:w="2460" w:type="dxa"/>
            <w:tcBorders>
              <w:top w:val="single" w:color="auto" w:sz="4" w:space="0"/>
              <w:left w:val="single" w:color="auto" w:sz="4" w:space="0"/>
              <w:bottom w:val="single" w:color="auto" w:sz="4" w:space="0"/>
              <w:right w:val="single" w:color="auto" w:sz="4" w:space="0"/>
            </w:tcBorders>
          </w:tcPr>
          <w:p w14:paraId="19638B09">
            <w:pPr>
              <w:rPr>
                <w:color w:val="auto"/>
                <w:highlight w:val="none"/>
              </w:rPr>
            </w:pPr>
          </w:p>
        </w:tc>
        <w:tc>
          <w:tcPr>
            <w:tcW w:w="1812" w:type="dxa"/>
            <w:tcBorders>
              <w:top w:val="single" w:color="auto" w:sz="4" w:space="0"/>
              <w:left w:val="single" w:color="auto" w:sz="4" w:space="0"/>
              <w:bottom w:val="single" w:color="auto" w:sz="4" w:space="0"/>
              <w:right w:val="single" w:color="auto" w:sz="4" w:space="0"/>
            </w:tcBorders>
          </w:tcPr>
          <w:p w14:paraId="6A80991F">
            <w:pPr>
              <w:rPr>
                <w:color w:val="auto"/>
                <w:highlight w:val="none"/>
              </w:rPr>
            </w:pPr>
          </w:p>
        </w:tc>
        <w:tc>
          <w:tcPr>
            <w:tcW w:w="2080" w:type="dxa"/>
            <w:tcBorders>
              <w:top w:val="single" w:color="auto" w:sz="4" w:space="0"/>
              <w:left w:val="single" w:color="auto" w:sz="4" w:space="0"/>
              <w:bottom w:val="single" w:color="auto" w:sz="4" w:space="0"/>
              <w:right w:val="single" w:color="auto" w:sz="4" w:space="0"/>
            </w:tcBorders>
          </w:tcPr>
          <w:p w14:paraId="5E451E0F">
            <w:pPr>
              <w:rPr>
                <w:color w:val="auto"/>
                <w:highlight w:val="none"/>
              </w:rPr>
            </w:pPr>
          </w:p>
        </w:tc>
      </w:tr>
      <w:tr w14:paraId="31D6D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289" w:type="dxa"/>
            <w:tcBorders>
              <w:top w:val="single" w:color="auto" w:sz="4" w:space="0"/>
              <w:left w:val="single" w:color="auto" w:sz="4" w:space="0"/>
              <w:bottom w:val="single" w:color="auto" w:sz="4" w:space="0"/>
              <w:right w:val="single" w:color="auto" w:sz="4" w:space="0"/>
            </w:tcBorders>
            <w:vAlign w:val="center"/>
          </w:tcPr>
          <w:p w14:paraId="3F67C589">
            <w:pPr>
              <w:rPr>
                <w:color w:val="auto"/>
                <w:highlight w:val="none"/>
              </w:rPr>
            </w:pPr>
          </w:p>
        </w:tc>
        <w:tc>
          <w:tcPr>
            <w:tcW w:w="2460" w:type="dxa"/>
            <w:tcBorders>
              <w:top w:val="single" w:color="auto" w:sz="4" w:space="0"/>
              <w:left w:val="single" w:color="auto" w:sz="4" w:space="0"/>
              <w:bottom w:val="single" w:color="auto" w:sz="4" w:space="0"/>
              <w:right w:val="single" w:color="auto" w:sz="4" w:space="0"/>
            </w:tcBorders>
          </w:tcPr>
          <w:p w14:paraId="2C514857">
            <w:pPr>
              <w:rPr>
                <w:color w:val="auto"/>
                <w:highlight w:val="none"/>
              </w:rPr>
            </w:pPr>
          </w:p>
        </w:tc>
        <w:tc>
          <w:tcPr>
            <w:tcW w:w="1812" w:type="dxa"/>
            <w:tcBorders>
              <w:top w:val="single" w:color="auto" w:sz="4" w:space="0"/>
              <w:left w:val="single" w:color="auto" w:sz="4" w:space="0"/>
              <w:bottom w:val="single" w:color="auto" w:sz="4" w:space="0"/>
              <w:right w:val="single" w:color="auto" w:sz="4" w:space="0"/>
            </w:tcBorders>
          </w:tcPr>
          <w:p w14:paraId="5689B0EC">
            <w:pPr>
              <w:rPr>
                <w:color w:val="auto"/>
                <w:highlight w:val="none"/>
              </w:rPr>
            </w:pPr>
          </w:p>
        </w:tc>
        <w:tc>
          <w:tcPr>
            <w:tcW w:w="2080" w:type="dxa"/>
            <w:tcBorders>
              <w:top w:val="single" w:color="auto" w:sz="4" w:space="0"/>
              <w:left w:val="single" w:color="auto" w:sz="4" w:space="0"/>
              <w:bottom w:val="single" w:color="auto" w:sz="4" w:space="0"/>
              <w:right w:val="single" w:color="auto" w:sz="4" w:space="0"/>
            </w:tcBorders>
          </w:tcPr>
          <w:p w14:paraId="58EF8FD3">
            <w:pPr>
              <w:rPr>
                <w:color w:val="auto"/>
                <w:highlight w:val="none"/>
              </w:rPr>
            </w:pPr>
          </w:p>
        </w:tc>
      </w:tr>
      <w:tr w14:paraId="57542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89" w:type="dxa"/>
            <w:tcBorders>
              <w:top w:val="single" w:color="auto" w:sz="4" w:space="0"/>
              <w:left w:val="single" w:color="auto" w:sz="4" w:space="0"/>
              <w:bottom w:val="single" w:color="auto" w:sz="4" w:space="0"/>
              <w:right w:val="single" w:color="auto" w:sz="4" w:space="0"/>
            </w:tcBorders>
            <w:vAlign w:val="center"/>
          </w:tcPr>
          <w:p w14:paraId="0A754AB1">
            <w:pPr>
              <w:rPr>
                <w:color w:val="auto"/>
                <w:highlight w:val="none"/>
              </w:rPr>
            </w:pPr>
          </w:p>
        </w:tc>
        <w:tc>
          <w:tcPr>
            <w:tcW w:w="2460" w:type="dxa"/>
            <w:tcBorders>
              <w:top w:val="single" w:color="auto" w:sz="4" w:space="0"/>
              <w:left w:val="single" w:color="auto" w:sz="4" w:space="0"/>
              <w:bottom w:val="single" w:color="auto" w:sz="4" w:space="0"/>
              <w:right w:val="single" w:color="auto" w:sz="4" w:space="0"/>
            </w:tcBorders>
          </w:tcPr>
          <w:p w14:paraId="3F06320C">
            <w:pPr>
              <w:rPr>
                <w:color w:val="auto"/>
                <w:highlight w:val="none"/>
              </w:rPr>
            </w:pPr>
          </w:p>
        </w:tc>
        <w:tc>
          <w:tcPr>
            <w:tcW w:w="1812" w:type="dxa"/>
            <w:tcBorders>
              <w:top w:val="single" w:color="auto" w:sz="4" w:space="0"/>
              <w:left w:val="single" w:color="auto" w:sz="4" w:space="0"/>
              <w:bottom w:val="single" w:color="auto" w:sz="4" w:space="0"/>
              <w:right w:val="single" w:color="auto" w:sz="4" w:space="0"/>
            </w:tcBorders>
          </w:tcPr>
          <w:p w14:paraId="16133BA3">
            <w:pPr>
              <w:rPr>
                <w:color w:val="auto"/>
                <w:highlight w:val="none"/>
              </w:rPr>
            </w:pPr>
          </w:p>
        </w:tc>
        <w:tc>
          <w:tcPr>
            <w:tcW w:w="2080" w:type="dxa"/>
            <w:tcBorders>
              <w:top w:val="single" w:color="auto" w:sz="4" w:space="0"/>
              <w:left w:val="single" w:color="auto" w:sz="4" w:space="0"/>
              <w:bottom w:val="single" w:color="auto" w:sz="4" w:space="0"/>
              <w:right w:val="single" w:color="auto" w:sz="4" w:space="0"/>
            </w:tcBorders>
          </w:tcPr>
          <w:p w14:paraId="2D283828">
            <w:pPr>
              <w:rPr>
                <w:color w:val="auto"/>
                <w:highlight w:val="none"/>
              </w:rPr>
            </w:pPr>
          </w:p>
        </w:tc>
      </w:tr>
      <w:tr w14:paraId="1BCD4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289" w:type="dxa"/>
            <w:tcBorders>
              <w:top w:val="single" w:color="auto" w:sz="4" w:space="0"/>
              <w:left w:val="single" w:color="auto" w:sz="4" w:space="0"/>
              <w:bottom w:val="single" w:color="auto" w:sz="4" w:space="0"/>
              <w:right w:val="single" w:color="auto" w:sz="4" w:space="0"/>
            </w:tcBorders>
            <w:vAlign w:val="center"/>
          </w:tcPr>
          <w:p w14:paraId="10DF0A18">
            <w:pPr>
              <w:rPr>
                <w:color w:val="auto"/>
                <w:highlight w:val="none"/>
              </w:rPr>
            </w:pPr>
          </w:p>
        </w:tc>
        <w:tc>
          <w:tcPr>
            <w:tcW w:w="2460" w:type="dxa"/>
            <w:tcBorders>
              <w:top w:val="single" w:color="auto" w:sz="4" w:space="0"/>
              <w:left w:val="single" w:color="auto" w:sz="4" w:space="0"/>
              <w:bottom w:val="single" w:color="auto" w:sz="4" w:space="0"/>
              <w:right w:val="single" w:color="auto" w:sz="4" w:space="0"/>
            </w:tcBorders>
          </w:tcPr>
          <w:p w14:paraId="138C6424">
            <w:pPr>
              <w:rPr>
                <w:color w:val="auto"/>
                <w:highlight w:val="none"/>
              </w:rPr>
            </w:pPr>
          </w:p>
        </w:tc>
        <w:tc>
          <w:tcPr>
            <w:tcW w:w="1812" w:type="dxa"/>
            <w:tcBorders>
              <w:top w:val="single" w:color="auto" w:sz="4" w:space="0"/>
              <w:left w:val="single" w:color="auto" w:sz="4" w:space="0"/>
              <w:bottom w:val="single" w:color="auto" w:sz="4" w:space="0"/>
              <w:right w:val="single" w:color="auto" w:sz="4" w:space="0"/>
            </w:tcBorders>
          </w:tcPr>
          <w:p w14:paraId="6309F0D2">
            <w:pPr>
              <w:rPr>
                <w:color w:val="auto"/>
                <w:highlight w:val="none"/>
              </w:rPr>
            </w:pPr>
          </w:p>
        </w:tc>
        <w:tc>
          <w:tcPr>
            <w:tcW w:w="2080" w:type="dxa"/>
            <w:tcBorders>
              <w:top w:val="single" w:color="auto" w:sz="4" w:space="0"/>
              <w:left w:val="single" w:color="auto" w:sz="4" w:space="0"/>
              <w:bottom w:val="single" w:color="auto" w:sz="4" w:space="0"/>
              <w:right w:val="single" w:color="auto" w:sz="4" w:space="0"/>
            </w:tcBorders>
          </w:tcPr>
          <w:p w14:paraId="5585AE18">
            <w:pPr>
              <w:rPr>
                <w:color w:val="auto"/>
                <w:highlight w:val="none"/>
              </w:rPr>
            </w:pPr>
          </w:p>
        </w:tc>
      </w:tr>
      <w:tr w14:paraId="2D9C5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289" w:type="dxa"/>
            <w:tcBorders>
              <w:top w:val="single" w:color="auto" w:sz="4" w:space="0"/>
              <w:left w:val="single" w:color="auto" w:sz="4" w:space="0"/>
              <w:bottom w:val="single" w:color="auto" w:sz="4" w:space="0"/>
              <w:right w:val="single" w:color="auto" w:sz="4" w:space="0"/>
            </w:tcBorders>
            <w:vAlign w:val="center"/>
          </w:tcPr>
          <w:p w14:paraId="49010653">
            <w:pPr>
              <w:rPr>
                <w:color w:val="auto"/>
                <w:highlight w:val="none"/>
              </w:rPr>
            </w:pPr>
          </w:p>
        </w:tc>
        <w:tc>
          <w:tcPr>
            <w:tcW w:w="2460" w:type="dxa"/>
            <w:tcBorders>
              <w:top w:val="single" w:color="auto" w:sz="4" w:space="0"/>
              <w:left w:val="single" w:color="auto" w:sz="4" w:space="0"/>
              <w:bottom w:val="single" w:color="auto" w:sz="4" w:space="0"/>
              <w:right w:val="single" w:color="auto" w:sz="4" w:space="0"/>
            </w:tcBorders>
          </w:tcPr>
          <w:p w14:paraId="0BA2ADB1">
            <w:pPr>
              <w:rPr>
                <w:color w:val="auto"/>
                <w:highlight w:val="none"/>
              </w:rPr>
            </w:pPr>
          </w:p>
        </w:tc>
        <w:tc>
          <w:tcPr>
            <w:tcW w:w="1812" w:type="dxa"/>
            <w:tcBorders>
              <w:top w:val="single" w:color="auto" w:sz="4" w:space="0"/>
              <w:left w:val="single" w:color="auto" w:sz="4" w:space="0"/>
              <w:bottom w:val="single" w:color="auto" w:sz="4" w:space="0"/>
              <w:right w:val="single" w:color="auto" w:sz="4" w:space="0"/>
            </w:tcBorders>
          </w:tcPr>
          <w:p w14:paraId="26D5B98D">
            <w:pPr>
              <w:rPr>
                <w:color w:val="auto"/>
                <w:highlight w:val="none"/>
              </w:rPr>
            </w:pPr>
          </w:p>
        </w:tc>
        <w:tc>
          <w:tcPr>
            <w:tcW w:w="2080" w:type="dxa"/>
            <w:tcBorders>
              <w:top w:val="single" w:color="auto" w:sz="4" w:space="0"/>
              <w:left w:val="single" w:color="auto" w:sz="4" w:space="0"/>
              <w:bottom w:val="single" w:color="auto" w:sz="4" w:space="0"/>
              <w:right w:val="single" w:color="auto" w:sz="4" w:space="0"/>
            </w:tcBorders>
          </w:tcPr>
          <w:p w14:paraId="65948337">
            <w:pPr>
              <w:rPr>
                <w:color w:val="auto"/>
                <w:highlight w:val="none"/>
              </w:rPr>
            </w:pPr>
          </w:p>
        </w:tc>
      </w:tr>
      <w:tr w14:paraId="60EE6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89" w:type="dxa"/>
            <w:tcBorders>
              <w:top w:val="single" w:color="auto" w:sz="4" w:space="0"/>
              <w:left w:val="single" w:color="auto" w:sz="4" w:space="0"/>
              <w:bottom w:val="single" w:color="auto" w:sz="4" w:space="0"/>
              <w:right w:val="single" w:color="auto" w:sz="4" w:space="0"/>
            </w:tcBorders>
            <w:vAlign w:val="center"/>
          </w:tcPr>
          <w:p w14:paraId="43AA2EDD">
            <w:pPr>
              <w:rPr>
                <w:color w:val="auto"/>
                <w:highlight w:val="none"/>
              </w:rPr>
            </w:pPr>
            <w:r>
              <w:rPr>
                <w:rFonts w:hint="eastAsia"/>
                <w:color w:val="auto"/>
                <w:highlight w:val="none"/>
              </w:rPr>
              <w:t>……</w:t>
            </w:r>
          </w:p>
        </w:tc>
        <w:tc>
          <w:tcPr>
            <w:tcW w:w="2460" w:type="dxa"/>
            <w:tcBorders>
              <w:top w:val="single" w:color="auto" w:sz="4" w:space="0"/>
              <w:left w:val="single" w:color="auto" w:sz="4" w:space="0"/>
              <w:bottom w:val="single" w:color="auto" w:sz="4" w:space="0"/>
              <w:right w:val="single" w:color="auto" w:sz="4" w:space="0"/>
            </w:tcBorders>
          </w:tcPr>
          <w:p w14:paraId="5B9BE271">
            <w:pPr>
              <w:rPr>
                <w:rFonts w:cs="Times New Roman"/>
                <w:color w:val="auto"/>
                <w:highlight w:val="none"/>
              </w:rPr>
            </w:pPr>
            <w:r>
              <w:rPr>
                <w:rFonts w:hint="eastAsia"/>
                <w:color w:val="auto"/>
                <w:highlight w:val="none"/>
              </w:rPr>
              <w:t>……</w:t>
            </w:r>
          </w:p>
        </w:tc>
        <w:tc>
          <w:tcPr>
            <w:tcW w:w="1812" w:type="dxa"/>
            <w:tcBorders>
              <w:top w:val="single" w:color="auto" w:sz="4" w:space="0"/>
              <w:left w:val="single" w:color="auto" w:sz="4" w:space="0"/>
              <w:bottom w:val="single" w:color="auto" w:sz="4" w:space="0"/>
              <w:right w:val="single" w:color="auto" w:sz="4" w:space="0"/>
            </w:tcBorders>
          </w:tcPr>
          <w:p w14:paraId="795A89E9">
            <w:pPr>
              <w:rPr>
                <w:rFonts w:cs="Times New Roman"/>
                <w:color w:val="auto"/>
                <w:highlight w:val="none"/>
              </w:rPr>
            </w:pPr>
            <w:r>
              <w:rPr>
                <w:rFonts w:hint="eastAsia"/>
                <w:color w:val="auto"/>
                <w:highlight w:val="none"/>
              </w:rPr>
              <w:t>……</w:t>
            </w:r>
          </w:p>
        </w:tc>
        <w:tc>
          <w:tcPr>
            <w:tcW w:w="2080" w:type="dxa"/>
            <w:tcBorders>
              <w:top w:val="single" w:color="auto" w:sz="4" w:space="0"/>
              <w:left w:val="single" w:color="auto" w:sz="4" w:space="0"/>
              <w:bottom w:val="single" w:color="auto" w:sz="4" w:space="0"/>
              <w:right w:val="single" w:color="auto" w:sz="4" w:space="0"/>
            </w:tcBorders>
          </w:tcPr>
          <w:p w14:paraId="2391E357">
            <w:pPr>
              <w:rPr>
                <w:rFonts w:cs="Times New Roman"/>
                <w:color w:val="auto"/>
                <w:highlight w:val="none"/>
              </w:rPr>
            </w:pPr>
            <w:r>
              <w:rPr>
                <w:rFonts w:hint="eastAsia"/>
                <w:color w:val="auto"/>
                <w:highlight w:val="none"/>
              </w:rPr>
              <w:t>……</w:t>
            </w:r>
          </w:p>
        </w:tc>
      </w:tr>
    </w:tbl>
    <w:p w14:paraId="2C6E5A00">
      <w:pPr>
        <w:rPr>
          <w:color w:val="auto"/>
          <w:kern w:val="0"/>
          <w:highlight w:val="none"/>
        </w:rPr>
      </w:pPr>
      <w:r>
        <w:rPr>
          <w:rFonts w:hint="eastAsia"/>
          <w:color w:val="auto"/>
          <w:kern w:val="0"/>
          <w:highlight w:val="none"/>
        </w:rPr>
        <w:t>注：</w:t>
      </w:r>
    </w:p>
    <w:p w14:paraId="1FA60859">
      <w:pPr>
        <w:rPr>
          <w:rFonts w:cs="仿宋_GB2312"/>
          <w:color w:val="auto"/>
          <w:highlight w:val="none"/>
        </w:rPr>
      </w:pPr>
      <w:r>
        <w:rPr>
          <w:rFonts w:hint="eastAsia"/>
          <w:color w:val="auto"/>
          <w:highlight w:val="none"/>
        </w:rPr>
        <w:t>1. 说明：应对照招标文件“第二章 采购需求”中的商务要求逐条作明确的投标响应，并作出偏离说明。</w:t>
      </w:r>
    </w:p>
    <w:p w14:paraId="13880DBE">
      <w:pPr>
        <w:rPr>
          <w:color w:val="auto"/>
          <w:kern w:val="0"/>
          <w:highlight w:val="none"/>
        </w:rPr>
      </w:pPr>
      <w:r>
        <w:rPr>
          <w:color w:val="auto"/>
          <w:kern w:val="0"/>
          <w:highlight w:val="none"/>
        </w:rPr>
        <w:t>2.</w:t>
      </w:r>
      <w:r>
        <w:rPr>
          <w:rFonts w:hint="eastAsia"/>
          <w:color w:val="auto"/>
          <w:kern w:val="0"/>
          <w:highlight w:val="none"/>
        </w:rPr>
        <w:t>投标人应根据自身的承诺，对照招标文件要求在“偏离说明”中注明“</w:t>
      </w:r>
      <w:r>
        <w:rPr>
          <w:rFonts w:hint="eastAsia"/>
          <w:b/>
          <w:bCs/>
          <w:color w:val="auto"/>
          <w:kern w:val="0"/>
          <w:highlight w:val="none"/>
        </w:rPr>
        <w:t>正偏离</w:t>
      </w:r>
      <w:r>
        <w:rPr>
          <w:rFonts w:hint="eastAsia"/>
          <w:color w:val="auto"/>
          <w:kern w:val="0"/>
          <w:highlight w:val="none"/>
        </w:rPr>
        <w:t>”、“</w:t>
      </w:r>
      <w:r>
        <w:rPr>
          <w:rFonts w:hint="eastAsia"/>
          <w:b/>
          <w:bCs/>
          <w:color w:val="auto"/>
          <w:kern w:val="0"/>
          <w:highlight w:val="none"/>
        </w:rPr>
        <w:t>负偏离</w:t>
      </w:r>
      <w:r>
        <w:rPr>
          <w:rFonts w:hint="eastAsia"/>
          <w:color w:val="auto"/>
          <w:kern w:val="0"/>
          <w:highlight w:val="none"/>
        </w:rPr>
        <w:t>”或者“</w:t>
      </w:r>
      <w:r>
        <w:rPr>
          <w:rFonts w:hint="eastAsia"/>
          <w:b/>
          <w:bCs/>
          <w:color w:val="auto"/>
          <w:kern w:val="0"/>
          <w:highlight w:val="none"/>
        </w:rPr>
        <w:t>无偏离</w:t>
      </w:r>
      <w:r>
        <w:rPr>
          <w:rFonts w:hint="eastAsia"/>
          <w:color w:val="auto"/>
          <w:kern w:val="0"/>
          <w:highlight w:val="none"/>
        </w:rPr>
        <w:t>”。既不属于“</w:t>
      </w:r>
      <w:r>
        <w:rPr>
          <w:rFonts w:hint="eastAsia"/>
          <w:b/>
          <w:bCs/>
          <w:color w:val="auto"/>
          <w:kern w:val="0"/>
          <w:highlight w:val="none"/>
        </w:rPr>
        <w:t>正偏离</w:t>
      </w:r>
      <w:r>
        <w:rPr>
          <w:rFonts w:hint="eastAsia"/>
          <w:color w:val="auto"/>
          <w:kern w:val="0"/>
          <w:highlight w:val="none"/>
        </w:rPr>
        <w:t>”也不属于“</w:t>
      </w:r>
      <w:r>
        <w:rPr>
          <w:rFonts w:hint="eastAsia"/>
          <w:b/>
          <w:bCs/>
          <w:color w:val="auto"/>
          <w:kern w:val="0"/>
          <w:highlight w:val="none"/>
        </w:rPr>
        <w:t>负偏离</w:t>
      </w:r>
      <w:r>
        <w:rPr>
          <w:rFonts w:hint="eastAsia"/>
          <w:color w:val="auto"/>
          <w:kern w:val="0"/>
          <w:highlight w:val="none"/>
        </w:rPr>
        <w:t>”即为“</w:t>
      </w:r>
      <w:r>
        <w:rPr>
          <w:rFonts w:hint="eastAsia"/>
          <w:b/>
          <w:bCs/>
          <w:color w:val="auto"/>
          <w:kern w:val="0"/>
          <w:highlight w:val="none"/>
        </w:rPr>
        <w:t>无偏离</w:t>
      </w:r>
      <w:r>
        <w:rPr>
          <w:rFonts w:hint="eastAsia"/>
          <w:color w:val="auto"/>
          <w:kern w:val="0"/>
          <w:highlight w:val="none"/>
        </w:rPr>
        <w:t>”。</w:t>
      </w:r>
    </w:p>
    <w:p w14:paraId="190FC55B">
      <w:pPr>
        <w:rPr>
          <w:color w:val="auto"/>
          <w:kern w:val="0"/>
          <w:highlight w:val="none"/>
        </w:rPr>
      </w:pPr>
      <w:r>
        <w:rPr>
          <w:rFonts w:hint="eastAsia"/>
          <w:color w:val="auto"/>
          <w:kern w:val="0"/>
          <w:highlight w:val="none"/>
        </w:rPr>
        <w:t>3.不按照要求填写承诺内容的或者仅填写“满足或者响应”的，均按无效投标处理。</w:t>
      </w:r>
    </w:p>
    <w:p w14:paraId="7ECC2854">
      <w:pPr>
        <w:rPr>
          <w:color w:val="auto"/>
          <w:spacing w:val="20"/>
          <w:highlight w:val="none"/>
          <w:u w:val="single"/>
        </w:rPr>
      </w:pPr>
      <w:r>
        <w:rPr>
          <w:rFonts w:hint="eastAsia"/>
          <w:color w:val="auto"/>
          <w:highlight w:val="none"/>
        </w:rPr>
        <w:t>法定代表人（或负责人）或者委托代理人（签字或电子签名）</w:t>
      </w:r>
      <w:r>
        <w:rPr>
          <w:rFonts w:hint="eastAsia"/>
          <w:color w:val="auto"/>
          <w:spacing w:val="20"/>
          <w:highlight w:val="none"/>
        </w:rPr>
        <w:t>：</w:t>
      </w:r>
      <w:r>
        <w:rPr>
          <w:rFonts w:hint="eastAsia"/>
          <w:color w:val="auto"/>
          <w:spacing w:val="20"/>
          <w:highlight w:val="none"/>
          <w:u w:val="single"/>
        </w:rPr>
        <w:t xml:space="preserve">        </w:t>
      </w:r>
    </w:p>
    <w:p w14:paraId="033E91E8">
      <w:pPr>
        <w:rPr>
          <w:color w:val="auto"/>
          <w:highlight w:val="none"/>
        </w:rPr>
      </w:pPr>
      <w:r>
        <w:rPr>
          <w:rFonts w:hint="eastAsia"/>
          <w:color w:val="auto"/>
          <w:highlight w:val="none"/>
        </w:rPr>
        <w:t>投标人名称（电子签章）：</w:t>
      </w:r>
      <w:r>
        <w:rPr>
          <w:rFonts w:hint="eastAsia"/>
          <w:color w:val="auto"/>
          <w:highlight w:val="none"/>
          <w:u w:val="single"/>
        </w:rPr>
        <w:t xml:space="preserve">            </w:t>
      </w:r>
      <w:r>
        <w:rPr>
          <w:rFonts w:hint="eastAsia"/>
          <w:color w:val="auto"/>
          <w:highlight w:val="none"/>
        </w:rPr>
        <w:t xml:space="preserve">   </w:t>
      </w:r>
    </w:p>
    <w:p w14:paraId="71C19910">
      <w:pPr>
        <w:rPr>
          <w:color w:val="auto"/>
          <w:highlight w:val="none"/>
        </w:rPr>
      </w:pPr>
      <w:r>
        <w:rPr>
          <w:rFonts w:hint="eastAsia"/>
          <w:color w:val="auto"/>
          <w:highlight w:val="none"/>
        </w:rPr>
        <w:t xml:space="preserve">日期：    年   月   日         </w:t>
      </w:r>
    </w:p>
    <w:p w14:paraId="76A2E233">
      <w:pPr>
        <w:rPr>
          <w:color w:val="auto"/>
          <w:highlight w:val="none"/>
        </w:rPr>
        <w:sectPr>
          <w:pgSz w:w="11906" w:h="16838"/>
          <w:pgMar w:top="1440" w:right="1797" w:bottom="1440" w:left="1797" w:header="851" w:footer="992" w:gutter="0"/>
          <w:cols w:space="720" w:num="1"/>
          <w:docGrid w:linePitch="312" w:charSpace="0"/>
        </w:sectPr>
      </w:pPr>
    </w:p>
    <w:p w14:paraId="6A674573">
      <w:pPr>
        <w:rPr>
          <w:color w:val="auto"/>
          <w:highlight w:val="none"/>
        </w:rPr>
      </w:pPr>
      <w:r>
        <w:rPr>
          <w:rFonts w:hint="eastAsia"/>
          <w:color w:val="auto"/>
          <w:highlight w:val="none"/>
        </w:rPr>
        <w:t>6.投标人情况介绍（格式自拟）；</w:t>
      </w:r>
    </w:p>
    <w:p w14:paraId="406A353B">
      <w:pPr>
        <w:rPr>
          <w:rFonts w:hint="eastAsia"/>
          <w:color w:val="auto"/>
          <w:highlight w:val="none"/>
        </w:rPr>
      </w:pPr>
    </w:p>
    <w:p w14:paraId="7716BB2B">
      <w:pPr>
        <w:rPr>
          <w:rFonts w:hint="eastAsia"/>
          <w:color w:val="auto"/>
          <w:highlight w:val="none"/>
        </w:rPr>
      </w:pPr>
    </w:p>
    <w:p w14:paraId="08EE7D97">
      <w:pPr>
        <w:rPr>
          <w:rFonts w:hint="eastAsia"/>
          <w:color w:val="auto"/>
          <w:highlight w:val="none"/>
        </w:rPr>
      </w:pPr>
      <w:r>
        <w:rPr>
          <w:rFonts w:hint="eastAsia"/>
          <w:color w:val="auto"/>
          <w:highlight w:val="none"/>
        </w:rPr>
        <w:t>7.除招标文件规定必须提供以外，投标人认为需要提供的其他</w:t>
      </w:r>
      <w:r>
        <w:rPr>
          <w:rFonts w:hint="eastAsia"/>
          <w:color w:val="auto"/>
          <w:highlight w:val="none"/>
          <w:lang w:eastAsia="zh-CN"/>
        </w:rPr>
        <w:t>商务</w:t>
      </w:r>
      <w:r>
        <w:rPr>
          <w:rFonts w:hint="eastAsia"/>
          <w:color w:val="auto"/>
          <w:highlight w:val="none"/>
        </w:rPr>
        <w:t>证明材料（格式自拟）。（投标人根据“第二章 采购需求”及“第四章 评标方法及评标标准”提供有关证明材料）。</w:t>
      </w:r>
    </w:p>
    <w:p w14:paraId="4F2CF5F5">
      <w:pPr>
        <w:rPr>
          <w:rFonts w:hint="eastAsia"/>
          <w:color w:val="auto"/>
          <w:highlight w:val="none"/>
        </w:rPr>
      </w:pPr>
    </w:p>
    <w:p w14:paraId="60A7C15C">
      <w:pPr>
        <w:rPr>
          <w:color w:val="auto"/>
          <w:highlight w:val="none"/>
        </w:rPr>
      </w:pPr>
      <w:r>
        <w:rPr>
          <w:rFonts w:hint="eastAsia"/>
          <w:color w:val="auto"/>
          <w:highlight w:val="none"/>
        </w:rPr>
        <w:t>7.</w:t>
      </w:r>
      <w:r>
        <w:rPr>
          <w:rFonts w:hint="eastAsia"/>
          <w:color w:val="auto"/>
          <w:highlight w:val="none"/>
          <w:lang w:val="en-US" w:eastAsia="zh-CN"/>
        </w:rPr>
        <w:t>1</w:t>
      </w:r>
      <w:r>
        <w:rPr>
          <w:rFonts w:hint="eastAsia"/>
          <w:color w:val="auto"/>
          <w:highlight w:val="none"/>
        </w:rPr>
        <w:t>投标人业绩证明材料</w:t>
      </w:r>
    </w:p>
    <w:p w14:paraId="366B8E28">
      <w:pPr>
        <w:rPr>
          <w:color w:val="auto"/>
          <w:highlight w:val="none"/>
        </w:rPr>
      </w:pPr>
    </w:p>
    <w:p w14:paraId="7E4B43E5">
      <w:pPr>
        <w:ind w:firstLine="560"/>
        <w:jc w:val="center"/>
        <w:rPr>
          <w:color w:val="auto"/>
          <w:sz w:val="28"/>
          <w:szCs w:val="28"/>
          <w:highlight w:val="none"/>
        </w:rPr>
      </w:pPr>
      <w:r>
        <w:rPr>
          <w:rFonts w:hint="eastAsia"/>
          <w:color w:val="auto"/>
          <w:sz w:val="28"/>
          <w:szCs w:val="28"/>
          <w:highlight w:val="none"/>
        </w:rPr>
        <w:t>投标人业绩情况一览表格式：</w:t>
      </w:r>
    </w:p>
    <w:tbl>
      <w:tblPr>
        <w:tblStyle w:val="47"/>
        <w:tblW w:w="80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755"/>
        <w:gridCol w:w="1770"/>
        <w:gridCol w:w="2097"/>
        <w:gridCol w:w="1728"/>
      </w:tblGrid>
      <w:tr w14:paraId="5479F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0" w:hRule="atLeast"/>
        </w:trPr>
        <w:tc>
          <w:tcPr>
            <w:tcW w:w="675" w:type="dxa"/>
            <w:tcBorders>
              <w:top w:val="single" w:color="auto" w:sz="4" w:space="0"/>
              <w:left w:val="single" w:color="auto" w:sz="4" w:space="0"/>
              <w:bottom w:val="single" w:color="auto" w:sz="4" w:space="0"/>
              <w:right w:val="single" w:color="auto" w:sz="4" w:space="0"/>
            </w:tcBorders>
            <w:vAlign w:val="center"/>
          </w:tcPr>
          <w:p w14:paraId="798B5235">
            <w:pPr>
              <w:ind w:left="0" w:leftChars="0" w:firstLine="0" w:firstLineChars="0"/>
              <w:jc w:val="center"/>
              <w:rPr>
                <w:rFonts w:hint="eastAsia" w:eastAsia="宋体"/>
                <w:color w:val="auto"/>
                <w:highlight w:val="none"/>
                <w:lang w:eastAsia="zh-CN"/>
              </w:rPr>
            </w:pPr>
            <w:r>
              <w:rPr>
                <w:rFonts w:hint="eastAsia"/>
                <w:color w:val="auto"/>
                <w:highlight w:val="none"/>
                <w:lang w:eastAsia="zh-CN"/>
              </w:rPr>
              <w:t>序号</w:t>
            </w:r>
          </w:p>
        </w:tc>
        <w:tc>
          <w:tcPr>
            <w:tcW w:w="1755" w:type="dxa"/>
            <w:tcBorders>
              <w:top w:val="single" w:color="auto" w:sz="4" w:space="0"/>
              <w:left w:val="single" w:color="auto" w:sz="4" w:space="0"/>
              <w:bottom w:val="single" w:color="auto" w:sz="4" w:space="0"/>
              <w:right w:val="single" w:color="auto" w:sz="4" w:space="0"/>
            </w:tcBorders>
            <w:vAlign w:val="center"/>
          </w:tcPr>
          <w:p w14:paraId="41AC3B7E">
            <w:pPr>
              <w:ind w:firstLine="420" w:firstLineChars="200"/>
              <w:rPr>
                <w:color w:val="auto"/>
                <w:highlight w:val="none"/>
              </w:rPr>
            </w:pPr>
            <w:r>
              <w:rPr>
                <w:rFonts w:hint="eastAsia"/>
                <w:color w:val="auto"/>
                <w:highlight w:val="none"/>
              </w:rPr>
              <w:t>采购人名称</w:t>
            </w:r>
          </w:p>
        </w:tc>
        <w:tc>
          <w:tcPr>
            <w:tcW w:w="1770" w:type="dxa"/>
            <w:tcBorders>
              <w:top w:val="single" w:color="auto" w:sz="4" w:space="0"/>
              <w:left w:val="single" w:color="auto" w:sz="4" w:space="0"/>
              <w:bottom w:val="single" w:color="auto" w:sz="4" w:space="0"/>
              <w:right w:val="single" w:color="auto" w:sz="4" w:space="0"/>
            </w:tcBorders>
            <w:vAlign w:val="center"/>
          </w:tcPr>
          <w:p w14:paraId="02D2C840">
            <w:pPr>
              <w:ind w:firstLine="420" w:firstLineChars="200"/>
              <w:rPr>
                <w:color w:val="auto"/>
                <w:highlight w:val="none"/>
              </w:rPr>
            </w:pPr>
            <w:r>
              <w:rPr>
                <w:rFonts w:hint="eastAsia"/>
                <w:color w:val="auto"/>
                <w:highlight w:val="none"/>
              </w:rPr>
              <w:t>项目名称</w:t>
            </w:r>
          </w:p>
        </w:tc>
        <w:tc>
          <w:tcPr>
            <w:tcW w:w="2097" w:type="dxa"/>
            <w:tcBorders>
              <w:top w:val="single" w:color="auto" w:sz="4" w:space="0"/>
              <w:left w:val="single" w:color="auto" w:sz="4" w:space="0"/>
              <w:bottom w:val="single" w:color="auto" w:sz="4" w:space="0"/>
              <w:right w:val="single" w:color="auto" w:sz="4" w:space="0"/>
            </w:tcBorders>
            <w:vAlign w:val="center"/>
          </w:tcPr>
          <w:p w14:paraId="2C60720E">
            <w:pPr>
              <w:rPr>
                <w:color w:val="auto"/>
                <w:highlight w:val="none"/>
              </w:rPr>
            </w:pPr>
            <w:r>
              <w:rPr>
                <w:rFonts w:hint="eastAsia"/>
                <w:color w:val="auto"/>
                <w:highlight w:val="none"/>
              </w:rPr>
              <w:t>合同金额</w:t>
            </w:r>
          </w:p>
          <w:p w14:paraId="2B0C9674">
            <w:pPr>
              <w:ind w:firstLine="420" w:firstLineChars="200"/>
              <w:rPr>
                <w:color w:val="auto"/>
                <w:highlight w:val="none"/>
              </w:rPr>
            </w:pPr>
            <w:r>
              <w:rPr>
                <w:rFonts w:hint="eastAsia"/>
                <w:color w:val="auto"/>
                <w:highlight w:val="none"/>
              </w:rPr>
              <w:t>（万元）</w:t>
            </w:r>
          </w:p>
        </w:tc>
        <w:tc>
          <w:tcPr>
            <w:tcW w:w="1728" w:type="dxa"/>
            <w:tcBorders>
              <w:top w:val="single" w:color="auto" w:sz="4" w:space="0"/>
              <w:left w:val="single" w:color="auto" w:sz="4" w:space="0"/>
              <w:bottom w:val="single" w:color="auto" w:sz="4" w:space="0"/>
              <w:right w:val="single" w:color="auto" w:sz="4" w:space="0"/>
            </w:tcBorders>
            <w:vAlign w:val="center"/>
          </w:tcPr>
          <w:p w14:paraId="34097406">
            <w:pPr>
              <w:ind w:left="0" w:leftChars="0" w:firstLine="0" w:firstLineChars="0"/>
              <w:rPr>
                <w:rFonts w:hint="eastAsia"/>
                <w:color w:val="auto"/>
                <w:highlight w:val="none"/>
              </w:rPr>
            </w:pPr>
            <w:r>
              <w:rPr>
                <w:rFonts w:hint="eastAsia"/>
                <w:color w:val="auto"/>
                <w:highlight w:val="none"/>
              </w:rPr>
              <w:t>采购人联系人及联系电话</w:t>
            </w:r>
          </w:p>
        </w:tc>
      </w:tr>
      <w:tr w14:paraId="6B97F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75" w:type="dxa"/>
            <w:tcBorders>
              <w:top w:val="single" w:color="auto" w:sz="4" w:space="0"/>
              <w:left w:val="single" w:color="auto" w:sz="4" w:space="0"/>
              <w:bottom w:val="single" w:color="auto" w:sz="4" w:space="0"/>
              <w:right w:val="single" w:color="auto" w:sz="4" w:space="0"/>
            </w:tcBorders>
          </w:tcPr>
          <w:p w14:paraId="1D6DB857">
            <w:pPr>
              <w:rPr>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32B8B27B">
            <w:pPr>
              <w:rPr>
                <w:color w:val="auto"/>
                <w:highlight w:val="none"/>
              </w:rPr>
            </w:pPr>
          </w:p>
        </w:tc>
        <w:tc>
          <w:tcPr>
            <w:tcW w:w="1770" w:type="dxa"/>
            <w:tcBorders>
              <w:top w:val="single" w:color="auto" w:sz="4" w:space="0"/>
              <w:left w:val="single" w:color="auto" w:sz="4" w:space="0"/>
              <w:bottom w:val="single" w:color="auto" w:sz="4" w:space="0"/>
              <w:right w:val="single" w:color="auto" w:sz="4" w:space="0"/>
            </w:tcBorders>
          </w:tcPr>
          <w:p w14:paraId="68872D79">
            <w:pPr>
              <w:rPr>
                <w:color w:val="auto"/>
                <w:highlight w:val="none"/>
              </w:rPr>
            </w:pPr>
          </w:p>
        </w:tc>
        <w:tc>
          <w:tcPr>
            <w:tcW w:w="2097" w:type="dxa"/>
            <w:tcBorders>
              <w:top w:val="single" w:color="auto" w:sz="4" w:space="0"/>
              <w:left w:val="single" w:color="auto" w:sz="4" w:space="0"/>
              <w:bottom w:val="single" w:color="auto" w:sz="4" w:space="0"/>
              <w:right w:val="single" w:color="auto" w:sz="4" w:space="0"/>
            </w:tcBorders>
          </w:tcPr>
          <w:p w14:paraId="5FB8B719">
            <w:pPr>
              <w:rPr>
                <w:color w:val="auto"/>
                <w:highlight w:val="none"/>
              </w:rPr>
            </w:pPr>
          </w:p>
        </w:tc>
        <w:tc>
          <w:tcPr>
            <w:tcW w:w="1728" w:type="dxa"/>
            <w:tcBorders>
              <w:top w:val="single" w:color="auto" w:sz="4" w:space="0"/>
              <w:left w:val="single" w:color="auto" w:sz="4" w:space="0"/>
              <w:bottom w:val="single" w:color="auto" w:sz="4" w:space="0"/>
              <w:right w:val="single" w:color="auto" w:sz="4" w:space="0"/>
            </w:tcBorders>
          </w:tcPr>
          <w:p w14:paraId="5837C977">
            <w:pPr>
              <w:rPr>
                <w:color w:val="auto"/>
                <w:highlight w:val="none"/>
              </w:rPr>
            </w:pPr>
          </w:p>
        </w:tc>
      </w:tr>
      <w:tr w14:paraId="3C73D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75" w:type="dxa"/>
            <w:tcBorders>
              <w:top w:val="single" w:color="auto" w:sz="4" w:space="0"/>
              <w:left w:val="single" w:color="auto" w:sz="4" w:space="0"/>
              <w:bottom w:val="single" w:color="auto" w:sz="4" w:space="0"/>
              <w:right w:val="single" w:color="auto" w:sz="4" w:space="0"/>
            </w:tcBorders>
          </w:tcPr>
          <w:p w14:paraId="465ABA3B">
            <w:pPr>
              <w:rPr>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4A95E4C1">
            <w:pPr>
              <w:rPr>
                <w:color w:val="auto"/>
                <w:highlight w:val="none"/>
              </w:rPr>
            </w:pPr>
          </w:p>
        </w:tc>
        <w:tc>
          <w:tcPr>
            <w:tcW w:w="1770" w:type="dxa"/>
            <w:tcBorders>
              <w:top w:val="single" w:color="auto" w:sz="4" w:space="0"/>
              <w:left w:val="single" w:color="auto" w:sz="4" w:space="0"/>
              <w:bottom w:val="single" w:color="auto" w:sz="4" w:space="0"/>
              <w:right w:val="single" w:color="auto" w:sz="4" w:space="0"/>
            </w:tcBorders>
          </w:tcPr>
          <w:p w14:paraId="12D7E388">
            <w:pPr>
              <w:rPr>
                <w:color w:val="auto"/>
                <w:highlight w:val="none"/>
              </w:rPr>
            </w:pPr>
          </w:p>
        </w:tc>
        <w:tc>
          <w:tcPr>
            <w:tcW w:w="2097" w:type="dxa"/>
            <w:tcBorders>
              <w:top w:val="single" w:color="auto" w:sz="4" w:space="0"/>
              <w:left w:val="single" w:color="auto" w:sz="4" w:space="0"/>
              <w:bottom w:val="single" w:color="auto" w:sz="4" w:space="0"/>
              <w:right w:val="single" w:color="auto" w:sz="4" w:space="0"/>
            </w:tcBorders>
          </w:tcPr>
          <w:p w14:paraId="54352A06">
            <w:pPr>
              <w:rPr>
                <w:color w:val="auto"/>
                <w:highlight w:val="none"/>
              </w:rPr>
            </w:pPr>
          </w:p>
        </w:tc>
        <w:tc>
          <w:tcPr>
            <w:tcW w:w="1728" w:type="dxa"/>
            <w:tcBorders>
              <w:top w:val="single" w:color="auto" w:sz="4" w:space="0"/>
              <w:left w:val="single" w:color="auto" w:sz="4" w:space="0"/>
              <w:bottom w:val="single" w:color="auto" w:sz="4" w:space="0"/>
              <w:right w:val="single" w:color="auto" w:sz="4" w:space="0"/>
            </w:tcBorders>
          </w:tcPr>
          <w:p w14:paraId="68EF2B94">
            <w:pPr>
              <w:rPr>
                <w:color w:val="auto"/>
                <w:highlight w:val="none"/>
              </w:rPr>
            </w:pPr>
          </w:p>
        </w:tc>
      </w:tr>
      <w:tr w14:paraId="2F16D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75" w:type="dxa"/>
            <w:tcBorders>
              <w:top w:val="single" w:color="auto" w:sz="4" w:space="0"/>
              <w:left w:val="single" w:color="auto" w:sz="4" w:space="0"/>
              <w:bottom w:val="single" w:color="auto" w:sz="4" w:space="0"/>
              <w:right w:val="single" w:color="auto" w:sz="4" w:space="0"/>
            </w:tcBorders>
          </w:tcPr>
          <w:p w14:paraId="5B8ECB1E">
            <w:pPr>
              <w:rPr>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60788389">
            <w:pPr>
              <w:rPr>
                <w:color w:val="auto"/>
                <w:highlight w:val="none"/>
              </w:rPr>
            </w:pPr>
          </w:p>
        </w:tc>
        <w:tc>
          <w:tcPr>
            <w:tcW w:w="1770" w:type="dxa"/>
            <w:tcBorders>
              <w:top w:val="single" w:color="auto" w:sz="4" w:space="0"/>
              <w:left w:val="single" w:color="auto" w:sz="4" w:space="0"/>
              <w:bottom w:val="single" w:color="auto" w:sz="4" w:space="0"/>
              <w:right w:val="single" w:color="auto" w:sz="4" w:space="0"/>
            </w:tcBorders>
          </w:tcPr>
          <w:p w14:paraId="4C845019">
            <w:pPr>
              <w:rPr>
                <w:color w:val="auto"/>
                <w:highlight w:val="none"/>
              </w:rPr>
            </w:pPr>
          </w:p>
        </w:tc>
        <w:tc>
          <w:tcPr>
            <w:tcW w:w="2097" w:type="dxa"/>
            <w:tcBorders>
              <w:top w:val="single" w:color="auto" w:sz="4" w:space="0"/>
              <w:left w:val="single" w:color="auto" w:sz="4" w:space="0"/>
              <w:bottom w:val="single" w:color="auto" w:sz="4" w:space="0"/>
              <w:right w:val="single" w:color="auto" w:sz="4" w:space="0"/>
            </w:tcBorders>
          </w:tcPr>
          <w:p w14:paraId="2BA24191">
            <w:pPr>
              <w:rPr>
                <w:color w:val="auto"/>
                <w:highlight w:val="none"/>
              </w:rPr>
            </w:pPr>
          </w:p>
        </w:tc>
        <w:tc>
          <w:tcPr>
            <w:tcW w:w="1728" w:type="dxa"/>
            <w:tcBorders>
              <w:top w:val="single" w:color="auto" w:sz="4" w:space="0"/>
              <w:left w:val="single" w:color="auto" w:sz="4" w:space="0"/>
              <w:bottom w:val="single" w:color="auto" w:sz="4" w:space="0"/>
              <w:right w:val="single" w:color="auto" w:sz="4" w:space="0"/>
            </w:tcBorders>
          </w:tcPr>
          <w:p w14:paraId="289173EF">
            <w:pPr>
              <w:rPr>
                <w:color w:val="auto"/>
                <w:highlight w:val="none"/>
              </w:rPr>
            </w:pPr>
          </w:p>
        </w:tc>
      </w:tr>
      <w:tr w14:paraId="72FD4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675" w:type="dxa"/>
            <w:tcBorders>
              <w:top w:val="single" w:color="auto" w:sz="4" w:space="0"/>
              <w:left w:val="single" w:color="auto" w:sz="4" w:space="0"/>
              <w:bottom w:val="single" w:color="auto" w:sz="4" w:space="0"/>
              <w:right w:val="single" w:color="auto" w:sz="4" w:space="0"/>
            </w:tcBorders>
          </w:tcPr>
          <w:p w14:paraId="4730596D">
            <w:pPr>
              <w:rPr>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53AAD1AC">
            <w:pPr>
              <w:rPr>
                <w:color w:val="auto"/>
                <w:highlight w:val="none"/>
              </w:rPr>
            </w:pPr>
          </w:p>
        </w:tc>
        <w:tc>
          <w:tcPr>
            <w:tcW w:w="1770" w:type="dxa"/>
            <w:tcBorders>
              <w:top w:val="single" w:color="auto" w:sz="4" w:space="0"/>
              <w:left w:val="single" w:color="auto" w:sz="4" w:space="0"/>
              <w:bottom w:val="single" w:color="auto" w:sz="4" w:space="0"/>
              <w:right w:val="single" w:color="auto" w:sz="4" w:space="0"/>
            </w:tcBorders>
          </w:tcPr>
          <w:p w14:paraId="77E74531">
            <w:pPr>
              <w:rPr>
                <w:color w:val="auto"/>
                <w:highlight w:val="none"/>
              </w:rPr>
            </w:pPr>
          </w:p>
        </w:tc>
        <w:tc>
          <w:tcPr>
            <w:tcW w:w="2097" w:type="dxa"/>
            <w:tcBorders>
              <w:top w:val="single" w:color="auto" w:sz="4" w:space="0"/>
              <w:left w:val="single" w:color="auto" w:sz="4" w:space="0"/>
              <w:bottom w:val="single" w:color="auto" w:sz="4" w:space="0"/>
              <w:right w:val="single" w:color="auto" w:sz="4" w:space="0"/>
            </w:tcBorders>
          </w:tcPr>
          <w:p w14:paraId="4BA5FF79">
            <w:pPr>
              <w:rPr>
                <w:color w:val="auto"/>
                <w:highlight w:val="none"/>
              </w:rPr>
            </w:pPr>
          </w:p>
        </w:tc>
        <w:tc>
          <w:tcPr>
            <w:tcW w:w="1728" w:type="dxa"/>
            <w:tcBorders>
              <w:top w:val="single" w:color="auto" w:sz="4" w:space="0"/>
              <w:left w:val="single" w:color="auto" w:sz="4" w:space="0"/>
              <w:bottom w:val="single" w:color="auto" w:sz="4" w:space="0"/>
              <w:right w:val="single" w:color="auto" w:sz="4" w:space="0"/>
            </w:tcBorders>
          </w:tcPr>
          <w:p w14:paraId="5CD96496">
            <w:pPr>
              <w:rPr>
                <w:color w:val="auto"/>
                <w:highlight w:val="none"/>
              </w:rPr>
            </w:pPr>
          </w:p>
        </w:tc>
      </w:tr>
      <w:tr w14:paraId="6BA01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75" w:type="dxa"/>
            <w:tcBorders>
              <w:top w:val="single" w:color="auto" w:sz="4" w:space="0"/>
              <w:left w:val="single" w:color="auto" w:sz="4" w:space="0"/>
              <w:bottom w:val="single" w:color="auto" w:sz="4" w:space="0"/>
              <w:right w:val="single" w:color="auto" w:sz="4" w:space="0"/>
            </w:tcBorders>
          </w:tcPr>
          <w:p w14:paraId="197114B7">
            <w:pPr>
              <w:rPr>
                <w:color w:val="auto"/>
                <w:highlight w:val="none"/>
              </w:rPr>
            </w:pPr>
          </w:p>
        </w:tc>
        <w:tc>
          <w:tcPr>
            <w:tcW w:w="1755" w:type="dxa"/>
            <w:tcBorders>
              <w:top w:val="single" w:color="auto" w:sz="4" w:space="0"/>
              <w:left w:val="single" w:color="auto" w:sz="4" w:space="0"/>
              <w:bottom w:val="single" w:color="auto" w:sz="4" w:space="0"/>
              <w:right w:val="single" w:color="auto" w:sz="4" w:space="0"/>
            </w:tcBorders>
          </w:tcPr>
          <w:p w14:paraId="0AF7F180">
            <w:pPr>
              <w:rPr>
                <w:color w:val="auto"/>
                <w:highlight w:val="none"/>
              </w:rPr>
            </w:pPr>
          </w:p>
        </w:tc>
        <w:tc>
          <w:tcPr>
            <w:tcW w:w="1770" w:type="dxa"/>
            <w:tcBorders>
              <w:top w:val="single" w:color="auto" w:sz="4" w:space="0"/>
              <w:left w:val="single" w:color="auto" w:sz="4" w:space="0"/>
              <w:bottom w:val="single" w:color="auto" w:sz="4" w:space="0"/>
              <w:right w:val="single" w:color="auto" w:sz="4" w:space="0"/>
            </w:tcBorders>
          </w:tcPr>
          <w:p w14:paraId="577C507C">
            <w:pPr>
              <w:rPr>
                <w:color w:val="auto"/>
                <w:highlight w:val="none"/>
              </w:rPr>
            </w:pPr>
          </w:p>
        </w:tc>
        <w:tc>
          <w:tcPr>
            <w:tcW w:w="2097" w:type="dxa"/>
            <w:tcBorders>
              <w:top w:val="single" w:color="auto" w:sz="4" w:space="0"/>
              <w:left w:val="single" w:color="auto" w:sz="4" w:space="0"/>
              <w:bottom w:val="single" w:color="auto" w:sz="4" w:space="0"/>
              <w:right w:val="single" w:color="auto" w:sz="4" w:space="0"/>
            </w:tcBorders>
          </w:tcPr>
          <w:p w14:paraId="7BC12EB6">
            <w:pPr>
              <w:rPr>
                <w:color w:val="auto"/>
                <w:highlight w:val="none"/>
              </w:rPr>
            </w:pPr>
          </w:p>
        </w:tc>
        <w:tc>
          <w:tcPr>
            <w:tcW w:w="1728" w:type="dxa"/>
            <w:tcBorders>
              <w:top w:val="single" w:color="auto" w:sz="4" w:space="0"/>
              <w:left w:val="single" w:color="auto" w:sz="4" w:space="0"/>
              <w:bottom w:val="single" w:color="auto" w:sz="4" w:space="0"/>
              <w:right w:val="single" w:color="auto" w:sz="4" w:space="0"/>
            </w:tcBorders>
          </w:tcPr>
          <w:p w14:paraId="5B3CE9CF">
            <w:pPr>
              <w:rPr>
                <w:color w:val="auto"/>
                <w:highlight w:val="none"/>
              </w:rPr>
            </w:pPr>
          </w:p>
        </w:tc>
      </w:tr>
    </w:tbl>
    <w:p w14:paraId="271ED80A">
      <w:pPr>
        <w:rPr>
          <w:color w:val="auto"/>
          <w:highlight w:val="none"/>
        </w:rPr>
      </w:pPr>
    </w:p>
    <w:p w14:paraId="0BCB43F2">
      <w:pPr>
        <w:rPr>
          <w:color w:val="auto"/>
          <w:highlight w:val="none"/>
        </w:rPr>
      </w:pPr>
      <w:r>
        <w:rPr>
          <w:rFonts w:hint="eastAsia"/>
          <w:color w:val="auto"/>
          <w:highlight w:val="none"/>
        </w:rPr>
        <w:t>注：投标人根据评标标准具体要求附业绩证明材料。</w:t>
      </w:r>
    </w:p>
    <w:p w14:paraId="64EB1FB3">
      <w:pPr>
        <w:rPr>
          <w:color w:val="auto"/>
          <w:highlight w:val="none"/>
          <w:u w:val="single"/>
        </w:rPr>
      </w:pPr>
      <w:r>
        <w:rPr>
          <w:rFonts w:hint="eastAsia"/>
          <w:color w:val="auto"/>
          <w:highlight w:val="none"/>
        </w:rPr>
        <w:t>法定代表人（或负责人）或者委托代理人（签字或电子签名）：</w:t>
      </w:r>
      <w:r>
        <w:rPr>
          <w:rFonts w:hint="eastAsia"/>
          <w:color w:val="auto"/>
          <w:highlight w:val="none"/>
          <w:u w:val="single"/>
        </w:rPr>
        <w:t>　　　　　</w:t>
      </w:r>
    </w:p>
    <w:p w14:paraId="4A083311">
      <w:pPr>
        <w:rPr>
          <w:rFonts w:cs="Arial"/>
          <w:color w:val="auto"/>
          <w:highlight w:val="none"/>
        </w:rPr>
      </w:pPr>
      <w:r>
        <w:rPr>
          <w:rFonts w:hint="eastAsia" w:cs="Arial"/>
          <w:color w:val="auto"/>
          <w:highlight w:val="none"/>
        </w:rPr>
        <w:t>投标人名称（电子签章）：</w:t>
      </w:r>
      <w:r>
        <w:rPr>
          <w:rFonts w:hint="eastAsia"/>
          <w:color w:val="auto"/>
          <w:highlight w:val="none"/>
          <w:u w:val="single"/>
        </w:rPr>
        <w:t xml:space="preserve">                </w:t>
      </w:r>
    </w:p>
    <w:p w14:paraId="78F53472">
      <w:pPr>
        <w:rPr>
          <w:color w:val="auto"/>
          <w:highlight w:val="none"/>
        </w:rPr>
      </w:pPr>
      <w:r>
        <w:rPr>
          <w:rFonts w:hint="eastAsia" w:cs="Arial"/>
          <w:color w:val="auto"/>
          <w:highlight w:val="none"/>
        </w:rPr>
        <w:t xml:space="preserve"> </w:t>
      </w:r>
      <w:r>
        <w:rPr>
          <w:rFonts w:hint="eastAsia"/>
          <w:color w:val="auto"/>
          <w:highlight w:val="none"/>
        </w:rPr>
        <w:t xml:space="preserve">                                              日期：    年   月   日</w:t>
      </w:r>
    </w:p>
    <w:p w14:paraId="61F22C77">
      <w:pPr>
        <w:rPr>
          <w:color w:val="auto"/>
          <w:highlight w:val="none"/>
        </w:rPr>
      </w:pPr>
      <w:r>
        <w:rPr>
          <w:rFonts w:hint="eastAsia"/>
          <w:color w:val="auto"/>
          <w:highlight w:val="none"/>
        </w:rPr>
        <w:br w:type="page"/>
      </w:r>
    </w:p>
    <w:p w14:paraId="5F2FC25F">
      <w:pPr>
        <w:ind w:firstLine="560"/>
        <w:jc w:val="center"/>
        <w:rPr>
          <w:b/>
          <w:bCs/>
          <w:color w:val="auto"/>
          <w:sz w:val="28"/>
          <w:szCs w:val="28"/>
          <w:highlight w:val="none"/>
        </w:rPr>
      </w:pPr>
      <w:r>
        <w:rPr>
          <w:rFonts w:hint="eastAsia"/>
          <w:b/>
          <w:bCs/>
          <w:color w:val="auto"/>
          <w:sz w:val="28"/>
          <w:szCs w:val="28"/>
          <w:highlight w:val="none"/>
        </w:rPr>
        <w:t>四、技术文件格式</w:t>
      </w:r>
    </w:p>
    <w:p w14:paraId="69503D27">
      <w:pPr>
        <w:rPr>
          <w:color w:val="auto"/>
          <w:highlight w:val="none"/>
        </w:rPr>
      </w:pPr>
      <w:r>
        <w:rPr>
          <w:rFonts w:hint="eastAsia"/>
          <w:color w:val="auto"/>
          <w:highlight w:val="none"/>
        </w:rPr>
        <w:t xml:space="preserve">技术文件封面格式： </w:t>
      </w:r>
    </w:p>
    <w:p w14:paraId="31723682">
      <w:pPr>
        <w:ind w:firstLine="560"/>
        <w:jc w:val="center"/>
        <w:rPr>
          <w:color w:val="auto"/>
          <w:sz w:val="28"/>
          <w:szCs w:val="28"/>
          <w:highlight w:val="none"/>
        </w:rPr>
      </w:pPr>
      <w:r>
        <w:rPr>
          <w:rFonts w:hint="eastAsia"/>
          <w:color w:val="auto"/>
          <w:sz w:val="28"/>
          <w:szCs w:val="28"/>
          <w:highlight w:val="none"/>
        </w:rPr>
        <w:t>电子投标文件</w:t>
      </w:r>
    </w:p>
    <w:p w14:paraId="1CDCD6D1">
      <w:pPr>
        <w:ind w:firstLine="560"/>
        <w:jc w:val="center"/>
        <w:rPr>
          <w:color w:val="auto"/>
          <w:sz w:val="28"/>
          <w:szCs w:val="28"/>
          <w:highlight w:val="none"/>
        </w:rPr>
      </w:pPr>
      <w:r>
        <w:rPr>
          <w:rFonts w:hint="eastAsia"/>
          <w:color w:val="auto"/>
          <w:sz w:val="28"/>
          <w:szCs w:val="28"/>
          <w:highlight w:val="none"/>
        </w:rPr>
        <w:t>技术文件</w:t>
      </w:r>
    </w:p>
    <w:p w14:paraId="2A687092">
      <w:pPr>
        <w:rPr>
          <w:color w:val="auto"/>
          <w:highlight w:val="none"/>
        </w:rPr>
      </w:pPr>
    </w:p>
    <w:p w14:paraId="033906A8">
      <w:pPr>
        <w:rPr>
          <w:color w:val="auto"/>
          <w:szCs w:val="20"/>
          <w:highlight w:val="none"/>
        </w:rPr>
      </w:pPr>
      <w:r>
        <w:rPr>
          <w:rFonts w:hint="eastAsia"/>
          <w:color w:val="auto"/>
          <w:highlight w:val="none"/>
        </w:rPr>
        <w:t xml:space="preserve">项目名称： </w:t>
      </w:r>
    </w:p>
    <w:p w14:paraId="7077550D">
      <w:pPr>
        <w:rPr>
          <w:color w:val="auto"/>
          <w:highlight w:val="none"/>
        </w:rPr>
      </w:pPr>
      <w:r>
        <w:rPr>
          <w:rFonts w:hint="eastAsia"/>
          <w:color w:val="auto"/>
          <w:highlight w:val="none"/>
        </w:rPr>
        <w:t xml:space="preserve">项目编号： </w:t>
      </w:r>
    </w:p>
    <w:p w14:paraId="6D64D502">
      <w:pPr>
        <w:rPr>
          <w:color w:val="auto"/>
          <w:highlight w:val="none"/>
        </w:rPr>
      </w:pPr>
      <w:r>
        <w:rPr>
          <w:rFonts w:hint="eastAsia"/>
          <w:color w:val="auto"/>
          <w:highlight w:val="none"/>
        </w:rPr>
        <w:t>所投分标：无，则写“/”</w:t>
      </w:r>
    </w:p>
    <w:p w14:paraId="59C12DA4">
      <w:pPr>
        <w:rPr>
          <w:color w:val="auto"/>
          <w:highlight w:val="none"/>
        </w:rPr>
      </w:pPr>
      <w:r>
        <w:rPr>
          <w:rFonts w:hint="eastAsia"/>
          <w:color w:val="auto"/>
          <w:highlight w:val="none"/>
        </w:rPr>
        <w:t>投标人名称：</w:t>
      </w:r>
    </w:p>
    <w:p w14:paraId="5DE8C8DC">
      <w:pPr>
        <w:rPr>
          <w:color w:val="auto"/>
          <w:highlight w:val="none"/>
        </w:rPr>
      </w:pPr>
      <w:r>
        <w:rPr>
          <w:rFonts w:hint="eastAsia"/>
          <w:color w:val="auto"/>
          <w:highlight w:val="none"/>
        </w:rPr>
        <w:t>投标人地址：</w:t>
      </w:r>
    </w:p>
    <w:p w14:paraId="7F367AE2">
      <w:pPr>
        <w:rPr>
          <w:color w:val="auto"/>
          <w:highlight w:val="none"/>
        </w:rPr>
      </w:pPr>
      <w:r>
        <w:rPr>
          <w:rFonts w:hint="eastAsia"/>
          <w:color w:val="auto"/>
          <w:highlight w:val="none"/>
        </w:rPr>
        <w:t xml:space="preserve">                        日期：    年   月   日</w:t>
      </w:r>
    </w:p>
    <w:p w14:paraId="3CB2FFB8">
      <w:pPr>
        <w:rPr>
          <w:color w:val="auto"/>
          <w:highlight w:val="none"/>
        </w:rPr>
      </w:pPr>
    </w:p>
    <w:p w14:paraId="35353519">
      <w:pPr>
        <w:rPr>
          <w:color w:val="auto"/>
          <w:highlight w:val="none"/>
        </w:rPr>
      </w:pPr>
      <w:r>
        <w:rPr>
          <w:bCs/>
          <w:color w:val="auto"/>
          <w:highlight w:val="none"/>
        </w:rPr>
        <w:br w:type="page"/>
      </w:r>
      <w:r>
        <w:rPr>
          <w:rFonts w:hint="eastAsia"/>
          <w:color w:val="auto"/>
          <w:highlight w:val="none"/>
        </w:rPr>
        <w:t>技术文件目录</w:t>
      </w:r>
    </w:p>
    <w:p w14:paraId="2FD11483">
      <w:pPr>
        <w:rPr>
          <w:color w:val="auto"/>
          <w:highlight w:val="none"/>
        </w:rPr>
      </w:pPr>
      <w:r>
        <w:rPr>
          <w:rFonts w:hint="eastAsia"/>
          <w:color w:val="auto"/>
          <w:highlight w:val="none"/>
        </w:rPr>
        <w:t>根据招标文件规定及投标人提供的材料自行编写目录。</w:t>
      </w:r>
    </w:p>
    <w:p w14:paraId="132BD1BE">
      <w:pPr>
        <w:rPr>
          <w:color w:val="auto"/>
          <w:highlight w:val="none"/>
        </w:rPr>
      </w:pPr>
      <w:r>
        <w:rPr>
          <w:color w:val="auto"/>
          <w:highlight w:val="none"/>
        </w:rPr>
        <w:br w:type="page"/>
      </w:r>
      <w:r>
        <w:rPr>
          <w:rFonts w:hint="eastAsia"/>
          <w:color w:val="auto"/>
          <w:highlight w:val="none"/>
          <w:lang w:val="en-US" w:eastAsia="zh-CN"/>
        </w:rPr>
        <w:t>1</w:t>
      </w:r>
      <w:r>
        <w:rPr>
          <w:rFonts w:hint="eastAsia"/>
          <w:color w:val="auto"/>
          <w:highlight w:val="none"/>
        </w:rPr>
        <w:t>. 货物性能配置清单格式</w:t>
      </w:r>
    </w:p>
    <w:p w14:paraId="265F4EF3">
      <w:pPr>
        <w:rPr>
          <w:color w:val="auto"/>
          <w:highlight w:val="none"/>
        </w:rPr>
      </w:pPr>
    </w:p>
    <w:p w14:paraId="68CDF6D5">
      <w:pPr>
        <w:ind w:firstLine="560"/>
        <w:jc w:val="center"/>
        <w:rPr>
          <w:color w:val="auto"/>
          <w:sz w:val="28"/>
          <w:szCs w:val="28"/>
          <w:highlight w:val="none"/>
        </w:rPr>
      </w:pPr>
      <w:r>
        <w:rPr>
          <w:rFonts w:hint="eastAsia"/>
          <w:color w:val="auto"/>
          <w:sz w:val="28"/>
          <w:szCs w:val="28"/>
          <w:highlight w:val="none"/>
        </w:rPr>
        <w:t>货物性能配置清单</w:t>
      </w:r>
    </w:p>
    <w:p w14:paraId="257F5A01">
      <w:pPr>
        <w:rPr>
          <w:color w:val="auto"/>
          <w:kern w:val="0"/>
          <w:highlight w:val="none"/>
        </w:rPr>
      </w:pPr>
      <w:r>
        <w:rPr>
          <w:rFonts w:hint="eastAsia"/>
          <w:color w:val="auto"/>
          <w:kern w:val="0"/>
          <w:highlight w:val="none"/>
        </w:rPr>
        <w:t>所投分标：</w:t>
      </w:r>
      <w:r>
        <w:rPr>
          <w:rFonts w:hint="eastAsia"/>
          <w:color w:val="auto"/>
          <w:kern w:val="0"/>
          <w:highlight w:val="none"/>
          <w:u w:val="single"/>
        </w:rPr>
        <w:t xml:space="preserve">     </w:t>
      </w:r>
      <w:r>
        <w:rPr>
          <w:rFonts w:hint="eastAsia"/>
          <w:color w:val="auto"/>
          <w:kern w:val="0"/>
          <w:highlight w:val="none"/>
        </w:rPr>
        <w:t>分标</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14:paraId="2C5DC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56CA5B8">
            <w:pPr>
              <w:ind w:firstLine="0" w:firstLineChars="0"/>
              <w:rPr>
                <w:color w:val="auto"/>
                <w:highlight w:val="none"/>
              </w:rPr>
            </w:pPr>
            <w:r>
              <w:rPr>
                <w:rFonts w:hint="eastAsia"/>
                <w:color w:val="auto"/>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08296EB7">
            <w:pPr>
              <w:ind w:firstLine="0" w:firstLineChars="0"/>
              <w:rPr>
                <w:color w:val="auto"/>
                <w:highlight w:val="none"/>
              </w:rPr>
            </w:pPr>
            <w:r>
              <w:rPr>
                <w:rFonts w:hint="eastAsia"/>
                <w:color w:val="auto"/>
                <w:highlight w:val="none"/>
              </w:rPr>
              <w:t>标的名称</w:t>
            </w:r>
          </w:p>
        </w:tc>
        <w:tc>
          <w:tcPr>
            <w:tcW w:w="766" w:type="dxa"/>
            <w:tcBorders>
              <w:top w:val="single" w:color="auto" w:sz="4" w:space="0"/>
              <w:left w:val="single" w:color="auto" w:sz="4" w:space="0"/>
              <w:bottom w:val="single" w:color="auto" w:sz="4" w:space="0"/>
              <w:right w:val="single" w:color="auto" w:sz="4" w:space="0"/>
            </w:tcBorders>
            <w:vAlign w:val="center"/>
          </w:tcPr>
          <w:p w14:paraId="67B48084">
            <w:pPr>
              <w:ind w:firstLine="0" w:firstLineChars="0"/>
              <w:rPr>
                <w:color w:val="auto"/>
                <w:highlight w:val="none"/>
              </w:rPr>
            </w:pPr>
            <w:r>
              <w:rPr>
                <w:rFonts w:hint="eastAsia"/>
                <w:color w:val="auto"/>
                <w:highlight w:val="none"/>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14:paraId="04AC507D">
            <w:pPr>
              <w:ind w:firstLine="0" w:firstLineChars="0"/>
              <w:rPr>
                <w:color w:val="auto"/>
                <w:highlight w:val="none"/>
              </w:rPr>
            </w:pPr>
            <w:r>
              <w:rPr>
                <w:rFonts w:hint="eastAsia"/>
                <w:color w:val="auto"/>
                <w:highlight w:val="none"/>
              </w:rPr>
              <w:t>品牌</w:t>
            </w:r>
          </w:p>
        </w:tc>
        <w:tc>
          <w:tcPr>
            <w:tcW w:w="1702" w:type="dxa"/>
            <w:tcBorders>
              <w:top w:val="single" w:color="auto" w:sz="4" w:space="0"/>
              <w:left w:val="single" w:color="auto" w:sz="4" w:space="0"/>
              <w:bottom w:val="single" w:color="auto" w:sz="4" w:space="0"/>
              <w:right w:val="single" w:color="auto" w:sz="4" w:space="0"/>
            </w:tcBorders>
          </w:tcPr>
          <w:p w14:paraId="7CBFA1EC">
            <w:pPr>
              <w:rPr>
                <w:color w:val="auto"/>
                <w:highlight w:val="none"/>
              </w:rPr>
            </w:pPr>
          </w:p>
          <w:p w14:paraId="32D448D3">
            <w:pPr>
              <w:ind w:firstLine="0" w:firstLineChars="0"/>
              <w:rPr>
                <w:color w:val="auto"/>
                <w:highlight w:val="none"/>
              </w:rPr>
            </w:pPr>
            <w:r>
              <w:rPr>
                <w:rFonts w:hint="eastAsia"/>
                <w:color w:val="auto"/>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14:paraId="37574743">
            <w:pPr>
              <w:ind w:firstLine="0" w:firstLineChars="0"/>
              <w:rPr>
                <w:color w:val="auto"/>
                <w:highlight w:val="none"/>
              </w:rPr>
            </w:pPr>
            <w:r>
              <w:rPr>
                <w:rFonts w:hint="eastAsia"/>
                <w:color w:val="auto"/>
                <w:highlight w:val="none"/>
              </w:rPr>
              <w:t>生产厂家</w:t>
            </w:r>
          </w:p>
        </w:tc>
        <w:tc>
          <w:tcPr>
            <w:tcW w:w="703" w:type="dxa"/>
            <w:tcBorders>
              <w:top w:val="single" w:color="auto" w:sz="4" w:space="0"/>
              <w:left w:val="single" w:color="auto" w:sz="4" w:space="0"/>
              <w:bottom w:val="single" w:color="auto" w:sz="4" w:space="0"/>
              <w:right w:val="single" w:color="auto" w:sz="4" w:space="0"/>
            </w:tcBorders>
            <w:vAlign w:val="center"/>
          </w:tcPr>
          <w:p w14:paraId="52E1B33D">
            <w:pPr>
              <w:ind w:firstLine="0" w:firstLineChars="0"/>
              <w:rPr>
                <w:color w:val="auto"/>
                <w:highlight w:val="none"/>
              </w:rPr>
            </w:pPr>
            <w:r>
              <w:rPr>
                <w:rFonts w:hint="eastAsia"/>
                <w:color w:val="auto"/>
                <w:highlight w:val="none"/>
              </w:rPr>
              <w:t>国别</w:t>
            </w:r>
          </w:p>
        </w:tc>
        <w:tc>
          <w:tcPr>
            <w:tcW w:w="1426" w:type="dxa"/>
            <w:tcBorders>
              <w:top w:val="single" w:color="auto" w:sz="4" w:space="0"/>
              <w:left w:val="single" w:color="auto" w:sz="4" w:space="0"/>
              <w:bottom w:val="single" w:color="auto" w:sz="4" w:space="0"/>
              <w:right w:val="single" w:color="auto" w:sz="4" w:space="0"/>
            </w:tcBorders>
            <w:vAlign w:val="center"/>
          </w:tcPr>
          <w:p w14:paraId="50348B18">
            <w:pPr>
              <w:ind w:firstLine="0" w:firstLineChars="0"/>
              <w:rPr>
                <w:color w:val="auto"/>
                <w:highlight w:val="none"/>
              </w:rPr>
            </w:pPr>
            <w:r>
              <w:rPr>
                <w:rFonts w:hint="eastAsia"/>
                <w:color w:val="auto"/>
                <w:highlight w:val="none"/>
              </w:rPr>
              <w:t>参数性能、指标及配置</w:t>
            </w:r>
          </w:p>
        </w:tc>
      </w:tr>
      <w:tr w14:paraId="24193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CBD6F46">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0A79DE1">
            <w:pPr>
              <w:rPr>
                <w:color w:val="auto"/>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1E2D7A08">
            <w:pPr>
              <w:rPr>
                <w:color w:val="auto"/>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597F93E7">
            <w:pPr>
              <w:rPr>
                <w:color w:val="auto"/>
                <w:highlight w:val="none"/>
              </w:rPr>
            </w:pPr>
          </w:p>
        </w:tc>
        <w:tc>
          <w:tcPr>
            <w:tcW w:w="1702" w:type="dxa"/>
            <w:tcBorders>
              <w:top w:val="single" w:color="auto" w:sz="4" w:space="0"/>
              <w:left w:val="single" w:color="auto" w:sz="4" w:space="0"/>
              <w:bottom w:val="single" w:color="auto" w:sz="4" w:space="0"/>
              <w:right w:val="single" w:color="auto" w:sz="4" w:space="0"/>
            </w:tcBorders>
          </w:tcPr>
          <w:p w14:paraId="11EDD7FF">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579D2301">
            <w:pPr>
              <w:rPr>
                <w:color w:val="auto"/>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03A13D7F">
            <w:pPr>
              <w:rPr>
                <w:color w:val="auto"/>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2D966A3C">
            <w:pPr>
              <w:rPr>
                <w:color w:val="auto"/>
                <w:highlight w:val="none"/>
              </w:rPr>
            </w:pPr>
          </w:p>
        </w:tc>
      </w:tr>
      <w:tr w14:paraId="75C27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941A178">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4D8C4BF">
            <w:pPr>
              <w:rPr>
                <w:color w:val="auto"/>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50AE68D9">
            <w:pPr>
              <w:rPr>
                <w:color w:val="auto"/>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38E89BC0">
            <w:pPr>
              <w:rPr>
                <w:color w:val="auto"/>
                <w:highlight w:val="none"/>
              </w:rPr>
            </w:pPr>
          </w:p>
        </w:tc>
        <w:tc>
          <w:tcPr>
            <w:tcW w:w="1702" w:type="dxa"/>
            <w:tcBorders>
              <w:top w:val="single" w:color="auto" w:sz="4" w:space="0"/>
              <w:left w:val="single" w:color="auto" w:sz="4" w:space="0"/>
              <w:bottom w:val="single" w:color="auto" w:sz="4" w:space="0"/>
              <w:right w:val="single" w:color="auto" w:sz="4" w:space="0"/>
            </w:tcBorders>
          </w:tcPr>
          <w:p w14:paraId="3D9142EB">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92CDB31">
            <w:pPr>
              <w:rPr>
                <w:color w:val="auto"/>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0FD15EF3">
            <w:pPr>
              <w:rPr>
                <w:color w:val="auto"/>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229A4E07">
            <w:pPr>
              <w:rPr>
                <w:color w:val="auto"/>
                <w:highlight w:val="none"/>
              </w:rPr>
            </w:pPr>
          </w:p>
        </w:tc>
      </w:tr>
      <w:tr w14:paraId="7FA95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721ECDD">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1501E2A">
            <w:pPr>
              <w:rPr>
                <w:color w:val="auto"/>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73A7C3F4">
            <w:pPr>
              <w:rPr>
                <w:color w:val="auto"/>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2279577E">
            <w:pPr>
              <w:rPr>
                <w:color w:val="auto"/>
                <w:highlight w:val="none"/>
              </w:rPr>
            </w:pPr>
          </w:p>
        </w:tc>
        <w:tc>
          <w:tcPr>
            <w:tcW w:w="1702" w:type="dxa"/>
            <w:tcBorders>
              <w:top w:val="single" w:color="auto" w:sz="4" w:space="0"/>
              <w:left w:val="single" w:color="auto" w:sz="4" w:space="0"/>
              <w:bottom w:val="single" w:color="auto" w:sz="4" w:space="0"/>
              <w:right w:val="single" w:color="auto" w:sz="4" w:space="0"/>
            </w:tcBorders>
          </w:tcPr>
          <w:p w14:paraId="070CE965">
            <w:pPr>
              <w:rPr>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9B09CE2">
            <w:pPr>
              <w:rPr>
                <w:color w:val="auto"/>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2EC38830">
            <w:pPr>
              <w:rPr>
                <w:color w:val="auto"/>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60C603DF">
            <w:pPr>
              <w:rPr>
                <w:color w:val="auto"/>
                <w:highlight w:val="none"/>
              </w:rPr>
            </w:pPr>
          </w:p>
        </w:tc>
      </w:tr>
    </w:tbl>
    <w:p w14:paraId="1CEA7201">
      <w:pPr>
        <w:rPr>
          <w:color w:val="auto"/>
          <w:highlight w:val="none"/>
        </w:rPr>
      </w:pPr>
      <w:r>
        <w:rPr>
          <w:rFonts w:hint="eastAsia"/>
          <w:color w:val="auto"/>
          <w:highlight w:val="none"/>
        </w:rPr>
        <w:t>备注：</w:t>
      </w:r>
    </w:p>
    <w:p w14:paraId="1325E4C8">
      <w:pPr>
        <w:rPr>
          <w:b/>
          <w:color w:val="auto"/>
          <w:highlight w:val="none"/>
        </w:rPr>
      </w:pPr>
      <w:r>
        <w:rPr>
          <w:rFonts w:hint="eastAsia"/>
          <w:color w:val="auto"/>
          <w:highlight w:val="none"/>
        </w:rPr>
        <w:t>以上设备性能配置清单中“标的名称、数量及单位、品牌、规格型号、生产厂家、国别、参数性能、指标及配置”必须如实填写完整，品牌、规格型号没有则填无，填写有缺漏</w:t>
      </w:r>
      <w:r>
        <w:rPr>
          <w:rFonts w:hint="eastAsia"/>
          <w:bCs/>
          <w:color w:val="auto"/>
          <w:highlight w:val="none"/>
        </w:rPr>
        <w:t>的，</w:t>
      </w:r>
      <w:r>
        <w:rPr>
          <w:rFonts w:hint="eastAsia"/>
          <w:b/>
          <w:color w:val="auto"/>
          <w:highlight w:val="none"/>
        </w:rPr>
        <w:t>作无效投标处理。</w:t>
      </w:r>
      <w:r>
        <w:rPr>
          <w:rFonts w:hint="eastAsia"/>
          <w:color w:val="auto"/>
          <w:highlight w:val="none"/>
        </w:rPr>
        <w:t>标的名称、数量及单位、品牌必须与“开标一览表”一致，</w:t>
      </w:r>
      <w:r>
        <w:rPr>
          <w:rFonts w:hint="eastAsia"/>
          <w:b/>
          <w:color w:val="auto"/>
          <w:highlight w:val="none"/>
        </w:rPr>
        <w:t>否则按无效投标处理。</w:t>
      </w:r>
    </w:p>
    <w:p w14:paraId="4DBEF12A">
      <w:pPr>
        <w:rPr>
          <w:color w:val="auto"/>
          <w:highlight w:val="none"/>
        </w:rPr>
      </w:pPr>
    </w:p>
    <w:p w14:paraId="51E5637A">
      <w:pPr>
        <w:rPr>
          <w:color w:val="auto"/>
          <w:spacing w:val="20"/>
          <w:highlight w:val="none"/>
          <w:u w:val="single"/>
        </w:rPr>
      </w:pPr>
      <w:r>
        <w:rPr>
          <w:rFonts w:hint="eastAsia"/>
          <w:color w:val="auto"/>
          <w:highlight w:val="none"/>
        </w:rPr>
        <w:t>法定代表人（或负责人）或者委托代理人（签字或电子签名）</w:t>
      </w:r>
      <w:r>
        <w:rPr>
          <w:rFonts w:hint="eastAsia"/>
          <w:color w:val="auto"/>
          <w:spacing w:val="20"/>
          <w:highlight w:val="none"/>
        </w:rPr>
        <w:t>：</w:t>
      </w:r>
      <w:r>
        <w:rPr>
          <w:rFonts w:hint="eastAsia"/>
          <w:color w:val="auto"/>
          <w:spacing w:val="20"/>
          <w:highlight w:val="none"/>
          <w:u w:val="single"/>
        </w:rPr>
        <w:t xml:space="preserve">        </w:t>
      </w:r>
    </w:p>
    <w:p w14:paraId="0B1E8C7C">
      <w:pPr>
        <w:rPr>
          <w:color w:val="auto"/>
          <w:highlight w:val="none"/>
        </w:rPr>
      </w:pPr>
      <w:r>
        <w:rPr>
          <w:rFonts w:hint="eastAsia"/>
          <w:color w:val="auto"/>
          <w:highlight w:val="none"/>
        </w:rPr>
        <w:t>投标人名称（电子签章）：</w:t>
      </w:r>
      <w:r>
        <w:rPr>
          <w:rFonts w:hint="eastAsia"/>
          <w:color w:val="auto"/>
          <w:highlight w:val="none"/>
          <w:u w:val="single"/>
        </w:rPr>
        <w:t xml:space="preserve">            </w:t>
      </w:r>
      <w:r>
        <w:rPr>
          <w:rFonts w:hint="eastAsia"/>
          <w:color w:val="auto"/>
          <w:highlight w:val="none"/>
        </w:rPr>
        <w:t xml:space="preserve">              </w:t>
      </w:r>
    </w:p>
    <w:p w14:paraId="1D42D9BF">
      <w:pPr>
        <w:rPr>
          <w:color w:val="auto"/>
          <w:highlight w:val="none"/>
        </w:rPr>
      </w:pPr>
      <w:r>
        <w:rPr>
          <w:rFonts w:hint="eastAsia"/>
          <w:color w:val="auto"/>
          <w:highlight w:val="none"/>
        </w:rPr>
        <w:t xml:space="preserve">日期：    年   月   日          </w:t>
      </w:r>
    </w:p>
    <w:p w14:paraId="37CC5888">
      <w:pPr>
        <w:rPr>
          <w:color w:val="auto"/>
          <w:highlight w:val="none"/>
        </w:rPr>
      </w:pPr>
    </w:p>
    <w:p w14:paraId="398A57DE">
      <w:pPr>
        <w:rPr>
          <w:color w:val="auto"/>
          <w:highlight w:val="none"/>
        </w:rPr>
      </w:pPr>
    </w:p>
    <w:p w14:paraId="2FBE20E6">
      <w:pPr>
        <w:rPr>
          <w:color w:val="auto"/>
          <w:highlight w:val="none"/>
        </w:rPr>
      </w:pPr>
      <w:r>
        <w:rPr>
          <w:color w:val="auto"/>
          <w:highlight w:val="none"/>
        </w:rPr>
        <w:br w:type="page"/>
      </w:r>
      <w:r>
        <w:rPr>
          <w:rFonts w:hint="eastAsia"/>
          <w:color w:val="auto"/>
          <w:highlight w:val="none"/>
          <w:lang w:val="en-US" w:eastAsia="zh-CN"/>
        </w:rPr>
        <w:t>2</w:t>
      </w:r>
      <w:r>
        <w:rPr>
          <w:rFonts w:hint="eastAsia"/>
          <w:color w:val="auto"/>
          <w:highlight w:val="none"/>
        </w:rPr>
        <w:t>. 技术要求偏离表格式</w:t>
      </w:r>
    </w:p>
    <w:p w14:paraId="5C85A217">
      <w:pPr>
        <w:rPr>
          <w:color w:val="auto"/>
          <w:highlight w:val="none"/>
        </w:rPr>
      </w:pPr>
    </w:p>
    <w:p w14:paraId="6EFACA8F">
      <w:pPr>
        <w:jc w:val="center"/>
        <w:rPr>
          <w:color w:val="auto"/>
          <w:highlight w:val="none"/>
        </w:rPr>
      </w:pPr>
      <w:r>
        <w:rPr>
          <w:rFonts w:hint="eastAsia"/>
          <w:color w:val="auto"/>
          <w:highlight w:val="none"/>
        </w:rPr>
        <w:t>技术要求偏离表</w:t>
      </w:r>
    </w:p>
    <w:p w14:paraId="64683F40">
      <w:pPr>
        <w:rPr>
          <w:color w:val="auto"/>
          <w:kern w:val="0"/>
          <w:highlight w:val="none"/>
        </w:rPr>
      </w:pPr>
      <w:r>
        <w:rPr>
          <w:rFonts w:hint="eastAsia"/>
          <w:color w:val="auto"/>
          <w:kern w:val="0"/>
          <w:highlight w:val="none"/>
        </w:rPr>
        <w:t>所投分标：</w:t>
      </w:r>
      <w:r>
        <w:rPr>
          <w:rFonts w:hint="eastAsia"/>
          <w:color w:val="auto"/>
          <w:kern w:val="0"/>
          <w:highlight w:val="none"/>
          <w:u w:val="single"/>
        </w:rPr>
        <w:t xml:space="preserve">     </w:t>
      </w:r>
      <w:r>
        <w:rPr>
          <w:rFonts w:hint="eastAsia"/>
          <w:color w:val="auto"/>
          <w:kern w:val="0"/>
          <w:highlight w:val="none"/>
        </w:rPr>
        <w:t>分标</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B52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34933418">
            <w:pPr>
              <w:ind w:firstLine="0" w:firstLineChars="0"/>
              <w:rPr>
                <w:color w:val="auto"/>
                <w:highlight w:val="none"/>
              </w:rPr>
            </w:pPr>
            <w:r>
              <w:rPr>
                <w:rFonts w:hint="eastAsia"/>
                <w:color w:val="auto"/>
                <w:highlight w:val="none"/>
              </w:rPr>
              <w:t>项号</w:t>
            </w:r>
          </w:p>
        </w:tc>
        <w:tc>
          <w:tcPr>
            <w:tcW w:w="2143" w:type="dxa"/>
            <w:vAlign w:val="center"/>
          </w:tcPr>
          <w:p w14:paraId="108FA9E7">
            <w:pPr>
              <w:rPr>
                <w:color w:val="auto"/>
                <w:highlight w:val="none"/>
              </w:rPr>
            </w:pPr>
            <w:r>
              <w:rPr>
                <w:rFonts w:hint="eastAsia"/>
                <w:color w:val="auto"/>
                <w:highlight w:val="none"/>
              </w:rPr>
              <w:t>标的名称</w:t>
            </w:r>
          </w:p>
        </w:tc>
        <w:tc>
          <w:tcPr>
            <w:tcW w:w="1834" w:type="dxa"/>
            <w:vAlign w:val="center"/>
          </w:tcPr>
          <w:p w14:paraId="42BC2DBE">
            <w:pPr>
              <w:rPr>
                <w:color w:val="auto"/>
                <w:highlight w:val="none"/>
              </w:rPr>
            </w:pPr>
            <w:r>
              <w:rPr>
                <w:rFonts w:hint="eastAsia"/>
                <w:color w:val="auto"/>
                <w:highlight w:val="none"/>
              </w:rPr>
              <w:t>技术要求</w:t>
            </w:r>
          </w:p>
        </w:tc>
        <w:tc>
          <w:tcPr>
            <w:tcW w:w="2181" w:type="dxa"/>
            <w:vAlign w:val="center"/>
          </w:tcPr>
          <w:p w14:paraId="5B2CE4DC">
            <w:pPr>
              <w:rPr>
                <w:color w:val="auto"/>
                <w:highlight w:val="none"/>
              </w:rPr>
            </w:pPr>
            <w:r>
              <w:rPr>
                <w:rFonts w:hint="eastAsia"/>
                <w:color w:val="auto"/>
                <w:highlight w:val="none"/>
              </w:rPr>
              <w:t>投标响应</w:t>
            </w:r>
          </w:p>
        </w:tc>
        <w:tc>
          <w:tcPr>
            <w:tcW w:w="1934" w:type="dxa"/>
            <w:vAlign w:val="center"/>
          </w:tcPr>
          <w:p w14:paraId="2DD8CCE6">
            <w:pPr>
              <w:rPr>
                <w:color w:val="auto"/>
                <w:highlight w:val="none"/>
              </w:rPr>
            </w:pPr>
            <w:r>
              <w:rPr>
                <w:rFonts w:hint="eastAsia"/>
                <w:color w:val="auto"/>
                <w:highlight w:val="none"/>
              </w:rPr>
              <w:t>偏离说明</w:t>
            </w:r>
          </w:p>
        </w:tc>
      </w:tr>
      <w:tr w14:paraId="2489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3FCB4BB">
            <w:pPr>
              <w:rPr>
                <w:color w:val="auto"/>
                <w:highlight w:val="none"/>
              </w:rPr>
            </w:pPr>
          </w:p>
        </w:tc>
        <w:tc>
          <w:tcPr>
            <w:tcW w:w="2143" w:type="dxa"/>
            <w:vAlign w:val="center"/>
          </w:tcPr>
          <w:p w14:paraId="46367DCA">
            <w:pPr>
              <w:rPr>
                <w:color w:val="auto"/>
                <w:highlight w:val="none"/>
              </w:rPr>
            </w:pPr>
          </w:p>
        </w:tc>
        <w:tc>
          <w:tcPr>
            <w:tcW w:w="1834" w:type="dxa"/>
            <w:vAlign w:val="center"/>
          </w:tcPr>
          <w:p w14:paraId="7A1F0744">
            <w:pPr>
              <w:rPr>
                <w:color w:val="auto"/>
                <w:highlight w:val="none"/>
              </w:rPr>
            </w:pPr>
          </w:p>
        </w:tc>
        <w:tc>
          <w:tcPr>
            <w:tcW w:w="2181" w:type="dxa"/>
            <w:vAlign w:val="center"/>
          </w:tcPr>
          <w:p w14:paraId="6D52E76E">
            <w:pPr>
              <w:rPr>
                <w:color w:val="auto"/>
                <w:highlight w:val="none"/>
              </w:rPr>
            </w:pPr>
          </w:p>
        </w:tc>
        <w:tc>
          <w:tcPr>
            <w:tcW w:w="1934" w:type="dxa"/>
            <w:vAlign w:val="center"/>
          </w:tcPr>
          <w:p w14:paraId="63445CDC">
            <w:pPr>
              <w:rPr>
                <w:color w:val="auto"/>
                <w:highlight w:val="none"/>
              </w:rPr>
            </w:pPr>
          </w:p>
        </w:tc>
      </w:tr>
      <w:tr w14:paraId="61E5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697F4E7">
            <w:pPr>
              <w:rPr>
                <w:color w:val="auto"/>
                <w:highlight w:val="none"/>
              </w:rPr>
            </w:pPr>
          </w:p>
        </w:tc>
        <w:tc>
          <w:tcPr>
            <w:tcW w:w="2143" w:type="dxa"/>
          </w:tcPr>
          <w:p w14:paraId="0A5CE067">
            <w:pPr>
              <w:rPr>
                <w:color w:val="auto"/>
                <w:highlight w:val="none"/>
              </w:rPr>
            </w:pPr>
          </w:p>
        </w:tc>
        <w:tc>
          <w:tcPr>
            <w:tcW w:w="1834" w:type="dxa"/>
          </w:tcPr>
          <w:p w14:paraId="7AF8D2D8">
            <w:pPr>
              <w:rPr>
                <w:color w:val="auto"/>
                <w:highlight w:val="none"/>
              </w:rPr>
            </w:pPr>
          </w:p>
        </w:tc>
        <w:tc>
          <w:tcPr>
            <w:tcW w:w="2181" w:type="dxa"/>
          </w:tcPr>
          <w:p w14:paraId="67B34BCD">
            <w:pPr>
              <w:rPr>
                <w:color w:val="auto"/>
                <w:highlight w:val="none"/>
              </w:rPr>
            </w:pPr>
          </w:p>
        </w:tc>
        <w:tc>
          <w:tcPr>
            <w:tcW w:w="1934" w:type="dxa"/>
          </w:tcPr>
          <w:p w14:paraId="76FB9AA7">
            <w:pPr>
              <w:rPr>
                <w:color w:val="auto"/>
                <w:highlight w:val="none"/>
              </w:rPr>
            </w:pPr>
          </w:p>
        </w:tc>
      </w:tr>
      <w:tr w14:paraId="2B17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64A88F5">
            <w:pPr>
              <w:rPr>
                <w:color w:val="auto"/>
                <w:highlight w:val="none"/>
              </w:rPr>
            </w:pPr>
          </w:p>
        </w:tc>
        <w:tc>
          <w:tcPr>
            <w:tcW w:w="2143" w:type="dxa"/>
          </w:tcPr>
          <w:p w14:paraId="759EE728">
            <w:pPr>
              <w:rPr>
                <w:color w:val="auto"/>
                <w:highlight w:val="none"/>
              </w:rPr>
            </w:pPr>
          </w:p>
        </w:tc>
        <w:tc>
          <w:tcPr>
            <w:tcW w:w="1834" w:type="dxa"/>
          </w:tcPr>
          <w:p w14:paraId="510701F6">
            <w:pPr>
              <w:rPr>
                <w:color w:val="auto"/>
                <w:highlight w:val="none"/>
              </w:rPr>
            </w:pPr>
          </w:p>
        </w:tc>
        <w:tc>
          <w:tcPr>
            <w:tcW w:w="2181" w:type="dxa"/>
          </w:tcPr>
          <w:p w14:paraId="629CD571">
            <w:pPr>
              <w:rPr>
                <w:color w:val="auto"/>
                <w:highlight w:val="none"/>
              </w:rPr>
            </w:pPr>
          </w:p>
        </w:tc>
        <w:tc>
          <w:tcPr>
            <w:tcW w:w="1934" w:type="dxa"/>
          </w:tcPr>
          <w:p w14:paraId="25196484">
            <w:pPr>
              <w:rPr>
                <w:color w:val="auto"/>
                <w:highlight w:val="none"/>
              </w:rPr>
            </w:pPr>
          </w:p>
        </w:tc>
      </w:tr>
      <w:tr w14:paraId="6D63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200056E">
            <w:pPr>
              <w:rPr>
                <w:color w:val="auto"/>
                <w:highlight w:val="none"/>
              </w:rPr>
            </w:pPr>
          </w:p>
        </w:tc>
        <w:tc>
          <w:tcPr>
            <w:tcW w:w="2143" w:type="dxa"/>
          </w:tcPr>
          <w:p w14:paraId="3C020018">
            <w:pPr>
              <w:rPr>
                <w:color w:val="auto"/>
                <w:highlight w:val="none"/>
              </w:rPr>
            </w:pPr>
          </w:p>
        </w:tc>
        <w:tc>
          <w:tcPr>
            <w:tcW w:w="1834" w:type="dxa"/>
          </w:tcPr>
          <w:p w14:paraId="4B72EFAC">
            <w:pPr>
              <w:rPr>
                <w:color w:val="auto"/>
                <w:highlight w:val="none"/>
              </w:rPr>
            </w:pPr>
          </w:p>
        </w:tc>
        <w:tc>
          <w:tcPr>
            <w:tcW w:w="2181" w:type="dxa"/>
          </w:tcPr>
          <w:p w14:paraId="6740872B">
            <w:pPr>
              <w:rPr>
                <w:color w:val="auto"/>
                <w:highlight w:val="none"/>
              </w:rPr>
            </w:pPr>
          </w:p>
        </w:tc>
        <w:tc>
          <w:tcPr>
            <w:tcW w:w="1934" w:type="dxa"/>
          </w:tcPr>
          <w:p w14:paraId="183A0807">
            <w:pPr>
              <w:rPr>
                <w:color w:val="auto"/>
                <w:highlight w:val="none"/>
              </w:rPr>
            </w:pPr>
          </w:p>
        </w:tc>
      </w:tr>
      <w:tr w14:paraId="49DA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2B9FFD4">
            <w:pPr>
              <w:rPr>
                <w:color w:val="auto"/>
                <w:highlight w:val="none"/>
              </w:rPr>
            </w:pPr>
          </w:p>
        </w:tc>
        <w:tc>
          <w:tcPr>
            <w:tcW w:w="2143" w:type="dxa"/>
          </w:tcPr>
          <w:p w14:paraId="2192051B">
            <w:pPr>
              <w:rPr>
                <w:color w:val="auto"/>
                <w:highlight w:val="none"/>
              </w:rPr>
            </w:pPr>
          </w:p>
        </w:tc>
        <w:tc>
          <w:tcPr>
            <w:tcW w:w="1834" w:type="dxa"/>
          </w:tcPr>
          <w:p w14:paraId="7A2FC74D">
            <w:pPr>
              <w:rPr>
                <w:color w:val="auto"/>
                <w:highlight w:val="none"/>
              </w:rPr>
            </w:pPr>
          </w:p>
        </w:tc>
        <w:tc>
          <w:tcPr>
            <w:tcW w:w="2181" w:type="dxa"/>
          </w:tcPr>
          <w:p w14:paraId="535AB2B4">
            <w:pPr>
              <w:rPr>
                <w:color w:val="auto"/>
                <w:highlight w:val="none"/>
              </w:rPr>
            </w:pPr>
          </w:p>
        </w:tc>
        <w:tc>
          <w:tcPr>
            <w:tcW w:w="1934" w:type="dxa"/>
          </w:tcPr>
          <w:p w14:paraId="1C08DFAF">
            <w:pPr>
              <w:rPr>
                <w:color w:val="auto"/>
                <w:highlight w:val="none"/>
              </w:rPr>
            </w:pPr>
          </w:p>
        </w:tc>
      </w:tr>
      <w:tr w14:paraId="31F2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554AF79">
            <w:pPr>
              <w:rPr>
                <w:color w:val="auto"/>
                <w:highlight w:val="none"/>
              </w:rPr>
            </w:pPr>
          </w:p>
        </w:tc>
        <w:tc>
          <w:tcPr>
            <w:tcW w:w="2143" w:type="dxa"/>
          </w:tcPr>
          <w:p w14:paraId="2A58D71C">
            <w:pPr>
              <w:rPr>
                <w:color w:val="auto"/>
                <w:highlight w:val="none"/>
              </w:rPr>
            </w:pPr>
          </w:p>
        </w:tc>
        <w:tc>
          <w:tcPr>
            <w:tcW w:w="1834" w:type="dxa"/>
          </w:tcPr>
          <w:p w14:paraId="429D5228">
            <w:pPr>
              <w:rPr>
                <w:color w:val="auto"/>
                <w:highlight w:val="none"/>
              </w:rPr>
            </w:pPr>
          </w:p>
        </w:tc>
        <w:tc>
          <w:tcPr>
            <w:tcW w:w="2181" w:type="dxa"/>
          </w:tcPr>
          <w:p w14:paraId="378E8D59">
            <w:pPr>
              <w:rPr>
                <w:color w:val="auto"/>
                <w:highlight w:val="none"/>
              </w:rPr>
            </w:pPr>
          </w:p>
        </w:tc>
        <w:tc>
          <w:tcPr>
            <w:tcW w:w="1934" w:type="dxa"/>
          </w:tcPr>
          <w:p w14:paraId="4EFE8A6F">
            <w:pPr>
              <w:rPr>
                <w:color w:val="auto"/>
                <w:highlight w:val="none"/>
              </w:rPr>
            </w:pPr>
          </w:p>
        </w:tc>
      </w:tr>
    </w:tbl>
    <w:p w14:paraId="769B354B">
      <w:pPr>
        <w:rPr>
          <w:color w:val="auto"/>
          <w:kern w:val="0"/>
          <w:highlight w:val="none"/>
        </w:rPr>
      </w:pPr>
      <w:r>
        <w:rPr>
          <w:rFonts w:hint="eastAsia"/>
          <w:color w:val="auto"/>
          <w:kern w:val="0"/>
          <w:highlight w:val="none"/>
        </w:rPr>
        <w:t>注：</w:t>
      </w:r>
    </w:p>
    <w:p w14:paraId="57FB133C">
      <w:pPr>
        <w:rPr>
          <w:rFonts w:cs="仿宋_GB2312"/>
          <w:color w:val="auto"/>
          <w:highlight w:val="none"/>
        </w:rPr>
      </w:pPr>
      <w:r>
        <w:rPr>
          <w:rFonts w:hint="eastAsia"/>
          <w:color w:val="auto"/>
          <w:highlight w:val="none"/>
        </w:rPr>
        <w:t>1. 说明：应对照招标文件“第二章 采购需求”中的“技术要求”逐条作明确的投标响应，并作出偏离说明。</w:t>
      </w:r>
    </w:p>
    <w:p w14:paraId="34741DA2">
      <w:pPr>
        <w:rPr>
          <w:color w:val="auto"/>
          <w:kern w:val="0"/>
          <w:highlight w:val="none"/>
        </w:rPr>
      </w:pPr>
      <w:r>
        <w:rPr>
          <w:color w:val="auto"/>
          <w:kern w:val="0"/>
          <w:highlight w:val="none"/>
        </w:rPr>
        <w:t>2.</w:t>
      </w:r>
      <w:r>
        <w:rPr>
          <w:rFonts w:hint="eastAsia"/>
          <w:color w:val="auto"/>
          <w:kern w:val="0"/>
          <w:highlight w:val="none"/>
        </w:rPr>
        <w:t>投标人根据投标货物的性能指标，对照招标文件技术要求，在“偏离说明”中注明“</w:t>
      </w:r>
      <w:r>
        <w:rPr>
          <w:rFonts w:hint="eastAsia"/>
          <w:b/>
          <w:bCs/>
          <w:color w:val="auto"/>
          <w:kern w:val="0"/>
          <w:highlight w:val="none"/>
        </w:rPr>
        <w:t>正偏离</w:t>
      </w:r>
      <w:r>
        <w:rPr>
          <w:rFonts w:hint="eastAsia"/>
          <w:color w:val="auto"/>
          <w:kern w:val="0"/>
          <w:highlight w:val="none"/>
        </w:rPr>
        <w:t>”、“</w:t>
      </w:r>
      <w:r>
        <w:rPr>
          <w:rFonts w:hint="eastAsia"/>
          <w:b/>
          <w:bCs/>
          <w:color w:val="auto"/>
          <w:kern w:val="0"/>
          <w:highlight w:val="none"/>
        </w:rPr>
        <w:t>负偏离</w:t>
      </w:r>
      <w:r>
        <w:rPr>
          <w:rFonts w:hint="eastAsia"/>
          <w:color w:val="auto"/>
          <w:kern w:val="0"/>
          <w:highlight w:val="none"/>
        </w:rPr>
        <w:t>”或者“</w:t>
      </w:r>
      <w:r>
        <w:rPr>
          <w:rFonts w:hint="eastAsia"/>
          <w:b/>
          <w:bCs/>
          <w:color w:val="auto"/>
          <w:kern w:val="0"/>
          <w:highlight w:val="none"/>
        </w:rPr>
        <w:t>无偏离</w:t>
      </w:r>
      <w:r>
        <w:rPr>
          <w:rFonts w:hint="eastAsia"/>
          <w:color w:val="auto"/>
          <w:kern w:val="0"/>
          <w:highlight w:val="none"/>
        </w:rPr>
        <w:t>”。既不属于“</w:t>
      </w:r>
      <w:r>
        <w:rPr>
          <w:rFonts w:hint="eastAsia"/>
          <w:b/>
          <w:bCs/>
          <w:color w:val="auto"/>
          <w:kern w:val="0"/>
          <w:highlight w:val="none"/>
        </w:rPr>
        <w:t>正偏离</w:t>
      </w:r>
      <w:r>
        <w:rPr>
          <w:rFonts w:hint="eastAsia"/>
          <w:color w:val="auto"/>
          <w:kern w:val="0"/>
          <w:highlight w:val="none"/>
        </w:rPr>
        <w:t>”也不属于“</w:t>
      </w:r>
      <w:r>
        <w:rPr>
          <w:rFonts w:hint="eastAsia"/>
          <w:b/>
          <w:bCs/>
          <w:color w:val="auto"/>
          <w:kern w:val="0"/>
          <w:highlight w:val="none"/>
        </w:rPr>
        <w:t>负偏离</w:t>
      </w:r>
      <w:r>
        <w:rPr>
          <w:rFonts w:hint="eastAsia"/>
          <w:color w:val="auto"/>
          <w:kern w:val="0"/>
          <w:highlight w:val="none"/>
        </w:rPr>
        <w:t>”即为“</w:t>
      </w:r>
      <w:r>
        <w:rPr>
          <w:rFonts w:hint="eastAsia"/>
          <w:b/>
          <w:bCs/>
          <w:color w:val="auto"/>
          <w:kern w:val="0"/>
          <w:highlight w:val="none"/>
        </w:rPr>
        <w:t>无偏离</w:t>
      </w:r>
      <w:r>
        <w:rPr>
          <w:rFonts w:hint="eastAsia"/>
          <w:color w:val="auto"/>
          <w:kern w:val="0"/>
          <w:highlight w:val="none"/>
        </w:rPr>
        <w:t>”。</w:t>
      </w:r>
    </w:p>
    <w:p w14:paraId="4FD09B20">
      <w:pPr>
        <w:rPr>
          <w:color w:val="auto"/>
          <w:highlight w:val="none"/>
        </w:rPr>
      </w:pPr>
      <w:r>
        <w:rPr>
          <w:rFonts w:hint="eastAsia"/>
          <w:color w:val="auto"/>
          <w:highlight w:val="none"/>
        </w:rPr>
        <w:t>3.如技术要求偏离表中的投标响应与佐证材料不一致的，以佐证材料为准。</w:t>
      </w:r>
    </w:p>
    <w:p w14:paraId="30B1EF37">
      <w:pPr>
        <w:rPr>
          <w:color w:val="auto"/>
          <w:highlight w:val="none"/>
        </w:rPr>
      </w:pPr>
      <w:r>
        <w:rPr>
          <w:rFonts w:hint="eastAsia"/>
          <w:color w:val="auto"/>
          <w:highlight w:val="none"/>
        </w:rPr>
        <w:t>4.不按照要求填写响应内容的或者仅填写“满足或者响应”的，均按无效投标处理。</w:t>
      </w:r>
    </w:p>
    <w:p w14:paraId="668993BB">
      <w:pPr>
        <w:rPr>
          <w:color w:val="auto"/>
          <w:highlight w:val="none"/>
        </w:rPr>
      </w:pPr>
    </w:p>
    <w:p w14:paraId="48507B33">
      <w:pPr>
        <w:rPr>
          <w:color w:val="auto"/>
          <w:spacing w:val="20"/>
          <w:highlight w:val="none"/>
          <w:u w:val="single"/>
        </w:rPr>
      </w:pPr>
      <w:r>
        <w:rPr>
          <w:rFonts w:hint="eastAsia"/>
          <w:color w:val="auto"/>
          <w:highlight w:val="none"/>
        </w:rPr>
        <w:t>法定代表人（或负责人）或者委托代理人（签字或电子签名）</w:t>
      </w:r>
      <w:r>
        <w:rPr>
          <w:rFonts w:hint="eastAsia"/>
          <w:color w:val="auto"/>
          <w:spacing w:val="20"/>
          <w:highlight w:val="none"/>
        </w:rPr>
        <w:t>：</w:t>
      </w:r>
      <w:r>
        <w:rPr>
          <w:rFonts w:hint="eastAsia"/>
          <w:color w:val="auto"/>
          <w:spacing w:val="20"/>
          <w:highlight w:val="none"/>
          <w:u w:val="single"/>
        </w:rPr>
        <w:t xml:space="preserve">        </w:t>
      </w:r>
    </w:p>
    <w:p w14:paraId="4CE2B09D">
      <w:pPr>
        <w:rPr>
          <w:color w:val="auto"/>
          <w:highlight w:val="none"/>
        </w:rPr>
      </w:pPr>
      <w:r>
        <w:rPr>
          <w:rFonts w:hint="eastAsia"/>
          <w:color w:val="auto"/>
          <w:highlight w:val="none"/>
        </w:rPr>
        <w:t>投标人名称（电子签章）：</w:t>
      </w:r>
      <w:r>
        <w:rPr>
          <w:rFonts w:hint="eastAsia"/>
          <w:color w:val="auto"/>
          <w:highlight w:val="none"/>
          <w:u w:val="single"/>
        </w:rPr>
        <w:t xml:space="preserve">            </w:t>
      </w:r>
      <w:r>
        <w:rPr>
          <w:rFonts w:hint="eastAsia"/>
          <w:color w:val="auto"/>
          <w:highlight w:val="none"/>
        </w:rPr>
        <w:t xml:space="preserve">              </w:t>
      </w:r>
    </w:p>
    <w:p w14:paraId="38845F32">
      <w:pPr>
        <w:rPr>
          <w:color w:val="auto"/>
          <w:highlight w:val="none"/>
        </w:rPr>
      </w:pPr>
      <w:r>
        <w:rPr>
          <w:rFonts w:hint="eastAsia"/>
          <w:color w:val="auto"/>
          <w:highlight w:val="none"/>
        </w:rPr>
        <w:t xml:space="preserve">日期：    年   月   日        </w:t>
      </w:r>
    </w:p>
    <w:p w14:paraId="1CBABD50">
      <w:pPr>
        <w:rPr>
          <w:color w:val="auto"/>
          <w:highlight w:val="none"/>
        </w:rPr>
      </w:pPr>
    </w:p>
    <w:p w14:paraId="269726B4">
      <w:pPr>
        <w:rPr>
          <w:color w:val="auto"/>
          <w:highlight w:val="none"/>
        </w:rPr>
      </w:pPr>
      <w:r>
        <w:rPr>
          <w:color w:val="auto"/>
          <w:highlight w:val="none"/>
        </w:rPr>
        <w:br w:type="page"/>
      </w:r>
    </w:p>
    <w:p w14:paraId="7712E549">
      <w:pPr>
        <w:rPr>
          <w:color w:val="auto"/>
          <w:highlight w:val="none"/>
        </w:rPr>
      </w:pPr>
      <w:r>
        <w:rPr>
          <w:rFonts w:hint="eastAsia"/>
          <w:color w:val="auto"/>
          <w:highlight w:val="none"/>
        </w:rPr>
        <w:t>3.项目实施方案（如有，请提供，格式自拟）；</w:t>
      </w:r>
    </w:p>
    <w:p w14:paraId="49E5A571">
      <w:pPr>
        <w:rPr>
          <w:rFonts w:hint="eastAsia"/>
          <w:color w:val="auto"/>
          <w:highlight w:val="none"/>
        </w:rPr>
      </w:pPr>
      <w:r>
        <w:rPr>
          <w:rFonts w:hint="eastAsia"/>
          <w:color w:val="auto"/>
          <w:highlight w:val="none"/>
        </w:rPr>
        <w:br w:type="page"/>
      </w:r>
    </w:p>
    <w:p w14:paraId="0984ACF9">
      <w:pPr>
        <w:rPr>
          <w:color w:val="auto"/>
          <w:highlight w:val="none"/>
        </w:rPr>
      </w:pPr>
      <w:r>
        <w:rPr>
          <w:rFonts w:hint="eastAsia"/>
          <w:color w:val="auto"/>
          <w:highlight w:val="none"/>
        </w:rPr>
        <w:t>4.售后服务方案（如有，请提供，格式自拟）；</w:t>
      </w:r>
    </w:p>
    <w:p w14:paraId="00B08949">
      <w:pPr>
        <w:rPr>
          <w:rFonts w:hint="eastAsia"/>
          <w:color w:val="auto"/>
          <w:highlight w:val="none"/>
        </w:rPr>
      </w:pPr>
      <w:r>
        <w:rPr>
          <w:rFonts w:hint="eastAsia"/>
          <w:color w:val="auto"/>
          <w:highlight w:val="none"/>
        </w:rPr>
        <w:br w:type="page"/>
      </w:r>
    </w:p>
    <w:p w14:paraId="003DBEB6">
      <w:pPr>
        <w:rPr>
          <w:color w:val="auto"/>
          <w:highlight w:val="none"/>
        </w:rPr>
      </w:pPr>
      <w:r>
        <w:rPr>
          <w:rFonts w:hint="eastAsia"/>
          <w:color w:val="auto"/>
          <w:highlight w:val="none"/>
        </w:rPr>
        <w:t>5.拟投入人员一览表（如有，请提供，格式自拟）；</w:t>
      </w:r>
    </w:p>
    <w:p w14:paraId="7ECFB54E">
      <w:pPr>
        <w:ind w:firstLine="560"/>
        <w:jc w:val="center"/>
        <w:rPr>
          <w:color w:val="auto"/>
          <w:sz w:val="28"/>
          <w:szCs w:val="28"/>
          <w:highlight w:val="none"/>
        </w:rPr>
      </w:pPr>
      <w:r>
        <w:rPr>
          <w:rFonts w:hint="eastAsia"/>
          <w:color w:val="auto"/>
          <w:sz w:val="28"/>
          <w:szCs w:val="28"/>
          <w:highlight w:val="none"/>
        </w:rPr>
        <w:t>项目实施人员一览表</w:t>
      </w:r>
    </w:p>
    <w:p w14:paraId="0F69BCFD">
      <w:pPr>
        <w:rPr>
          <w:color w:val="auto"/>
          <w:kern w:val="0"/>
          <w:highlight w:val="none"/>
        </w:rPr>
      </w:pPr>
      <w:r>
        <w:rPr>
          <w:rFonts w:hint="eastAsia"/>
          <w:color w:val="auto"/>
          <w:kern w:val="0"/>
          <w:highlight w:val="none"/>
        </w:rPr>
        <w:t>所投分标：</w:t>
      </w:r>
      <w:r>
        <w:rPr>
          <w:rFonts w:hint="eastAsia"/>
          <w:color w:val="auto"/>
          <w:kern w:val="0"/>
          <w:highlight w:val="none"/>
          <w:u w:val="single"/>
        </w:rPr>
        <w:t xml:space="preserve">     </w:t>
      </w:r>
      <w:r>
        <w:rPr>
          <w:rFonts w:hint="eastAsia"/>
          <w:color w:val="auto"/>
          <w:kern w:val="0"/>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21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4D6376">
            <w:pPr>
              <w:ind w:firstLine="0" w:firstLineChars="0"/>
              <w:rPr>
                <w:color w:val="auto"/>
                <w:highlight w:val="none"/>
              </w:rPr>
            </w:pPr>
            <w:r>
              <w:rPr>
                <w:rFonts w:hint="eastAsia"/>
                <w:color w:val="auto"/>
                <w:highlight w:val="none"/>
              </w:rPr>
              <w:t>姓名</w:t>
            </w:r>
          </w:p>
        </w:tc>
        <w:tc>
          <w:tcPr>
            <w:tcW w:w="709" w:type="dxa"/>
            <w:vAlign w:val="center"/>
          </w:tcPr>
          <w:p w14:paraId="5FACFDC3">
            <w:pPr>
              <w:ind w:firstLine="0" w:firstLineChars="0"/>
              <w:rPr>
                <w:color w:val="auto"/>
                <w:highlight w:val="none"/>
              </w:rPr>
            </w:pPr>
            <w:r>
              <w:rPr>
                <w:rFonts w:hint="eastAsia"/>
                <w:color w:val="auto"/>
                <w:highlight w:val="none"/>
              </w:rPr>
              <w:t>职务</w:t>
            </w:r>
          </w:p>
        </w:tc>
        <w:tc>
          <w:tcPr>
            <w:tcW w:w="1701" w:type="dxa"/>
            <w:vAlign w:val="center"/>
          </w:tcPr>
          <w:p w14:paraId="38397B1C">
            <w:pPr>
              <w:ind w:firstLine="0" w:firstLineChars="0"/>
              <w:rPr>
                <w:color w:val="auto"/>
                <w:highlight w:val="none"/>
              </w:rPr>
            </w:pPr>
            <w:r>
              <w:rPr>
                <w:rFonts w:hint="eastAsia"/>
                <w:color w:val="auto"/>
                <w:highlight w:val="none"/>
              </w:rPr>
              <w:t>专业技术资格（职称）或者职业资格或者执业资格证或者其他证书</w:t>
            </w:r>
          </w:p>
        </w:tc>
        <w:tc>
          <w:tcPr>
            <w:tcW w:w="1420" w:type="dxa"/>
            <w:vAlign w:val="center"/>
          </w:tcPr>
          <w:p w14:paraId="3CD27B7E">
            <w:pPr>
              <w:ind w:firstLine="0" w:firstLineChars="0"/>
              <w:rPr>
                <w:color w:val="auto"/>
                <w:highlight w:val="none"/>
              </w:rPr>
            </w:pPr>
            <w:r>
              <w:rPr>
                <w:rFonts w:hint="eastAsia"/>
                <w:color w:val="auto"/>
                <w:highlight w:val="none"/>
              </w:rPr>
              <w:t>证书编号</w:t>
            </w:r>
          </w:p>
        </w:tc>
        <w:tc>
          <w:tcPr>
            <w:tcW w:w="1698" w:type="dxa"/>
            <w:vAlign w:val="center"/>
          </w:tcPr>
          <w:p w14:paraId="5B5C6FE8">
            <w:pPr>
              <w:ind w:firstLine="0" w:firstLineChars="0"/>
              <w:rPr>
                <w:color w:val="auto"/>
                <w:highlight w:val="none"/>
              </w:rPr>
            </w:pPr>
            <w:r>
              <w:rPr>
                <w:rFonts w:hint="eastAsia"/>
                <w:color w:val="auto"/>
                <w:highlight w:val="none"/>
              </w:rPr>
              <w:t>参加本单位工作时间</w:t>
            </w:r>
          </w:p>
        </w:tc>
        <w:tc>
          <w:tcPr>
            <w:tcW w:w="1843" w:type="dxa"/>
            <w:vAlign w:val="center"/>
          </w:tcPr>
          <w:p w14:paraId="51B5160C">
            <w:pPr>
              <w:ind w:firstLine="0" w:firstLineChars="0"/>
              <w:rPr>
                <w:color w:val="auto"/>
                <w:highlight w:val="none"/>
              </w:rPr>
            </w:pPr>
            <w:r>
              <w:rPr>
                <w:rFonts w:hint="eastAsia"/>
                <w:color w:val="auto"/>
                <w:highlight w:val="none"/>
              </w:rPr>
              <w:t>劳动合同编号</w:t>
            </w:r>
          </w:p>
        </w:tc>
      </w:tr>
      <w:tr w14:paraId="1676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0AADF1">
            <w:pPr>
              <w:rPr>
                <w:color w:val="auto"/>
                <w:highlight w:val="none"/>
              </w:rPr>
            </w:pPr>
          </w:p>
        </w:tc>
        <w:tc>
          <w:tcPr>
            <w:tcW w:w="709" w:type="dxa"/>
            <w:vAlign w:val="center"/>
          </w:tcPr>
          <w:p w14:paraId="342BBA50">
            <w:pPr>
              <w:rPr>
                <w:color w:val="auto"/>
                <w:highlight w:val="none"/>
              </w:rPr>
            </w:pPr>
          </w:p>
        </w:tc>
        <w:tc>
          <w:tcPr>
            <w:tcW w:w="1701" w:type="dxa"/>
            <w:vAlign w:val="center"/>
          </w:tcPr>
          <w:p w14:paraId="4BBEB88D">
            <w:pPr>
              <w:rPr>
                <w:color w:val="auto"/>
                <w:highlight w:val="none"/>
              </w:rPr>
            </w:pPr>
          </w:p>
        </w:tc>
        <w:tc>
          <w:tcPr>
            <w:tcW w:w="1420" w:type="dxa"/>
            <w:vAlign w:val="center"/>
          </w:tcPr>
          <w:p w14:paraId="31D3B423">
            <w:pPr>
              <w:rPr>
                <w:color w:val="auto"/>
                <w:highlight w:val="none"/>
              </w:rPr>
            </w:pPr>
          </w:p>
        </w:tc>
        <w:tc>
          <w:tcPr>
            <w:tcW w:w="1698" w:type="dxa"/>
            <w:vAlign w:val="center"/>
          </w:tcPr>
          <w:p w14:paraId="19A0E30A">
            <w:pPr>
              <w:rPr>
                <w:color w:val="auto"/>
                <w:highlight w:val="none"/>
              </w:rPr>
            </w:pPr>
          </w:p>
        </w:tc>
        <w:tc>
          <w:tcPr>
            <w:tcW w:w="1843" w:type="dxa"/>
            <w:vAlign w:val="center"/>
          </w:tcPr>
          <w:p w14:paraId="7ADFFDA4">
            <w:pPr>
              <w:rPr>
                <w:color w:val="auto"/>
                <w:highlight w:val="none"/>
              </w:rPr>
            </w:pPr>
          </w:p>
        </w:tc>
      </w:tr>
      <w:tr w14:paraId="3D26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FFC77E">
            <w:pPr>
              <w:rPr>
                <w:color w:val="auto"/>
                <w:highlight w:val="none"/>
              </w:rPr>
            </w:pPr>
          </w:p>
        </w:tc>
        <w:tc>
          <w:tcPr>
            <w:tcW w:w="709" w:type="dxa"/>
            <w:vAlign w:val="center"/>
          </w:tcPr>
          <w:p w14:paraId="73EEC861">
            <w:pPr>
              <w:rPr>
                <w:color w:val="auto"/>
                <w:highlight w:val="none"/>
              </w:rPr>
            </w:pPr>
          </w:p>
        </w:tc>
        <w:tc>
          <w:tcPr>
            <w:tcW w:w="1701" w:type="dxa"/>
            <w:vAlign w:val="center"/>
          </w:tcPr>
          <w:p w14:paraId="0EA1A43F">
            <w:pPr>
              <w:rPr>
                <w:color w:val="auto"/>
                <w:highlight w:val="none"/>
              </w:rPr>
            </w:pPr>
          </w:p>
        </w:tc>
        <w:tc>
          <w:tcPr>
            <w:tcW w:w="1420" w:type="dxa"/>
            <w:vAlign w:val="center"/>
          </w:tcPr>
          <w:p w14:paraId="134EF5E1">
            <w:pPr>
              <w:rPr>
                <w:color w:val="auto"/>
                <w:highlight w:val="none"/>
              </w:rPr>
            </w:pPr>
          </w:p>
        </w:tc>
        <w:tc>
          <w:tcPr>
            <w:tcW w:w="1698" w:type="dxa"/>
            <w:vAlign w:val="center"/>
          </w:tcPr>
          <w:p w14:paraId="584BD288">
            <w:pPr>
              <w:rPr>
                <w:color w:val="auto"/>
                <w:highlight w:val="none"/>
              </w:rPr>
            </w:pPr>
          </w:p>
        </w:tc>
        <w:tc>
          <w:tcPr>
            <w:tcW w:w="1843" w:type="dxa"/>
            <w:vAlign w:val="center"/>
          </w:tcPr>
          <w:p w14:paraId="49DCC19A">
            <w:pPr>
              <w:rPr>
                <w:color w:val="auto"/>
                <w:highlight w:val="none"/>
              </w:rPr>
            </w:pPr>
          </w:p>
        </w:tc>
      </w:tr>
      <w:tr w14:paraId="177C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F70E09">
            <w:pPr>
              <w:rPr>
                <w:color w:val="auto"/>
                <w:highlight w:val="none"/>
              </w:rPr>
            </w:pPr>
          </w:p>
        </w:tc>
        <w:tc>
          <w:tcPr>
            <w:tcW w:w="709" w:type="dxa"/>
            <w:vAlign w:val="center"/>
          </w:tcPr>
          <w:p w14:paraId="25D040FA">
            <w:pPr>
              <w:rPr>
                <w:color w:val="auto"/>
                <w:highlight w:val="none"/>
              </w:rPr>
            </w:pPr>
          </w:p>
        </w:tc>
        <w:tc>
          <w:tcPr>
            <w:tcW w:w="1701" w:type="dxa"/>
            <w:vAlign w:val="center"/>
          </w:tcPr>
          <w:p w14:paraId="7DC5D90E">
            <w:pPr>
              <w:rPr>
                <w:color w:val="auto"/>
                <w:highlight w:val="none"/>
              </w:rPr>
            </w:pPr>
          </w:p>
        </w:tc>
        <w:tc>
          <w:tcPr>
            <w:tcW w:w="1420" w:type="dxa"/>
            <w:vAlign w:val="center"/>
          </w:tcPr>
          <w:p w14:paraId="14DBAE0D">
            <w:pPr>
              <w:rPr>
                <w:color w:val="auto"/>
                <w:highlight w:val="none"/>
              </w:rPr>
            </w:pPr>
          </w:p>
        </w:tc>
        <w:tc>
          <w:tcPr>
            <w:tcW w:w="1698" w:type="dxa"/>
            <w:vAlign w:val="center"/>
          </w:tcPr>
          <w:p w14:paraId="6CC88FB0">
            <w:pPr>
              <w:rPr>
                <w:color w:val="auto"/>
                <w:highlight w:val="none"/>
              </w:rPr>
            </w:pPr>
          </w:p>
        </w:tc>
        <w:tc>
          <w:tcPr>
            <w:tcW w:w="1843" w:type="dxa"/>
            <w:vAlign w:val="center"/>
          </w:tcPr>
          <w:p w14:paraId="5C0001AE">
            <w:pPr>
              <w:rPr>
                <w:color w:val="auto"/>
                <w:highlight w:val="none"/>
              </w:rPr>
            </w:pPr>
          </w:p>
        </w:tc>
      </w:tr>
    </w:tbl>
    <w:p w14:paraId="27B30BAE">
      <w:pPr>
        <w:rPr>
          <w:color w:val="auto"/>
          <w:highlight w:val="none"/>
        </w:rPr>
      </w:pPr>
    </w:p>
    <w:p w14:paraId="1E443E67">
      <w:pPr>
        <w:rPr>
          <w:color w:val="auto"/>
          <w:highlight w:val="none"/>
        </w:rPr>
      </w:pPr>
      <w:r>
        <w:rPr>
          <w:rFonts w:hint="eastAsia"/>
          <w:color w:val="auto"/>
          <w:highlight w:val="none"/>
        </w:rPr>
        <w:t>注：</w:t>
      </w:r>
    </w:p>
    <w:p w14:paraId="0B3B82F1">
      <w:pPr>
        <w:rPr>
          <w:color w:val="auto"/>
          <w:highlight w:val="none"/>
        </w:rPr>
      </w:pPr>
      <w:r>
        <w:rPr>
          <w:rFonts w:hint="eastAsia"/>
          <w:color w:val="auto"/>
          <w:highlight w:val="none"/>
        </w:rPr>
        <w:t>1</w:t>
      </w:r>
      <w:r>
        <w:rPr>
          <w:color w:val="auto"/>
          <w:highlight w:val="none"/>
        </w:rPr>
        <w:t>.</w:t>
      </w:r>
      <w:r>
        <w:rPr>
          <w:rFonts w:hint="eastAsia"/>
          <w:color w:val="auto"/>
          <w:highlight w:val="none"/>
        </w:rPr>
        <w:t>在填写时，如本表格不适合投标单位的实际情况，可根据本表格式自行制表填写。</w:t>
      </w:r>
    </w:p>
    <w:p w14:paraId="31541B06">
      <w:pPr>
        <w:rPr>
          <w:color w:val="auto"/>
          <w:highlight w:val="none"/>
        </w:rPr>
      </w:pPr>
      <w:r>
        <w:rPr>
          <w:color w:val="auto"/>
          <w:highlight w:val="none"/>
        </w:rPr>
        <w:t>2.</w:t>
      </w:r>
      <w:r>
        <w:rPr>
          <w:rFonts w:hint="eastAsia"/>
          <w:color w:val="auto"/>
          <w:highlight w:val="none"/>
        </w:rPr>
        <w:t>投标人应当附本表所列证书的复印件并加盖投标人公章。</w:t>
      </w:r>
    </w:p>
    <w:p w14:paraId="669CE2D6">
      <w:pPr>
        <w:rPr>
          <w:color w:val="auto"/>
          <w:highlight w:val="none"/>
        </w:rPr>
      </w:pPr>
    </w:p>
    <w:p w14:paraId="7515D08D">
      <w:pPr>
        <w:rPr>
          <w:color w:val="auto"/>
          <w:highlight w:val="none"/>
        </w:rPr>
      </w:pPr>
    </w:p>
    <w:p w14:paraId="751AE872">
      <w:pPr>
        <w:rPr>
          <w:color w:val="auto"/>
          <w:spacing w:val="20"/>
          <w:highlight w:val="none"/>
          <w:u w:val="single"/>
        </w:rPr>
      </w:pPr>
      <w:r>
        <w:rPr>
          <w:rFonts w:hint="eastAsia"/>
          <w:color w:val="auto"/>
          <w:highlight w:val="none"/>
        </w:rPr>
        <w:t>法定代表人（或负责人）或者委托代理人（签字或电子签名）</w:t>
      </w:r>
      <w:r>
        <w:rPr>
          <w:rFonts w:hint="eastAsia"/>
          <w:color w:val="auto"/>
          <w:spacing w:val="20"/>
          <w:highlight w:val="none"/>
        </w:rPr>
        <w:t>：</w:t>
      </w:r>
      <w:r>
        <w:rPr>
          <w:rFonts w:hint="eastAsia"/>
          <w:color w:val="auto"/>
          <w:spacing w:val="20"/>
          <w:highlight w:val="none"/>
          <w:u w:val="single"/>
        </w:rPr>
        <w:t xml:space="preserve">        </w:t>
      </w:r>
    </w:p>
    <w:p w14:paraId="2554C917">
      <w:pPr>
        <w:rPr>
          <w:color w:val="auto"/>
          <w:highlight w:val="none"/>
        </w:rPr>
      </w:pPr>
      <w:r>
        <w:rPr>
          <w:rFonts w:hint="eastAsia"/>
          <w:color w:val="auto"/>
          <w:highlight w:val="none"/>
        </w:rPr>
        <w:t>投标人名称（电子签章）：</w:t>
      </w:r>
      <w:r>
        <w:rPr>
          <w:rFonts w:hint="eastAsia"/>
          <w:color w:val="auto"/>
          <w:highlight w:val="none"/>
          <w:u w:val="single"/>
        </w:rPr>
        <w:t xml:space="preserve">            </w:t>
      </w:r>
      <w:r>
        <w:rPr>
          <w:rFonts w:hint="eastAsia"/>
          <w:color w:val="auto"/>
          <w:highlight w:val="none"/>
        </w:rPr>
        <w:t xml:space="preserve">              </w:t>
      </w:r>
    </w:p>
    <w:p w14:paraId="1E0F15CD">
      <w:pPr>
        <w:rPr>
          <w:color w:val="auto"/>
          <w:highlight w:val="none"/>
        </w:rPr>
      </w:pPr>
      <w:r>
        <w:rPr>
          <w:rFonts w:hint="eastAsia"/>
          <w:color w:val="auto"/>
          <w:highlight w:val="none"/>
        </w:rPr>
        <w:t xml:space="preserve">日期：    年   月   日         </w:t>
      </w:r>
    </w:p>
    <w:p w14:paraId="69C8A277">
      <w:pPr>
        <w:rPr>
          <w:rFonts w:hint="eastAsia"/>
          <w:color w:val="auto"/>
          <w:highlight w:val="none"/>
        </w:rPr>
      </w:pPr>
    </w:p>
    <w:p w14:paraId="1CCC6E06">
      <w:pPr>
        <w:rPr>
          <w:rFonts w:hint="eastAsia"/>
          <w:color w:val="auto"/>
          <w:highlight w:val="none"/>
        </w:rPr>
      </w:pPr>
    </w:p>
    <w:p w14:paraId="5047931F">
      <w:pPr>
        <w:rPr>
          <w:rFonts w:hint="eastAsia"/>
          <w:color w:val="auto"/>
          <w:highlight w:val="none"/>
        </w:rPr>
      </w:pPr>
    </w:p>
    <w:p w14:paraId="5C1FAC76">
      <w:pPr>
        <w:rPr>
          <w:rFonts w:hint="eastAsia"/>
          <w:color w:val="auto"/>
          <w:highlight w:val="none"/>
        </w:rPr>
      </w:pPr>
      <w:r>
        <w:rPr>
          <w:rFonts w:hint="eastAsia"/>
          <w:color w:val="auto"/>
          <w:highlight w:val="none"/>
        </w:rPr>
        <w:br w:type="page"/>
      </w:r>
    </w:p>
    <w:p w14:paraId="76AAA557">
      <w:pPr>
        <w:rPr>
          <w:color w:val="auto"/>
          <w:highlight w:val="none"/>
        </w:rPr>
      </w:pPr>
      <w:r>
        <w:rPr>
          <w:rFonts w:hint="eastAsia"/>
          <w:color w:val="auto"/>
          <w:highlight w:val="none"/>
        </w:rPr>
        <w:t>6.产品出厂标准、质量检测报告【其中有精度要求的仪器设备类政府采购项目，应当要求投标人提供精度数据（国家认可的有资质的第三方检测机构出具的检测报告复印件或者由采购人在投标前组织的实测获得）】（视项目情况设置是否必须提供）</w:t>
      </w:r>
    </w:p>
    <w:p w14:paraId="185470D2">
      <w:pPr>
        <w:rPr>
          <w:color w:val="auto"/>
          <w:highlight w:val="none"/>
        </w:rPr>
      </w:pPr>
    </w:p>
    <w:p w14:paraId="43DAA088">
      <w:pPr>
        <w:rPr>
          <w:color w:val="auto"/>
          <w:highlight w:val="none"/>
        </w:rPr>
      </w:pPr>
    </w:p>
    <w:p w14:paraId="72FB1A7D">
      <w:pPr>
        <w:rPr>
          <w:rFonts w:hint="eastAsia" w:eastAsia="宋体"/>
          <w:color w:val="auto"/>
          <w:highlight w:val="none"/>
          <w:lang w:eastAsia="zh-CN"/>
        </w:rPr>
      </w:pPr>
      <w:r>
        <w:rPr>
          <w:color w:val="auto"/>
          <w:highlight w:val="none"/>
        </w:rPr>
        <w:br w:type="page"/>
      </w:r>
      <w:r>
        <w:rPr>
          <w:rFonts w:hint="eastAsia"/>
          <w:color w:val="auto"/>
          <w:highlight w:val="none"/>
          <w:lang w:val="en-US" w:eastAsia="zh-CN"/>
        </w:rPr>
        <w:t>7</w:t>
      </w:r>
      <w:r>
        <w:rPr>
          <w:rFonts w:hint="eastAsia"/>
          <w:color w:val="auto"/>
          <w:highlight w:val="none"/>
        </w:rPr>
        <w:t>. 优惠条件：投标人承诺给予招标人的各种优惠条件，包括售后服务、备品备件、专用耗材等方面的优惠；投标人不得给予赠品或者与采购无关的其他商品、服务</w:t>
      </w:r>
      <w:r>
        <w:rPr>
          <w:rFonts w:hint="eastAsia"/>
          <w:color w:val="auto"/>
          <w:highlight w:val="none"/>
          <w:lang w:eastAsia="zh-CN"/>
        </w:rPr>
        <w:t>；</w:t>
      </w:r>
    </w:p>
    <w:p w14:paraId="5018D850">
      <w:pPr>
        <w:rPr>
          <w:color w:val="auto"/>
          <w:highlight w:val="none"/>
        </w:rPr>
      </w:pPr>
    </w:p>
    <w:p w14:paraId="3815EEEF">
      <w:pPr>
        <w:ind w:firstLine="560"/>
        <w:jc w:val="center"/>
        <w:rPr>
          <w:color w:val="auto"/>
          <w:sz w:val="28"/>
          <w:szCs w:val="28"/>
          <w:highlight w:val="none"/>
        </w:rPr>
      </w:pPr>
      <w:r>
        <w:rPr>
          <w:rFonts w:hint="eastAsia"/>
          <w:color w:val="auto"/>
          <w:sz w:val="28"/>
          <w:szCs w:val="28"/>
          <w:highlight w:val="none"/>
        </w:rPr>
        <w:t>选配件、专用耗材、售后服务优惠表</w:t>
      </w:r>
    </w:p>
    <w:p w14:paraId="0FFFC4B0">
      <w:pPr>
        <w:rPr>
          <w:color w:val="auto"/>
          <w:kern w:val="0"/>
          <w:highlight w:val="none"/>
        </w:rPr>
      </w:pPr>
      <w:r>
        <w:rPr>
          <w:rFonts w:hint="eastAsia"/>
          <w:color w:val="auto"/>
          <w:kern w:val="0"/>
          <w:highlight w:val="none"/>
        </w:rPr>
        <w:t>所投分标：</w:t>
      </w:r>
      <w:r>
        <w:rPr>
          <w:rFonts w:hint="eastAsia"/>
          <w:color w:val="auto"/>
          <w:kern w:val="0"/>
          <w:highlight w:val="none"/>
          <w:u w:val="single"/>
        </w:rPr>
        <w:t xml:space="preserve">     </w:t>
      </w:r>
      <w:r>
        <w:rPr>
          <w:rFonts w:hint="eastAsia"/>
          <w:color w:val="auto"/>
          <w:kern w:val="0"/>
          <w:highlight w:val="none"/>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2EE9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6C9746">
            <w:pPr>
              <w:ind w:firstLine="0" w:firstLineChars="0"/>
              <w:rPr>
                <w:color w:val="auto"/>
                <w:highlight w:val="none"/>
              </w:rPr>
            </w:pPr>
            <w:r>
              <w:rPr>
                <w:rFonts w:hint="eastAsia"/>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3A70C3C7">
            <w:pPr>
              <w:ind w:firstLine="0" w:firstLineChars="0"/>
              <w:rPr>
                <w:color w:val="auto"/>
                <w:highlight w:val="none"/>
              </w:rPr>
            </w:pPr>
            <w:r>
              <w:rPr>
                <w:rFonts w:hint="eastAsia"/>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004AB2A6">
            <w:pPr>
              <w:ind w:firstLine="0" w:firstLineChars="0"/>
              <w:rPr>
                <w:color w:val="auto"/>
                <w:highlight w:val="none"/>
              </w:rPr>
            </w:pPr>
            <w:r>
              <w:rPr>
                <w:rFonts w:hint="eastAsia"/>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D66DFE9">
            <w:pPr>
              <w:ind w:firstLine="0" w:firstLineChars="0"/>
              <w:rPr>
                <w:color w:val="auto"/>
                <w:highlight w:val="none"/>
              </w:rPr>
            </w:pPr>
            <w:r>
              <w:rPr>
                <w:rFonts w:hint="eastAsia"/>
                <w:color w:val="auto"/>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7FC151FC">
            <w:pPr>
              <w:ind w:firstLine="0" w:firstLineChars="0"/>
              <w:rPr>
                <w:color w:val="auto"/>
                <w:highlight w:val="none"/>
              </w:rPr>
            </w:pPr>
            <w:r>
              <w:rPr>
                <w:rFonts w:hint="eastAsia"/>
                <w:color w:val="auto"/>
                <w:highlight w:val="none"/>
              </w:rPr>
              <w:t>比市场价优惠率</w:t>
            </w:r>
          </w:p>
        </w:tc>
      </w:tr>
      <w:tr w14:paraId="74D2D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6268532">
            <w:pPr>
              <w:rPr>
                <w:color w:val="auto"/>
                <w:highlight w:val="none"/>
              </w:rPr>
            </w:pPr>
            <w:r>
              <w:rPr>
                <w:rFonts w:hint="eastAsia"/>
                <w:color w:val="auto"/>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144FFE69">
            <w:pPr>
              <w:rPr>
                <w:color w:val="auto"/>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594086A4">
            <w:pPr>
              <w:rPr>
                <w:color w:val="auto"/>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D528C6C">
            <w:pPr>
              <w:rPr>
                <w:color w:val="auto"/>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4F4A150A">
            <w:pPr>
              <w:rPr>
                <w:color w:val="auto"/>
                <w:highlight w:val="none"/>
              </w:rPr>
            </w:pPr>
            <w:r>
              <w:rPr>
                <w:rFonts w:hint="eastAsia"/>
                <w:color w:val="auto"/>
                <w:highlight w:val="none"/>
              </w:rPr>
              <w:t xml:space="preserve">    %</w:t>
            </w:r>
          </w:p>
        </w:tc>
      </w:tr>
      <w:tr w14:paraId="3358B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B8B517C">
            <w:pPr>
              <w:rPr>
                <w:color w:val="auto"/>
                <w:highlight w:val="none"/>
              </w:rPr>
            </w:pPr>
            <w:r>
              <w:rPr>
                <w:rFonts w:hint="eastAsia"/>
                <w:color w:val="auto"/>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4B183013">
            <w:pPr>
              <w:rPr>
                <w:color w:val="auto"/>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512DDDFD">
            <w:pPr>
              <w:rPr>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CF0C0F9">
            <w:pPr>
              <w:rPr>
                <w:color w:val="auto"/>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26BCA795">
            <w:pPr>
              <w:rPr>
                <w:color w:val="auto"/>
                <w:highlight w:val="none"/>
              </w:rPr>
            </w:pPr>
            <w:r>
              <w:rPr>
                <w:rFonts w:hint="eastAsia"/>
                <w:color w:val="auto"/>
                <w:highlight w:val="none"/>
              </w:rPr>
              <w:t xml:space="preserve">    %</w:t>
            </w:r>
          </w:p>
        </w:tc>
      </w:tr>
      <w:tr w14:paraId="5680E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EE72A02">
            <w:pPr>
              <w:rPr>
                <w:color w:val="auto"/>
                <w:highlight w:val="none"/>
              </w:rPr>
            </w:pPr>
            <w:r>
              <w:rPr>
                <w:rFonts w:hint="eastAsia"/>
                <w:color w:val="auto"/>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116031BA">
            <w:pPr>
              <w:rPr>
                <w:color w:val="auto"/>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4B3E0C31">
            <w:pPr>
              <w:rPr>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EEFC4B8">
            <w:pPr>
              <w:rPr>
                <w:color w:val="auto"/>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086B338E">
            <w:pPr>
              <w:rPr>
                <w:color w:val="auto"/>
                <w:highlight w:val="none"/>
              </w:rPr>
            </w:pPr>
            <w:r>
              <w:rPr>
                <w:rFonts w:hint="eastAsia"/>
                <w:color w:val="auto"/>
                <w:highlight w:val="none"/>
              </w:rPr>
              <w:t xml:space="preserve">    %</w:t>
            </w:r>
          </w:p>
        </w:tc>
      </w:tr>
    </w:tbl>
    <w:p w14:paraId="6C179AA1">
      <w:pPr>
        <w:rPr>
          <w:color w:val="auto"/>
          <w:highlight w:val="none"/>
        </w:rPr>
      </w:pPr>
    </w:p>
    <w:p w14:paraId="3D89E87D">
      <w:pPr>
        <w:rPr>
          <w:color w:val="auto"/>
          <w:spacing w:val="20"/>
          <w:highlight w:val="none"/>
          <w:u w:val="single"/>
        </w:rPr>
      </w:pPr>
      <w:r>
        <w:rPr>
          <w:rFonts w:hint="eastAsia"/>
          <w:color w:val="auto"/>
          <w:highlight w:val="none"/>
        </w:rPr>
        <w:t>法定代表人（或负责人）或者委托代理人（签字或电子签名）</w:t>
      </w:r>
      <w:r>
        <w:rPr>
          <w:rFonts w:hint="eastAsia"/>
          <w:color w:val="auto"/>
          <w:spacing w:val="20"/>
          <w:highlight w:val="none"/>
        </w:rPr>
        <w:t>：</w:t>
      </w:r>
      <w:r>
        <w:rPr>
          <w:rFonts w:hint="eastAsia"/>
          <w:color w:val="auto"/>
          <w:spacing w:val="20"/>
          <w:highlight w:val="none"/>
          <w:u w:val="single"/>
        </w:rPr>
        <w:t xml:space="preserve">        </w:t>
      </w:r>
    </w:p>
    <w:p w14:paraId="4A80434E">
      <w:pPr>
        <w:rPr>
          <w:color w:val="auto"/>
          <w:highlight w:val="none"/>
        </w:rPr>
      </w:pPr>
      <w:r>
        <w:rPr>
          <w:rFonts w:hint="eastAsia"/>
          <w:color w:val="auto"/>
          <w:highlight w:val="none"/>
        </w:rPr>
        <w:t>投标人名称（电子签章）：</w:t>
      </w:r>
      <w:r>
        <w:rPr>
          <w:rFonts w:hint="eastAsia"/>
          <w:color w:val="auto"/>
          <w:highlight w:val="none"/>
          <w:u w:val="single"/>
        </w:rPr>
        <w:t xml:space="preserve">            </w:t>
      </w:r>
      <w:r>
        <w:rPr>
          <w:rFonts w:hint="eastAsia"/>
          <w:color w:val="auto"/>
          <w:highlight w:val="none"/>
        </w:rPr>
        <w:t xml:space="preserve">              </w:t>
      </w:r>
    </w:p>
    <w:p w14:paraId="1A45A14F">
      <w:pPr>
        <w:rPr>
          <w:color w:val="auto"/>
          <w:highlight w:val="none"/>
        </w:rPr>
      </w:pPr>
      <w:r>
        <w:rPr>
          <w:rFonts w:hint="eastAsia"/>
          <w:color w:val="auto"/>
          <w:highlight w:val="none"/>
        </w:rPr>
        <w:t xml:space="preserve">日期：    年   月   日            </w:t>
      </w:r>
    </w:p>
    <w:p w14:paraId="740E3F21">
      <w:pPr>
        <w:rPr>
          <w:color w:val="auto"/>
          <w:highlight w:val="none"/>
        </w:rPr>
      </w:pPr>
    </w:p>
    <w:p w14:paraId="6B88C728">
      <w:pPr>
        <w:ind w:firstLine="480"/>
        <w:rPr>
          <w:rFonts w:hint="eastAsia"/>
          <w:bCs/>
          <w:color w:val="auto"/>
          <w:sz w:val="21"/>
          <w:szCs w:val="21"/>
          <w:highlight w:val="none"/>
        </w:rPr>
      </w:pPr>
    </w:p>
    <w:p w14:paraId="6E0AA3E3">
      <w:pPr>
        <w:ind w:firstLine="480"/>
        <w:rPr>
          <w:rFonts w:hint="eastAsia"/>
          <w:bCs/>
          <w:color w:val="auto"/>
          <w:sz w:val="21"/>
          <w:szCs w:val="21"/>
          <w:highlight w:val="none"/>
        </w:rPr>
      </w:pPr>
    </w:p>
    <w:p w14:paraId="50AD3BCE">
      <w:pPr>
        <w:ind w:firstLine="480"/>
        <w:rPr>
          <w:rFonts w:hint="eastAsia"/>
          <w:bCs/>
          <w:color w:val="auto"/>
          <w:sz w:val="21"/>
          <w:szCs w:val="21"/>
          <w:highlight w:val="none"/>
        </w:rPr>
      </w:pPr>
      <w:r>
        <w:rPr>
          <w:rFonts w:hint="eastAsia"/>
          <w:bCs/>
          <w:color w:val="auto"/>
          <w:sz w:val="21"/>
          <w:szCs w:val="21"/>
          <w:highlight w:val="none"/>
        </w:rPr>
        <w:t>8.投标人对本项目的合理化建议和改进措施（格式自拟）；</w:t>
      </w:r>
    </w:p>
    <w:p w14:paraId="5A087DA2">
      <w:pPr>
        <w:ind w:firstLine="480"/>
        <w:rPr>
          <w:rFonts w:hint="eastAsia"/>
          <w:bCs/>
          <w:color w:val="auto"/>
          <w:sz w:val="21"/>
          <w:szCs w:val="21"/>
          <w:highlight w:val="none"/>
        </w:rPr>
      </w:pPr>
    </w:p>
    <w:p w14:paraId="72C98E7F">
      <w:pPr>
        <w:ind w:firstLine="480"/>
        <w:rPr>
          <w:rFonts w:hint="eastAsia"/>
          <w:bCs/>
          <w:color w:val="auto"/>
          <w:sz w:val="21"/>
          <w:szCs w:val="21"/>
          <w:highlight w:val="none"/>
        </w:rPr>
      </w:pPr>
    </w:p>
    <w:p w14:paraId="6C7EA2C9">
      <w:pPr>
        <w:ind w:firstLine="480"/>
        <w:rPr>
          <w:color w:val="auto"/>
          <w:highlight w:val="none"/>
        </w:rPr>
      </w:pPr>
      <w:r>
        <w:rPr>
          <w:rFonts w:hint="eastAsia"/>
          <w:bCs/>
          <w:color w:val="auto"/>
          <w:sz w:val="21"/>
          <w:szCs w:val="21"/>
          <w:highlight w:val="none"/>
        </w:rPr>
        <w:t>9.除招标文件规定必须提供以外，投标人需要说明的其他</w:t>
      </w:r>
      <w:r>
        <w:rPr>
          <w:rFonts w:hint="eastAsia"/>
          <w:bCs/>
          <w:color w:val="auto"/>
          <w:sz w:val="21"/>
          <w:szCs w:val="21"/>
          <w:highlight w:val="none"/>
          <w:lang w:eastAsia="zh-CN"/>
        </w:rPr>
        <w:t>技术</w:t>
      </w:r>
      <w:r>
        <w:rPr>
          <w:rFonts w:hint="eastAsia"/>
          <w:bCs/>
          <w:color w:val="auto"/>
          <w:sz w:val="21"/>
          <w:szCs w:val="21"/>
          <w:highlight w:val="none"/>
        </w:rPr>
        <w:t>文件和说明（格式自拟）。</w:t>
      </w:r>
      <w:r>
        <w:rPr>
          <w:bCs/>
          <w:color w:val="auto"/>
          <w:sz w:val="24"/>
          <w:szCs w:val="24"/>
          <w:highlight w:val="none"/>
        </w:rPr>
        <w:br w:type="page"/>
      </w:r>
      <w:r>
        <w:rPr>
          <w:rFonts w:hint="eastAsia"/>
          <w:b/>
          <w:bCs/>
          <w:color w:val="auto"/>
          <w:highlight w:val="none"/>
        </w:rPr>
        <w:t>五、其他文书、文件格式</w:t>
      </w:r>
    </w:p>
    <w:p w14:paraId="2B04D237">
      <w:pPr>
        <w:rPr>
          <w:color w:val="auto"/>
          <w:highlight w:val="none"/>
        </w:rPr>
      </w:pPr>
      <w:r>
        <w:rPr>
          <w:rFonts w:hint="eastAsia"/>
          <w:color w:val="auto"/>
          <w:highlight w:val="none"/>
        </w:rPr>
        <w:t>1.中小企业声明函格式</w:t>
      </w:r>
    </w:p>
    <w:p w14:paraId="2EA6D717">
      <w:pPr>
        <w:rPr>
          <w:color w:val="auto"/>
          <w:highlight w:val="none"/>
        </w:rPr>
      </w:pPr>
    </w:p>
    <w:p w14:paraId="6D29E890">
      <w:pPr>
        <w:ind w:firstLine="560"/>
        <w:jc w:val="center"/>
        <w:rPr>
          <w:color w:val="auto"/>
          <w:sz w:val="28"/>
          <w:szCs w:val="28"/>
          <w:highlight w:val="none"/>
        </w:rPr>
      </w:pPr>
      <w:r>
        <w:rPr>
          <w:rFonts w:hint="eastAsia"/>
          <w:color w:val="auto"/>
          <w:sz w:val="28"/>
          <w:szCs w:val="28"/>
          <w:highlight w:val="none"/>
        </w:rPr>
        <w:t>中小企业声明函（货物）</w:t>
      </w:r>
    </w:p>
    <w:p w14:paraId="7830872D">
      <w:pPr>
        <w:rPr>
          <w:color w:val="auto"/>
          <w:highlight w:val="none"/>
        </w:rPr>
      </w:pPr>
    </w:p>
    <w:p w14:paraId="69476F5C">
      <w:pPr>
        <w:rPr>
          <w:color w:val="auto"/>
          <w:kern w:val="24"/>
          <w:highlight w:val="none"/>
        </w:rPr>
      </w:pPr>
      <w:r>
        <w:rPr>
          <w:color w:val="auto"/>
          <w:kern w:val="24"/>
          <w:highlight w:val="none"/>
        </w:rPr>
        <w:t>本公司（联合体）郑重声明，根据《政府采购促进中小企业发展管理办法》（财库﹝2020﹞46号）的规定，本公司（联合体）参加</w:t>
      </w:r>
      <w:r>
        <w:rPr>
          <w:color w:val="auto"/>
          <w:kern w:val="24"/>
          <w:highlight w:val="none"/>
          <w:u w:val="single"/>
        </w:rPr>
        <w:t>（单位名称）</w:t>
      </w:r>
      <w:r>
        <w:rPr>
          <w:color w:val="auto"/>
          <w:kern w:val="24"/>
          <w:highlight w:val="none"/>
        </w:rPr>
        <w:t>的</w:t>
      </w:r>
      <w:r>
        <w:rPr>
          <w:color w:val="auto"/>
          <w:kern w:val="24"/>
          <w:highlight w:val="none"/>
          <w:u w:val="single"/>
        </w:rPr>
        <w:t>（项目名称）</w:t>
      </w:r>
      <w:r>
        <w:rPr>
          <w:color w:val="auto"/>
          <w:kern w:val="24"/>
          <w:highlight w:val="none"/>
        </w:rPr>
        <w:t>采购活动，提供的货物全部由符合政策要求的中小企业制造。相关企业（含联合体中的中小企业、签订分包意向协议的中小企业）的具体情况如下：</w:t>
      </w:r>
    </w:p>
    <w:p w14:paraId="0961C4B5">
      <w:pPr>
        <w:rPr>
          <w:color w:val="auto"/>
          <w:kern w:val="24"/>
          <w:highlight w:val="none"/>
        </w:rPr>
      </w:pPr>
      <w:r>
        <w:rPr>
          <w:color w:val="auto"/>
          <w:kern w:val="24"/>
          <w:highlight w:val="none"/>
        </w:rPr>
        <w:t>1.（标的名称），属于（采购文件中明确的所属行业）行业；制造商为（企业名称），从业人员</w:t>
      </w:r>
      <w:r>
        <w:rPr>
          <w:rFonts w:hint="eastAsia"/>
          <w:color w:val="auto"/>
          <w:kern w:val="24"/>
          <w:highlight w:val="none"/>
          <w:u w:val="single"/>
        </w:rPr>
        <w:t xml:space="preserve"> </w:t>
      </w:r>
      <w:r>
        <w:rPr>
          <w:color w:val="auto"/>
          <w:kern w:val="24"/>
          <w:highlight w:val="none"/>
          <w:u w:val="single"/>
        </w:rPr>
        <w:t xml:space="preserve">     </w:t>
      </w:r>
      <w:r>
        <w:rPr>
          <w:color w:val="auto"/>
          <w:kern w:val="24"/>
          <w:highlight w:val="none"/>
        </w:rPr>
        <w:t>人，营业收入为</w:t>
      </w:r>
      <w:r>
        <w:rPr>
          <w:rFonts w:hint="eastAsia"/>
          <w:color w:val="auto"/>
          <w:kern w:val="24"/>
          <w:highlight w:val="none"/>
          <w:u w:val="single"/>
        </w:rPr>
        <w:t xml:space="preserve"> </w:t>
      </w:r>
      <w:r>
        <w:rPr>
          <w:color w:val="auto"/>
          <w:kern w:val="24"/>
          <w:highlight w:val="none"/>
          <w:u w:val="single"/>
        </w:rPr>
        <w:t xml:space="preserve">     </w:t>
      </w:r>
      <w:r>
        <w:rPr>
          <w:color w:val="auto"/>
          <w:kern w:val="24"/>
          <w:highlight w:val="none"/>
        </w:rPr>
        <w:t>万元，资产总额为</w:t>
      </w:r>
      <w:r>
        <w:rPr>
          <w:rFonts w:hint="eastAsia"/>
          <w:color w:val="auto"/>
          <w:kern w:val="24"/>
          <w:highlight w:val="none"/>
          <w:u w:val="single"/>
        </w:rPr>
        <w:t xml:space="preserve"> </w:t>
      </w:r>
      <w:r>
        <w:rPr>
          <w:color w:val="auto"/>
          <w:kern w:val="24"/>
          <w:highlight w:val="none"/>
          <w:u w:val="single"/>
        </w:rPr>
        <w:t xml:space="preserve">     </w:t>
      </w:r>
      <w:r>
        <w:rPr>
          <w:color w:val="auto"/>
          <w:kern w:val="24"/>
          <w:highlight w:val="none"/>
        </w:rPr>
        <w:t>万元，属于</w:t>
      </w:r>
      <w:r>
        <w:rPr>
          <w:rFonts w:hint="eastAsia"/>
          <w:color w:val="auto"/>
          <w:kern w:val="24"/>
          <w:highlight w:val="none"/>
          <w:u w:val="single"/>
        </w:rPr>
        <w:t xml:space="preserve"> </w:t>
      </w:r>
      <w:r>
        <w:rPr>
          <w:color w:val="auto"/>
          <w:kern w:val="24"/>
          <w:highlight w:val="none"/>
          <w:u w:val="single"/>
        </w:rPr>
        <w:t xml:space="preserve">     </w:t>
      </w:r>
      <w:r>
        <w:rPr>
          <w:color w:val="auto"/>
          <w:kern w:val="24"/>
          <w:highlight w:val="none"/>
        </w:rPr>
        <w:t>（中型企业、小型企业、微型企业）；</w:t>
      </w:r>
    </w:p>
    <w:p w14:paraId="45B15BA2">
      <w:pPr>
        <w:rPr>
          <w:color w:val="auto"/>
          <w:kern w:val="24"/>
          <w:highlight w:val="none"/>
        </w:rPr>
      </w:pPr>
      <w:r>
        <w:rPr>
          <w:color w:val="auto"/>
          <w:kern w:val="24"/>
          <w:highlight w:val="none"/>
        </w:rPr>
        <w:t>2.（标的名称），属于（采购文件中明确的所属行业）行业；制造商为（企业名称），从业人员</w:t>
      </w:r>
      <w:r>
        <w:rPr>
          <w:rFonts w:hint="eastAsia"/>
          <w:color w:val="auto"/>
          <w:kern w:val="24"/>
          <w:highlight w:val="none"/>
          <w:u w:val="single"/>
        </w:rPr>
        <w:t xml:space="preserve"> </w:t>
      </w:r>
      <w:r>
        <w:rPr>
          <w:color w:val="auto"/>
          <w:kern w:val="24"/>
          <w:highlight w:val="none"/>
          <w:u w:val="single"/>
        </w:rPr>
        <w:t xml:space="preserve">     </w:t>
      </w:r>
      <w:r>
        <w:rPr>
          <w:color w:val="auto"/>
          <w:kern w:val="24"/>
          <w:highlight w:val="none"/>
        </w:rPr>
        <w:t>人，营业收入为</w:t>
      </w:r>
      <w:r>
        <w:rPr>
          <w:rFonts w:hint="eastAsia"/>
          <w:color w:val="auto"/>
          <w:kern w:val="24"/>
          <w:highlight w:val="none"/>
          <w:u w:val="single"/>
        </w:rPr>
        <w:t xml:space="preserve"> </w:t>
      </w:r>
      <w:r>
        <w:rPr>
          <w:color w:val="auto"/>
          <w:kern w:val="24"/>
          <w:highlight w:val="none"/>
          <w:u w:val="single"/>
        </w:rPr>
        <w:t xml:space="preserve">     </w:t>
      </w:r>
      <w:r>
        <w:rPr>
          <w:color w:val="auto"/>
          <w:kern w:val="24"/>
          <w:highlight w:val="none"/>
        </w:rPr>
        <w:t>万元，资产总额为</w:t>
      </w:r>
      <w:r>
        <w:rPr>
          <w:rFonts w:hint="eastAsia"/>
          <w:color w:val="auto"/>
          <w:kern w:val="24"/>
          <w:highlight w:val="none"/>
          <w:u w:val="single"/>
        </w:rPr>
        <w:t xml:space="preserve"> </w:t>
      </w:r>
      <w:r>
        <w:rPr>
          <w:color w:val="auto"/>
          <w:kern w:val="24"/>
          <w:highlight w:val="none"/>
          <w:u w:val="single"/>
        </w:rPr>
        <w:t xml:space="preserve">     </w:t>
      </w:r>
      <w:r>
        <w:rPr>
          <w:color w:val="auto"/>
          <w:kern w:val="24"/>
          <w:highlight w:val="none"/>
        </w:rPr>
        <w:t>万元，属于</w:t>
      </w:r>
      <w:r>
        <w:rPr>
          <w:rFonts w:hint="eastAsia"/>
          <w:color w:val="auto"/>
          <w:kern w:val="24"/>
          <w:highlight w:val="none"/>
          <w:u w:val="single"/>
        </w:rPr>
        <w:t xml:space="preserve"> </w:t>
      </w:r>
      <w:r>
        <w:rPr>
          <w:color w:val="auto"/>
          <w:kern w:val="24"/>
          <w:highlight w:val="none"/>
          <w:u w:val="single"/>
        </w:rPr>
        <w:t xml:space="preserve">     </w:t>
      </w:r>
      <w:r>
        <w:rPr>
          <w:color w:val="auto"/>
          <w:kern w:val="24"/>
          <w:highlight w:val="none"/>
        </w:rPr>
        <w:t>（中型企业、小型企业、微型企业）；</w:t>
      </w:r>
    </w:p>
    <w:p w14:paraId="58571B4D">
      <w:pPr>
        <w:rPr>
          <w:color w:val="auto"/>
          <w:kern w:val="24"/>
          <w:highlight w:val="none"/>
        </w:rPr>
      </w:pPr>
      <w:r>
        <w:rPr>
          <w:color w:val="auto"/>
          <w:kern w:val="24"/>
          <w:highlight w:val="none"/>
        </w:rPr>
        <w:t xml:space="preserve">…… </w:t>
      </w:r>
    </w:p>
    <w:p w14:paraId="341BC5CB">
      <w:pPr>
        <w:rPr>
          <w:color w:val="auto"/>
          <w:kern w:val="24"/>
          <w:highlight w:val="none"/>
        </w:rPr>
      </w:pPr>
      <w:r>
        <w:rPr>
          <w:color w:val="auto"/>
          <w:kern w:val="24"/>
          <w:highlight w:val="none"/>
        </w:rPr>
        <w:t>以上企业，不属于大企业的分支机构，不存在控股股东为大企业的情形，也不存在与大企业的负责人为同一人的情形。</w:t>
      </w:r>
    </w:p>
    <w:p w14:paraId="5FC92B34">
      <w:pPr>
        <w:rPr>
          <w:color w:val="auto"/>
          <w:kern w:val="24"/>
          <w:highlight w:val="none"/>
        </w:rPr>
      </w:pPr>
      <w:r>
        <w:rPr>
          <w:color w:val="auto"/>
          <w:kern w:val="24"/>
          <w:highlight w:val="none"/>
        </w:rPr>
        <w:t>本企业对上述声明内容的真实性负责。如有虚假，将依法承担相应责任。</w:t>
      </w:r>
    </w:p>
    <w:p w14:paraId="060B6E67">
      <w:pPr>
        <w:rPr>
          <w:color w:val="auto"/>
          <w:kern w:val="24"/>
          <w:highlight w:val="none"/>
        </w:rPr>
      </w:pPr>
    </w:p>
    <w:p w14:paraId="3982473F">
      <w:pPr>
        <w:rPr>
          <w:color w:val="auto"/>
          <w:kern w:val="24"/>
          <w:highlight w:val="none"/>
        </w:rPr>
      </w:pPr>
      <w:r>
        <w:rPr>
          <w:color w:val="auto"/>
          <w:kern w:val="24"/>
          <w:highlight w:val="none"/>
        </w:rPr>
        <w:t>企业名称（</w:t>
      </w:r>
      <w:r>
        <w:rPr>
          <w:rFonts w:hint="eastAsia"/>
          <w:color w:val="auto"/>
          <w:kern w:val="24"/>
          <w:highlight w:val="none"/>
        </w:rPr>
        <w:t>电子签章</w:t>
      </w:r>
      <w:r>
        <w:rPr>
          <w:color w:val="auto"/>
          <w:kern w:val="24"/>
          <w:highlight w:val="none"/>
        </w:rPr>
        <w:t xml:space="preserve">）： </w:t>
      </w:r>
    </w:p>
    <w:p w14:paraId="707BD0D4">
      <w:pPr>
        <w:rPr>
          <w:rFonts w:hint="eastAsia"/>
          <w:color w:val="auto"/>
          <w:highlight w:val="none"/>
        </w:rPr>
      </w:pPr>
      <w:r>
        <w:rPr>
          <w:rFonts w:hint="eastAsia"/>
          <w:color w:val="auto"/>
          <w:highlight w:val="none"/>
        </w:rPr>
        <w:t>日期：    年   月   日</w:t>
      </w:r>
    </w:p>
    <w:p w14:paraId="454C5456">
      <w:pPr>
        <w:rPr>
          <w:rFonts w:hint="eastAsia"/>
          <w:color w:val="auto"/>
          <w:highlight w:val="none"/>
        </w:rPr>
      </w:pPr>
    </w:p>
    <w:p w14:paraId="351404D6">
      <w:pPr>
        <w:rPr>
          <w:color w:val="auto"/>
          <w:kern w:val="24"/>
          <w:highlight w:val="none"/>
        </w:rPr>
      </w:pPr>
      <w:r>
        <w:rPr>
          <w:rFonts w:hint="eastAsia"/>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0057DEA4">
      <w:pPr>
        <w:rPr>
          <w:color w:val="auto"/>
          <w:highlight w:val="none"/>
        </w:rPr>
      </w:pPr>
      <w:r>
        <w:rPr>
          <w:color w:val="auto"/>
          <w:highlight w:val="none"/>
        </w:rPr>
        <w:br w:type="page"/>
      </w:r>
      <w:r>
        <w:rPr>
          <w:rFonts w:hint="eastAsia"/>
          <w:color w:val="auto"/>
          <w:highlight w:val="none"/>
        </w:rPr>
        <w:t>2.残疾人福利性单位声明函格式</w:t>
      </w:r>
    </w:p>
    <w:p w14:paraId="5FCD2012">
      <w:pPr>
        <w:rPr>
          <w:color w:val="auto"/>
          <w:highlight w:val="none"/>
        </w:rPr>
      </w:pPr>
    </w:p>
    <w:p w14:paraId="593F3E3E">
      <w:pPr>
        <w:ind w:firstLine="560"/>
        <w:jc w:val="center"/>
        <w:rPr>
          <w:color w:val="auto"/>
          <w:sz w:val="28"/>
          <w:szCs w:val="28"/>
          <w:highlight w:val="none"/>
        </w:rPr>
      </w:pPr>
      <w:r>
        <w:rPr>
          <w:rFonts w:hint="eastAsia"/>
          <w:color w:val="auto"/>
          <w:sz w:val="28"/>
          <w:szCs w:val="28"/>
          <w:highlight w:val="none"/>
        </w:rPr>
        <w:t>残疾人福利性单位声明函</w:t>
      </w:r>
    </w:p>
    <w:p w14:paraId="21468230">
      <w:pPr>
        <w:rPr>
          <w:color w:val="auto"/>
          <w:highlight w:val="none"/>
        </w:rPr>
      </w:pPr>
    </w:p>
    <w:p w14:paraId="28E901A8">
      <w:pPr>
        <w:rPr>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w:t>
      </w:r>
      <w:r>
        <w:rPr>
          <w:rFonts w:hint="eastAsia"/>
          <w:color w:val="auto"/>
          <w:spacing w:val="-6"/>
          <w:highlight w:val="none"/>
        </w:rPr>
        <w:t>疾人福利性单位制造的货物（不包括使用非残疾人福利性单位注册商标的货物）。</w:t>
      </w:r>
    </w:p>
    <w:p w14:paraId="24BEC763">
      <w:pPr>
        <w:rPr>
          <w:color w:val="auto"/>
          <w:highlight w:val="none"/>
        </w:rPr>
      </w:pPr>
      <w:r>
        <w:rPr>
          <w:rFonts w:hint="eastAsia"/>
          <w:color w:val="auto"/>
          <w:highlight w:val="none"/>
        </w:rPr>
        <w:t>本单位对上述声明的真实性负责。如有虚假，将依法承担相应责任。</w:t>
      </w:r>
    </w:p>
    <w:p w14:paraId="33A547D5">
      <w:pPr>
        <w:rPr>
          <w:color w:val="auto"/>
          <w:highlight w:val="none"/>
        </w:rPr>
      </w:pPr>
    </w:p>
    <w:p w14:paraId="4ACF9BBF">
      <w:pPr>
        <w:rPr>
          <w:color w:val="auto"/>
          <w:highlight w:val="none"/>
        </w:rPr>
      </w:pPr>
    </w:p>
    <w:p w14:paraId="5509CB44">
      <w:pPr>
        <w:rPr>
          <w:color w:val="auto"/>
          <w:highlight w:val="none"/>
        </w:rPr>
      </w:pPr>
      <w:r>
        <w:rPr>
          <w:rFonts w:hint="eastAsia"/>
          <w:color w:val="auto"/>
          <w:highlight w:val="none"/>
        </w:rPr>
        <w:t>单位名称（电子签章）：</w:t>
      </w:r>
    </w:p>
    <w:p w14:paraId="32978C45">
      <w:pPr>
        <w:rPr>
          <w:color w:val="auto"/>
          <w:highlight w:val="none"/>
        </w:rPr>
      </w:pPr>
      <w:r>
        <w:rPr>
          <w:rFonts w:hint="eastAsia"/>
          <w:color w:val="auto"/>
          <w:highlight w:val="none"/>
        </w:rPr>
        <w:t>日期：    年   月   日</w:t>
      </w:r>
    </w:p>
    <w:p w14:paraId="3212856F">
      <w:pPr>
        <w:rPr>
          <w:color w:val="auto"/>
          <w:highlight w:val="none"/>
        </w:rPr>
      </w:pPr>
    </w:p>
    <w:p w14:paraId="4D0E18A1">
      <w:pPr>
        <w:rPr>
          <w:color w:val="auto"/>
          <w:highlight w:val="none"/>
        </w:rPr>
      </w:pPr>
    </w:p>
    <w:p w14:paraId="34CEBE4D">
      <w:pPr>
        <w:rPr>
          <w:color w:val="auto"/>
          <w:highlight w:val="none"/>
        </w:rPr>
      </w:pPr>
      <w:r>
        <w:rPr>
          <w:rFonts w:hint="eastAsia"/>
          <w:color w:val="auto"/>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73F4B77">
      <w:pPr>
        <w:rPr>
          <w:color w:val="auto"/>
          <w:highlight w:val="none"/>
        </w:rPr>
      </w:pPr>
      <w:r>
        <w:rPr>
          <w:color w:val="auto"/>
          <w:highlight w:val="none"/>
        </w:rPr>
        <w:br w:type="page"/>
      </w:r>
      <w:r>
        <w:rPr>
          <w:rFonts w:hint="eastAsia"/>
          <w:color w:val="auto"/>
          <w:highlight w:val="none"/>
        </w:rPr>
        <w:t>3.质疑函（格式）</w:t>
      </w:r>
    </w:p>
    <w:p w14:paraId="042A10C9">
      <w:pPr>
        <w:jc w:val="center"/>
        <w:rPr>
          <w:color w:val="auto"/>
          <w:highlight w:val="none"/>
        </w:rPr>
      </w:pPr>
      <w:r>
        <w:rPr>
          <w:rFonts w:hint="eastAsia"/>
          <w:color w:val="auto"/>
          <w:highlight w:val="none"/>
        </w:rPr>
        <w:t>质疑函</w:t>
      </w:r>
    </w:p>
    <w:p w14:paraId="57AF378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一、质疑供应商基本信息：</w:t>
      </w:r>
    </w:p>
    <w:p w14:paraId="489DC28D">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 xml:space="preserve">质疑供应商：                                                        </w:t>
      </w:r>
    </w:p>
    <w:p w14:paraId="3D85F90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color w:val="auto"/>
          <w:kern w:val="0"/>
          <w:highlight w:val="none"/>
        </w:rPr>
        <w:t>地址</w:t>
      </w:r>
      <w:r>
        <w:rPr>
          <w:rFonts w:hint="eastAsia"/>
          <w:color w:val="auto"/>
          <w:kern w:val="0"/>
          <w:highlight w:val="none"/>
        </w:rPr>
        <w:t xml:space="preserve">：                                          </w:t>
      </w:r>
      <w:r>
        <w:rPr>
          <w:color w:val="auto"/>
          <w:kern w:val="0"/>
          <w:highlight w:val="none"/>
        </w:rPr>
        <w:t>邮编</w:t>
      </w:r>
      <w:r>
        <w:rPr>
          <w:rFonts w:hint="eastAsia"/>
          <w:color w:val="auto"/>
          <w:kern w:val="0"/>
          <w:highlight w:val="none"/>
        </w:rPr>
        <w:t xml:space="preserve">：                                   </w:t>
      </w:r>
    </w:p>
    <w:p w14:paraId="6C51BFA3">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color w:val="auto"/>
          <w:kern w:val="0"/>
          <w:highlight w:val="none"/>
        </w:rPr>
        <w:t>联系人</w:t>
      </w:r>
      <w:r>
        <w:rPr>
          <w:rFonts w:hint="eastAsia"/>
          <w:color w:val="auto"/>
          <w:kern w:val="0"/>
          <w:highlight w:val="none"/>
        </w:rPr>
        <w:t xml:space="preserve">：                     </w:t>
      </w:r>
      <w:r>
        <w:rPr>
          <w:color w:val="auto"/>
          <w:kern w:val="0"/>
          <w:highlight w:val="none"/>
        </w:rPr>
        <w:t>联系电话</w:t>
      </w:r>
      <w:r>
        <w:rPr>
          <w:rFonts w:hint="eastAsia"/>
          <w:color w:val="auto"/>
          <w:kern w:val="0"/>
          <w:highlight w:val="none"/>
        </w:rPr>
        <w:t xml:space="preserve">：                 </w:t>
      </w:r>
    </w:p>
    <w:p w14:paraId="2A498F2D">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 xml:space="preserve">授权代表：                      </w:t>
      </w:r>
    </w:p>
    <w:p w14:paraId="327FFF9B">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color w:val="auto"/>
          <w:kern w:val="0"/>
          <w:highlight w:val="none"/>
        </w:rPr>
        <w:t>联系</w:t>
      </w:r>
      <w:r>
        <w:rPr>
          <w:rFonts w:hint="eastAsia"/>
          <w:color w:val="auto"/>
          <w:kern w:val="0"/>
          <w:highlight w:val="none"/>
        </w:rPr>
        <w:t xml:space="preserve">电话：                      </w:t>
      </w:r>
    </w:p>
    <w:p w14:paraId="0925A08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color w:val="auto"/>
          <w:kern w:val="0"/>
          <w:highlight w:val="none"/>
        </w:rPr>
        <w:t>地址</w:t>
      </w:r>
      <w:r>
        <w:rPr>
          <w:rFonts w:hint="eastAsia"/>
          <w:color w:val="auto"/>
          <w:kern w:val="0"/>
          <w:highlight w:val="none"/>
        </w:rPr>
        <w:t xml:space="preserve">：                 </w:t>
      </w:r>
      <w:r>
        <w:rPr>
          <w:color w:val="auto"/>
          <w:kern w:val="0"/>
          <w:highlight w:val="none"/>
        </w:rPr>
        <w:t>邮编</w:t>
      </w:r>
      <w:r>
        <w:rPr>
          <w:rFonts w:hint="eastAsia"/>
          <w:color w:val="auto"/>
          <w:kern w:val="0"/>
          <w:highlight w:val="none"/>
        </w:rPr>
        <w:t xml:space="preserve">：                       </w:t>
      </w:r>
    </w:p>
    <w:p w14:paraId="1010DA91">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二、质疑项目基本情况：</w:t>
      </w:r>
    </w:p>
    <w:p w14:paraId="7407CCB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 xml:space="preserve">质疑项目的名称：                                     </w:t>
      </w:r>
    </w:p>
    <w:p w14:paraId="79449E57">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 xml:space="preserve">质疑项目的编号：                                     </w:t>
      </w:r>
    </w:p>
    <w:p w14:paraId="147773EB">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 xml:space="preserve">采购人名称：                                         </w:t>
      </w:r>
    </w:p>
    <w:p w14:paraId="2AC65722">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质疑事项：</w:t>
      </w:r>
    </w:p>
    <w:p w14:paraId="4CAC7E9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 xml:space="preserve">□采购文件   采购文件获取日期：                                   </w:t>
      </w:r>
    </w:p>
    <w:p w14:paraId="5EFC1F02">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 xml:space="preserve">□采购过程   </w:t>
      </w:r>
    </w:p>
    <w:p w14:paraId="1269AA46">
      <w:pPr>
        <w:keepNext w:val="0"/>
        <w:keepLines w:val="0"/>
        <w:pageBreakBefore w:val="0"/>
        <w:widowControl w:val="0"/>
        <w:kinsoku/>
        <w:wordWrap/>
        <w:overflowPunct/>
        <w:topLinePunct w:val="0"/>
        <w:autoSpaceDE/>
        <w:autoSpaceDN/>
        <w:bidi w:val="0"/>
        <w:adjustRightInd w:val="0"/>
        <w:snapToGrid w:val="0"/>
        <w:spacing w:line="240" w:lineRule="auto"/>
        <w:textAlignment w:val="auto"/>
        <w:rPr>
          <w:bCs/>
          <w:color w:val="auto"/>
          <w:kern w:val="0"/>
          <w:highlight w:val="none"/>
          <w:u w:val="single"/>
        </w:rPr>
      </w:pPr>
      <w:r>
        <w:rPr>
          <w:rFonts w:hint="eastAsia"/>
          <w:color w:val="auto"/>
          <w:kern w:val="0"/>
          <w:highlight w:val="none"/>
        </w:rPr>
        <w:t xml:space="preserve">□采购结果   </w:t>
      </w:r>
    </w:p>
    <w:p w14:paraId="7D0763BC">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三、质疑事项具体内容</w:t>
      </w:r>
    </w:p>
    <w:p w14:paraId="3EEAF797">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 xml:space="preserve">质疑事项1：                                                                    </w:t>
      </w:r>
    </w:p>
    <w:p w14:paraId="632138DE">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 xml:space="preserve">事实依据：                                                                      </w:t>
      </w:r>
    </w:p>
    <w:p w14:paraId="1BE45590">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 xml:space="preserve">法律依据：                                                        </w:t>
      </w:r>
      <w:r>
        <w:rPr>
          <w:rFonts w:hint="eastAsia"/>
          <w:bCs/>
          <w:color w:val="auto"/>
          <w:kern w:val="0"/>
          <w:highlight w:val="none"/>
        </w:rPr>
        <w:t xml:space="preserve">               </w:t>
      </w:r>
    </w:p>
    <w:p w14:paraId="155D1C36">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质疑事项2</w:t>
      </w:r>
    </w:p>
    <w:p w14:paraId="68363EDF">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color w:val="auto"/>
          <w:kern w:val="0"/>
          <w:highlight w:val="none"/>
        </w:rPr>
        <w:t>……</w:t>
      </w:r>
    </w:p>
    <w:p w14:paraId="2C02ACE7">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四、与质疑事项相关的质疑请求：</w:t>
      </w:r>
    </w:p>
    <w:p w14:paraId="67489BD9">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 xml:space="preserve">请求：                                                                </w:t>
      </w:r>
    </w:p>
    <w:p w14:paraId="30534B72">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签字（签章）：                                       公章：</w:t>
      </w:r>
    </w:p>
    <w:p w14:paraId="586DB59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highlight w:val="none"/>
        </w:rPr>
      </w:pPr>
      <w:r>
        <w:rPr>
          <w:rFonts w:hint="eastAsia"/>
          <w:color w:val="auto"/>
          <w:highlight w:val="none"/>
        </w:rPr>
        <w:t>日期：    年   月   日</w:t>
      </w:r>
    </w:p>
    <w:p w14:paraId="39DFA5E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highlight w:val="none"/>
        </w:rPr>
      </w:pPr>
    </w:p>
    <w:p w14:paraId="37AA653A">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说明：</w:t>
      </w:r>
    </w:p>
    <w:p w14:paraId="47F9F748">
      <w:pPr>
        <w:keepNext w:val="0"/>
        <w:keepLines w:val="0"/>
        <w:pageBreakBefore w:val="0"/>
        <w:widowControl w:val="0"/>
        <w:kinsoku/>
        <w:wordWrap/>
        <w:overflowPunct/>
        <w:topLinePunct w:val="0"/>
        <w:autoSpaceDE/>
        <w:autoSpaceDN/>
        <w:bidi w:val="0"/>
        <w:adjustRightInd w:val="0"/>
        <w:snapToGrid w:val="0"/>
        <w:spacing w:line="240" w:lineRule="auto"/>
        <w:textAlignment w:val="auto"/>
        <w:rPr>
          <w:bCs/>
          <w:color w:val="auto"/>
          <w:kern w:val="0"/>
          <w:highlight w:val="none"/>
        </w:rPr>
      </w:pPr>
      <w:r>
        <w:rPr>
          <w:rFonts w:hint="eastAsia"/>
          <w:color w:val="auto"/>
          <w:kern w:val="0"/>
          <w:highlight w:val="none"/>
        </w:rPr>
        <w:t>1.供应商提出质疑时，应提交质疑函和必要的证明材料</w:t>
      </w:r>
      <w:r>
        <w:rPr>
          <w:rFonts w:hint="eastAsia"/>
          <w:bCs/>
          <w:color w:val="auto"/>
          <w:kern w:val="0"/>
          <w:highlight w:val="none"/>
        </w:rPr>
        <w:t>。</w:t>
      </w:r>
    </w:p>
    <w:p w14:paraId="7C6BB6DB">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F3B7903">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3.质疑函的质疑事项应具体、明确，并有必要的事实依据和法律依据。</w:t>
      </w:r>
    </w:p>
    <w:p w14:paraId="380BA02A">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4.质疑函的质疑请求应与质疑事项相关。</w:t>
      </w:r>
    </w:p>
    <w:p w14:paraId="20B9729C">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kern w:val="0"/>
          <w:highlight w:val="none"/>
        </w:rPr>
      </w:pPr>
      <w:r>
        <w:rPr>
          <w:rFonts w:hint="eastAsia"/>
          <w:color w:val="auto"/>
          <w:kern w:val="0"/>
          <w:highlight w:val="none"/>
        </w:rPr>
        <w:t>5.质疑供应商为法人或者其他组织的，质疑函应由法定代表人（或负责人）、主要负责人，或者其授权代表签字或者盖章，并加盖公章。</w:t>
      </w:r>
    </w:p>
    <w:p w14:paraId="5FF3A3ED">
      <w:pPr>
        <w:rPr>
          <w:color w:val="auto"/>
          <w:highlight w:val="none"/>
        </w:rPr>
      </w:pPr>
    </w:p>
    <w:sectPr>
      <w:footerReference r:id="rId15" w:type="first"/>
      <w:headerReference r:id="rId12" w:type="default"/>
      <w:footerReference r:id="rId13" w:type="default"/>
      <w:footerReference r:id="rId14" w:type="even"/>
      <w:pgSz w:w="11906" w:h="16838"/>
      <w:pgMar w:top="1440" w:right="1797" w:bottom="1440" w:left="1797" w:header="624" w:footer="96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___WRD_EMBED_SUB_39">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FangSong_GB2312">
    <w:altName w:val="仿宋"/>
    <w:panose1 w:val="02010609060101010101"/>
    <w:charset w:val="86"/>
    <w:family w:val="modern"/>
    <w:pitch w:val="default"/>
    <w:sig w:usb0="00000000" w:usb1="00000000"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26E4B">
    <w:pPr>
      <w:pStyle w:val="31"/>
      <w:rPr>
        <w:rStyle w:val="51"/>
      </w:rPr>
    </w:pPr>
    <w:r>
      <w:fldChar w:fldCharType="begin"/>
    </w:r>
    <w:r>
      <w:rPr>
        <w:rStyle w:val="51"/>
      </w:rPr>
      <w:instrText xml:space="preserve">PAGE  </w:instrText>
    </w:r>
    <w:r>
      <w:fldChar w:fldCharType="end"/>
    </w:r>
  </w:p>
  <w:p w14:paraId="19EDD1F8">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6CA97">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6588E">
    <w:pPr>
      <w:pStyle w:val="31"/>
    </w:pPr>
    <w:r>
      <w:fldChar w:fldCharType="begin"/>
    </w:r>
    <w:r>
      <w:instrText xml:space="preserve">PAGE   \* MERGEFORMAT</w:instrText>
    </w:r>
    <w:r>
      <w:fldChar w:fldCharType="separate"/>
    </w:r>
    <w:r>
      <w:rPr>
        <w:lang w:val="zh-CN"/>
      </w:rPr>
      <w:t>47</w:t>
    </w:r>
    <w:r>
      <w:rPr>
        <w:lang w:val="zh-CN"/>
      </w:rPr>
      <w:fldChar w:fldCharType="end"/>
    </w:r>
  </w:p>
  <w:p w14:paraId="0A90384B">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BE56">
    <w:pPr>
      <w:pStyle w:val="31"/>
    </w:pPr>
    <w:r>
      <w:pict>
        <v:shape id="_x0000_s4097" o:spid="_x0000_s4097" o:spt="202" type="#_x0000_t202" style="position:absolute;left:0pt;margin-top:0pt;height:15.5pt;width:35.9pt;mso-position-horizontal:center;mso-position-horizontal-relative:margin;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path/>
          <v:fill on="f" focussize="0,0"/>
          <v:stroke on="f" joinstyle="miter"/>
          <v:imagedata o:title=""/>
          <o:lock v:ext="edit"/>
          <v:textbox inset="0mm,0mm,0mm,0mm" style="mso-fit-shape-to-text:t;">
            <w:txbxContent>
              <w:p w14:paraId="278E29C3">
                <w:pPr>
                  <w:pStyle w:val="31"/>
                </w:pPr>
                <w:r>
                  <w:fldChar w:fldCharType="begin"/>
                </w:r>
                <w:r>
                  <w:instrText xml:space="preserve"> PAGE   \* MERGEFORMAT </w:instrText>
                </w:r>
                <w:r>
                  <w:fldChar w:fldCharType="separate"/>
                </w:r>
                <w:r>
                  <w:rPr>
                    <w:lang w:val="zh-CN"/>
                  </w:rPr>
                  <w:t>38</w:t>
                </w:r>
                <w:r>
                  <w:rPr>
                    <w:lang w:val="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31C2">
    <w:pPr>
      <w:ind w:firstLine="400"/>
      <w:jc w:val="center"/>
    </w:pPr>
    <w:r>
      <w:rPr>
        <w:sz w:val="20"/>
        <w:szCs w:val="20"/>
      </w:rPr>
      <w:fldChar w:fldCharType="begin"/>
    </w:r>
    <w:r>
      <w:rPr>
        <w:sz w:val="20"/>
        <w:szCs w:val="20"/>
      </w:rPr>
      <w:instrText xml:space="preserve"> PAGE   \* MERGEFORMAT </w:instrText>
    </w:r>
    <w:r>
      <w:rPr>
        <w:sz w:val="20"/>
        <w:szCs w:val="20"/>
      </w:rPr>
      <w:fldChar w:fldCharType="separate"/>
    </w:r>
    <w:r>
      <w:rPr>
        <w:sz w:val="20"/>
        <w:szCs w:val="20"/>
        <w:lang w:val="zh-CN"/>
      </w:rPr>
      <w:t>104</w:t>
    </w:r>
    <w:r>
      <w:rPr>
        <w:sz w:val="20"/>
        <w:szCs w:val="20"/>
        <w:lang w:val="zh-CN"/>
      </w:rPr>
      <w:fldChar w:fldCharType="end"/>
    </w: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If3M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lrUrdwd8dIo6UJ00dRlhkmBx8wsx1Wre0I3/6uerlF9v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KIh/czwEAAKoDAAAOAAAAAAAAAAEAIAAAAB4BAABkcnMv&#10;ZTJvRG9jLnhtbFBLBQYAAAAABgAGAFkBAABfBQAAAAA=&#10;">
          <v:path/>
          <v:fill on="f" focussize="0,0"/>
          <v:stroke on="f" joinstyle="miter"/>
          <v:imagedata o:title=""/>
          <o:lock v:ext="edit"/>
          <v:textbox inset="0mm,0mm,0mm,0mm" style="mso-fit-shape-to-text:t;">
            <w:txbxContent>
              <w:p w14:paraId="6C9D4C9C"/>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3B74">
    <w:pPr>
      <w:pStyle w:val="31"/>
      <w:rPr>
        <w:rStyle w:val="51"/>
      </w:rPr>
    </w:pPr>
    <w:r>
      <w:fldChar w:fldCharType="begin"/>
    </w:r>
    <w:r>
      <w:rPr>
        <w:rStyle w:val="51"/>
      </w:rPr>
      <w:instrText xml:space="preserve">PAGE  </w:instrText>
    </w:r>
    <w:r>
      <w:fldChar w:fldCharType="end"/>
    </w:r>
  </w:p>
  <w:p w14:paraId="3BBA5918">
    <w:pPr>
      <w:pStyle w:val="31"/>
    </w:pPr>
  </w:p>
  <w:p w14:paraId="750580C2"/>
  <w:p w14:paraId="2B333E6E"/>
  <w:p w14:paraId="4D4BC8E6"/>
  <w:p w14:paraId="7393A705"/>
  <w:p w14:paraId="1C4CA7BB"/>
  <w:p w14:paraId="4EC2B70E"/>
  <w:p w14:paraId="792B9238"/>
  <w:p w14:paraId="3BA6EAD7"/>
  <w:p w14:paraId="5C82A4A9"/>
  <w:p w14:paraId="00467E82"/>
  <w:p w14:paraId="582C68AA"/>
  <w:p w14:paraId="6C6E98D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5D96">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9AF4E">
    <w:pPr>
      <w:pStyle w:val="3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30F7">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004F">
    <w:pPr>
      <w:pStyle w:val="3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F46DB">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13E51"/>
    <w:multiLevelType w:val="singleLevel"/>
    <w:tmpl w:val="B2113E51"/>
    <w:lvl w:ilvl="0" w:tentative="0">
      <w:start w:val="1"/>
      <w:numFmt w:val="decimalEnclosedCircleChinese"/>
      <w:suff w:val="nothing"/>
      <w:lvlText w:val="%1　"/>
      <w:lvlJc w:val="left"/>
      <w:pPr>
        <w:ind w:left="0" w:firstLine="400"/>
      </w:pPr>
      <w:rPr>
        <w:rFonts w:hint="eastAsia"/>
      </w:rPr>
    </w:lvl>
  </w:abstractNum>
  <w:abstractNum w:abstractNumId="1">
    <w:nsid w:val="D860481F"/>
    <w:multiLevelType w:val="singleLevel"/>
    <w:tmpl w:val="D860481F"/>
    <w:lvl w:ilvl="0" w:tentative="0">
      <w:start w:val="1"/>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43FC914"/>
    <w:multiLevelType w:val="singleLevel"/>
    <w:tmpl w:val="443FC914"/>
    <w:lvl w:ilvl="0" w:tentative="0">
      <w:start w:val="1"/>
      <w:numFmt w:val="decimalEnclosedCircleChinese"/>
      <w:suff w:val="nothing"/>
      <w:lvlText w:val="%1　"/>
      <w:lvlJc w:val="left"/>
      <w:pPr>
        <w:ind w:left="0" w:firstLine="400"/>
      </w:pPr>
      <w:rPr>
        <w:rFonts w:hint="eastAsia"/>
      </w:rPr>
    </w:lvl>
  </w:abstractNum>
  <w:abstractNum w:abstractNumId="5">
    <w:nsid w:val="4767AD8A"/>
    <w:multiLevelType w:val="singleLevel"/>
    <w:tmpl w:val="4767AD8A"/>
    <w:lvl w:ilvl="0" w:tentative="0">
      <w:start w:val="1"/>
      <w:numFmt w:val="decimalEnclosedCircleChinese"/>
      <w:suff w:val="nothing"/>
      <w:lvlText w:val="%1　"/>
      <w:lvlJc w:val="left"/>
      <w:pPr>
        <w:ind w:left="0" w:firstLine="400"/>
      </w:pPr>
      <w:rPr>
        <w:rFonts w:hint="eastAsia"/>
      </w:rPr>
    </w:lvl>
  </w:abstractNum>
  <w:abstractNum w:abstractNumId="6">
    <w:nsid w:val="66B32C20"/>
    <w:multiLevelType w:val="singleLevel"/>
    <w:tmpl w:val="66B32C20"/>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Tc5YjgzZTk4M2VlMGI1NmYxODY0NDIzNGQ3YTQ3NTkifQ=="/>
  </w:docVars>
  <w:rsids>
    <w:rsidRoot w:val="004C7E6C"/>
    <w:rsid w:val="00074133"/>
    <w:rsid w:val="0008369F"/>
    <w:rsid w:val="000A3FB0"/>
    <w:rsid w:val="000B609E"/>
    <w:rsid w:val="000F5645"/>
    <w:rsid w:val="00141093"/>
    <w:rsid w:val="001436B9"/>
    <w:rsid w:val="001A064D"/>
    <w:rsid w:val="001C10FE"/>
    <w:rsid w:val="001C493E"/>
    <w:rsid w:val="001E65DE"/>
    <w:rsid w:val="001F4C3F"/>
    <w:rsid w:val="001F693F"/>
    <w:rsid w:val="00220C8B"/>
    <w:rsid w:val="00284DC3"/>
    <w:rsid w:val="002A72EB"/>
    <w:rsid w:val="002E208F"/>
    <w:rsid w:val="002F67EB"/>
    <w:rsid w:val="00333D9F"/>
    <w:rsid w:val="00386821"/>
    <w:rsid w:val="003A0BCB"/>
    <w:rsid w:val="003D033F"/>
    <w:rsid w:val="003D7F76"/>
    <w:rsid w:val="003E1071"/>
    <w:rsid w:val="004042CA"/>
    <w:rsid w:val="00406893"/>
    <w:rsid w:val="00406E11"/>
    <w:rsid w:val="00414DA6"/>
    <w:rsid w:val="00436732"/>
    <w:rsid w:val="004442D7"/>
    <w:rsid w:val="004506A2"/>
    <w:rsid w:val="004A5401"/>
    <w:rsid w:val="004B3C87"/>
    <w:rsid w:val="004B5ADF"/>
    <w:rsid w:val="004B7C05"/>
    <w:rsid w:val="004B7CC5"/>
    <w:rsid w:val="004C73DD"/>
    <w:rsid w:val="004C7E6C"/>
    <w:rsid w:val="005310A8"/>
    <w:rsid w:val="00553ACA"/>
    <w:rsid w:val="005726DE"/>
    <w:rsid w:val="005A7CE9"/>
    <w:rsid w:val="005E0D4D"/>
    <w:rsid w:val="0060084D"/>
    <w:rsid w:val="006408C0"/>
    <w:rsid w:val="00642F1D"/>
    <w:rsid w:val="0065065F"/>
    <w:rsid w:val="00660227"/>
    <w:rsid w:val="006A5793"/>
    <w:rsid w:val="00703104"/>
    <w:rsid w:val="00704C20"/>
    <w:rsid w:val="00723A09"/>
    <w:rsid w:val="00726E37"/>
    <w:rsid w:val="00730B5B"/>
    <w:rsid w:val="00743C8C"/>
    <w:rsid w:val="007504CB"/>
    <w:rsid w:val="007C79F5"/>
    <w:rsid w:val="008307F1"/>
    <w:rsid w:val="00863BB5"/>
    <w:rsid w:val="008735FC"/>
    <w:rsid w:val="008907A2"/>
    <w:rsid w:val="008B4F65"/>
    <w:rsid w:val="008B5396"/>
    <w:rsid w:val="008C0182"/>
    <w:rsid w:val="008D45D7"/>
    <w:rsid w:val="008E7846"/>
    <w:rsid w:val="00987608"/>
    <w:rsid w:val="00997E74"/>
    <w:rsid w:val="009F798D"/>
    <w:rsid w:val="00A130E6"/>
    <w:rsid w:val="00A14DD6"/>
    <w:rsid w:val="00A170C6"/>
    <w:rsid w:val="00A173DA"/>
    <w:rsid w:val="00A25529"/>
    <w:rsid w:val="00A6541C"/>
    <w:rsid w:val="00A70156"/>
    <w:rsid w:val="00A757C7"/>
    <w:rsid w:val="00AA074A"/>
    <w:rsid w:val="00B00B87"/>
    <w:rsid w:val="00B05542"/>
    <w:rsid w:val="00B13D8E"/>
    <w:rsid w:val="00B41517"/>
    <w:rsid w:val="00B51A4A"/>
    <w:rsid w:val="00B6507E"/>
    <w:rsid w:val="00B84E54"/>
    <w:rsid w:val="00B92AC0"/>
    <w:rsid w:val="00BA0091"/>
    <w:rsid w:val="00BC50EB"/>
    <w:rsid w:val="00BE1BD5"/>
    <w:rsid w:val="00BE56D6"/>
    <w:rsid w:val="00BE7478"/>
    <w:rsid w:val="00C43521"/>
    <w:rsid w:val="00C47CEA"/>
    <w:rsid w:val="00C72AB4"/>
    <w:rsid w:val="00CA2080"/>
    <w:rsid w:val="00CA54A2"/>
    <w:rsid w:val="00CA6332"/>
    <w:rsid w:val="00CF5D79"/>
    <w:rsid w:val="00D12CAC"/>
    <w:rsid w:val="00D30C40"/>
    <w:rsid w:val="00D46213"/>
    <w:rsid w:val="00D56235"/>
    <w:rsid w:val="00D73286"/>
    <w:rsid w:val="00D750F4"/>
    <w:rsid w:val="00D83720"/>
    <w:rsid w:val="00D8723D"/>
    <w:rsid w:val="00D923DB"/>
    <w:rsid w:val="00D97809"/>
    <w:rsid w:val="00DB697D"/>
    <w:rsid w:val="00DC5D73"/>
    <w:rsid w:val="00DD7448"/>
    <w:rsid w:val="00DE7870"/>
    <w:rsid w:val="00DF4C6C"/>
    <w:rsid w:val="00E1532C"/>
    <w:rsid w:val="00E227F2"/>
    <w:rsid w:val="00E4055C"/>
    <w:rsid w:val="00E43E34"/>
    <w:rsid w:val="00E70887"/>
    <w:rsid w:val="00E9604E"/>
    <w:rsid w:val="00EB122D"/>
    <w:rsid w:val="00ED1E2A"/>
    <w:rsid w:val="00F056C2"/>
    <w:rsid w:val="00F13E42"/>
    <w:rsid w:val="00F1494C"/>
    <w:rsid w:val="00F45807"/>
    <w:rsid w:val="00F513DD"/>
    <w:rsid w:val="00FD158E"/>
    <w:rsid w:val="00FF2520"/>
    <w:rsid w:val="00FF6EFE"/>
    <w:rsid w:val="01055032"/>
    <w:rsid w:val="010F6F8D"/>
    <w:rsid w:val="01D32DCE"/>
    <w:rsid w:val="023A2154"/>
    <w:rsid w:val="03A514E8"/>
    <w:rsid w:val="059C1825"/>
    <w:rsid w:val="074A33A3"/>
    <w:rsid w:val="0790350F"/>
    <w:rsid w:val="096E612B"/>
    <w:rsid w:val="09EE1557"/>
    <w:rsid w:val="09FD47B6"/>
    <w:rsid w:val="0A0032E6"/>
    <w:rsid w:val="0A0C3E67"/>
    <w:rsid w:val="0B7C2E41"/>
    <w:rsid w:val="0B9056EF"/>
    <w:rsid w:val="0C807434"/>
    <w:rsid w:val="0D0F0D92"/>
    <w:rsid w:val="0E535587"/>
    <w:rsid w:val="0EAC0C2F"/>
    <w:rsid w:val="0F685B9B"/>
    <w:rsid w:val="10D401E4"/>
    <w:rsid w:val="11113CCE"/>
    <w:rsid w:val="11C61128"/>
    <w:rsid w:val="146D0B1E"/>
    <w:rsid w:val="14BD497F"/>
    <w:rsid w:val="151825AD"/>
    <w:rsid w:val="15D70185"/>
    <w:rsid w:val="15F93A4F"/>
    <w:rsid w:val="173424C8"/>
    <w:rsid w:val="18916556"/>
    <w:rsid w:val="19510D51"/>
    <w:rsid w:val="19B71E21"/>
    <w:rsid w:val="1A610860"/>
    <w:rsid w:val="1DAB4E83"/>
    <w:rsid w:val="1E3678B8"/>
    <w:rsid w:val="1E6575F8"/>
    <w:rsid w:val="1EB84CC4"/>
    <w:rsid w:val="1F5C6D25"/>
    <w:rsid w:val="1FBE4C66"/>
    <w:rsid w:val="21524965"/>
    <w:rsid w:val="22505D53"/>
    <w:rsid w:val="23E00A04"/>
    <w:rsid w:val="24A761B3"/>
    <w:rsid w:val="267267AA"/>
    <w:rsid w:val="26D7594A"/>
    <w:rsid w:val="274B157D"/>
    <w:rsid w:val="2754116D"/>
    <w:rsid w:val="276C0C98"/>
    <w:rsid w:val="27B525EA"/>
    <w:rsid w:val="299131B6"/>
    <w:rsid w:val="29F26444"/>
    <w:rsid w:val="2ACC00E0"/>
    <w:rsid w:val="2AEF0BFD"/>
    <w:rsid w:val="2B72421E"/>
    <w:rsid w:val="2D0E38AA"/>
    <w:rsid w:val="2E224017"/>
    <w:rsid w:val="2F655284"/>
    <w:rsid w:val="311775F3"/>
    <w:rsid w:val="31BF562A"/>
    <w:rsid w:val="31C9561A"/>
    <w:rsid w:val="33F613EB"/>
    <w:rsid w:val="3451007C"/>
    <w:rsid w:val="34AD608E"/>
    <w:rsid w:val="38B0403C"/>
    <w:rsid w:val="3ADF0492"/>
    <w:rsid w:val="3BD23CFC"/>
    <w:rsid w:val="3E9A617D"/>
    <w:rsid w:val="3FFC146E"/>
    <w:rsid w:val="42EF0F8A"/>
    <w:rsid w:val="44D855FC"/>
    <w:rsid w:val="45005E39"/>
    <w:rsid w:val="45D45DCF"/>
    <w:rsid w:val="45DC01F3"/>
    <w:rsid w:val="46921AAD"/>
    <w:rsid w:val="4CC33AB5"/>
    <w:rsid w:val="4E231FB4"/>
    <w:rsid w:val="4ED01613"/>
    <w:rsid w:val="4F277882"/>
    <w:rsid w:val="4F381A3B"/>
    <w:rsid w:val="4F786B1D"/>
    <w:rsid w:val="504601DC"/>
    <w:rsid w:val="519D48DB"/>
    <w:rsid w:val="538B449F"/>
    <w:rsid w:val="54183680"/>
    <w:rsid w:val="55F47291"/>
    <w:rsid w:val="5629780D"/>
    <w:rsid w:val="56A77B69"/>
    <w:rsid w:val="579E3BFF"/>
    <w:rsid w:val="58427E31"/>
    <w:rsid w:val="585E590B"/>
    <w:rsid w:val="590F2758"/>
    <w:rsid w:val="594302D2"/>
    <w:rsid w:val="5A030870"/>
    <w:rsid w:val="5AA10FE6"/>
    <w:rsid w:val="5CB23B5A"/>
    <w:rsid w:val="5DF521A8"/>
    <w:rsid w:val="605D1356"/>
    <w:rsid w:val="61ED04B8"/>
    <w:rsid w:val="637E14B1"/>
    <w:rsid w:val="64393414"/>
    <w:rsid w:val="675338D7"/>
    <w:rsid w:val="68D13F1A"/>
    <w:rsid w:val="697F483C"/>
    <w:rsid w:val="69AD3B82"/>
    <w:rsid w:val="6A79182C"/>
    <w:rsid w:val="6BE249E6"/>
    <w:rsid w:val="6C4B23E7"/>
    <w:rsid w:val="6CAB7AE8"/>
    <w:rsid w:val="6D1C01F9"/>
    <w:rsid w:val="6DD159A3"/>
    <w:rsid w:val="6E750DAD"/>
    <w:rsid w:val="6F2B261F"/>
    <w:rsid w:val="6FDC36EA"/>
    <w:rsid w:val="70D86B89"/>
    <w:rsid w:val="71775FF0"/>
    <w:rsid w:val="72361A07"/>
    <w:rsid w:val="72CD12E4"/>
    <w:rsid w:val="72E2717E"/>
    <w:rsid w:val="732A3DD1"/>
    <w:rsid w:val="75AB499E"/>
    <w:rsid w:val="763936E1"/>
    <w:rsid w:val="768E5EDF"/>
    <w:rsid w:val="776F3F7C"/>
    <w:rsid w:val="778D230F"/>
    <w:rsid w:val="779E288C"/>
    <w:rsid w:val="78F4332D"/>
    <w:rsid w:val="7C460511"/>
    <w:rsid w:val="7C5B6663"/>
    <w:rsid w:val="7C6F57E2"/>
    <w:rsid w:val="7D20704E"/>
    <w:rsid w:val="7E042C7C"/>
    <w:rsid w:val="7E1F3C97"/>
    <w:rsid w:val="7E757CA8"/>
    <w:rsid w:val="7EF3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宋体" w:hAnsi="宋体" w:eastAsia="宋体" w:cs="宋体"/>
      <w:kern w:val="2"/>
      <w:sz w:val="21"/>
      <w:szCs w:val="21"/>
      <w:lang w:val="en-US" w:eastAsia="zh-CN" w:bidi="ar-SA"/>
    </w:rPr>
  </w:style>
  <w:style w:type="paragraph" w:styleId="2">
    <w:name w:val="heading 1"/>
    <w:basedOn w:val="1"/>
    <w:next w:val="1"/>
    <w:link w:val="57"/>
    <w:autoRedefine/>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58"/>
    <w:autoRedefine/>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59"/>
    <w:autoRedefine/>
    <w:qFormat/>
    <w:uiPriority w:val="0"/>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4"/>
    <w:basedOn w:val="1"/>
    <w:next w:val="1"/>
    <w:link w:val="60"/>
    <w:autoRedefine/>
    <w:qFormat/>
    <w:uiPriority w:val="0"/>
    <w:pPr>
      <w:tabs>
        <w:tab w:val="left" w:pos="2155"/>
      </w:tabs>
      <w:spacing w:before="120"/>
      <w:ind w:left="2155" w:hanging="1078"/>
      <w:textAlignment w:val="baseline"/>
      <w:outlineLvl w:val="3"/>
    </w:pPr>
    <w:rPr>
      <w:rFonts w:ascii="Arial" w:hAnsi="Times New Roman" w:eastAsia="黑体" w:cs="Times New Roman"/>
      <w:sz w:val="28"/>
      <w:szCs w:val="20"/>
    </w:rPr>
  </w:style>
  <w:style w:type="paragraph" w:styleId="6">
    <w:name w:val="heading 5"/>
    <w:basedOn w:val="1"/>
    <w:next w:val="7"/>
    <w:link w:val="86"/>
    <w:autoRedefine/>
    <w:qFormat/>
    <w:uiPriority w:val="0"/>
    <w:pPr>
      <w:keepNext/>
      <w:keepLines/>
      <w:numPr>
        <w:ilvl w:val="4"/>
        <w:numId w:val="1"/>
      </w:numPr>
      <w:spacing w:before="280" w:after="290" w:line="376" w:lineRule="auto"/>
      <w:outlineLvl w:val="4"/>
    </w:pPr>
    <w:rPr>
      <w:rFonts w:ascii="Times New Roman" w:hAnsi="Times New Roman" w:cs="Times New Roman"/>
      <w:b/>
      <w:sz w:val="28"/>
      <w:szCs w:val="24"/>
    </w:rPr>
  </w:style>
  <w:style w:type="paragraph" w:styleId="8">
    <w:name w:val="heading 6"/>
    <w:basedOn w:val="1"/>
    <w:next w:val="7"/>
    <w:link w:val="62"/>
    <w:autoRedefine/>
    <w:qFormat/>
    <w:uiPriority w:val="0"/>
    <w:pPr>
      <w:keepNext/>
      <w:keepLines/>
      <w:numPr>
        <w:ilvl w:val="5"/>
        <w:numId w:val="1"/>
      </w:numPr>
      <w:spacing w:before="240" w:after="64" w:line="320" w:lineRule="auto"/>
      <w:outlineLvl w:val="5"/>
    </w:pPr>
    <w:rPr>
      <w:rFonts w:ascii="Arial" w:hAnsi="Arial" w:eastAsia="黑体" w:cs="Times New Roman"/>
      <w:b/>
      <w:sz w:val="24"/>
      <w:szCs w:val="24"/>
    </w:rPr>
  </w:style>
  <w:style w:type="paragraph" w:styleId="9">
    <w:name w:val="heading 7"/>
    <w:basedOn w:val="1"/>
    <w:next w:val="7"/>
    <w:link w:val="63"/>
    <w:autoRedefine/>
    <w:qFormat/>
    <w:uiPriority w:val="0"/>
    <w:pPr>
      <w:keepNext/>
      <w:keepLines/>
      <w:numPr>
        <w:ilvl w:val="6"/>
        <w:numId w:val="1"/>
      </w:numPr>
      <w:spacing w:before="240" w:after="64" w:line="320" w:lineRule="auto"/>
      <w:outlineLvl w:val="6"/>
    </w:pPr>
    <w:rPr>
      <w:rFonts w:ascii="Times New Roman" w:hAnsi="Times New Roman" w:cs="Times New Roman"/>
      <w:b/>
      <w:sz w:val="24"/>
      <w:szCs w:val="24"/>
    </w:rPr>
  </w:style>
  <w:style w:type="paragraph" w:styleId="10">
    <w:name w:val="heading 8"/>
    <w:basedOn w:val="1"/>
    <w:next w:val="7"/>
    <w:link w:val="64"/>
    <w:autoRedefine/>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styleId="11">
    <w:name w:val="heading 9"/>
    <w:basedOn w:val="1"/>
    <w:next w:val="7"/>
    <w:link w:val="65"/>
    <w:autoRedefine/>
    <w:qFormat/>
    <w:uiPriority w:val="0"/>
    <w:pPr>
      <w:keepNext/>
      <w:keepLines/>
      <w:numPr>
        <w:ilvl w:val="8"/>
        <w:numId w:val="1"/>
      </w:numPr>
      <w:spacing w:before="240" w:after="64" w:line="320" w:lineRule="auto"/>
      <w:outlineLvl w:val="8"/>
    </w:pPr>
    <w:rPr>
      <w:rFonts w:ascii="Arial" w:hAnsi="Arial" w:eastAsia="黑体" w:cs="Times New Roman"/>
      <w:szCs w:val="24"/>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rPr>
      <w:rFonts w:ascii="Times New Roman" w:hAnsi="Times New Roman" w:cs="Times New Roman"/>
      <w:szCs w:val="20"/>
    </w:rPr>
  </w:style>
  <w:style w:type="paragraph" w:styleId="12">
    <w:name w:val="toc 7"/>
    <w:basedOn w:val="1"/>
    <w:next w:val="1"/>
    <w:autoRedefine/>
    <w:unhideWhenUsed/>
    <w:qFormat/>
    <w:uiPriority w:val="39"/>
    <w:pPr>
      <w:ind w:left="2520" w:leftChars="1200"/>
    </w:pPr>
    <w:rPr>
      <w:rFonts w:ascii="Calibri" w:hAnsi="Calibri" w:cs="Times New Roman"/>
    </w:r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rFonts w:ascii="Times New Roman" w:hAnsi="Times New Roman" w:cs="Times New Roman"/>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6"/>
    <w:autoRedefine/>
    <w:unhideWhenUsed/>
    <w:qFormat/>
    <w:uiPriority w:val="0"/>
    <w:pPr>
      <w:shd w:val="clear" w:color="auto" w:fill="000080"/>
    </w:pPr>
    <w:rPr>
      <w:rFonts w:hint="eastAsia" w:cs="Times New Roman"/>
      <w:kern w:val="0"/>
      <w:sz w:val="20"/>
      <w:szCs w:val="20"/>
    </w:rPr>
  </w:style>
  <w:style w:type="paragraph" w:styleId="16">
    <w:name w:val="annotation text"/>
    <w:basedOn w:val="1"/>
    <w:link w:val="87"/>
    <w:autoRedefine/>
    <w:unhideWhenUsed/>
    <w:qFormat/>
    <w:uiPriority w:val="0"/>
    <w:pPr>
      <w:jc w:val="left"/>
    </w:pPr>
    <w:rPr>
      <w:rFonts w:ascii="Times New Roman" w:hAnsi="Times New Roman" w:cs="Times New Roman"/>
      <w:szCs w:val="24"/>
    </w:rPr>
  </w:style>
  <w:style w:type="paragraph" w:styleId="17">
    <w:name w:val="Body Text 3"/>
    <w:basedOn w:val="1"/>
    <w:link w:val="68"/>
    <w:autoRedefine/>
    <w:qFormat/>
    <w:uiPriority w:val="0"/>
    <w:pPr>
      <w:spacing w:line="500" w:lineRule="exact"/>
    </w:pPr>
    <w:rPr>
      <w:rFonts w:ascii="Times New Roman" w:hAnsi="Times New Roman" w:cs="Times New Roman"/>
      <w:b/>
      <w:bCs/>
      <w:kern w:val="0"/>
      <w:sz w:val="24"/>
      <w:szCs w:val="24"/>
    </w:rPr>
  </w:style>
  <w:style w:type="paragraph" w:styleId="18">
    <w:name w:val="Body Text"/>
    <w:basedOn w:val="1"/>
    <w:next w:val="19"/>
    <w:link w:val="69"/>
    <w:autoRedefine/>
    <w:qFormat/>
    <w:uiPriority w:val="99"/>
    <w:pPr>
      <w:spacing w:line="380" w:lineRule="exact"/>
      <w:ind w:firstLine="422"/>
    </w:pPr>
    <w:rPr>
      <w:rFonts w:ascii="Times New Roman"/>
      <w:b/>
      <w:kern w:val="0"/>
    </w:rPr>
  </w:style>
  <w:style w:type="paragraph" w:styleId="19">
    <w:name w:val="Body Text First Indent 2"/>
    <w:basedOn w:val="20"/>
    <w:next w:val="1"/>
    <w:link w:val="71"/>
    <w:autoRedefine/>
    <w:unhideWhenUsed/>
    <w:qFormat/>
    <w:uiPriority w:val="0"/>
    <w:pPr>
      <w:spacing w:after="0"/>
      <w:ind w:left="0" w:leftChars="0"/>
    </w:pPr>
    <w:rPr>
      <w:rFonts w:ascii="仿宋_GB2312" w:eastAsia="仿宋_GB2312"/>
      <w:kern w:val="0"/>
      <w:sz w:val="32"/>
      <w:szCs w:val="20"/>
    </w:rPr>
  </w:style>
  <w:style w:type="paragraph" w:styleId="20">
    <w:name w:val="Body Text Indent"/>
    <w:basedOn w:val="1"/>
    <w:link w:val="70"/>
    <w:autoRedefine/>
    <w:unhideWhenUsed/>
    <w:qFormat/>
    <w:uiPriority w:val="0"/>
    <w:pPr>
      <w:spacing w:after="120"/>
      <w:ind w:left="420" w:leftChars="200"/>
    </w:pPr>
    <w:rPr>
      <w:rFonts w:ascii="Times New Roman" w:hAnsi="Times New Roman" w:cs="Times New Roman"/>
      <w:szCs w:val="24"/>
    </w:rPr>
  </w:style>
  <w:style w:type="paragraph" w:styleId="21">
    <w:name w:val="List Number 3"/>
    <w:basedOn w:val="1"/>
    <w:autoRedefine/>
    <w:qFormat/>
    <w:uiPriority w:val="0"/>
    <w:pPr>
      <w:numPr>
        <w:ilvl w:val="0"/>
        <w:numId w:val="2"/>
      </w:numPr>
    </w:pPr>
    <w:rPr>
      <w:rFonts w:ascii="Times New Roman" w:hAnsi="Times New Roman" w:cs="Times New Roman"/>
      <w:szCs w:val="24"/>
    </w:rPr>
  </w:style>
  <w:style w:type="paragraph" w:styleId="22">
    <w:name w:val="List 2"/>
    <w:basedOn w:val="1"/>
    <w:autoRedefine/>
    <w:qFormat/>
    <w:uiPriority w:val="0"/>
    <w:pPr>
      <w:ind w:left="100" w:leftChars="200" w:hanging="200" w:hangingChars="200"/>
    </w:pPr>
    <w:rPr>
      <w:rFonts w:ascii="Times New Roman" w:hAnsi="Times New Roman" w:cs="Times New Roman"/>
      <w:sz w:val="28"/>
      <w:szCs w:val="24"/>
    </w:rPr>
  </w:style>
  <w:style w:type="paragraph" w:styleId="23">
    <w:name w:val="toc 5"/>
    <w:basedOn w:val="1"/>
    <w:next w:val="1"/>
    <w:autoRedefine/>
    <w:unhideWhenUsed/>
    <w:qFormat/>
    <w:uiPriority w:val="39"/>
    <w:pPr>
      <w:ind w:left="1680" w:leftChars="800"/>
    </w:pPr>
    <w:rPr>
      <w:rFonts w:ascii="Calibri" w:hAnsi="Calibri" w:cs="Times New Roman"/>
    </w:rPr>
  </w:style>
  <w:style w:type="paragraph" w:styleId="24">
    <w:name w:val="toc 3"/>
    <w:basedOn w:val="1"/>
    <w:next w:val="1"/>
    <w:autoRedefine/>
    <w:unhideWhenUsed/>
    <w:qFormat/>
    <w:uiPriority w:val="39"/>
    <w:pPr>
      <w:ind w:left="840" w:leftChars="400"/>
    </w:pPr>
    <w:rPr>
      <w:rFonts w:ascii="Calibri" w:hAnsi="Calibri" w:cs="Times New Roman"/>
    </w:rPr>
  </w:style>
  <w:style w:type="paragraph" w:styleId="25">
    <w:name w:val="Plain Text"/>
    <w:basedOn w:val="1"/>
    <w:next w:val="5"/>
    <w:link w:val="88"/>
    <w:autoRedefine/>
    <w:qFormat/>
    <w:uiPriority w:val="0"/>
    <w:rPr>
      <w:rFonts w:hAnsi="Courier New" w:cs="Times New Roman"/>
      <w:kern w:val="0"/>
      <w:sz w:val="20"/>
    </w:rPr>
  </w:style>
  <w:style w:type="paragraph" w:styleId="26">
    <w:name w:val="toc 8"/>
    <w:basedOn w:val="1"/>
    <w:next w:val="1"/>
    <w:autoRedefine/>
    <w:unhideWhenUsed/>
    <w:qFormat/>
    <w:uiPriority w:val="39"/>
    <w:pPr>
      <w:ind w:left="2940" w:leftChars="1400"/>
    </w:pPr>
    <w:rPr>
      <w:rFonts w:ascii="Calibri" w:hAnsi="Calibri" w:cs="Times New Roman"/>
    </w:rPr>
  </w:style>
  <w:style w:type="paragraph" w:styleId="27">
    <w:name w:val="Date"/>
    <w:basedOn w:val="1"/>
    <w:next w:val="1"/>
    <w:link w:val="73"/>
    <w:autoRedefine/>
    <w:qFormat/>
    <w:uiPriority w:val="0"/>
    <w:pPr>
      <w:ind w:left="100" w:leftChars="2500"/>
    </w:pPr>
    <w:rPr>
      <w:rFonts w:hAnsi="Courier New" w:cs="Times New Roman"/>
      <w:kern w:val="0"/>
      <w:sz w:val="20"/>
    </w:rPr>
  </w:style>
  <w:style w:type="paragraph" w:styleId="28">
    <w:name w:val="Body Text Indent 2"/>
    <w:basedOn w:val="1"/>
    <w:link w:val="74"/>
    <w:autoRedefine/>
    <w:qFormat/>
    <w:uiPriority w:val="0"/>
    <w:pPr>
      <w:ind w:firstLine="630"/>
    </w:pPr>
    <w:rPr>
      <w:rFonts w:ascii="Times New Roman" w:hAnsi="Times New Roman" w:cs="Times New Roman"/>
      <w:kern w:val="0"/>
      <w:sz w:val="32"/>
      <w:szCs w:val="20"/>
    </w:rPr>
  </w:style>
  <w:style w:type="paragraph" w:styleId="29">
    <w:name w:val="endnote text"/>
    <w:basedOn w:val="1"/>
    <w:link w:val="75"/>
    <w:autoRedefine/>
    <w:unhideWhenUsed/>
    <w:qFormat/>
    <w:uiPriority w:val="99"/>
    <w:pPr>
      <w:snapToGrid w:val="0"/>
      <w:jc w:val="left"/>
    </w:pPr>
    <w:rPr>
      <w:rFonts w:ascii="Times New Roman" w:hAnsi="Times New Roman" w:cs="Times New Roman"/>
      <w:szCs w:val="24"/>
    </w:rPr>
  </w:style>
  <w:style w:type="paragraph" w:styleId="30">
    <w:name w:val="Balloon Text"/>
    <w:basedOn w:val="1"/>
    <w:link w:val="76"/>
    <w:autoRedefine/>
    <w:semiHidden/>
    <w:qFormat/>
    <w:uiPriority w:val="0"/>
    <w:rPr>
      <w:rFonts w:ascii="Times New Roman" w:hAnsi="Times New Roman" w:cs="Times New Roman"/>
      <w:kern w:val="0"/>
      <w:sz w:val="18"/>
      <w:szCs w:val="18"/>
    </w:rPr>
  </w:style>
  <w:style w:type="paragraph" w:styleId="31">
    <w:name w:val="footer"/>
    <w:basedOn w:val="1"/>
    <w:next w:val="1"/>
    <w:link w:val="77"/>
    <w:autoRedefine/>
    <w:unhideWhenUsed/>
    <w:qFormat/>
    <w:uiPriority w:val="99"/>
    <w:pPr>
      <w:tabs>
        <w:tab w:val="center" w:pos="4153"/>
        <w:tab w:val="right" w:pos="8306"/>
      </w:tabs>
      <w:snapToGrid w:val="0"/>
      <w:ind w:firstLine="360"/>
      <w:jc w:val="center"/>
    </w:pPr>
    <w:rPr>
      <w:rFonts w:ascii="Times New Roman" w:hAnsi="Times New Roman" w:cs="Times New Roman"/>
      <w:kern w:val="0"/>
      <w:sz w:val="18"/>
      <w:szCs w:val="18"/>
    </w:rPr>
  </w:style>
  <w:style w:type="paragraph" w:styleId="32">
    <w:name w:val="header"/>
    <w:basedOn w:val="1"/>
    <w:link w:val="78"/>
    <w:autoRedefine/>
    <w:unhideWhenUsed/>
    <w:qFormat/>
    <w:uiPriority w:val="99"/>
    <w:pPr>
      <w:pBdr>
        <w:bottom w:val="single" w:color="auto" w:sz="6" w:space="1"/>
      </w:pBdr>
      <w:tabs>
        <w:tab w:val="center" w:pos="0"/>
        <w:tab w:val="left" w:pos="8306"/>
      </w:tabs>
      <w:snapToGrid w:val="0"/>
      <w:jc w:val="center"/>
    </w:pPr>
    <w:rPr>
      <w:rFonts w:ascii="Times New Roman" w:hAnsi="Times New Roman" w:cs="Times New Roman"/>
      <w:sz w:val="18"/>
      <w:szCs w:val="18"/>
    </w:rPr>
  </w:style>
  <w:style w:type="paragraph" w:styleId="33">
    <w:name w:val="toc 1"/>
    <w:basedOn w:val="1"/>
    <w:next w:val="1"/>
    <w:autoRedefine/>
    <w:qFormat/>
    <w:uiPriority w:val="39"/>
    <w:pPr>
      <w:tabs>
        <w:tab w:val="right" w:leader="dot" w:pos="8398"/>
      </w:tabs>
      <w:spacing w:before="120" w:after="120"/>
      <w:ind w:firstLine="240" w:firstLineChars="100"/>
      <w:jc w:val="left"/>
    </w:pPr>
    <w:rPr>
      <w:rFonts w:cs="Times New Roman"/>
      <w:b/>
      <w:bCs/>
      <w:caps/>
      <w:sz w:val="24"/>
      <w:szCs w:val="24"/>
    </w:rPr>
  </w:style>
  <w:style w:type="paragraph" w:styleId="34">
    <w:name w:val="toc 4"/>
    <w:basedOn w:val="1"/>
    <w:next w:val="1"/>
    <w:autoRedefine/>
    <w:unhideWhenUsed/>
    <w:qFormat/>
    <w:uiPriority w:val="39"/>
    <w:pPr>
      <w:ind w:left="1260" w:leftChars="600"/>
    </w:pPr>
    <w:rPr>
      <w:rFonts w:ascii="Calibri" w:hAnsi="Calibri" w:cs="Times New Roman"/>
    </w:rPr>
  </w:style>
  <w:style w:type="paragraph" w:styleId="35">
    <w:name w:val="List"/>
    <w:basedOn w:val="1"/>
    <w:autoRedefine/>
    <w:qFormat/>
    <w:uiPriority w:val="0"/>
    <w:pPr>
      <w:ind w:left="200" w:hanging="200" w:hangingChars="200"/>
    </w:pPr>
    <w:rPr>
      <w:rFonts w:ascii="Times New Roman" w:hAnsi="Times New Roman" w:cs="Times New Roman"/>
      <w:sz w:val="28"/>
      <w:szCs w:val="24"/>
    </w:rPr>
  </w:style>
  <w:style w:type="paragraph" w:styleId="36">
    <w:name w:val="footnote text"/>
    <w:basedOn w:val="1"/>
    <w:link w:val="79"/>
    <w:autoRedefine/>
    <w:unhideWhenUsed/>
    <w:qFormat/>
    <w:uiPriority w:val="99"/>
    <w:pPr>
      <w:snapToGrid w:val="0"/>
      <w:jc w:val="left"/>
    </w:pPr>
    <w:rPr>
      <w:rFonts w:ascii="Times New Roman" w:hAnsi="Times New Roman" w:cs="Times New Roman"/>
      <w:sz w:val="18"/>
      <w:szCs w:val="18"/>
    </w:rPr>
  </w:style>
  <w:style w:type="paragraph" w:styleId="37">
    <w:name w:val="toc 6"/>
    <w:basedOn w:val="1"/>
    <w:next w:val="1"/>
    <w:autoRedefine/>
    <w:unhideWhenUsed/>
    <w:qFormat/>
    <w:uiPriority w:val="39"/>
    <w:pPr>
      <w:ind w:left="2100" w:leftChars="1000"/>
    </w:pPr>
    <w:rPr>
      <w:rFonts w:ascii="Calibri" w:hAnsi="Calibri" w:cs="Times New Roman"/>
    </w:rPr>
  </w:style>
  <w:style w:type="paragraph" w:styleId="38">
    <w:name w:val="Body Text Indent 3"/>
    <w:basedOn w:val="1"/>
    <w:link w:val="80"/>
    <w:autoRedefine/>
    <w:qFormat/>
    <w:uiPriority w:val="0"/>
    <w:pPr>
      <w:spacing w:after="120"/>
      <w:ind w:left="420" w:leftChars="200"/>
    </w:pPr>
    <w:rPr>
      <w:rFonts w:ascii="Times New Roman" w:hAnsi="Times New Roman" w:cs="Times New Roman"/>
      <w:kern w:val="0"/>
      <w:sz w:val="16"/>
      <w:szCs w:val="16"/>
    </w:rPr>
  </w:style>
  <w:style w:type="paragraph" w:styleId="39">
    <w:name w:val="toc 2"/>
    <w:basedOn w:val="1"/>
    <w:next w:val="1"/>
    <w:autoRedefine/>
    <w:unhideWhenUsed/>
    <w:qFormat/>
    <w:uiPriority w:val="39"/>
    <w:pPr>
      <w:ind w:left="420" w:leftChars="200"/>
    </w:pPr>
    <w:rPr>
      <w:rFonts w:ascii="Times New Roman" w:hAnsi="Times New Roman" w:cs="Times New Roman"/>
      <w:szCs w:val="24"/>
    </w:rPr>
  </w:style>
  <w:style w:type="paragraph" w:styleId="40">
    <w:name w:val="toc 9"/>
    <w:basedOn w:val="1"/>
    <w:next w:val="1"/>
    <w:autoRedefine/>
    <w:unhideWhenUsed/>
    <w:qFormat/>
    <w:uiPriority w:val="39"/>
    <w:pPr>
      <w:ind w:left="3360" w:leftChars="1600"/>
    </w:pPr>
    <w:rPr>
      <w:rFonts w:ascii="Calibri" w:hAnsi="Calibri" w:cs="Times New Roman"/>
    </w:rPr>
  </w:style>
  <w:style w:type="paragraph" w:styleId="41">
    <w:name w:val="Body Text 2"/>
    <w:basedOn w:val="1"/>
    <w:link w:val="81"/>
    <w:autoRedefine/>
    <w:qFormat/>
    <w:uiPriority w:val="0"/>
    <w:pPr>
      <w:spacing w:after="120" w:line="480" w:lineRule="auto"/>
    </w:pPr>
    <w:rPr>
      <w:rFonts w:ascii="Times New Roman" w:hAnsi="Times New Roman" w:cs="Times New Roman"/>
      <w:kern w:val="0"/>
      <w:sz w:val="20"/>
      <w:szCs w:val="24"/>
    </w:rPr>
  </w:style>
  <w:style w:type="paragraph" w:styleId="42">
    <w:name w:val="Normal (Web)"/>
    <w:basedOn w:val="1"/>
    <w:autoRedefine/>
    <w:qFormat/>
    <w:uiPriority w:val="99"/>
    <w:pPr>
      <w:widowControl/>
      <w:spacing w:before="100" w:beforeAutospacing="1" w:after="100" w:afterAutospacing="1"/>
      <w:jc w:val="left"/>
    </w:pPr>
    <w:rPr>
      <w:rFonts w:cs="Times New Roman"/>
      <w:kern w:val="0"/>
      <w:sz w:val="24"/>
      <w:szCs w:val="24"/>
    </w:rPr>
  </w:style>
  <w:style w:type="paragraph" w:styleId="43">
    <w:name w:val="index 1"/>
    <w:basedOn w:val="1"/>
    <w:next w:val="1"/>
    <w:autoRedefine/>
    <w:semiHidden/>
    <w:qFormat/>
    <w:uiPriority w:val="0"/>
    <w:pPr>
      <w:spacing w:line="400" w:lineRule="exact"/>
    </w:pPr>
    <w:rPr>
      <w:rFonts w:hAnsi="Courier New" w:cs="Times New Roman"/>
      <w:b/>
      <w:szCs w:val="20"/>
    </w:rPr>
  </w:style>
  <w:style w:type="paragraph" w:styleId="44">
    <w:name w:val="Title"/>
    <w:basedOn w:val="1"/>
    <w:next w:val="1"/>
    <w:link w:val="82"/>
    <w:autoRedefine/>
    <w:qFormat/>
    <w:uiPriority w:val="10"/>
    <w:pPr>
      <w:spacing w:before="240" w:after="60"/>
      <w:jc w:val="center"/>
      <w:outlineLvl w:val="0"/>
    </w:pPr>
    <w:rPr>
      <w:rFonts w:ascii="Cambria" w:hAnsi="Cambria" w:cs="Times New Roman"/>
      <w:b/>
      <w:bCs/>
      <w:sz w:val="32"/>
      <w:szCs w:val="32"/>
    </w:rPr>
  </w:style>
  <w:style w:type="paragraph" w:styleId="45">
    <w:name w:val="annotation subject"/>
    <w:basedOn w:val="16"/>
    <w:next w:val="16"/>
    <w:link w:val="83"/>
    <w:autoRedefine/>
    <w:unhideWhenUsed/>
    <w:qFormat/>
    <w:uiPriority w:val="99"/>
    <w:rPr>
      <w:b/>
      <w:bCs/>
    </w:rPr>
  </w:style>
  <w:style w:type="paragraph" w:styleId="46">
    <w:name w:val="Body Text First Indent"/>
    <w:basedOn w:val="18"/>
    <w:link w:val="84"/>
    <w:autoRedefine/>
    <w:unhideWhenUsed/>
    <w:qFormat/>
    <w:uiPriority w:val="0"/>
    <w:pPr>
      <w:tabs>
        <w:tab w:val="left" w:pos="987"/>
      </w:tabs>
      <w:spacing w:line="240" w:lineRule="auto"/>
      <w:ind w:firstLine="420" w:firstLineChars="100"/>
    </w:pPr>
    <w:rPr>
      <w:kern w:val="2"/>
    </w:r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endnote reference"/>
    <w:autoRedefine/>
    <w:unhideWhenUsed/>
    <w:qFormat/>
    <w:uiPriority w:val="99"/>
    <w:rPr>
      <w:vertAlign w:val="superscript"/>
    </w:rPr>
  </w:style>
  <w:style w:type="character" w:styleId="51">
    <w:name w:val="page number"/>
    <w:autoRedefine/>
    <w:qFormat/>
    <w:uiPriority w:val="0"/>
  </w:style>
  <w:style w:type="character" w:styleId="52">
    <w:name w:val="FollowedHyperlink"/>
    <w:autoRedefine/>
    <w:qFormat/>
    <w:uiPriority w:val="0"/>
    <w:rPr>
      <w:color w:val="800080"/>
      <w:u w:val="single"/>
    </w:rPr>
  </w:style>
  <w:style w:type="character" w:styleId="53">
    <w:name w:val="Emphasis"/>
    <w:basedOn w:val="49"/>
    <w:autoRedefine/>
    <w:qFormat/>
    <w:uiPriority w:val="20"/>
    <w:rPr>
      <w:i/>
    </w:rPr>
  </w:style>
  <w:style w:type="character" w:styleId="54">
    <w:name w:val="Hyperlink"/>
    <w:autoRedefine/>
    <w:qFormat/>
    <w:uiPriority w:val="99"/>
    <w:rPr>
      <w:color w:val="0000FF"/>
      <w:u w:val="single"/>
    </w:rPr>
  </w:style>
  <w:style w:type="character" w:styleId="55">
    <w:name w:val="annotation reference"/>
    <w:basedOn w:val="49"/>
    <w:autoRedefine/>
    <w:unhideWhenUsed/>
    <w:qFormat/>
    <w:uiPriority w:val="0"/>
    <w:rPr>
      <w:sz w:val="21"/>
      <w:szCs w:val="21"/>
    </w:rPr>
  </w:style>
  <w:style w:type="character" w:styleId="56">
    <w:name w:val="footnote reference"/>
    <w:autoRedefine/>
    <w:unhideWhenUsed/>
    <w:qFormat/>
    <w:uiPriority w:val="99"/>
    <w:rPr>
      <w:vertAlign w:val="superscript"/>
    </w:rPr>
  </w:style>
  <w:style w:type="character" w:customStyle="1" w:styleId="57">
    <w:name w:val="标题 1 字符1"/>
    <w:basedOn w:val="49"/>
    <w:link w:val="2"/>
    <w:autoRedefine/>
    <w:qFormat/>
    <w:uiPriority w:val="0"/>
    <w:rPr>
      <w:rFonts w:ascii="Times New Roman" w:hAnsi="Times New Roman" w:eastAsia="宋体" w:cs="Times New Roman"/>
      <w:b/>
      <w:bCs/>
      <w:kern w:val="44"/>
      <w:sz w:val="44"/>
      <w:szCs w:val="44"/>
    </w:rPr>
  </w:style>
  <w:style w:type="character" w:customStyle="1" w:styleId="58">
    <w:name w:val="标题 2 字符"/>
    <w:basedOn w:val="49"/>
    <w:link w:val="3"/>
    <w:autoRedefine/>
    <w:qFormat/>
    <w:uiPriority w:val="0"/>
    <w:rPr>
      <w:rFonts w:ascii="Arial" w:hAnsi="Arial" w:eastAsia="黑体" w:cs="Times New Roman"/>
      <w:b/>
      <w:bCs/>
      <w:kern w:val="0"/>
      <w:sz w:val="32"/>
      <w:szCs w:val="32"/>
    </w:rPr>
  </w:style>
  <w:style w:type="character" w:customStyle="1" w:styleId="59">
    <w:name w:val="标题 3 字符"/>
    <w:basedOn w:val="49"/>
    <w:link w:val="4"/>
    <w:autoRedefine/>
    <w:qFormat/>
    <w:uiPriority w:val="0"/>
    <w:rPr>
      <w:rFonts w:ascii="Times New Roman" w:hAnsi="Times New Roman" w:eastAsia="宋体" w:cs="Times New Roman"/>
      <w:b/>
      <w:bCs/>
      <w:kern w:val="0"/>
      <w:sz w:val="32"/>
      <w:szCs w:val="32"/>
    </w:rPr>
  </w:style>
  <w:style w:type="character" w:customStyle="1" w:styleId="60">
    <w:name w:val="标题 4 字符"/>
    <w:basedOn w:val="49"/>
    <w:link w:val="5"/>
    <w:autoRedefine/>
    <w:qFormat/>
    <w:uiPriority w:val="0"/>
    <w:rPr>
      <w:rFonts w:ascii="Arial" w:hAnsi="Times New Roman" w:eastAsia="黑体" w:cs="Times New Roman"/>
      <w:sz w:val="28"/>
      <w:szCs w:val="20"/>
    </w:rPr>
  </w:style>
  <w:style w:type="character" w:customStyle="1" w:styleId="61">
    <w:name w:val="标题 5 Char"/>
    <w:basedOn w:val="49"/>
    <w:autoRedefine/>
    <w:qFormat/>
    <w:uiPriority w:val="0"/>
    <w:rPr>
      <w:b/>
      <w:bCs/>
      <w:sz w:val="28"/>
      <w:szCs w:val="28"/>
    </w:rPr>
  </w:style>
  <w:style w:type="character" w:customStyle="1" w:styleId="62">
    <w:name w:val="标题 6 字符"/>
    <w:basedOn w:val="49"/>
    <w:link w:val="8"/>
    <w:autoRedefine/>
    <w:qFormat/>
    <w:uiPriority w:val="0"/>
    <w:rPr>
      <w:rFonts w:ascii="Arial" w:hAnsi="Arial" w:eastAsia="黑体" w:cs="Times New Roman"/>
      <w:b/>
      <w:sz w:val="24"/>
      <w:szCs w:val="24"/>
    </w:rPr>
  </w:style>
  <w:style w:type="character" w:customStyle="1" w:styleId="63">
    <w:name w:val="标题 7 字符"/>
    <w:basedOn w:val="49"/>
    <w:link w:val="9"/>
    <w:autoRedefine/>
    <w:qFormat/>
    <w:uiPriority w:val="0"/>
    <w:rPr>
      <w:rFonts w:ascii="Times New Roman" w:hAnsi="Times New Roman" w:eastAsia="宋体" w:cs="Times New Roman"/>
      <w:b/>
      <w:sz w:val="24"/>
      <w:szCs w:val="24"/>
    </w:rPr>
  </w:style>
  <w:style w:type="character" w:customStyle="1" w:styleId="64">
    <w:name w:val="标题 8 字符"/>
    <w:basedOn w:val="49"/>
    <w:link w:val="10"/>
    <w:autoRedefine/>
    <w:qFormat/>
    <w:uiPriority w:val="0"/>
    <w:rPr>
      <w:rFonts w:ascii="Arial" w:hAnsi="Arial" w:eastAsia="黑体" w:cs="Times New Roman"/>
      <w:sz w:val="24"/>
      <w:szCs w:val="24"/>
    </w:rPr>
  </w:style>
  <w:style w:type="character" w:customStyle="1" w:styleId="65">
    <w:name w:val="标题 9 字符"/>
    <w:basedOn w:val="49"/>
    <w:link w:val="11"/>
    <w:autoRedefine/>
    <w:qFormat/>
    <w:uiPriority w:val="0"/>
    <w:rPr>
      <w:rFonts w:ascii="Arial" w:hAnsi="Arial" w:eastAsia="黑体" w:cs="Times New Roman"/>
      <w:szCs w:val="24"/>
    </w:rPr>
  </w:style>
  <w:style w:type="character" w:customStyle="1" w:styleId="66">
    <w:name w:val="文档结构图 字符"/>
    <w:basedOn w:val="49"/>
    <w:link w:val="15"/>
    <w:autoRedefine/>
    <w:qFormat/>
    <w:uiPriority w:val="0"/>
    <w:rPr>
      <w:rFonts w:ascii="宋体" w:hAnsi="宋体" w:eastAsia="宋体" w:cs="Times New Roman"/>
      <w:kern w:val="0"/>
      <w:sz w:val="20"/>
      <w:szCs w:val="20"/>
      <w:shd w:val="clear" w:color="auto" w:fill="000080"/>
    </w:rPr>
  </w:style>
  <w:style w:type="character" w:customStyle="1" w:styleId="67">
    <w:name w:val="批注文字 Char"/>
    <w:basedOn w:val="49"/>
    <w:autoRedefine/>
    <w:qFormat/>
    <w:uiPriority w:val="0"/>
  </w:style>
  <w:style w:type="character" w:customStyle="1" w:styleId="68">
    <w:name w:val="正文文本 3 字符"/>
    <w:basedOn w:val="49"/>
    <w:link w:val="17"/>
    <w:autoRedefine/>
    <w:qFormat/>
    <w:uiPriority w:val="0"/>
    <w:rPr>
      <w:rFonts w:ascii="Times New Roman" w:hAnsi="Times New Roman" w:eastAsia="宋体" w:cs="Times New Roman"/>
      <w:b/>
      <w:bCs/>
      <w:kern w:val="0"/>
      <w:sz w:val="24"/>
      <w:szCs w:val="24"/>
    </w:rPr>
  </w:style>
  <w:style w:type="character" w:customStyle="1" w:styleId="69">
    <w:name w:val="正文文本 字符"/>
    <w:basedOn w:val="49"/>
    <w:link w:val="18"/>
    <w:autoRedefine/>
    <w:qFormat/>
    <w:uiPriority w:val="99"/>
    <w:rPr>
      <w:rFonts w:ascii="Times New Roman" w:hAnsi="宋体" w:eastAsia="宋体" w:cs="宋体"/>
      <w:b/>
      <w:kern w:val="0"/>
      <w:szCs w:val="21"/>
    </w:rPr>
  </w:style>
  <w:style w:type="character" w:customStyle="1" w:styleId="70">
    <w:name w:val="正文文本缩进 字符1"/>
    <w:basedOn w:val="49"/>
    <w:link w:val="20"/>
    <w:autoRedefine/>
    <w:qFormat/>
    <w:uiPriority w:val="0"/>
    <w:rPr>
      <w:rFonts w:ascii="Times New Roman" w:hAnsi="Times New Roman" w:eastAsia="宋体" w:cs="Times New Roman"/>
      <w:szCs w:val="24"/>
    </w:rPr>
  </w:style>
  <w:style w:type="character" w:customStyle="1" w:styleId="71">
    <w:name w:val="正文首行缩进 2 字符"/>
    <w:basedOn w:val="70"/>
    <w:link w:val="19"/>
    <w:autoRedefine/>
    <w:qFormat/>
    <w:uiPriority w:val="0"/>
    <w:rPr>
      <w:rFonts w:ascii="仿宋_GB2312" w:hAnsi="Times New Roman" w:eastAsia="仿宋_GB2312" w:cs="Times New Roman"/>
      <w:kern w:val="0"/>
      <w:sz w:val="32"/>
      <w:szCs w:val="20"/>
    </w:rPr>
  </w:style>
  <w:style w:type="character" w:customStyle="1" w:styleId="72">
    <w:name w:val="纯文本 Char"/>
    <w:basedOn w:val="49"/>
    <w:autoRedefine/>
    <w:qFormat/>
    <w:uiPriority w:val="0"/>
    <w:rPr>
      <w:rFonts w:ascii="宋体" w:hAnsi="Courier New" w:eastAsia="宋体" w:cs="Courier New"/>
      <w:szCs w:val="21"/>
    </w:rPr>
  </w:style>
  <w:style w:type="character" w:customStyle="1" w:styleId="73">
    <w:name w:val="日期 字符"/>
    <w:basedOn w:val="49"/>
    <w:link w:val="27"/>
    <w:autoRedefine/>
    <w:qFormat/>
    <w:uiPriority w:val="0"/>
    <w:rPr>
      <w:rFonts w:ascii="宋体" w:hAnsi="Courier New" w:eastAsia="宋体" w:cs="Times New Roman"/>
      <w:kern w:val="0"/>
      <w:sz w:val="20"/>
      <w:szCs w:val="21"/>
    </w:rPr>
  </w:style>
  <w:style w:type="character" w:customStyle="1" w:styleId="74">
    <w:name w:val="正文文本缩进 2 字符"/>
    <w:basedOn w:val="49"/>
    <w:link w:val="28"/>
    <w:autoRedefine/>
    <w:qFormat/>
    <w:uiPriority w:val="0"/>
    <w:rPr>
      <w:rFonts w:ascii="Times New Roman" w:hAnsi="Times New Roman" w:eastAsia="宋体" w:cs="Times New Roman"/>
      <w:kern w:val="0"/>
      <w:sz w:val="32"/>
      <w:szCs w:val="20"/>
    </w:rPr>
  </w:style>
  <w:style w:type="character" w:customStyle="1" w:styleId="75">
    <w:name w:val="尾注文本 字符"/>
    <w:basedOn w:val="49"/>
    <w:link w:val="29"/>
    <w:autoRedefine/>
    <w:qFormat/>
    <w:uiPriority w:val="99"/>
    <w:rPr>
      <w:rFonts w:ascii="Times New Roman" w:hAnsi="Times New Roman" w:eastAsia="宋体" w:cs="Times New Roman"/>
      <w:szCs w:val="24"/>
    </w:rPr>
  </w:style>
  <w:style w:type="character" w:customStyle="1" w:styleId="76">
    <w:name w:val="批注框文本 字符"/>
    <w:basedOn w:val="49"/>
    <w:link w:val="30"/>
    <w:autoRedefine/>
    <w:semiHidden/>
    <w:qFormat/>
    <w:uiPriority w:val="0"/>
    <w:rPr>
      <w:rFonts w:ascii="Times New Roman" w:hAnsi="Times New Roman" w:eastAsia="宋体" w:cs="Times New Roman"/>
      <w:kern w:val="0"/>
      <w:sz w:val="18"/>
      <w:szCs w:val="18"/>
    </w:rPr>
  </w:style>
  <w:style w:type="character" w:customStyle="1" w:styleId="77">
    <w:name w:val="页脚 字符1"/>
    <w:basedOn w:val="49"/>
    <w:link w:val="31"/>
    <w:autoRedefine/>
    <w:qFormat/>
    <w:uiPriority w:val="99"/>
    <w:rPr>
      <w:sz w:val="18"/>
      <w:szCs w:val="18"/>
    </w:rPr>
  </w:style>
  <w:style w:type="character" w:customStyle="1" w:styleId="78">
    <w:name w:val="页眉 字符"/>
    <w:basedOn w:val="49"/>
    <w:link w:val="32"/>
    <w:autoRedefine/>
    <w:qFormat/>
    <w:uiPriority w:val="99"/>
    <w:rPr>
      <w:rFonts w:ascii="Times New Roman" w:hAnsi="Times New Roman" w:eastAsia="宋体" w:cs="Times New Roman"/>
      <w:sz w:val="18"/>
      <w:szCs w:val="18"/>
    </w:rPr>
  </w:style>
  <w:style w:type="character" w:customStyle="1" w:styleId="79">
    <w:name w:val="脚注文本 字符"/>
    <w:basedOn w:val="49"/>
    <w:link w:val="36"/>
    <w:autoRedefine/>
    <w:qFormat/>
    <w:uiPriority w:val="99"/>
    <w:rPr>
      <w:rFonts w:ascii="Times New Roman" w:hAnsi="Times New Roman" w:eastAsia="宋体" w:cs="Times New Roman"/>
      <w:sz w:val="18"/>
      <w:szCs w:val="18"/>
    </w:rPr>
  </w:style>
  <w:style w:type="character" w:customStyle="1" w:styleId="80">
    <w:name w:val="正文文本缩进 3 字符"/>
    <w:basedOn w:val="49"/>
    <w:link w:val="38"/>
    <w:autoRedefine/>
    <w:qFormat/>
    <w:uiPriority w:val="0"/>
    <w:rPr>
      <w:rFonts w:ascii="Times New Roman" w:hAnsi="Times New Roman" w:eastAsia="宋体" w:cs="Times New Roman"/>
      <w:kern w:val="0"/>
      <w:sz w:val="16"/>
      <w:szCs w:val="16"/>
    </w:rPr>
  </w:style>
  <w:style w:type="character" w:customStyle="1" w:styleId="81">
    <w:name w:val="正文文本 2 字符"/>
    <w:basedOn w:val="49"/>
    <w:link w:val="41"/>
    <w:autoRedefine/>
    <w:qFormat/>
    <w:uiPriority w:val="0"/>
    <w:rPr>
      <w:rFonts w:ascii="Times New Roman" w:hAnsi="Times New Roman" w:eastAsia="宋体" w:cs="Times New Roman"/>
      <w:kern w:val="0"/>
      <w:sz w:val="20"/>
      <w:szCs w:val="24"/>
    </w:rPr>
  </w:style>
  <w:style w:type="character" w:customStyle="1" w:styleId="82">
    <w:name w:val="标题 字符"/>
    <w:basedOn w:val="49"/>
    <w:link w:val="44"/>
    <w:autoRedefine/>
    <w:qFormat/>
    <w:uiPriority w:val="10"/>
    <w:rPr>
      <w:rFonts w:ascii="Cambria" w:hAnsi="Cambria" w:eastAsia="宋体" w:cs="Times New Roman"/>
      <w:b/>
      <w:bCs/>
      <w:sz w:val="32"/>
      <w:szCs w:val="32"/>
    </w:rPr>
  </w:style>
  <w:style w:type="character" w:customStyle="1" w:styleId="83">
    <w:name w:val="批注主题 字符"/>
    <w:basedOn w:val="67"/>
    <w:link w:val="45"/>
    <w:autoRedefine/>
    <w:qFormat/>
    <w:uiPriority w:val="99"/>
    <w:rPr>
      <w:rFonts w:ascii="Times New Roman" w:hAnsi="Times New Roman" w:eastAsia="宋体" w:cs="Times New Roman"/>
      <w:b/>
      <w:bCs/>
      <w:szCs w:val="24"/>
    </w:rPr>
  </w:style>
  <w:style w:type="character" w:customStyle="1" w:styleId="84">
    <w:name w:val="正文首行缩进 字符"/>
    <w:basedOn w:val="69"/>
    <w:link w:val="46"/>
    <w:autoRedefine/>
    <w:qFormat/>
    <w:uiPriority w:val="0"/>
    <w:rPr>
      <w:rFonts w:ascii="Times New Roman" w:hAnsi="宋体" w:eastAsia="宋体" w:cs="宋体"/>
      <w:kern w:val="0"/>
      <w:szCs w:val="21"/>
    </w:rPr>
  </w:style>
  <w:style w:type="paragraph" w:customStyle="1" w:styleId="85">
    <w:name w:val="Default"/>
    <w:next w:val="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6">
    <w:name w:val="标题 5 字符"/>
    <w:link w:val="6"/>
    <w:autoRedefine/>
    <w:qFormat/>
    <w:uiPriority w:val="0"/>
    <w:rPr>
      <w:rFonts w:ascii="Times New Roman" w:hAnsi="Times New Roman" w:eastAsia="宋体" w:cs="Times New Roman"/>
      <w:b/>
      <w:sz w:val="28"/>
      <w:szCs w:val="24"/>
    </w:rPr>
  </w:style>
  <w:style w:type="character" w:customStyle="1" w:styleId="87">
    <w:name w:val="批注文字 字符2"/>
    <w:link w:val="16"/>
    <w:autoRedefine/>
    <w:qFormat/>
    <w:uiPriority w:val="0"/>
    <w:rPr>
      <w:rFonts w:ascii="Times New Roman" w:hAnsi="Times New Roman" w:eastAsia="宋体" w:cs="Times New Roman"/>
      <w:szCs w:val="24"/>
    </w:rPr>
  </w:style>
  <w:style w:type="character" w:customStyle="1" w:styleId="88">
    <w:name w:val="纯文本 字符2"/>
    <w:link w:val="25"/>
    <w:autoRedefine/>
    <w:qFormat/>
    <w:uiPriority w:val="0"/>
    <w:rPr>
      <w:rFonts w:ascii="宋体" w:hAnsi="Courier New" w:eastAsia="宋体" w:cs="Times New Roman"/>
      <w:kern w:val="0"/>
      <w:sz w:val="20"/>
      <w:szCs w:val="21"/>
    </w:rPr>
  </w:style>
  <w:style w:type="paragraph" w:customStyle="1" w:styleId="89">
    <w:name w:val="表格文字115"/>
    <w:basedOn w:val="1"/>
    <w:autoRedefine/>
    <w:qFormat/>
    <w:uiPriority w:val="0"/>
    <w:pPr>
      <w:spacing w:before="25" w:after="25"/>
      <w:jc w:val="left"/>
    </w:pPr>
    <w:rPr>
      <w:rFonts w:ascii="Times New Roman" w:hAnsi="Times New Roman" w:cs="Times New Roman"/>
      <w:bCs/>
      <w:spacing w:val="10"/>
      <w:kern w:val="0"/>
      <w:sz w:val="24"/>
      <w:szCs w:val="24"/>
    </w:rPr>
  </w:style>
  <w:style w:type="character" w:customStyle="1" w:styleId="90">
    <w:name w:val="页脚 字符"/>
    <w:autoRedefine/>
    <w:qFormat/>
    <w:uiPriority w:val="99"/>
  </w:style>
  <w:style w:type="character" w:customStyle="1" w:styleId="91">
    <w:name w:val="纯文本 字符"/>
    <w:autoRedefine/>
    <w:qFormat/>
    <w:uiPriority w:val="0"/>
    <w:rPr>
      <w:rFonts w:ascii="宋体" w:hAnsi="Courier New" w:eastAsia="宋体" w:cs="Courier New"/>
      <w:szCs w:val="21"/>
    </w:rPr>
  </w:style>
  <w:style w:type="character" w:customStyle="1" w:styleId="92">
    <w:name w:val="标题 1 字符"/>
    <w:autoRedefine/>
    <w:qFormat/>
    <w:uiPriority w:val="9"/>
    <w:rPr>
      <w:rFonts w:ascii="Times New Roman" w:hAnsi="Times New Roman" w:eastAsia="宋体" w:cs="Times New Roman"/>
      <w:b/>
      <w:bCs/>
      <w:kern w:val="44"/>
      <w:sz w:val="44"/>
      <w:szCs w:val="44"/>
    </w:rPr>
  </w:style>
  <w:style w:type="character" w:customStyle="1" w:styleId="93">
    <w:name w:val="font41"/>
    <w:basedOn w:val="49"/>
    <w:autoRedefine/>
    <w:qFormat/>
    <w:uiPriority w:val="0"/>
    <w:rPr>
      <w:rFonts w:hint="eastAsia" w:ascii="宋体" w:hAnsi="宋体" w:eastAsia="宋体" w:cs="宋体"/>
      <w:color w:val="000000"/>
      <w:sz w:val="20"/>
      <w:szCs w:val="20"/>
      <w:u w:val="none"/>
    </w:rPr>
  </w:style>
  <w:style w:type="character" w:customStyle="1" w:styleId="94">
    <w:name w:val="批注文字 字符1"/>
    <w:autoRedefine/>
    <w:qFormat/>
    <w:uiPriority w:val="0"/>
    <w:rPr>
      <w:rFonts w:ascii="Times New Roman" w:hAnsi="Times New Roman"/>
      <w:kern w:val="2"/>
      <w:sz w:val="21"/>
      <w:szCs w:val="24"/>
    </w:rPr>
  </w:style>
  <w:style w:type="character" w:customStyle="1" w:styleId="95">
    <w:name w:val="批注文字 字符"/>
    <w:autoRedefine/>
    <w:qFormat/>
    <w:uiPriority w:val="0"/>
    <w:rPr>
      <w:rFonts w:ascii="Times New Roman" w:hAnsi="Times New Roman"/>
      <w:kern w:val="2"/>
      <w:sz w:val="21"/>
      <w:szCs w:val="24"/>
    </w:rPr>
  </w:style>
  <w:style w:type="character" w:customStyle="1" w:styleId="96">
    <w:name w:val="case31"/>
    <w:autoRedefine/>
    <w:qFormat/>
    <w:uiPriority w:val="0"/>
    <w:rPr>
      <w:rFonts w:hint="default" w:ascii="_x000B__x000C_" w:hAnsi="_x000B__x000C_"/>
      <w:sz w:val="21"/>
      <w:szCs w:val="21"/>
    </w:rPr>
  </w:style>
  <w:style w:type="character" w:customStyle="1" w:styleId="97">
    <w:name w:val="正文2 Char Char"/>
    <w:link w:val="98"/>
    <w:autoRedefine/>
    <w:qFormat/>
    <w:uiPriority w:val="0"/>
    <w:rPr>
      <w:sz w:val="24"/>
    </w:rPr>
  </w:style>
  <w:style w:type="paragraph" w:customStyle="1" w:styleId="98">
    <w:name w:val="正文2"/>
    <w:basedOn w:val="1"/>
    <w:link w:val="97"/>
    <w:autoRedefine/>
    <w:qFormat/>
    <w:uiPriority w:val="0"/>
    <w:pPr>
      <w:adjustRightInd w:val="0"/>
      <w:spacing w:before="156"/>
      <w:ind w:firstLine="510"/>
    </w:pPr>
    <w:rPr>
      <w:sz w:val="24"/>
    </w:rPr>
  </w:style>
  <w:style w:type="character" w:customStyle="1" w:styleId="99">
    <w:name w:val="纯文本 字符1"/>
    <w:autoRedefine/>
    <w:qFormat/>
    <w:uiPriority w:val="0"/>
    <w:rPr>
      <w:rFonts w:ascii="宋体" w:hAnsi="Courier New"/>
    </w:rPr>
  </w:style>
  <w:style w:type="character" w:customStyle="1" w:styleId="100">
    <w:name w:val="正文文本缩进 字符"/>
    <w:autoRedefine/>
    <w:qFormat/>
    <w:uiPriority w:val="0"/>
    <w:rPr>
      <w:rFonts w:ascii="仿宋_GB2312" w:hAnsi="Times New Roman" w:eastAsia="仿宋_GB2312" w:cs="Times New Roman"/>
      <w:sz w:val="32"/>
      <w:szCs w:val="20"/>
    </w:rPr>
  </w:style>
  <w:style w:type="character" w:customStyle="1" w:styleId="101">
    <w:name w:val="批注文字 Char1"/>
    <w:autoRedefine/>
    <w:semiHidden/>
    <w:qFormat/>
    <w:locked/>
    <w:uiPriority w:val="0"/>
    <w:rPr>
      <w:rFonts w:ascii="Times New Roman" w:hAnsi="Times New Roman"/>
      <w:kern w:val="2"/>
      <w:sz w:val="21"/>
      <w:szCs w:val="24"/>
    </w:rPr>
  </w:style>
  <w:style w:type="character" w:customStyle="1" w:styleId="102">
    <w:name w:val="纯文本 Char3"/>
    <w:autoRedefine/>
    <w:qFormat/>
    <w:uiPriority w:val="0"/>
    <w:rPr>
      <w:rFonts w:ascii="宋体" w:hAnsi="Courier New" w:eastAsia="宋体" w:cs="Courier New"/>
      <w:szCs w:val="21"/>
    </w:rPr>
  </w:style>
  <w:style w:type="character" w:customStyle="1" w:styleId="103">
    <w:name w:val="headline-content4"/>
    <w:autoRedefine/>
    <w:qFormat/>
    <w:uiPriority w:val="0"/>
  </w:style>
  <w:style w:type="character" w:customStyle="1" w:styleId="104">
    <w:name w:val="普通文字 Char Char2"/>
    <w:autoRedefine/>
    <w:qFormat/>
    <w:uiPriority w:val="0"/>
    <w:rPr>
      <w:rFonts w:ascii="宋体" w:hAnsi="Courier New" w:eastAsia="宋体"/>
      <w:kern w:val="2"/>
      <w:sz w:val="21"/>
      <w:lang w:val="en-US" w:eastAsia="zh-CN" w:bidi="ar-SA"/>
    </w:rPr>
  </w:style>
  <w:style w:type="character" w:customStyle="1" w:styleId="105">
    <w:name w:val="textcontents"/>
    <w:autoRedefine/>
    <w:qFormat/>
    <w:uiPriority w:val="0"/>
  </w:style>
  <w:style w:type="character" w:customStyle="1" w:styleId="106">
    <w:name w:val="正文文本 Char1"/>
    <w:autoRedefine/>
    <w:semiHidden/>
    <w:qFormat/>
    <w:locked/>
    <w:uiPriority w:val="99"/>
    <w:rPr>
      <w:sz w:val="24"/>
      <w:szCs w:val="24"/>
    </w:rPr>
  </w:style>
  <w:style w:type="character" w:customStyle="1" w:styleId="107">
    <w:name w:val="apple-style-span"/>
    <w:autoRedefine/>
    <w:qFormat/>
    <w:uiPriority w:val="0"/>
  </w:style>
  <w:style w:type="character" w:customStyle="1" w:styleId="10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9">
    <w:name w:val="font61"/>
    <w:basedOn w:val="49"/>
    <w:autoRedefine/>
    <w:qFormat/>
    <w:uiPriority w:val="0"/>
    <w:rPr>
      <w:rFonts w:ascii="Arial" w:hAnsi="Arial" w:cs="Arial"/>
      <w:color w:val="000000"/>
      <w:sz w:val="20"/>
      <w:szCs w:val="20"/>
      <w:u w:val="none"/>
    </w:rPr>
  </w:style>
  <w:style w:type="character" w:customStyle="1" w:styleId="110">
    <w:name w:val="font71"/>
    <w:basedOn w:val="49"/>
    <w:autoRedefine/>
    <w:qFormat/>
    <w:uiPriority w:val="0"/>
    <w:rPr>
      <w:rFonts w:hint="eastAsia" w:ascii="宋体" w:hAnsi="宋体" w:eastAsia="宋体" w:cs="宋体"/>
      <w:b/>
      <w:color w:val="000000"/>
      <w:sz w:val="20"/>
      <w:szCs w:val="20"/>
      <w:u w:val="none"/>
    </w:rPr>
  </w:style>
  <w:style w:type="paragraph" w:customStyle="1" w:styleId="111">
    <w:name w:val="标题3"/>
    <w:basedOn w:val="4"/>
    <w:next w:val="1"/>
    <w:autoRedefine/>
    <w:qFormat/>
    <w:uiPriority w:val="0"/>
    <w:pPr>
      <w:spacing w:before="200" w:after="200" w:line="360" w:lineRule="auto"/>
    </w:pPr>
    <w:rPr>
      <w:rFonts w:ascii="黑体" w:hAnsi="黑体" w:eastAsia="黑体"/>
      <w:bCs w:val="0"/>
      <w:sz w:val="24"/>
      <w:szCs w:val="24"/>
    </w:rPr>
  </w:style>
  <w:style w:type="paragraph" w:customStyle="1" w:styleId="112">
    <w:name w:val="目录 81"/>
    <w:basedOn w:val="1"/>
    <w:next w:val="1"/>
    <w:autoRedefine/>
    <w:qFormat/>
    <w:uiPriority w:val="0"/>
    <w:pPr>
      <w:ind w:left="1470"/>
    </w:pPr>
    <w:rPr>
      <w:rFonts w:ascii="Times New Roman" w:hAnsi="Times New Roman" w:cs="Times New Roman"/>
      <w:sz w:val="18"/>
      <w:szCs w:val="24"/>
    </w:rPr>
  </w:style>
  <w:style w:type="paragraph" w:customStyle="1" w:styleId="113">
    <w:name w:val="表内文字"/>
    <w:basedOn w:val="1"/>
    <w:autoRedefine/>
    <w:qFormat/>
    <w:uiPriority w:val="0"/>
    <w:pPr>
      <w:snapToGrid w:val="0"/>
      <w:spacing w:before="50" w:after="50"/>
      <w:jc w:val="center"/>
    </w:pPr>
    <w:rPr>
      <w:rFonts w:ascii="仿宋_GB2312" w:eastAsia="仿宋_GB2312" w:cs="Times New Roman"/>
      <w:b/>
      <w:color w:val="000000"/>
      <w:sz w:val="32"/>
      <w:szCs w:val="32"/>
    </w:rPr>
  </w:style>
  <w:style w:type="paragraph" w:customStyle="1" w:styleId="114">
    <w:name w:val="正文首行缩进两字符"/>
    <w:basedOn w:val="1"/>
    <w:autoRedefine/>
    <w:qFormat/>
    <w:uiPriority w:val="0"/>
    <w:pPr>
      <w:ind w:firstLine="200"/>
    </w:pPr>
    <w:rPr>
      <w:rFonts w:ascii="Times New Roman" w:hAnsi="Times New Roman" w:cs="Times New Roman"/>
      <w:szCs w:val="24"/>
    </w:rPr>
  </w:style>
  <w:style w:type="paragraph" w:customStyle="1" w:styleId="115">
    <w:name w:val="纯文本1"/>
    <w:basedOn w:val="1"/>
    <w:autoRedefine/>
    <w:qFormat/>
    <w:uiPriority w:val="0"/>
    <w:rPr>
      <w:rFonts w:hAnsi="Courier New" w:cs="Century"/>
    </w:rPr>
  </w:style>
  <w:style w:type="paragraph" w:customStyle="1" w:styleId="116">
    <w:name w:val="默认段落字体 Para Char Char Char Char Char Char Char Char Char1 Char Char Char Char"/>
    <w:basedOn w:val="1"/>
    <w:autoRedefine/>
    <w:qFormat/>
    <w:uiPriority w:val="0"/>
    <w:rPr>
      <w:rFonts w:ascii="Tahoma" w:hAnsi="Tahoma" w:cs="Times New Roman"/>
      <w:sz w:val="24"/>
      <w:szCs w:val="20"/>
    </w:rPr>
  </w:style>
  <w:style w:type="paragraph" w:customStyle="1" w:styleId="117">
    <w:name w:val="表格"/>
    <w:basedOn w:val="1"/>
    <w:autoRedefine/>
    <w:qFormat/>
    <w:uiPriority w:val="0"/>
    <w:pPr>
      <w:spacing w:line="400" w:lineRule="exact"/>
    </w:pPr>
    <w:rPr>
      <w:rFonts w:ascii="Times New Roman" w:hAnsi="Times New Roman" w:cs="Times New Roman"/>
      <w:sz w:val="24"/>
      <w:szCs w:val="24"/>
    </w:rPr>
  </w:style>
  <w:style w:type="paragraph" w:customStyle="1" w:styleId="118">
    <w:name w:val="样式 首行缩进:  2 字符"/>
    <w:basedOn w:val="1"/>
    <w:autoRedefine/>
    <w:qFormat/>
    <w:uiPriority w:val="0"/>
    <w:pPr>
      <w:spacing w:line="400" w:lineRule="exact"/>
      <w:ind w:firstLine="200"/>
    </w:pPr>
    <w:rPr>
      <w:rFonts w:ascii="Times New Roman" w:hAnsi="Times New Roman"/>
      <w:sz w:val="24"/>
      <w:szCs w:val="24"/>
    </w:rPr>
  </w:style>
  <w:style w:type="paragraph" w:customStyle="1" w:styleId="119">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0">
    <w:name w:val="Char1"/>
    <w:basedOn w:val="1"/>
    <w:autoRedefine/>
    <w:qFormat/>
    <w:uiPriority w:val="0"/>
    <w:rPr>
      <w:rFonts w:ascii="Times New Roman" w:hAnsi="Times New Roman" w:cs="Times New Roman"/>
    </w:rPr>
  </w:style>
  <w:style w:type="paragraph" w:customStyle="1" w:styleId="121">
    <w:name w:val="Table Paragraph"/>
    <w:basedOn w:val="1"/>
    <w:autoRedefine/>
    <w:qFormat/>
    <w:uiPriority w:val="1"/>
    <w:pPr>
      <w:jc w:val="left"/>
    </w:pPr>
    <w:rPr>
      <w:rFonts w:ascii="Calibri" w:hAnsi="Calibri" w:cs="Times New Roman"/>
      <w:kern w:val="0"/>
      <w:sz w:val="22"/>
      <w:lang w:eastAsia="en-US"/>
    </w:rPr>
  </w:style>
  <w:style w:type="paragraph" w:customStyle="1" w:styleId="12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23">
    <w:name w:val="正文段"/>
    <w:basedOn w:val="1"/>
    <w:autoRedefine/>
    <w:qFormat/>
    <w:uiPriority w:val="0"/>
    <w:pPr>
      <w:widowControl/>
      <w:snapToGrid w:val="0"/>
      <w:spacing w:afterLines="50"/>
      <w:ind w:firstLine="200"/>
    </w:pPr>
    <w:rPr>
      <w:rFonts w:ascii="Times New Roman" w:hAnsi="Times New Roman" w:cs="Times New Roman"/>
      <w:kern w:val="0"/>
      <w:sz w:val="24"/>
      <w:szCs w:val="20"/>
    </w:rPr>
  </w:style>
  <w:style w:type="paragraph" w:customStyle="1" w:styleId="124">
    <w:name w:val="表格文字"/>
    <w:basedOn w:val="1"/>
    <w:autoRedefine/>
    <w:qFormat/>
    <w:uiPriority w:val="0"/>
    <w:pPr>
      <w:widowControl/>
      <w:adjustRightInd w:val="0"/>
      <w:spacing w:afterLines="50"/>
      <w:ind w:firstLine="200"/>
      <w:jc w:val="left"/>
      <w:textAlignment w:val="baseline"/>
    </w:pPr>
    <w:rPr>
      <w:rFonts w:ascii="Arial" w:hAnsi="Arial" w:cs="Times New Roman"/>
      <w:kern w:val="0"/>
      <w:sz w:val="24"/>
      <w:szCs w:val="20"/>
    </w:rPr>
  </w:style>
  <w:style w:type="paragraph" w:customStyle="1" w:styleId="12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styleId="126">
    <w:name w:val="List Paragraph"/>
    <w:basedOn w:val="1"/>
    <w:autoRedefine/>
    <w:qFormat/>
    <w:uiPriority w:val="34"/>
    <w:rPr>
      <w:rFonts w:ascii="Times New Roman" w:hAnsi="Times New Roman" w:cs="Times New Roman"/>
      <w:szCs w:val="24"/>
    </w:rPr>
  </w:style>
  <w:style w:type="paragraph" w:customStyle="1" w:styleId="127">
    <w:name w:val="_Style 12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28">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29">
    <w:name w:val="标题3（投标须知）"/>
    <w:basedOn w:val="111"/>
    <w:next w:val="130"/>
    <w:autoRedefine/>
    <w:qFormat/>
    <w:uiPriority w:val="0"/>
    <w:pPr>
      <w:spacing w:line="240" w:lineRule="auto"/>
      <w:jc w:val="center"/>
    </w:pPr>
    <w:rPr>
      <w:bCs/>
      <w:sz w:val="30"/>
    </w:rPr>
  </w:style>
  <w:style w:type="paragraph" w:customStyle="1" w:styleId="130">
    <w:name w:val="标题4"/>
    <w:basedOn w:val="1"/>
    <w:next w:val="1"/>
    <w:autoRedefine/>
    <w:qFormat/>
    <w:uiPriority w:val="0"/>
    <w:pPr>
      <w:ind w:firstLine="176" w:firstLineChars="176"/>
      <w:outlineLvl w:val="3"/>
    </w:pPr>
    <w:rPr>
      <w:rFonts w:ascii="黑体" w:hAnsi="黑体" w:eastAsia="黑体" w:cs="Times New Roman"/>
      <w:b/>
      <w:bCs/>
      <w:sz w:val="24"/>
      <w:szCs w:val="24"/>
    </w:rPr>
  </w:style>
  <w:style w:type="paragraph" w:customStyle="1" w:styleId="131">
    <w:name w:val="List Paragraph1"/>
    <w:basedOn w:val="1"/>
    <w:autoRedefine/>
    <w:qFormat/>
    <w:uiPriority w:val="99"/>
    <w:rPr>
      <w:rFonts w:ascii="Times New Roman" w:hAnsi="Times New Roman" w:cs="Times New Roman"/>
      <w:sz w:val="20"/>
      <w:szCs w:val="24"/>
    </w:rPr>
  </w:style>
  <w:style w:type="paragraph" w:customStyle="1" w:styleId="132">
    <w:name w:val="p15"/>
    <w:basedOn w:val="1"/>
    <w:autoRedefine/>
    <w:qFormat/>
    <w:uiPriority w:val="0"/>
    <w:pPr>
      <w:widowControl/>
    </w:pPr>
    <w:rPr>
      <w:kern w:val="0"/>
    </w:rPr>
  </w:style>
  <w:style w:type="table" w:customStyle="1" w:styleId="133">
    <w:name w:val="Table Normal"/>
    <w:autoRedefine/>
    <w:semiHidden/>
    <w:qFormat/>
    <w:uiPriority w:val="2"/>
    <w:pPr>
      <w:widowControl w:val="0"/>
    </w:pPr>
    <w:rPr>
      <w:rFonts w:ascii="Calibri" w:hAnsi="Calibri" w:eastAsia="Times New Roman"/>
      <w:sz w:val="22"/>
      <w:lang w:eastAsia="en-US"/>
    </w:rPr>
    <w:tblPr>
      <w:tblCellMar>
        <w:top w:w="0" w:type="dxa"/>
        <w:left w:w="0" w:type="dxa"/>
        <w:bottom w:w="0" w:type="dxa"/>
        <w:right w:w="0" w:type="dxa"/>
      </w:tblCellMar>
    </w:tblPr>
  </w:style>
  <w:style w:type="character" w:customStyle="1" w:styleId="134">
    <w:name w:val="font51"/>
    <w:basedOn w:val="49"/>
    <w:autoRedefine/>
    <w:qFormat/>
    <w:uiPriority w:val="0"/>
    <w:rPr>
      <w:rFonts w:hint="eastAsia" w:ascii="宋体" w:hAnsi="宋体" w:eastAsia="宋体" w:cs="宋体"/>
      <w:color w:val="000000"/>
      <w:sz w:val="20"/>
      <w:szCs w:val="20"/>
      <w:u w:val="none"/>
    </w:rPr>
  </w:style>
  <w:style w:type="character" w:customStyle="1" w:styleId="135">
    <w:name w:val="font101"/>
    <w:basedOn w:val="49"/>
    <w:autoRedefine/>
    <w:qFormat/>
    <w:uiPriority w:val="0"/>
    <w:rPr>
      <w:rFonts w:hint="eastAsia" w:ascii="宋体" w:hAnsi="宋体" w:eastAsia="宋体" w:cs="宋体"/>
      <w:color w:val="000000"/>
      <w:sz w:val="18"/>
      <w:szCs w:val="18"/>
      <w:u w:val="none"/>
    </w:rPr>
  </w:style>
  <w:style w:type="character" w:customStyle="1" w:styleId="136">
    <w:name w:val="font11"/>
    <w:basedOn w:val="49"/>
    <w:autoRedefine/>
    <w:qFormat/>
    <w:uiPriority w:val="0"/>
    <w:rPr>
      <w:rFonts w:hint="eastAsia" w:ascii="宋体" w:hAnsi="宋体" w:eastAsia="宋体" w:cs="宋体"/>
      <w:color w:val="000000"/>
      <w:sz w:val="20"/>
      <w:szCs w:val="20"/>
      <w:u w:val="none"/>
    </w:rPr>
  </w:style>
  <w:style w:type="paragraph" w:customStyle="1" w:styleId="13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kern w:val="0"/>
    </w:rPr>
  </w:style>
  <w:style w:type="paragraph" w:customStyle="1" w:styleId="138">
    <w:name w:val="纯文本2"/>
    <w:basedOn w:val="1"/>
    <w:qFormat/>
    <w:uiPriority w:val="0"/>
    <w:pPr>
      <w:spacing w:line="240" w:lineRule="auto"/>
      <w:ind w:firstLine="0" w:firstLineChars="0"/>
    </w:pPr>
    <w:rPr>
      <w:rFonts w:hAnsi="Courier New" w:cs="Century"/>
    </w:rPr>
  </w:style>
  <w:style w:type="table" w:customStyle="1" w:styleId="139">
    <w:name w:val="Table Normal1"/>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40">
    <w:name w:val="font31"/>
    <w:qFormat/>
    <w:uiPriority w:val="0"/>
    <w:rPr>
      <w:rFonts w:hint="eastAsia" w:ascii="宋体" w:hAnsi="宋体" w:eastAsia="宋体" w:cs="宋体"/>
      <w:color w:val="000000"/>
      <w:sz w:val="24"/>
      <w:szCs w:val="24"/>
      <w:u w:val="none"/>
    </w:rPr>
  </w:style>
  <w:style w:type="paragraph" w:customStyle="1" w:styleId="141">
    <w:name w:val="Revision"/>
    <w:hidden/>
    <w:unhideWhenUsed/>
    <w:qFormat/>
    <w:uiPriority w:val="99"/>
    <w:rPr>
      <w:rFonts w:ascii="宋体" w:hAns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8554</Words>
  <Characters>9908</Characters>
  <Lines>549</Lines>
  <Paragraphs>154</Paragraphs>
  <TotalTime>36</TotalTime>
  <ScaleCrop>false</ScaleCrop>
  <LinksUpToDate>false</LinksUpToDate>
  <CharactersWithSpaces>10067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2025-02-06T03:04:00Z</dcterms:created>
  <dc:creator>Administrator</dc:creator>
  <cp:lastModifiedBy>Administrator</cp:lastModifiedBy>
  <cp:lastPrinted>2024-08-15T04:43:00Z</cp:lastPrinted>
  <dcterms:modified xsi:type="dcterms:W3CDTF">2025-06-09T08:49:34Z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6D603BACFABF4B39BF219A6DFFA1EEAB_13</vt:lpwstr>
  </property>
  <property fmtid="{D5CDD505-2E9C-101B-9397-08002B2CF9AE}" pid="4" name="KSOTemplateDocerSaveRecord">
    <vt:lpwstr>eyJoZGlkIjoiMTI5MGQyYzdlMjRmMzJhNTBkZTY1NDQxMmUxZTY2MjIifQ==</vt:lpwstr>
  </property>
</Properties>
</file>