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C86169">
      <w:pPr>
        <w:spacing w:line="400" w:lineRule="exact"/>
        <w:jc w:val="center"/>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 xml:space="preserve">  </w:t>
      </w:r>
    </w:p>
    <w:p w14:paraId="0324EC88">
      <w:pPr>
        <w:spacing w:line="400" w:lineRule="exact"/>
        <w:jc w:val="center"/>
        <w:rPr>
          <w:rFonts w:ascii="仿宋_GB2312" w:hAnsi="仿宋_GB2312" w:eastAsia="仿宋_GB2312"/>
          <w:color w:val="auto"/>
          <w:sz w:val="72"/>
          <w:szCs w:val="72"/>
          <w:highlight w:val="none"/>
        </w:rPr>
      </w:pPr>
    </w:p>
    <w:p w14:paraId="0E70200A">
      <w:pPr>
        <w:spacing w:line="400" w:lineRule="exact"/>
        <w:jc w:val="center"/>
        <w:rPr>
          <w:rFonts w:ascii="仿宋_GB2312" w:hAnsi="仿宋_GB2312" w:eastAsia="仿宋_GB2312"/>
          <w:color w:val="auto"/>
          <w:sz w:val="72"/>
          <w:szCs w:val="72"/>
          <w:highlight w:val="none"/>
        </w:rPr>
      </w:pPr>
    </w:p>
    <w:p w14:paraId="7B8388E2">
      <w:pPr>
        <w:spacing w:line="400" w:lineRule="exact"/>
        <w:jc w:val="center"/>
        <w:rPr>
          <w:rFonts w:ascii="仿宋_GB2312" w:hAnsi="仿宋_GB2312" w:eastAsia="仿宋_GB2312"/>
          <w:color w:val="auto"/>
          <w:sz w:val="72"/>
          <w:szCs w:val="72"/>
          <w:highlight w:val="none"/>
        </w:rPr>
      </w:pPr>
    </w:p>
    <w:p w14:paraId="7CCB1AF7">
      <w:pPr>
        <w:jc w:val="center"/>
        <w:rPr>
          <w:rFonts w:ascii="仿宋_GB2312" w:hAnsi="仿宋_GB2312" w:eastAsia="仿宋_GB2312"/>
          <w:color w:val="auto"/>
          <w:sz w:val="72"/>
          <w:szCs w:val="72"/>
          <w:highlight w:val="none"/>
        </w:rPr>
      </w:pPr>
      <w:r>
        <w:rPr>
          <w:rFonts w:hint="eastAsia" w:ascii="仿宋_GB2312" w:hAnsi="仿宋_GB2312" w:eastAsia="仿宋_GB2312"/>
          <w:color w:val="auto"/>
          <w:sz w:val="72"/>
          <w:szCs w:val="72"/>
          <w:highlight w:val="none"/>
        </w:rPr>
        <w:t>竞争性谈判文件</w:t>
      </w:r>
    </w:p>
    <w:p w14:paraId="441F100B">
      <w:pPr>
        <w:pStyle w:val="8"/>
        <w:spacing w:before="120" w:after="120" w:line="360" w:lineRule="auto"/>
        <w:ind w:firstLine="151"/>
        <w:rPr>
          <w:rFonts w:ascii="仿宋_GB2312" w:hAnsi="仿宋_GB2312" w:eastAsia="仿宋_GB2312"/>
          <w:b/>
          <w:color w:val="auto"/>
          <w:sz w:val="30"/>
          <w:szCs w:val="30"/>
          <w:highlight w:val="none"/>
        </w:rPr>
      </w:pPr>
    </w:p>
    <w:p w14:paraId="31F6F73B">
      <w:pPr>
        <w:pStyle w:val="8"/>
        <w:spacing w:before="120" w:after="120" w:line="360" w:lineRule="auto"/>
        <w:ind w:firstLine="151"/>
        <w:rPr>
          <w:rFonts w:ascii="仿宋_GB2312" w:hAnsi="仿宋_GB2312" w:eastAsia="仿宋_GB2312"/>
          <w:b/>
          <w:color w:val="auto"/>
          <w:sz w:val="30"/>
          <w:szCs w:val="30"/>
          <w:highlight w:val="none"/>
        </w:rPr>
      </w:pPr>
    </w:p>
    <w:p w14:paraId="4C1F3C8D">
      <w:pPr>
        <w:pStyle w:val="8"/>
        <w:spacing w:before="120" w:after="120" w:line="360" w:lineRule="auto"/>
        <w:ind w:firstLine="151"/>
        <w:rPr>
          <w:rFonts w:hint="eastAsia"/>
          <w:b/>
          <w:color w:val="auto"/>
          <w:sz w:val="30"/>
          <w:szCs w:val="30"/>
          <w:highlight w:val="none"/>
        </w:rPr>
      </w:pPr>
    </w:p>
    <w:p w14:paraId="25076B70">
      <w:pPr>
        <w:pStyle w:val="8"/>
        <w:spacing w:before="120" w:after="120" w:line="360" w:lineRule="auto"/>
        <w:ind w:firstLine="151"/>
        <w:rPr>
          <w:rFonts w:hint="eastAsia"/>
          <w:b/>
          <w:color w:val="auto"/>
          <w:sz w:val="30"/>
          <w:szCs w:val="30"/>
          <w:highlight w:val="none"/>
        </w:rPr>
      </w:pPr>
    </w:p>
    <w:p w14:paraId="6882BD9B">
      <w:pPr>
        <w:pStyle w:val="8"/>
        <w:spacing w:before="120" w:after="120" w:line="360" w:lineRule="auto"/>
        <w:ind w:firstLine="2127"/>
        <w:rPr>
          <w:rFonts w:hint="default"/>
          <w:b/>
          <w:bCs w:val="0"/>
          <w:color w:val="auto"/>
          <w:sz w:val="30"/>
          <w:szCs w:val="30"/>
          <w:highlight w:val="none"/>
          <w:lang w:val="en"/>
        </w:rPr>
      </w:pPr>
      <w:r>
        <w:rPr>
          <w:rFonts w:hint="eastAsia"/>
          <w:b/>
          <w:bCs w:val="0"/>
          <w:color w:val="auto"/>
          <w:sz w:val="30"/>
          <w:szCs w:val="30"/>
          <w:highlight w:val="none"/>
        </w:rPr>
        <w:t>项目编号：</w:t>
      </w:r>
      <w:r>
        <w:rPr>
          <w:rFonts w:hint="default"/>
          <w:b/>
          <w:bCs w:val="0"/>
          <w:color w:val="auto"/>
          <w:sz w:val="30"/>
          <w:szCs w:val="30"/>
          <w:highlight w:val="none"/>
          <w:lang w:val="en"/>
        </w:rPr>
        <w:t xml:space="preserve">GXZC2025-J1-002431-CGZX </w:t>
      </w:r>
    </w:p>
    <w:p w14:paraId="5132F989">
      <w:pPr>
        <w:pStyle w:val="8"/>
        <w:spacing w:before="120" w:after="120" w:line="360" w:lineRule="auto"/>
        <w:ind w:firstLine="2127"/>
        <w:rPr>
          <w:rFonts w:hint="eastAsia"/>
          <w:b/>
          <w:bCs w:val="0"/>
          <w:color w:val="auto"/>
          <w:sz w:val="30"/>
          <w:szCs w:val="72"/>
          <w:highlight w:val="none"/>
        </w:rPr>
      </w:pPr>
      <w:r>
        <w:rPr>
          <w:rFonts w:hint="eastAsia"/>
          <w:b/>
          <w:bCs w:val="0"/>
          <w:color w:val="auto"/>
          <w:sz w:val="30"/>
          <w:szCs w:val="72"/>
          <w:highlight w:val="none"/>
        </w:rPr>
        <w:t>项目名称：广西医科大学第二附属医院电梯采购及安装</w:t>
      </w:r>
    </w:p>
    <w:p w14:paraId="58B69989">
      <w:pPr>
        <w:pStyle w:val="8"/>
        <w:spacing w:before="120" w:after="120" w:line="360" w:lineRule="auto"/>
        <w:ind w:firstLine="2127"/>
        <w:rPr>
          <w:b/>
          <w:bCs w:val="0"/>
          <w:color w:val="auto"/>
          <w:sz w:val="30"/>
          <w:szCs w:val="72"/>
          <w:highlight w:val="none"/>
        </w:rPr>
      </w:pPr>
      <w:r>
        <w:rPr>
          <w:rFonts w:hint="eastAsia"/>
          <w:b/>
          <w:bCs w:val="0"/>
          <w:color w:val="auto"/>
          <w:sz w:val="30"/>
          <w:szCs w:val="72"/>
          <w:highlight w:val="none"/>
        </w:rPr>
        <w:t>采 购 人：广西医科大学第二附属医院</w:t>
      </w:r>
      <w:r>
        <w:rPr>
          <w:rFonts w:hint="default"/>
          <w:b/>
          <w:bCs w:val="0"/>
          <w:color w:val="auto"/>
          <w:sz w:val="30"/>
          <w:szCs w:val="72"/>
          <w:highlight w:val="none"/>
          <w:lang w:val="en" w:eastAsia="zh-CN"/>
        </w:rPr>
        <w:t xml:space="preserve"> </w:t>
      </w:r>
      <w:r>
        <w:rPr>
          <w:b/>
          <w:bCs w:val="0"/>
          <w:color w:val="auto"/>
          <w:sz w:val="30"/>
          <w:szCs w:val="72"/>
          <w:highlight w:val="none"/>
        </w:rPr>
        <w:t xml:space="preserve"> </w:t>
      </w:r>
    </w:p>
    <w:p w14:paraId="32606253">
      <w:pPr>
        <w:spacing w:line="360" w:lineRule="auto"/>
        <w:ind w:firstLine="450"/>
        <w:rPr>
          <w:rFonts w:ascii="仿宋_GB2312" w:hAnsi="仿宋_GB2312" w:eastAsia="仿宋_GB2312"/>
          <w:b/>
          <w:bCs w:val="0"/>
          <w:color w:val="auto"/>
          <w:sz w:val="30"/>
          <w:szCs w:val="72"/>
          <w:highlight w:val="none"/>
        </w:rPr>
      </w:pPr>
    </w:p>
    <w:p w14:paraId="4B99931F">
      <w:pPr>
        <w:spacing w:line="360" w:lineRule="auto"/>
        <w:ind w:firstLine="450"/>
        <w:rPr>
          <w:rFonts w:ascii="仿宋_GB2312" w:hAnsi="仿宋_GB2312" w:eastAsia="仿宋_GB2312"/>
          <w:b/>
          <w:bCs w:val="0"/>
          <w:color w:val="auto"/>
          <w:sz w:val="30"/>
          <w:szCs w:val="72"/>
          <w:highlight w:val="none"/>
        </w:rPr>
      </w:pPr>
    </w:p>
    <w:p w14:paraId="15B5C884">
      <w:pPr>
        <w:spacing w:line="360" w:lineRule="auto"/>
        <w:ind w:firstLine="450"/>
        <w:rPr>
          <w:rFonts w:ascii="仿宋_GB2312" w:hAnsi="仿宋_GB2312" w:eastAsia="仿宋_GB2312"/>
          <w:b/>
          <w:bCs w:val="0"/>
          <w:color w:val="auto"/>
          <w:sz w:val="30"/>
          <w:szCs w:val="72"/>
          <w:highlight w:val="none"/>
        </w:rPr>
      </w:pPr>
    </w:p>
    <w:p w14:paraId="481FBF33">
      <w:pPr>
        <w:spacing w:line="360" w:lineRule="auto"/>
        <w:ind w:firstLine="450"/>
        <w:rPr>
          <w:rFonts w:ascii="仿宋_GB2312" w:hAnsi="仿宋_GB2312" w:eastAsia="仿宋_GB2312"/>
          <w:b/>
          <w:bCs w:val="0"/>
          <w:color w:val="auto"/>
          <w:sz w:val="30"/>
          <w:szCs w:val="72"/>
          <w:highlight w:val="none"/>
        </w:rPr>
      </w:pPr>
    </w:p>
    <w:p w14:paraId="7D3925A0">
      <w:pPr>
        <w:spacing w:line="360" w:lineRule="auto"/>
        <w:ind w:firstLine="450"/>
        <w:rPr>
          <w:rFonts w:ascii="仿宋_GB2312" w:hAnsi="仿宋_GB2312" w:eastAsia="仿宋_GB2312"/>
          <w:b/>
          <w:bCs w:val="0"/>
          <w:color w:val="auto"/>
          <w:sz w:val="30"/>
          <w:szCs w:val="72"/>
          <w:highlight w:val="none"/>
        </w:rPr>
      </w:pPr>
    </w:p>
    <w:p w14:paraId="60221FE1">
      <w:pPr>
        <w:spacing w:line="360" w:lineRule="auto"/>
        <w:ind w:firstLine="450"/>
        <w:rPr>
          <w:rFonts w:ascii="仿宋_GB2312" w:hAnsi="仿宋_GB2312" w:eastAsia="仿宋_GB2312"/>
          <w:b/>
          <w:bCs w:val="0"/>
          <w:color w:val="auto"/>
          <w:sz w:val="30"/>
          <w:szCs w:val="72"/>
          <w:highlight w:val="none"/>
        </w:rPr>
      </w:pPr>
    </w:p>
    <w:p w14:paraId="2B5B1644">
      <w:pPr>
        <w:pStyle w:val="2"/>
        <w:rPr>
          <w:rFonts w:ascii="仿宋_GB2312" w:hAnsi="仿宋_GB2312" w:eastAsia="仿宋_GB2312"/>
          <w:b/>
          <w:bCs w:val="0"/>
          <w:color w:val="auto"/>
          <w:sz w:val="30"/>
          <w:szCs w:val="72"/>
          <w:highlight w:val="none"/>
        </w:rPr>
      </w:pPr>
    </w:p>
    <w:p w14:paraId="160AF048">
      <w:pPr>
        <w:rPr>
          <w:b/>
          <w:bCs w:val="0"/>
          <w:color w:val="auto"/>
          <w:highlight w:val="none"/>
        </w:rPr>
      </w:pPr>
    </w:p>
    <w:p w14:paraId="5F499690">
      <w:pPr>
        <w:pStyle w:val="2"/>
        <w:rPr>
          <w:b/>
          <w:bCs w:val="0"/>
          <w:color w:val="auto"/>
          <w:highlight w:val="none"/>
        </w:rPr>
      </w:pPr>
    </w:p>
    <w:p w14:paraId="1D7784B9">
      <w:pPr>
        <w:spacing w:line="360" w:lineRule="auto"/>
        <w:jc w:val="center"/>
        <w:rPr>
          <w:rFonts w:ascii="宋体" w:hAnsi="宋体"/>
          <w:b/>
          <w:bCs w:val="0"/>
          <w:color w:val="auto"/>
          <w:sz w:val="30"/>
          <w:szCs w:val="72"/>
          <w:highlight w:val="none"/>
        </w:rPr>
      </w:pPr>
      <w:r>
        <w:rPr>
          <w:rFonts w:hint="eastAsia" w:ascii="宋体" w:hAnsi="宋体"/>
          <w:b/>
          <w:bCs w:val="0"/>
          <w:color w:val="auto"/>
          <w:sz w:val="30"/>
          <w:szCs w:val="72"/>
          <w:highlight w:val="none"/>
        </w:rPr>
        <w:t>采购代理机构：广西壮族自治区政府采购中心</w:t>
      </w:r>
    </w:p>
    <w:p w14:paraId="3F19F4D6">
      <w:pPr>
        <w:spacing w:line="360" w:lineRule="auto"/>
        <w:jc w:val="center"/>
        <w:rPr>
          <w:rFonts w:hint="eastAsia" w:ascii="宋体" w:hAnsi="宋体"/>
          <w:b/>
          <w:bCs w:val="0"/>
          <w:color w:val="auto"/>
          <w:sz w:val="30"/>
          <w:szCs w:val="72"/>
          <w:highlight w:val="none"/>
        </w:rPr>
      </w:pPr>
      <w:r>
        <w:rPr>
          <w:rFonts w:ascii="宋体" w:hAnsi="宋体"/>
          <w:b/>
          <w:bCs w:val="0"/>
          <w:color w:val="auto"/>
          <w:sz w:val="30"/>
          <w:szCs w:val="72"/>
          <w:highlight w:val="none"/>
          <w:lang w:val="en"/>
        </w:rPr>
        <w:t>202</w:t>
      </w:r>
      <w:r>
        <w:rPr>
          <w:rFonts w:hint="eastAsia" w:ascii="宋体" w:hAnsi="宋体"/>
          <w:b/>
          <w:bCs w:val="0"/>
          <w:color w:val="auto"/>
          <w:sz w:val="30"/>
          <w:szCs w:val="72"/>
          <w:highlight w:val="none"/>
          <w:lang w:val="en-US" w:eastAsia="zh-CN"/>
        </w:rPr>
        <w:t>5</w:t>
      </w:r>
      <w:r>
        <w:rPr>
          <w:rFonts w:hint="eastAsia" w:ascii="宋体" w:hAnsi="宋体"/>
          <w:b/>
          <w:bCs w:val="0"/>
          <w:color w:val="auto"/>
          <w:sz w:val="30"/>
          <w:szCs w:val="72"/>
          <w:highlight w:val="none"/>
        </w:rPr>
        <w:t>年</w:t>
      </w:r>
      <w:r>
        <w:rPr>
          <w:rFonts w:hint="eastAsia" w:ascii="宋体" w:hAnsi="宋体"/>
          <w:b/>
          <w:bCs w:val="0"/>
          <w:color w:val="auto"/>
          <w:sz w:val="30"/>
          <w:szCs w:val="72"/>
          <w:highlight w:val="none"/>
          <w:lang w:val="en-US" w:eastAsia="zh-CN"/>
        </w:rPr>
        <w:t>9</w:t>
      </w:r>
      <w:r>
        <w:rPr>
          <w:rFonts w:hint="eastAsia" w:ascii="宋体" w:hAnsi="宋体"/>
          <w:b/>
          <w:bCs w:val="0"/>
          <w:color w:val="auto"/>
          <w:sz w:val="30"/>
          <w:szCs w:val="72"/>
          <w:highlight w:val="none"/>
        </w:rPr>
        <w:t>月</w:t>
      </w:r>
    </w:p>
    <w:p w14:paraId="1D2C4BA4">
      <w:pPr>
        <w:pageBreakBefore/>
        <w:spacing w:line="400" w:lineRule="exact"/>
        <w:jc w:val="center"/>
        <w:rPr>
          <w:rFonts w:ascii="仿宋_GB2312" w:hAnsi="仿宋_GB2312" w:eastAsia="仿宋_GB2312"/>
          <w:b/>
          <w:color w:val="auto"/>
          <w:sz w:val="32"/>
          <w:szCs w:val="32"/>
          <w:highlight w:val="none"/>
        </w:rPr>
      </w:pPr>
    </w:p>
    <w:p w14:paraId="24B74873">
      <w:pPr>
        <w:spacing w:line="600" w:lineRule="exact"/>
        <w:jc w:val="center"/>
        <w:rPr>
          <w:rFonts w:ascii="宋体" w:hAnsi="宋体"/>
          <w:b/>
          <w:color w:val="auto"/>
          <w:sz w:val="44"/>
          <w:szCs w:val="44"/>
          <w:highlight w:val="none"/>
        </w:rPr>
      </w:pPr>
      <w:r>
        <w:rPr>
          <w:rFonts w:hint="eastAsia" w:ascii="宋体" w:hAnsi="宋体"/>
          <w:b/>
          <w:color w:val="auto"/>
          <w:sz w:val="44"/>
          <w:szCs w:val="44"/>
          <w:highlight w:val="none"/>
        </w:rPr>
        <w:t>目 录</w:t>
      </w:r>
    </w:p>
    <w:p w14:paraId="0141CC3D">
      <w:pPr>
        <w:pStyle w:val="2"/>
        <w:tabs>
          <w:tab w:val="right" w:leader="dot" w:pos="10456"/>
        </w:tabs>
        <w:spacing w:line="480" w:lineRule="exact"/>
        <w:rPr>
          <w:rFonts w:ascii="宋体" w:hAnsi="宋体"/>
          <w:b/>
          <w:color w:val="auto"/>
          <w:sz w:val="28"/>
          <w:szCs w:val="28"/>
          <w:highlight w:val="none"/>
        </w:rPr>
      </w:pPr>
    </w:p>
    <w:p w14:paraId="0BD932E4">
      <w:pPr>
        <w:pStyle w:val="2"/>
        <w:tabs>
          <w:tab w:val="right" w:leader="dot" w:pos="10456"/>
        </w:tabs>
        <w:spacing w:line="480" w:lineRule="exact"/>
        <w:rPr>
          <w:rFonts w:ascii="Times New Roman" w:hAnsi="Times New Roman" w:eastAsia="宋体" w:cs="Times New Roman"/>
          <w:b/>
          <w:color w:val="auto"/>
          <w:kern w:val="1"/>
          <w:sz w:val="28"/>
          <w:szCs w:val="28"/>
          <w:highlight w:val="none"/>
        </w:rPr>
      </w:pPr>
      <w:r>
        <w:rPr>
          <w:rFonts w:ascii="Times New Roman" w:hAnsi="Times New Roman" w:eastAsia="宋体" w:cs="Times New Roman"/>
          <w:b/>
          <w:color w:val="auto"/>
          <w:sz w:val="28"/>
          <w:szCs w:val="28"/>
          <w:highlight w:val="none"/>
        </w:rPr>
        <w:fldChar w:fldCharType="begin"/>
      </w:r>
      <w:r>
        <w:rPr>
          <w:rFonts w:ascii="Times New Roman" w:hAnsi="Times New Roman" w:eastAsia="宋体" w:cs="Times New Roman"/>
          <w:b/>
          <w:color w:val="auto"/>
          <w:sz w:val="28"/>
          <w:szCs w:val="28"/>
          <w:highlight w:val="none"/>
        </w:rPr>
        <w:instrText xml:space="preserve"> TOC \o "1-3" \h \z \u </w:instrText>
      </w:r>
      <w:r>
        <w:rPr>
          <w:rFonts w:ascii="Times New Roman" w:hAnsi="Times New Roman" w:eastAsia="宋体" w:cs="Times New Roman"/>
          <w:b/>
          <w:color w:val="auto"/>
          <w:sz w:val="28"/>
          <w:szCs w:val="28"/>
          <w:highlight w:val="none"/>
        </w:rPr>
        <w:fldChar w:fldCharType="separate"/>
      </w:r>
      <w:r>
        <w:rPr>
          <w:rFonts w:ascii="Times New Roman" w:hAnsi="Times New Roman" w:eastAsia="宋体" w:cs="Times New Roman"/>
          <w:b/>
          <w:color w:val="auto"/>
          <w:sz w:val="28"/>
          <w:szCs w:val="28"/>
          <w:highlight w:val="none"/>
        </w:rPr>
        <w:fldChar w:fldCharType="begin"/>
      </w:r>
      <w:r>
        <w:rPr>
          <w:rFonts w:ascii="Times New Roman" w:hAnsi="Times New Roman" w:cs="Times New Roman"/>
          <w:b/>
          <w:color w:val="auto"/>
          <w:sz w:val="28"/>
          <w:szCs w:val="28"/>
          <w:highlight w:val="none"/>
        </w:rPr>
        <w:instrText xml:space="preserve"> </w:instrText>
      </w:r>
      <w:r>
        <w:rPr>
          <w:rFonts w:ascii="Times New Roman" w:hAnsi="Times New Roman" w:eastAsia="宋体" w:cs="Times New Roman"/>
          <w:b/>
          <w:color w:val="auto"/>
          <w:sz w:val="28"/>
          <w:szCs w:val="28"/>
          <w:highlight w:val="none"/>
        </w:rPr>
        <w:instrText xml:space="preserve">HYPERLINK \l "_Toc46136756"</w:instrText>
      </w:r>
      <w:r>
        <w:rPr>
          <w:rFonts w:ascii="Times New Roman" w:hAnsi="Times New Roman" w:cs="Times New Roman"/>
          <w:b/>
          <w:color w:val="auto"/>
          <w:sz w:val="28"/>
          <w:szCs w:val="28"/>
          <w:highlight w:val="none"/>
        </w:rPr>
        <w:instrText xml:space="preserve"> </w:instrText>
      </w:r>
      <w:r>
        <w:rPr>
          <w:rFonts w:ascii="Times New Roman" w:hAnsi="Times New Roman" w:eastAsia="宋体" w:cs="Times New Roman"/>
          <w:b/>
          <w:color w:val="auto"/>
          <w:sz w:val="28"/>
          <w:szCs w:val="28"/>
          <w:highlight w:val="none"/>
        </w:rPr>
        <w:fldChar w:fldCharType="separate"/>
      </w:r>
      <w:r>
        <w:rPr>
          <w:rFonts w:hint="default" w:ascii="Times New Roman" w:hAnsi="Times New Roman" w:cs="Times New Roman"/>
          <w:b/>
          <w:color w:val="auto"/>
          <w:sz w:val="28"/>
          <w:szCs w:val="28"/>
          <w:highlight w:val="none"/>
        </w:rPr>
        <w:t>第一章</w:t>
      </w:r>
      <w:r>
        <w:rPr>
          <w:rFonts w:ascii="Times New Roman" w:hAnsi="Times New Roman" w:cs="Times New Roman"/>
          <w:b/>
          <w:color w:val="auto"/>
          <w:sz w:val="28"/>
          <w:szCs w:val="28"/>
          <w:highlight w:val="none"/>
        </w:rPr>
        <w:t xml:space="preserve">  </w:t>
      </w:r>
      <w:r>
        <w:rPr>
          <w:rFonts w:hint="default" w:ascii="Times New Roman" w:hAnsi="Times New Roman" w:cs="Times New Roman"/>
          <w:b/>
          <w:color w:val="auto"/>
          <w:sz w:val="28"/>
          <w:szCs w:val="28"/>
          <w:highlight w:val="none"/>
        </w:rPr>
        <w:t>竞争性谈判公告</w:t>
      </w:r>
      <w:r>
        <w:rPr>
          <w:rFonts w:ascii="Times New Roman" w:hAnsi="Times New Roman" w:eastAsia="宋体" w:cs="Times New Roman"/>
          <w:b/>
          <w:color w:val="auto"/>
          <w:sz w:val="28"/>
          <w:szCs w:val="28"/>
          <w:highlight w:val="none"/>
        </w:rPr>
        <w:tab/>
      </w:r>
      <w:r>
        <w:rPr>
          <w:rFonts w:ascii="Times New Roman" w:hAnsi="Times New Roman" w:eastAsia="宋体" w:cs="Times New Roman"/>
          <w:b/>
          <w:color w:val="auto"/>
          <w:sz w:val="28"/>
          <w:szCs w:val="28"/>
          <w:highlight w:val="none"/>
        </w:rPr>
        <w:fldChar w:fldCharType="begin"/>
      </w:r>
      <w:r>
        <w:rPr>
          <w:rFonts w:ascii="Times New Roman" w:hAnsi="Times New Roman" w:eastAsia="宋体" w:cs="Times New Roman"/>
          <w:b/>
          <w:color w:val="auto"/>
          <w:sz w:val="28"/>
          <w:szCs w:val="28"/>
          <w:highlight w:val="none"/>
        </w:rPr>
        <w:instrText xml:space="preserve"> PAGEREF _Toc46136756 \h </w:instrText>
      </w:r>
      <w:r>
        <w:rPr>
          <w:rFonts w:ascii="Times New Roman" w:hAnsi="Times New Roman" w:eastAsia="宋体" w:cs="Times New Roman"/>
          <w:b/>
          <w:color w:val="auto"/>
          <w:sz w:val="28"/>
          <w:szCs w:val="28"/>
          <w:highlight w:val="none"/>
        </w:rPr>
        <w:fldChar w:fldCharType="separate"/>
      </w:r>
      <w:r>
        <w:rPr>
          <w:rFonts w:ascii="Times New Roman" w:hAnsi="Times New Roman" w:eastAsia="宋体" w:cs="Times New Roman"/>
          <w:b/>
          <w:color w:val="auto"/>
          <w:sz w:val="28"/>
          <w:szCs w:val="28"/>
          <w:highlight w:val="none"/>
        </w:rPr>
        <w:t>2</w:t>
      </w:r>
      <w:r>
        <w:rPr>
          <w:rFonts w:ascii="Times New Roman" w:hAnsi="Times New Roman" w:eastAsia="宋体" w:cs="Times New Roman"/>
          <w:b/>
          <w:color w:val="auto"/>
          <w:sz w:val="28"/>
          <w:szCs w:val="28"/>
          <w:highlight w:val="none"/>
        </w:rPr>
        <w:fldChar w:fldCharType="end"/>
      </w:r>
      <w:r>
        <w:rPr>
          <w:rFonts w:ascii="Times New Roman" w:hAnsi="Times New Roman" w:eastAsia="宋体" w:cs="Times New Roman"/>
          <w:b/>
          <w:color w:val="auto"/>
          <w:sz w:val="28"/>
          <w:szCs w:val="28"/>
          <w:highlight w:val="none"/>
        </w:rPr>
        <w:fldChar w:fldCharType="end"/>
      </w:r>
    </w:p>
    <w:p w14:paraId="3393AE57">
      <w:pPr>
        <w:pStyle w:val="2"/>
        <w:tabs>
          <w:tab w:val="right" w:leader="dot" w:pos="10456"/>
        </w:tabs>
        <w:spacing w:line="480" w:lineRule="exact"/>
        <w:rPr>
          <w:rFonts w:ascii="Times New Roman" w:hAnsi="Times New Roman" w:eastAsia="宋体" w:cs="Times New Roman"/>
          <w:b/>
          <w:color w:val="auto"/>
          <w:sz w:val="28"/>
          <w:szCs w:val="28"/>
          <w:highlight w:val="none"/>
        </w:rPr>
      </w:pPr>
    </w:p>
    <w:p w14:paraId="55C50303">
      <w:pPr>
        <w:pStyle w:val="2"/>
        <w:tabs>
          <w:tab w:val="right" w:leader="dot" w:pos="10456"/>
        </w:tabs>
        <w:spacing w:line="480" w:lineRule="exact"/>
        <w:rPr>
          <w:rFonts w:ascii="Times New Roman" w:hAnsi="Times New Roman" w:eastAsia="宋体" w:cs="Times New Roman"/>
          <w:b/>
          <w:color w:val="auto"/>
          <w:kern w:val="1"/>
          <w:sz w:val="28"/>
          <w:szCs w:val="28"/>
          <w:highlight w:val="none"/>
        </w:rPr>
      </w:pPr>
      <w:r>
        <w:rPr>
          <w:rFonts w:ascii="Times New Roman" w:hAnsi="Times New Roman" w:eastAsia="宋体" w:cs="Times New Roman"/>
          <w:b/>
          <w:color w:val="auto"/>
          <w:sz w:val="28"/>
          <w:szCs w:val="28"/>
          <w:highlight w:val="none"/>
        </w:rPr>
        <w:fldChar w:fldCharType="begin"/>
      </w:r>
      <w:r>
        <w:rPr>
          <w:rFonts w:ascii="Times New Roman" w:hAnsi="Times New Roman" w:cs="Times New Roman"/>
          <w:b/>
          <w:color w:val="auto"/>
          <w:sz w:val="28"/>
          <w:szCs w:val="28"/>
          <w:highlight w:val="none"/>
        </w:rPr>
        <w:instrText xml:space="preserve"> </w:instrText>
      </w:r>
      <w:r>
        <w:rPr>
          <w:rFonts w:ascii="Times New Roman" w:hAnsi="Times New Roman" w:eastAsia="宋体" w:cs="Times New Roman"/>
          <w:b/>
          <w:color w:val="auto"/>
          <w:sz w:val="28"/>
          <w:szCs w:val="28"/>
          <w:highlight w:val="none"/>
        </w:rPr>
        <w:instrText xml:space="preserve">HYPERLINK \l "_Toc46136757"</w:instrText>
      </w:r>
      <w:r>
        <w:rPr>
          <w:rFonts w:ascii="Times New Roman" w:hAnsi="Times New Roman" w:cs="Times New Roman"/>
          <w:b/>
          <w:color w:val="auto"/>
          <w:sz w:val="28"/>
          <w:szCs w:val="28"/>
          <w:highlight w:val="none"/>
        </w:rPr>
        <w:instrText xml:space="preserve"> </w:instrText>
      </w:r>
      <w:r>
        <w:rPr>
          <w:rFonts w:ascii="Times New Roman" w:hAnsi="Times New Roman" w:eastAsia="宋体" w:cs="Times New Roman"/>
          <w:b/>
          <w:color w:val="auto"/>
          <w:sz w:val="28"/>
          <w:szCs w:val="28"/>
          <w:highlight w:val="none"/>
        </w:rPr>
        <w:fldChar w:fldCharType="separate"/>
      </w:r>
      <w:r>
        <w:rPr>
          <w:rFonts w:hint="default" w:ascii="Times New Roman" w:hAnsi="Times New Roman" w:cs="Times New Roman"/>
          <w:b/>
          <w:color w:val="auto"/>
          <w:sz w:val="28"/>
          <w:szCs w:val="28"/>
          <w:highlight w:val="none"/>
        </w:rPr>
        <w:t>第二章</w:t>
      </w:r>
      <w:r>
        <w:rPr>
          <w:rFonts w:ascii="Times New Roman" w:hAnsi="Times New Roman" w:cs="Times New Roman"/>
          <w:b/>
          <w:color w:val="auto"/>
          <w:sz w:val="28"/>
          <w:szCs w:val="28"/>
          <w:highlight w:val="none"/>
        </w:rPr>
        <w:t xml:space="preserve">  </w:t>
      </w:r>
      <w:r>
        <w:rPr>
          <w:rFonts w:hint="default" w:ascii="Times New Roman" w:hAnsi="Times New Roman" w:cs="Times New Roman"/>
          <w:b/>
          <w:color w:val="auto"/>
          <w:sz w:val="28"/>
          <w:szCs w:val="28"/>
          <w:highlight w:val="none"/>
        </w:rPr>
        <w:t>谈判供应商须知</w:t>
      </w:r>
      <w:r>
        <w:rPr>
          <w:rFonts w:ascii="Times New Roman" w:hAnsi="Times New Roman" w:eastAsia="宋体" w:cs="Times New Roman"/>
          <w:b/>
          <w:color w:val="auto"/>
          <w:sz w:val="28"/>
          <w:szCs w:val="28"/>
          <w:highlight w:val="none"/>
        </w:rPr>
        <w:tab/>
      </w:r>
      <w:r>
        <w:rPr>
          <w:rFonts w:ascii="Times New Roman" w:hAnsi="Times New Roman" w:eastAsia="宋体" w:cs="Times New Roman"/>
          <w:b/>
          <w:color w:val="auto"/>
          <w:sz w:val="28"/>
          <w:szCs w:val="28"/>
          <w:highlight w:val="none"/>
        </w:rPr>
        <w:fldChar w:fldCharType="begin"/>
      </w:r>
      <w:r>
        <w:rPr>
          <w:rFonts w:ascii="Times New Roman" w:hAnsi="Times New Roman" w:eastAsia="宋体" w:cs="Times New Roman"/>
          <w:b/>
          <w:color w:val="auto"/>
          <w:sz w:val="28"/>
          <w:szCs w:val="28"/>
          <w:highlight w:val="none"/>
        </w:rPr>
        <w:instrText xml:space="preserve"> PAGEREF _Toc46136757 \h </w:instrText>
      </w:r>
      <w:r>
        <w:rPr>
          <w:rFonts w:ascii="Times New Roman" w:hAnsi="Times New Roman" w:eastAsia="宋体" w:cs="Times New Roman"/>
          <w:b/>
          <w:color w:val="auto"/>
          <w:sz w:val="28"/>
          <w:szCs w:val="28"/>
          <w:highlight w:val="none"/>
        </w:rPr>
        <w:fldChar w:fldCharType="separate"/>
      </w:r>
      <w:r>
        <w:rPr>
          <w:rFonts w:ascii="Times New Roman" w:hAnsi="Times New Roman" w:eastAsia="宋体" w:cs="Times New Roman"/>
          <w:b/>
          <w:color w:val="auto"/>
          <w:sz w:val="28"/>
          <w:szCs w:val="28"/>
          <w:highlight w:val="none"/>
        </w:rPr>
        <w:t>6</w:t>
      </w:r>
      <w:r>
        <w:rPr>
          <w:rFonts w:ascii="Times New Roman" w:hAnsi="Times New Roman" w:eastAsia="宋体" w:cs="Times New Roman"/>
          <w:b/>
          <w:color w:val="auto"/>
          <w:sz w:val="28"/>
          <w:szCs w:val="28"/>
          <w:highlight w:val="none"/>
        </w:rPr>
        <w:fldChar w:fldCharType="end"/>
      </w:r>
      <w:r>
        <w:rPr>
          <w:rFonts w:ascii="Times New Roman" w:hAnsi="Times New Roman" w:eastAsia="宋体" w:cs="Times New Roman"/>
          <w:b/>
          <w:color w:val="auto"/>
          <w:sz w:val="28"/>
          <w:szCs w:val="28"/>
          <w:highlight w:val="none"/>
        </w:rPr>
        <w:fldChar w:fldCharType="end"/>
      </w:r>
    </w:p>
    <w:p w14:paraId="2F80EC86">
      <w:pPr>
        <w:pStyle w:val="2"/>
        <w:tabs>
          <w:tab w:val="right" w:leader="dot" w:pos="10456"/>
        </w:tabs>
        <w:spacing w:line="480" w:lineRule="exact"/>
        <w:rPr>
          <w:rFonts w:ascii="Times New Roman" w:hAnsi="Times New Roman" w:eastAsia="宋体" w:cs="Times New Roman"/>
          <w:b/>
          <w:color w:val="auto"/>
          <w:sz w:val="28"/>
          <w:szCs w:val="28"/>
          <w:highlight w:val="none"/>
        </w:rPr>
      </w:pPr>
    </w:p>
    <w:p w14:paraId="1547DFDE">
      <w:pPr>
        <w:pStyle w:val="2"/>
        <w:tabs>
          <w:tab w:val="right" w:leader="dot" w:pos="10456"/>
        </w:tabs>
        <w:spacing w:line="480" w:lineRule="exact"/>
        <w:rPr>
          <w:rFonts w:ascii="Times New Roman" w:hAnsi="Times New Roman" w:eastAsia="宋体" w:cs="Times New Roman"/>
          <w:b/>
          <w:color w:val="auto"/>
          <w:kern w:val="1"/>
          <w:sz w:val="28"/>
          <w:szCs w:val="28"/>
          <w:highlight w:val="none"/>
        </w:rPr>
      </w:pPr>
      <w:r>
        <w:rPr>
          <w:rFonts w:ascii="Times New Roman" w:hAnsi="Times New Roman" w:eastAsia="宋体" w:cs="Times New Roman"/>
          <w:b/>
          <w:color w:val="auto"/>
          <w:sz w:val="28"/>
          <w:szCs w:val="28"/>
          <w:highlight w:val="none"/>
        </w:rPr>
        <w:fldChar w:fldCharType="begin"/>
      </w:r>
      <w:r>
        <w:rPr>
          <w:rFonts w:ascii="Times New Roman" w:hAnsi="Times New Roman" w:cs="Times New Roman"/>
          <w:b/>
          <w:color w:val="auto"/>
          <w:sz w:val="28"/>
          <w:szCs w:val="28"/>
          <w:highlight w:val="none"/>
        </w:rPr>
        <w:instrText xml:space="preserve"> </w:instrText>
      </w:r>
      <w:r>
        <w:rPr>
          <w:rFonts w:ascii="Times New Roman" w:hAnsi="Times New Roman" w:eastAsia="宋体" w:cs="Times New Roman"/>
          <w:b/>
          <w:color w:val="auto"/>
          <w:sz w:val="28"/>
          <w:szCs w:val="28"/>
          <w:highlight w:val="none"/>
        </w:rPr>
        <w:instrText xml:space="preserve">HYPERLINK \l "_Toc46136758"</w:instrText>
      </w:r>
      <w:r>
        <w:rPr>
          <w:rFonts w:ascii="Times New Roman" w:hAnsi="Times New Roman" w:cs="Times New Roman"/>
          <w:b/>
          <w:color w:val="auto"/>
          <w:sz w:val="28"/>
          <w:szCs w:val="28"/>
          <w:highlight w:val="none"/>
        </w:rPr>
        <w:instrText xml:space="preserve"> </w:instrText>
      </w:r>
      <w:r>
        <w:rPr>
          <w:rFonts w:ascii="Times New Roman" w:hAnsi="Times New Roman" w:eastAsia="宋体" w:cs="Times New Roman"/>
          <w:b/>
          <w:color w:val="auto"/>
          <w:sz w:val="28"/>
          <w:szCs w:val="28"/>
          <w:highlight w:val="none"/>
        </w:rPr>
        <w:fldChar w:fldCharType="separate"/>
      </w:r>
      <w:r>
        <w:rPr>
          <w:rFonts w:hint="default" w:ascii="Times New Roman" w:hAnsi="Times New Roman" w:cs="Times New Roman"/>
          <w:b/>
          <w:color w:val="auto"/>
          <w:sz w:val="28"/>
          <w:szCs w:val="28"/>
          <w:highlight w:val="none"/>
        </w:rPr>
        <w:t>第三章</w:t>
      </w:r>
      <w:r>
        <w:rPr>
          <w:rFonts w:ascii="Times New Roman" w:hAnsi="Times New Roman" w:cs="Times New Roman"/>
          <w:b/>
          <w:color w:val="auto"/>
          <w:sz w:val="28"/>
          <w:szCs w:val="28"/>
          <w:highlight w:val="none"/>
        </w:rPr>
        <w:t xml:space="preserve">  </w:t>
      </w:r>
      <w:r>
        <w:rPr>
          <w:rFonts w:hint="default" w:ascii="Times New Roman" w:hAnsi="Times New Roman" w:cs="Times New Roman"/>
          <w:b/>
          <w:color w:val="auto"/>
          <w:sz w:val="28"/>
          <w:szCs w:val="28"/>
          <w:highlight w:val="none"/>
        </w:rPr>
        <w:t>采购需求</w:t>
      </w:r>
      <w:bookmarkStart w:id="0" w:name="_Hlt49957164"/>
      <w:bookmarkStart w:id="1" w:name="_Hlt49957165"/>
      <w:r>
        <w:rPr>
          <w:rFonts w:ascii="Times New Roman" w:hAnsi="Times New Roman" w:eastAsia="宋体" w:cs="Times New Roman"/>
          <w:b/>
          <w:color w:val="auto"/>
          <w:sz w:val="28"/>
          <w:szCs w:val="28"/>
          <w:highlight w:val="none"/>
        </w:rPr>
        <w:tab/>
      </w:r>
      <w:bookmarkEnd w:id="0"/>
      <w:bookmarkEnd w:id="1"/>
      <w:r>
        <w:rPr>
          <w:rFonts w:ascii="Times New Roman" w:hAnsi="Times New Roman" w:eastAsia="宋体" w:cs="Times New Roman"/>
          <w:b/>
          <w:color w:val="auto"/>
          <w:sz w:val="28"/>
          <w:szCs w:val="28"/>
          <w:highlight w:val="none"/>
        </w:rPr>
        <w:fldChar w:fldCharType="begin"/>
      </w:r>
      <w:r>
        <w:rPr>
          <w:rFonts w:ascii="Times New Roman" w:hAnsi="Times New Roman" w:eastAsia="宋体" w:cs="Times New Roman"/>
          <w:b/>
          <w:color w:val="auto"/>
          <w:sz w:val="28"/>
          <w:szCs w:val="28"/>
          <w:highlight w:val="none"/>
        </w:rPr>
        <w:instrText xml:space="preserve"> PAGEREF _Toc46136758 \h </w:instrText>
      </w:r>
      <w:r>
        <w:rPr>
          <w:rFonts w:ascii="Times New Roman" w:hAnsi="Times New Roman" w:eastAsia="宋体" w:cs="Times New Roman"/>
          <w:b/>
          <w:color w:val="auto"/>
          <w:sz w:val="28"/>
          <w:szCs w:val="28"/>
          <w:highlight w:val="none"/>
        </w:rPr>
        <w:fldChar w:fldCharType="separate"/>
      </w:r>
      <w:r>
        <w:rPr>
          <w:rFonts w:ascii="Times New Roman" w:hAnsi="Times New Roman" w:eastAsia="宋体" w:cs="Times New Roman"/>
          <w:b/>
          <w:color w:val="auto"/>
          <w:sz w:val="28"/>
          <w:szCs w:val="28"/>
          <w:highlight w:val="none"/>
        </w:rPr>
        <w:t>1</w:t>
      </w:r>
      <w:r>
        <w:rPr>
          <w:rFonts w:hint="eastAsia" w:cs="Times New Roman"/>
          <w:b/>
          <w:color w:val="auto"/>
          <w:sz w:val="28"/>
          <w:szCs w:val="28"/>
          <w:highlight w:val="none"/>
          <w:lang w:val="en-US" w:eastAsia="zh-CN"/>
        </w:rPr>
        <w:t>6</w:t>
      </w:r>
      <w:r>
        <w:rPr>
          <w:rFonts w:ascii="Times New Roman" w:hAnsi="Times New Roman" w:eastAsia="宋体" w:cs="Times New Roman"/>
          <w:b/>
          <w:color w:val="auto"/>
          <w:sz w:val="28"/>
          <w:szCs w:val="28"/>
          <w:highlight w:val="none"/>
        </w:rPr>
        <w:fldChar w:fldCharType="end"/>
      </w:r>
      <w:r>
        <w:rPr>
          <w:rFonts w:ascii="Times New Roman" w:hAnsi="Times New Roman" w:eastAsia="宋体" w:cs="Times New Roman"/>
          <w:b/>
          <w:color w:val="auto"/>
          <w:sz w:val="28"/>
          <w:szCs w:val="28"/>
          <w:highlight w:val="none"/>
        </w:rPr>
        <w:fldChar w:fldCharType="end"/>
      </w:r>
    </w:p>
    <w:p w14:paraId="4CA6F04D">
      <w:pPr>
        <w:pStyle w:val="2"/>
        <w:tabs>
          <w:tab w:val="right" w:leader="dot" w:pos="10456"/>
        </w:tabs>
        <w:spacing w:line="480" w:lineRule="exact"/>
        <w:rPr>
          <w:rFonts w:ascii="Times New Roman" w:hAnsi="Times New Roman" w:eastAsia="宋体" w:cs="Times New Roman"/>
          <w:b/>
          <w:color w:val="auto"/>
          <w:sz w:val="28"/>
          <w:szCs w:val="28"/>
          <w:highlight w:val="none"/>
        </w:rPr>
      </w:pPr>
    </w:p>
    <w:p w14:paraId="4D897359">
      <w:pPr>
        <w:pStyle w:val="2"/>
        <w:tabs>
          <w:tab w:val="right" w:leader="dot" w:pos="10456"/>
        </w:tabs>
        <w:spacing w:line="480" w:lineRule="exact"/>
        <w:rPr>
          <w:rFonts w:hint="default" w:ascii="Times New Roman" w:hAnsi="Times New Roman" w:eastAsia="宋体" w:cs="Times New Roman"/>
          <w:b/>
          <w:color w:val="auto"/>
          <w:kern w:val="1"/>
          <w:sz w:val="28"/>
          <w:szCs w:val="28"/>
          <w:highlight w:val="none"/>
          <w:lang w:val="en-US" w:eastAsia="zh-CN"/>
        </w:rPr>
      </w:pPr>
      <w:r>
        <w:rPr>
          <w:rFonts w:ascii="Times New Roman" w:hAnsi="Times New Roman" w:eastAsia="宋体" w:cs="Times New Roman"/>
          <w:b/>
          <w:color w:val="auto"/>
          <w:sz w:val="28"/>
          <w:szCs w:val="28"/>
          <w:highlight w:val="none"/>
        </w:rPr>
        <w:fldChar w:fldCharType="begin"/>
      </w:r>
      <w:r>
        <w:rPr>
          <w:rFonts w:ascii="Times New Roman" w:hAnsi="Times New Roman" w:cs="Times New Roman"/>
          <w:b/>
          <w:color w:val="auto"/>
          <w:sz w:val="28"/>
          <w:szCs w:val="28"/>
          <w:highlight w:val="none"/>
        </w:rPr>
        <w:instrText xml:space="preserve"> </w:instrText>
      </w:r>
      <w:r>
        <w:rPr>
          <w:rFonts w:ascii="Times New Roman" w:hAnsi="Times New Roman" w:eastAsia="宋体" w:cs="Times New Roman"/>
          <w:b/>
          <w:color w:val="auto"/>
          <w:sz w:val="28"/>
          <w:szCs w:val="28"/>
          <w:highlight w:val="none"/>
        </w:rPr>
        <w:instrText xml:space="preserve">HYPERLINK \l "_Toc46136759"</w:instrText>
      </w:r>
      <w:r>
        <w:rPr>
          <w:rFonts w:ascii="Times New Roman" w:hAnsi="Times New Roman" w:cs="Times New Roman"/>
          <w:b/>
          <w:color w:val="auto"/>
          <w:sz w:val="28"/>
          <w:szCs w:val="28"/>
          <w:highlight w:val="none"/>
        </w:rPr>
        <w:instrText xml:space="preserve"> </w:instrText>
      </w:r>
      <w:r>
        <w:rPr>
          <w:rFonts w:ascii="Times New Roman" w:hAnsi="Times New Roman" w:eastAsia="宋体" w:cs="Times New Roman"/>
          <w:b/>
          <w:color w:val="auto"/>
          <w:sz w:val="28"/>
          <w:szCs w:val="28"/>
          <w:highlight w:val="none"/>
        </w:rPr>
        <w:fldChar w:fldCharType="separate"/>
      </w:r>
      <w:r>
        <w:rPr>
          <w:rFonts w:hint="default" w:ascii="Times New Roman" w:hAnsi="Times New Roman" w:cs="Times New Roman"/>
          <w:b/>
          <w:color w:val="auto"/>
          <w:sz w:val="28"/>
          <w:szCs w:val="28"/>
          <w:highlight w:val="none"/>
        </w:rPr>
        <w:t>第四章</w:t>
      </w:r>
      <w:r>
        <w:rPr>
          <w:rFonts w:ascii="Times New Roman" w:hAnsi="Times New Roman" w:cs="Times New Roman"/>
          <w:b/>
          <w:color w:val="auto"/>
          <w:sz w:val="28"/>
          <w:szCs w:val="28"/>
          <w:highlight w:val="none"/>
        </w:rPr>
        <w:t xml:space="preserve">  </w:t>
      </w:r>
      <w:r>
        <w:rPr>
          <w:rFonts w:hint="default" w:ascii="Times New Roman" w:hAnsi="Times New Roman" w:cs="Times New Roman"/>
          <w:b/>
          <w:color w:val="auto"/>
          <w:sz w:val="28"/>
          <w:szCs w:val="28"/>
          <w:highlight w:val="none"/>
        </w:rPr>
        <w:t>竞争性谈判响应文件格式</w:t>
      </w:r>
      <w:r>
        <w:rPr>
          <w:rFonts w:ascii="Times New Roman" w:hAnsi="Times New Roman" w:eastAsia="宋体" w:cs="Times New Roman"/>
          <w:b/>
          <w:color w:val="auto"/>
          <w:sz w:val="28"/>
          <w:szCs w:val="28"/>
          <w:highlight w:val="none"/>
        </w:rPr>
        <w:tab/>
      </w:r>
      <w:r>
        <w:rPr>
          <w:rFonts w:ascii="Times New Roman" w:hAnsi="Times New Roman" w:eastAsia="宋体" w:cs="Times New Roman"/>
          <w:b/>
          <w:color w:val="auto"/>
          <w:sz w:val="28"/>
          <w:szCs w:val="28"/>
          <w:highlight w:val="none"/>
        </w:rPr>
        <w:fldChar w:fldCharType="end"/>
      </w:r>
      <w:r>
        <w:rPr>
          <w:rFonts w:hint="eastAsia" w:cs="Times New Roman"/>
          <w:b/>
          <w:color w:val="auto"/>
          <w:sz w:val="28"/>
          <w:szCs w:val="28"/>
          <w:highlight w:val="none"/>
          <w:lang w:val="en-US" w:eastAsia="zh-CN"/>
        </w:rPr>
        <w:t>26</w:t>
      </w:r>
    </w:p>
    <w:p w14:paraId="0F18D137">
      <w:pPr>
        <w:pStyle w:val="2"/>
        <w:tabs>
          <w:tab w:val="right" w:leader="dot" w:pos="10456"/>
        </w:tabs>
        <w:spacing w:line="480" w:lineRule="exact"/>
        <w:rPr>
          <w:rFonts w:ascii="Times New Roman" w:hAnsi="Times New Roman" w:eastAsia="宋体" w:cs="Times New Roman"/>
          <w:b/>
          <w:color w:val="auto"/>
          <w:sz w:val="28"/>
          <w:szCs w:val="28"/>
          <w:highlight w:val="none"/>
        </w:rPr>
      </w:pPr>
    </w:p>
    <w:p w14:paraId="099B9693">
      <w:pPr>
        <w:pStyle w:val="2"/>
        <w:tabs>
          <w:tab w:val="right" w:leader="dot" w:pos="10456"/>
        </w:tabs>
        <w:spacing w:line="480" w:lineRule="exact"/>
        <w:rPr>
          <w:rFonts w:hint="default" w:ascii="Times New Roman" w:hAnsi="Times New Roman" w:eastAsia="宋体" w:cs="Times New Roman"/>
          <w:b/>
          <w:color w:val="auto"/>
          <w:kern w:val="1"/>
          <w:sz w:val="28"/>
          <w:szCs w:val="28"/>
          <w:highlight w:val="none"/>
          <w:lang w:val="en-US" w:eastAsia="zh-CN"/>
        </w:rPr>
      </w:pPr>
      <w:r>
        <w:rPr>
          <w:rFonts w:ascii="Times New Roman" w:hAnsi="Times New Roman" w:eastAsia="宋体" w:cs="Times New Roman"/>
          <w:b/>
          <w:color w:val="auto"/>
          <w:sz w:val="28"/>
          <w:szCs w:val="28"/>
          <w:highlight w:val="none"/>
        </w:rPr>
        <w:fldChar w:fldCharType="begin"/>
      </w:r>
      <w:r>
        <w:rPr>
          <w:rFonts w:ascii="Times New Roman" w:hAnsi="Times New Roman" w:cs="Times New Roman"/>
          <w:b/>
          <w:color w:val="auto"/>
          <w:sz w:val="28"/>
          <w:szCs w:val="28"/>
          <w:highlight w:val="none"/>
        </w:rPr>
        <w:instrText xml:space="preserve"> </w:instrText>
      </w:r>
      <w:r>
        <w:rPr>
          <w:rFonts w:ascii="Times New Roman" w:hAnsi="Times New Roman" w:eastAsia="宋体" w:cs="Times New Roman"/>
          <w:b/>
          <w:color w:val="auto"/>
          <w:sz w:val="28"/>
          <w:szCs w:val="28"/>
          <w:highlight w:val="none"/>
        </w:rPr>
        <w:instrText xml:space="preserve">HYPERLINK \l "_Toc46136760"</w:instrText>
      </w:r>
      <w:r>
        <w:rPr>
          <w:rFonts w:ascii="Times New Roman" w:hAnsi="Times New Roman" w:cs="Times New Roman"/>
          <w:b/>
          <w:color w:val="auto"/>
          <w:sz w:val="28"/>
          <w:szCs w:val="28"/>
          <w:highlight w:val="none"/>
        </w:rPr>
        <w:instrText xml:space="preserve"> </w:instrText>
      </w:r>
      <w:r>
        <w:rPr>
          <w:rFonts w:ascii="Times New Roman" w:hAnsi="Times New Roman" w:eastAsia="宋体" w:cs="Times New Roman"/>
          <w:b/>
          <w:color w:val="auto"/>
          <w:sz w:val="28"/>
          <w:szCs w:val="28"/>
          <w:highlight w:val="none"/>
        </w:rPr>
        <w:fldChar w:fldCharType="separate"/>
      </w:r>
      <w:r>
        <w:rPr>
          <w:rFonts w:hint="default" w:ascii="Times New Roman" w:hAnsi="Times New Roman" w:cs="Times New Roman"/>
          <w:b/>
          <w:color w:val="auto"/>
          <w:sz w:val="28"/>
          <w:szCs w:val="28"/>
          <w:highlight w:val="none"/>
        </w:rPr>
        <w:t>第五章</w:t>
      </w:r>
      <w:r>
        <w:rPr>
          <w:rFonts w:ascii="Times New Roman" w:hAnsi="Times New Roman" w:cs="Times New Roman"/>
          <w:b/>
          <w:color w:val="auto"/>
          <w:sz w:val="28"/>
          <w:szCs w:val="28"/>
          <w:highlight w:val="none"/>
        </w:rPr>
        <w:t xml:space="preserve">  </w:t>
      </w:r>
      <w:r>
        <w:rPr>
          <w:rFonts w:hint="default" w:ascii="Times New Roman" w:hAnsi="Times New Roman" w:cs="Times New Roman"/>
          <w:b/>
          <w:color w:val="auto"/>
          <w:sz w:val="28"/>
          <w:szCs w:val="28"/>
          <w:highlight w:val="none"/>
        </w:rPr>
        <w:t>合同主要条款</w:t>
      </w:r>
      <w:r>
        <w:rPr>
          <w:rFonts w:ascii="Times New Roman" w:hAnsi="Times New Roman" w:eastAsia="宋体" w:cs="Times New Roman"/>
          <w:b/>
          <w:color w:val="auto"/>
          <w:sz w:val="28"/>
          <w:szCs w:val="28"/>
          <w:highlight w:val="none"/>
        </w:rPr>
        <w:tab/>
      </w:r>
      <w:r>
        <w:rPr>
          <w:rFonts w:ascii="Times New Roman" w:hAnsi="Times New Roman" w:eastAsia="宋体" w:cs="Times New Roman"/>
          <w:b/>
          <w:color w:val="auto"/>
          <w:sz w:val="28"/>
          <w:szCs w:val="28"/>
          <w:highlight w:val="none"/>
        </w:rPr>
        <w:fldChar w:fldCharType="end"/>
      </w:r>
      <w:r>
        <w:rPr>
          <w:rFonts w:hint="eastAsia" w:cs="Times New Roman"/>
          <w:b/>
          <w:color w:val="auto"/>
          <w:sz w:val="28"/>
          <w:szCs w:val="28"/>
          <w:highlight w:val="none"/>
          <w:lang w:val="en-US" w:eastAsia="zh-CN"/>
        </w:rPr>
        <w:t>34</w:t>
      </w:r>
    </w:p>
    <w:p w14:paraId="7032E271">
      <w:pPr>
        <w:pStyle w:val="2"/>
        <w:tabs>
          <w:tab w:val="right" w:leader="dot" w:pos="10456"/>
        </w:tabs>
        <w:spacing w:line="480" w:lineRule="exact"/>
        <w:rPr>
          <w:rFonts w:ascii="Times New Roman" w:hAnsi="Times New Roman" w:eastAsia="宋体" w:cs="Times New Roman"/>
          <w:b/>
          <w:color w:val="auto"/>
          <w:sz w:val="28"/>
          <w:szCs w:val="28"/>
          <w:highlight w:val="none"/>
        </w:rPr>
      </w:pPr>
    </w:p>
    <w:p w14:paraId="2477DDDD">
      <w:pPr>
        <w:pStyle w:val="2"/>
        <w:tabs>
          <w:tab w:val="right" w:leader="dot" w:pos="10456"/>
        </w:tabs>
        <w:spacing w:line="480" w:lineRule="exact"/>
        <w:rPr>
          <w:rFonts w:hint="default" w:ascii="宋体" w:hAnsi="宋体" w:eastAsia="宋体"/>
          <w:b/>
          <w:color w:val="auto"/>
          <w:sz w:val="28"/>
          <w:szCs w:val="28"/>
          <w:highlight w:val="none"/>
          <w:lang w:val="en-US" w:eastAsia="zh-CN"/>
        </w:rPr>
      </w:pPr>
      <w:r>
        <w:rPr>
          <w:rFonts w:ascii="Times New Roman" w:hAnsi="Times New Roman" w:eastAsia="宋体" w:cs="Times New Roman"/>
          <w:b/>
          <w:color w:val="auto"/>
          <w:sz w:val="28"/>
          <w:szCs w:val="28"/>
          <w:highlight w:val="none"/>
        </w:rPr>
        <w:fldChar w:fldCharType="begin"/>
      </w:r>
      <w:r>
        <w:rPr>
          <w:rFonts w:ascii="Times New Roman" w:hAnsi="Times New Roman" w:cs="Times New Roman"/>
          <w:b/>
          <w:color w:val="auto"/>
          <w:sz w:val="28"/>
          <w:szCs w:val="28"/>
          <w:highlight w:val="none"/>
        </w:rPr>
        <w:instrText xml:space="preserve"> </w:instrText>
      </w:r>
      <w:r>
        <w:rPr>
          <w:rFonts w:ascii="Times New Roman" w:hAnsi="Times New Roman" w:eastAsia="宋体" w:cs="Times New Roman"/>
          <w:b/>
          <w:color w:val="auto"/>
          <w:sz w:val="28"/>
          <w:szCs w:val="28"/>
          <w:highlight w:val="none"/>
        </w:rPr>
        <w:instrText xml:space="preserve">HYPERLINK \l "_Toc46136761"</w:instrText>
      </w:r>
      <w:r>
        <w:rPr>
          <w:rFonts w:ascii="Times New Roman" w:hAnsi="Times New Roman" w:cs="Times New Roman"/>
          <w:b/>
          <w:color w:val="auto"/>
          <w:sz w:val="28"/>
          <w:szCs w:val="28"/>
          <w:highlight w:val="none"/>
        </w:rPr>
        <w:instrText xml:space="preserve"> </w:instrText>
      </w:r>
      <w:r>
        <w:rPr>
          <w:rFonts w:ascii="Times New Roman" w:hAnsi="Times New Roman" w:eastAsia="宋体" w:cs="Times New Roman"/>
          <w:b/>
          <w:color w:val="auto"/>
          <w:sz w:val="28"/>
          <w:szCs w:val="28"/>
          <w:highlight w:val="none"/>
        </w:rPr>
        <w:fldChar w:fldCharType="separate"/>
      </w:r>
      <w:r>
        <w:rPr>
          <w:rFonts w:hint="default" w:ascii="Times New Roman" w:hAnsi="Times New Roman" w:cs="Times New Roman"/>
          <w:b/>
          <w:color w:val="auto"/>
          <w:sz w:val="28"/>
          <w:szCs w:val="28"/>
          <w:highlight w:val="none"/>
        </w:rPr>
        <w:t>第六章</w:t>
      </w:r>
      <w:r>
        <w:rPr>
          <w:rFonts w:ascii="Times New Roman" w:hAnsi="Times New Roman" w:cs="Times New Roman"/>
          <w:b/>
          <w:color w:val="auto"/>
          <w:sz w:val="28"/>
          <w:szCs w:val="28"/>
          <w:highlight w:val="none"/>
        </w:rPr>
        <w:t xml:space="preserve">  </w:t>
      </w:r>
      <w:r>
        <w:rPr>
          <w:rFonts w:hint="default" w:ascii="Times New Roman" w:hAnsi="Times New Roman" w:cs="Times New Roman"/>
          <w:b/>
          <w:color w:val="auto"/>
          <w:sz w:val="28"/>
          <w:szCs w:val="28"/>
          <w:highlight w:val="none"/>
        </w:rPr>
        <w:t>评定标准</w:t>
      </w:r>
      <w:r>
        <w:rPr>
          <w:rFonts w:ascii="Times New Roman" w:hAnsi="Times New Roman" w:eastAsia="宋体" w:cs="Times New Roman"/>
          <w:b/>
          <w:color w:val="auto"/>
          <w:sz w:val="28"/>
          <w:szCs w:val="28"/>
          <w:highlight w:val="none"/>
        </w:rPr>
        <w:tab/>
      </w:r>
      <w:r>
        <w:rPr>
          <w:rFonts w:ascii="Times New Roman" w:hAnsi="Times New Roman" w:eastAsia="宋体" w:cs="Times New Roman"/>
          <w:b/>
          <w:color w:val="auto"/>
          <w:sz w:val="28"/>
          <w:szCs w:val="28"/>
          <w:highlight w:val="none"/>
        </w:rPr>
        <w:fldChar w:fldCharType="end"/>
      </w:r>
      <w:r>
        <w:rPr>
          <w:rFonts w:ascii="Times New Roman" w:hAnsi="Times New Roman" w:eastAsia="宋体" w:cs="Times New Roman"/>
          <w:b/>
          <w:color w:val="auto"/>
          <w:sz w:val="28"/>
          <w:szCs w:val="28"/>
          <w:highlight w:val="none"/>
        </w:rPr>
        <w:fldChar w:fldCharType="end"/>
      </w:r>
      <w:r>
        <w:rPr>
          <w:rFonts w:hint="eastAsia" w:cs="Times New Roman"/>
          <w:b/>
          <w:color w:val="auto"/>
          <w:sz w:val="28"/>
          <w:szCs w:val="28"/>
          <w:highlight w:val="none"/>
          <w:lang w:val="en-US" w:eastAsia="zh-CN"/>
        </w:rPr>
        <w:t>42</w:t>
      </w:r>
    </w:p>
    <w:p w14:paraId="5CE983CF">
      <w:pPr>
        <w:spacing w:line="400" w:lineRule="exact"/>
        <w:jc w:val="center"/>
        <w:rPr>
          <w:rFonts w:ascii="仿宋_GB2312" w:hAnsi="仿宋_GB2312" w:eastAsia="仿宋_GB2312"/>
          <w:b/>
          <w:color w:val="auto"/>
          <w:sz w:val="32"/>
          <w:szCs w:val="32"/>
          <w:highlight w:val="none"/>
        </w:rPr>
      </w:pPr>
    </w:p>
    <w:p w14:paraId="327FFD50">
      <w:pPr>
        <w:pageBreakBefore/>
        <w:spacing w:line="400" w:lineRule="exact"/>
        <w:jc w:val="center"/>
        <w:rPr>
          <w:rFonts w:ascii="仿宋_GB2312" w:hAnsi="仿宋_GB2312" w:eastAsia="仿宋_GB2312"/>
          <w:b/>
          <w:color w:val="auto"/>
          <w:sz w:val="32"/>
          <w:szCs w:val="32"/>
          <w:highlight w:val="none"/>
        </w:rPr>
      </w:pPr>
    </w:p>
    <w:p w14:paraId="2BC2261E">
      <w:pPr>
        <w:spacing w:line="400" w:lineRule="exact"/>
        <w:jc w:val="center"/>
        <w:rPr>
          <w:rFonts w:ascii="黑体" w:hAnsi="黑体" w:eastAsia="黑体"/>
          <w:b/>
          <w:color w:val="auto"/>
          <w:sz w:val="32"/>
          <w:szCs w:val="32"/>
          <w:highlight w:val="none"/>
        </w:rPr>
      </w:pPr>
    </w:p>
    <w:p w14:paraId="49E3ED08">
      <w:pPr>
        <w:spacing w:line="400" w:lineRule="exact"/>
        <w:jc w:val="center"/>
        <w:rPr>
          <w:rFonts w:ascii="黑体" w:hAnsi="黑体" w:eastAsia="黑体"/>
          <w:b/>
          <w:color w:val="auto"/>
          <w:sz w:val="32"/>
          <w:szCs w:val="32"/>
          <w:highlight w:val="none"/>
        </w:rPr>
      </w:pPr>
    </w:p>
    <w:p w14:paraId="17EA6BB1">
      <w:pPr>
        <w:spacing w:line="400" w:lineRule="exact"/>
        <w:jc w:val="center"/>
        <w:rPr>
          <w:rFonts w:ascii="黑体" w:hAnsi="黑体" w:eastAsia="黑体"/>
          <w:b/>
          <w:color w:val="auto"/>
          <w:sz w:val="32"/>
          <w:szCs w:val="32"/>
          <w:highlight w:val="none"/>
        </w:rPr>
      </w:pPr>
    </w:p>
    <w:p w14:paraId="0E9AD8BD">
      <w:pPr>
        <w:spacing w:line="400" w:lineRule="exact"/>
        <w:jc w:val="center"/>
        <w:rPr>
          <w:rFonts w:ascii="黑体" w:hAnsi="黑体" w:eastAsia="黑体"/>
          <w:b/>
          <w:color w:val="auto"/>
          <w:sz w:val="32"/>
          <w:szCs w:val="32"/>
          <w:highlight w:val="none"/>
        </w:rPr>
      </w:pPr>
    </w:p>
    <w:p w14:paraId="7E1C6E74">
      <w:pPr>
        <w:spacing w:line="400" w:lineRule="exact"/>
        <w:jc w:val="center"/>
        <w:rPr>
          <w:rFonts w:ascii="黑体" w:hAnsi="黑体" w:eastAsia="黑体"/>
          <w:b/>
          <w:color w:val="auto"/>
          <w:sz w:val="32"/>
          <w:szCs w:val="32"/>
          <w:highlight w:val="none"/>
        </w:rPr>
      </w:pPr>
    </w:p>
    <w:p w14:paraId="774D94A7">
      <w:pPr>
        <w:spacing w:line="400" w:lineRule="exact"/>
        <w:jc w:val="center"/>
        <w:rPr>
          <w:rFonts w:ascii="黑体" w:hAnsi="黑体" w:eastAsia="黑体"/>
          <w:b/>
          <w:color w:val="auto"/>
          <w:sz w:val="32"/>
          <w:szCs w:val="32"/>
          <w:highlight w:val="none"/>
        </w:rPr>
      </w:pPr>
    </w:p>
    <w:p w14:paraId="69353B40">
      <w:pPr>
        <w:spacing w:line="400" w:lineRule="exact"/>
        <w:jc w:val="center"/>
        <w:rPr>
          <w:rFonts w:ascii="黑体" w:hAnsi="黑体" w:eastAsia="黑体"/>
          <w:b/>
          <w:color w:val="auto"/>
          <w:sz w:val="32"/>
          <w:szCs w:val="32"/>
          <w:highlight w:val="none"/>
        </w:rPr>
      </w:pPr>
    </w:p>
    <w:p w14:paraId="749CD8A3">
      <w:pPr>
        <w:spacing w:line="400" w:lineRule="exact"/>
        <w:jc w:val="center"/>
        <w:rPr>
          <w:rFonts w:ascii="黑体" w:hAnsi="黑体" w:eastAsia="黑体"/>
          <w:b/>
          <w:color w:val="auto"/>
          <w:sz w:val="32"/>
          <w:szCs w:val="32"/>
          <w:highlight w:val="none"/>
        </w:rPr>
      </w:pPr>
    </w:p>
    <w:p w14:paraId="20ACDE56">
      <w:pPr>
        <w:spacing w:line="400" w:lineRule="exact"/>
        <w:jc w:val="center"/>
        <w:rPr>
          <w:rFonts w:ascii="黑体" w:hAnsi="黑体" w:eastAsia="黑体"/>
          <w:b/>
          <w:color w:val="auto"/>
          <w:sz w:val="32"/>
          <w:szCs w:val="32"/>
          <w:highlight w:val="none"/>
        </w:rPr>
      </w:pPr>
    </w:p>
    <w:p w14:paraId="35DF8FAC">
      <w:pPr>
        <w:spacing w:line="400" w:lineRule="exact"/>
        <w:jc w:val="center"/>
        <w:rPr>
          <w:rFonts w:ascii="黑体" w:hAnsi="黑体" w:eastAsia="黑体"/>
          <w:b/>
          <w:color w:val="auto"/>
          <w:sz w:val="32"/>
          <w:szCs w:val="32"/>
          <w:highlight w:val="none"/>
        </w:rPr>
      </w:pPr>
    </w:p>
    <w:p w14:paraId="1515BF7F">
      <w:pPr>
        <w:spacing w:line="400" w:lineRule="exact"/>
        <w:jc w:val="center"/>
        <w:rPr>
          <w:rFonts w:ascii="黑体" w:hAnsi="黑体" w:eastAsia="黑体"/>
          <w:b/>
          <w:color w:val="auto"/>
          <w:sz w:val="32"/>
          <w:szCs w:val="32"/>
          <w:highlight w:val="none"/>
        </w:rPr>
      </w:pPr>
    </w:p>
    <w:p w14:paraId="67FFBC94">
      <w:pPr>
        <w:spacing w:line="600" w:lineRule="exact"/>
        <w:jc w:val="center"/>
        <w:rPr>
          <w:rFonts w:ascii="仿宋_GB2312" w:hAnsi="仿宋_GB2312" w:eastAsia="仿宋_GB2312"/>
          <w:b/>
          <w:color w:val="auto"/>
          <w:sz w:val="44"/>
          <w:szCs w:val="44"/>
          <w:highlight w:val="none"/>
        </w:rPr>
      </w:pPr>
    </w:p>
    <w:p w14:paraId="7CE4B004">
      <w:pPr>
        <w:spacing w:line="600" w:lineRule="exact"/>
        <w:jc w:val="center"/>
        <w:rPr>
          <w:rFonts w:ascii="仿宋_GB2312" w:hAnsi="仿宋_GB2312" w:eastAsia="仿宋_GB2312"/>
          <w:b/>
          <w:color w:val="auto"/>
          <w:sz w:val="44"/>
          <w:szCs w:val="44"/>
          <w:highlight w:val="none"/>
        </w:rPr>
      </w:pPr>
    </w:p>
    <w:p w14:paraId="36A926F9">
      <w:pPr>
        <w:pStyle w:val="3"/>
        <w:jc w:val="center"/>
        <w:rPr>
          <w:color w:val="auto"/>
          <w:highlight w:val="none"/>
        </w:rPr>
      </w:pPr>
      <w:bookmarkStart w:id="2" w:name="_Toc46136756"/>
      <w:r>
        <w:rPr>
          <w:rFonts w:hint="eastAsia"/>
          <w:color w:val="auto"/>
          <w:highlight w:val="none"/>
        </w:rPr>
        <w:t>第一章  竞争性谈判公告</w:t>
      </w:r>
      <w:bookmarkEnd w:id="2"/>
    </w:p>
    <w:p w14:paraId="26966160">
      <w:pPr>
        <w:spacing w:line="400" w:lineRule="exact"/>
        <w:jc w:val="center"/>
        <w:rPr>
          <w:rFonts w:ascii="黑体" w:hAnsi="黑体" w:eastAsia="黑体"/>
          <w:b/>
          <w:color w:val="auto"/>
          <w:sz w:val="32"/>
          <w:szCs w:val="32"/>
          <w:highlight w:val="none"/>
        </w:rPr>
      </w:pPr>
    </w:p>
    <w:p w14:paraId="6D5B97A8">
      <w:pPr>
        <w:spacing w:line="400" w:lineRule="exact"/>
        <w:jc w:val="center"/>
        <w:rPr>
          <w:rFonts w:ascii="黑体" w:hAnsi="黑体" w:eastAsia="黑体"/>
          <w:b/>
          <w:color w:val="auto"/>
          <w:sz w:val="32"/>
          <w:szCs w:val="32"/>
          <w:highlight w:val="none"/>
        </w:rPr>
      </w:pPr>
    </w:p>
    <w:p w14:paraId="590DFDA7">
      <w:pPr>
        <w:spacing w:line="400" w:lineRule="exact"/>
        <w:jc w:val="center"/>
        <w:rPr>
          <w:rFonts w:ascii="黑体" w:hAnsi="黑体" w:eastAsia="黑体"/>
          <w:b/>
          <w:color w:val="auto"/>
          <w:sz w:val="32"/>
          <w:szCs w:val="32"/>
          <w:highlight w:val="none"/>
        </w:rPr>
      </w:pPr>
    </w:p>
    <w:p w14:paraId="69C0EC8B">
      <w:pPr>
        <w:spacing w:line="400" w:lineRule="exact"/>
        <w:jc w:val="center"/>
        <w:rPr>
          <w:rFonts w:ascii="黑体" w:hAnsi="黑体" w:eastAsia="黑体"/>
          <w:b/>
          <w:color w:val="auto"/>
          <w:sz w:val="32"/>
          <w:szCs w:val="32"/>
          <w:highlight w:val="none"/>
        </w:rPr>
      </w:pPr>
    </w:p>
    <w:p w14:paraId="4AA5D85C">
      <w:pPr>
        <w:spacing w:line="400" w:lineRule="exact"/>
        <w:jc w:val="center"/>
        <w:rPr>
          <w:rFonts w:ascii="黑体" w:hAnsi="黑体" w:eastAsia="黑体"/>
          <w:b/>
          <w:color w:val="auto"/>
          <w:sz w:val="32"/>
          <w:szCs w:val="32"/>
          <w:highlight w:val="none"/>
        </w:rPr>
      </w:pPr>
    </w:p>
    <w:p w14:paraId="580FB64B">
      <w:pPr>
        <w:spacing w:line="400" w:lineRule="exact"/>
        <w:jc w:val="center"/>
        <w:rPr>
          <w:rFonts w:ascii="黑体" w:hAnsi="黑体" w:eastAsia="黑体"/>
          <w:b/>
          <w:color w:val="auto"/>
          <w:sz w:val="32"/>
          <w:szCs w:val="32"/>
          <w:highlight w:val="none"/>
        </w:rPr>
      </w:pPr>
    </w:p>
    <w:p w14:paraId="7F5D460D">
      <w:pPr>
        <w:rPr>
          <w:rFonts w:ascii="仿宋" w:hAnsi="仿宋" w:eastAsia="仿宋"/>
          <w:color w:val="auto"/>
          <w:sz w:val="28"/>
          <w:szCs w:val="28"/>
          <w:highlight w:val="none"/>
        </w:rPr>
      </w:pPr>
    </w:p>
    <w:p w14:paraId="4B06C3D5">
      <w:pPr>
        <w:pageBreakBefore/>
        <w:jc w:val="center"/>
        <w:rPr>
          <w:b/>
          <w:color w:val="auto"/>
          <w:sz w:val="44"/>
          <w:szCs w:val="44"/>
          <w:highlight w:val="none"/>
        </w:rPr>
      </w:pPr>
      <w:bookmarkStart w:id="3" w:name="_Toc35393797"/>
      <w:bookmarkEnd w:id="3"/>
      <w:bookmarkStart w:id="4" w:name="_Toc28359011"/>
      <w:bookmarkEnd w:id="4"/>
      <w:r>
        <w:rPr>
          <w:rFonts w:hint="eastAsia"/>
          <w:b/>
          <w:color w:val="auto"/>
          <w:sz w:val="44"/>
          <w:szCs w:val="44"/>
          <w:highlight w:val="none"/>
          <w:lang w:eastAsia="zh-CN"/>
        </w:rPr>
        <w:t>第一章</w:t>
      </w:r>
      <w:r>
        <w:rPr>
          <w:rFonts w:hint="eastAsia"/>
          <w:b/>
          <w:color w:val="auto"/>
          <w:sz w:val="44"/>
          <w:szCs w:val="44"/>
          <w:highlight w:val="none"/>
          <w:lang w:val="en-US" w:eastAsia="zh-CN"/>
        </w:rPr>
        <w:t xml:space="preserve">  </w:t>
      </w:r>
      <w:r>
        <w:rPr>
          <w:rFonts w:hint="eastAsia"/>
          <w:b/>
          <w:color w:val="auto"/>
          <w:sz w:val="44"/>
          <w:szCs w:val="44"/>
          <w:highlight w:val="none"/>
        </w:rPr>
        <w:t>竞争性谈判公告</w:t>
      </w:r>
    </w:p>
    <w:p w14:paraId="02CC6043">
      <w:pPr>
        <w:spacing w:line="320" w:lineRule="exact"/>
        <w:rPr>
          <w:color w:val="auto"/>
          <w:highlight w:val="none"/>
        </w:rPr>
      </w:pPr>
    </w:p>
    <w:p w14:paraId="568A769A">
      <w:pPr>
        <w:keepNext w:val="0"/>
        <w:keepLines w:val="0"/>
        <w:pageBreakBefore w:val="0"/>
        <w:widowControl w:val="0"/>
        <w:pBdr>
          <w:top w:val="single" w:color="000000" w:sz="4" w:space="1"/>
          <w:left w:val="single" w:color="000000" w:sz="4" w:space="4"/>
          <w:bottom w:val="single" w:color="000000" w:sz="4" w:space="1"/>
          <w:right w:val="single" w:color="000000" w:sz="4" w:space="4"/>
        </w:pBdr>
        <w:kinsoku/>
        <w:wordWrap/>
        <w:overflowPunct/>
        <w:topLinePunct w:val="0"/>
        <w:autoSpaceDE/>
        <w:autoSpaceDN/>
        <w:bidi w:val="0"/>
        <w:adjustRightInd/>
        <w:snapToGrid/>
        <w:spacing w:line="360" w:lineRule="exact"/>
        <w:ind w:firstLine="422"/>
        <w:textAlignment w:val="auto"/>
        <w:rPr>
          <w:rFonts w:hint="eastAsia" w:ascii="Calibri Light" w:hAnsi="Calibri Light"/>
          <w:b/>
          <w:color w:val="auto"/>
          <w:szCs w:val="21"/>
          <w:highlight w:val="none"/>
        </w:rPr>
      </w:pPr>
      <w:r>
        <w:rPr>
          <w:rFonts w:hint="eastAsia" w:ascii="Calibri Light" w:hAnsi="Calibri Light" w:eastAsia="Calibri Light"/>
          <w:b/>
          <w:color w:val="auto"/>
          <w:szCs w:val="21"/>
          <w:highlight w:val="none"/>
        </w:rPr>
        <w:t>项目概况</w:t>
      </w:r>
    </w:p>
    <w:p w14:paraId="266D03B1">
      <w:pPr>
        <w:keepNext w:val="0"/>
        <w:keepLines w:val="0"/>
        <w:pageBreakBefore w:val="0"/>
        <w:widowControl w:val="0"/>
        <w:pBdr>
          <w:top w:val="single" w:color="000000" w:sz="4" w:space="1"/>
          <w:left w:val="single" w:color="000000" w:sz="4" w:space="4"/>
          <w:bottom w:val="single" w:color="000000" w:sz="4" w:space="1"/>
          <w:right w:val="single" w:color="000000" w:sz="4" w:space="4"/>
        </w:pBdr>
        <w:kinsoku/>
        <w:wordWrap/>
        <w:overflowPunct/>
        <w:topLinePunct w:val="0"/>
        <w:autoSpaceDE/>
        <w:autoSpaceDN/>
        <w:bidi w:val="0"/>
        <w:adjustRightInd/>
        <w:snapToGrid/>
        <w:spacing w:line="360" w:lineRule="exact"/>
        <w:textAlignment w:val="auto"/>
        <w:rPr>
          <w:rFonts w:ascii="Calibri Light" w:hAnsi="Calibri Light"/>
          <w:b/>
          <w:color w:val="auto"/>
          <w:szCs w:val="21"/>
          <w:highlight w:val="none"/>
        </w:rPr>
      </w:pPr>
      <w:r>
        <w:rPr>
          <w:rFonts w:hint="eastAsia" w:ascii="仿宋" w:hAnsi="仿宋" w:cs="Arial"/>
          <w:color w:val="auto"/>
          <w:kern w:val="0"/>
          <w:szCs w:val="21"/>
          <w:highlight w:val="none"/>
        </w:rPr>
        <w:t xml:space="preserve">   </w:t>
      </w:r>
      <w:r>
        <w:rPr>
          <w:rFonts w:hint="eastAsia" w:ascii="仿宋" w:hAnsi="仿宋" w:cs="Arial"/>
          <w:b w:val="0"/>
          <w:bCs w:val="0"/>
          <w:color w:val="auto"/>
          <w:kern w:val="0"/>
          <w:szCs w:val="21"/>
          <w:highlight w:val="none"/>
        </w:rPr>
        <w:t xml:space="preserve"> </w:t>
      </w:r>
      <w:r>
        <w:rPr>
          <w:rFonts w:hint="eastAsia" w:ascii="仿宋" w:hAnsi="仿宋" w:cs="宋体"/>
          <w:b/>
          <w:bCs/>
          <w:color w:val="auto"/>
          <w:kern w:val="0"/>
          <w:sz w:val="22"/>
          <w:szCs w:val="22"/>
          <w:highlight w:val="none"/>
          <w:lang w:eastAsia="zh-CN"/>
        </w:rPr>
        <w:t>广西医科大学</w:t>
      </w:r>
      <w:r>
        <w:rPr>
          <w:rFonts w:hint="eastAsia" w:ascii="仿宋" w:hAnsi="仿宋" w:cs="宋体"/>
          <w:b/>
          <w:bCs/>
          <w:color w:val="auto"/>
          <w:kern w:val="0"/>
          <w:szCs w:val="21"/>
          <w:highlight w:val="none"/>
          <w:lang w:eastAsia="zh-CN"/>
        </w:rPr>
        <w:t>第二附属医院电梯采购及安装</w:t>
      </w:r>
      <w:r>
        <w:rPr>
          <w:rFonts w:ascii="仿宋" w:hAnsi="仿宋" w:cs="Arial"/>
          <w:b w:val="0"/>
          <w:bCs w:val="0"/>
          <w:color w:val="auto"/>
          <w:kern w:val="0"/>
          <w:szCs w:val="21"/>
          <w:highlight w:val="none"/>
          <w:u w:val="none"/>
        </w:rPr>
        <w:t>项目</w:t>
      </w:r>
      <w:r>
        <w:rPr>
          <w:rFonts w:ascii="仿宋" w:hAnsi="仿宋" w:cs="Arial"/>
          <w:b w:val="0"/>
          <w:bCs w:val="0"/>
          <w:color w:val="auto"/>
          <w:kern w:val="0"/>
          <w:szCs w:val="21"/>
          <w:highlight w:val="none"/>
        </w:rPr>
        <w:t>的潜在供应商应在</w:t>
      </w:r>
      <w:r>
        <w:rPr>
          <w:rFonts w:hint="eastAsia" w:ascii="仿宋" w:hAnsi="仿宋" w:cs="Arial"/>
          <w:b w:val="0"/>
          <w:bCs w:val="0"/>
          <w:color w:val="auto"/>
          <w:kern w:val="0"/>
          <w:szCs w:val="21"/>
          <w:highlight w:val="none"/>
          <w:lang w:eastAsia="zh-CN"/>
        </w:rPr>
        <w:t>广西政府采购云平台线上获取采购文件</w:t>
      </w:r>
      <w:r>
        <w:rPr>
          <w:rFonts w:hint="eastAsia" w:ascii="宋体" w:hAnsi="宋体" w:cs="宋体"/>
          <w:color w:val="auto"/>
          <w:highlight w:val="none"/>
        </w:rPr>
        <w:t>，并于</w:t>
      </w:r>
      <w:r>
        <w:rPr>
          <w:rFonts w:hint="eastAsia" w:ascii="宋体" w:hAnsi="宋体" w:cs="宋体"/>
          <w:b/>
          <w:bCs/>
          <w:color w:val="auto"/>
          <w:highlight w:val="none"/>
          <w:u w:val="single"/>
        </w:rPr>
        <w:t>202</w:t>
      </w:r>
      <w:r>
        <w:rPr>
          <w:rFonts w:hint="eastAsia" w:ascii="宋体" w:hAnsi="宋体" w:cs="宋体"/>
          <w:b/>
          <w:bCs/>
          <w:color w:val="auto"/>
          <w:highlight w:val="none"/>
          <w:u w:val="single"/>
          <w:lang w:val="en-US" w:eastAsia="zh-CN"/>
        </w:rPr>
        <w:t>5</w:t>
      </w:r>
      <w:r>
        <w:rPr>
          <w:rFonts w:hint="eastAsia" w:ascii="宋体" w:hAnsi="宋体" w:cs="宋体"/>
          <w:b/>
          <w:bCs/>
          <w:color w:val="auto"/>
          <w:highlight w:val="none"/>
          <w:u w:val="single"/>
        </w:rPr>
        <w:t>年</w:t>
      </w:r>
      <w:r>
        <w:rPr>
          <w:rFonts w:hint="eastAsia" w:ascii="宋体" w:hAnsi="宋体" w:cs="宋体"/>
          <w:b/>
          <w:bCs/>
          <w:color w:val="auto"/>
          <w:highlight w:val="none"/>
          <w:u w:val="single"/>
          <w:lang w:val="en-US" w:eastAsia="zh-CN"/>
        </w:rPr>
        <w:t>9</w:t>
      </w:r>
      <w:r>
        <w:rPr>
          <w:rFonts w:ascii="仿宋" w:hAnsi="仿宋" w:cs="Arial"/>
          <w:b/>
          <w:bCs/>
          <w:color w:val="auto"/>
          <w:kern w:val="0"/>
          <w:szCs w:val="21"/>
          <w:highlight w:val="none"/>
          <w:u w:val="single"/>
        </w:rPr>
        <w:t>月</w:t>
      </w:r>
      <w:r>
        <w:rPr>
          <w:rFonts w:hint="eastAsia" w:ascii="仿宋" w:hAnsi="仿宋" w:cs="Arial"/>
          <w:b/>
          <w:bCs/>
          <w:color w:val="auto"/>
          <w:kern w:val="0"/>
          <w:szCs w:val="21"/>
          <w:highlight w:val="none"/>
          <w:u w:val="single"/>
          <w:lang w:val="en-US" w:eastAsia="zh-CN"/>
        </w:rPr>
        <w:t>24</w:t>
      </w:r>
      <w:r>
        <w:rPr>
          <w:rFonts w:ascii="仿宋" w:hAnsi="仿宋" w:cs="Arial"/>
          <w:b/>
          <w:bCs/>
          <w:color w:val="auto"/>
          <w:kern w:val="0"/>
          <w:szCs w:val="21"/>
          <w:highlight w:val="none"/>
          <w:u w:val="single"/>
        </w:rPr>
        <w:t>日</w:t>
      </w:r>
      <w:r>
        <w:rPr>
          <w:rFonts w:ascii="仿宋" w:hAnsi="仿宋" w:cs="Arial"/>
          <w:b w:val="0"/>
          <w:bCs w:val="0"/>
          <w:color w:val="auto"/>
          <w:kern w:val="0"/>
          <w:szCs w:val="21"/>
          <w:highlight w:val="none"/>
        </w:rPr>
        <w:t xml:space="preserve"> </w:t>
      </w:r>
      <w:r>
        <w:rPr>
          <w:rFonts w:ascii="仿宋" w:hAnsi="仿宋" w:cs="Arial"/>
          <w:color w:val="auto"/>
          <w:kern w:val="0"/>
          <w:szCs w:val="21"/>
          <w:highlight w:val="none"/>
        </w:rPr>
        <w:t>10:00（北京时间）前提交响应文件。</w:t>
      </w:r>
    </w:p>
    <w:p w14:paraId="5610ED57">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b/>
          <w:bCs/>
          <w:color w:val="auto"/>
          <w:kern w:val="0"/>
          <w:szCs w:val="21"/>
          <w:highlight w:val="none"/>
        </w:rPr>
      </w:pPr>
      <w:bookmarkStart w:id="5" w:name="_Toc28359012"/>
      <w:bookmarkEnd w:id="5"/>
      <w:bookmarkStart w:id="6" w:name="_Toc28359089"/>
      <w:bookmarkEnd w:id="6"/>
      <w:bookmarkStart w:id="7" w:name="_Toc35393798"/>
      <w:bookmarkEnd w:id="7"/>
      <w:bookmarkStart w:id="8" w:name="_Toc35393629"/>
      <w:bookmarkEnd w:id="8"/>
      <w:r>
        <w:rPr>
          <w:rFonts w:hint="eastAsia" w:ascii="仿宋" w:hAnsi="仿宋" w:cs="宋体"/>
          <w:b/>
          <w:bCs/>
          <w:color w:val="auto"/>
          <w:kern w:val="0"/>
          <w:szCs w:val="21"/>
          <w:highlight w:val="none"/>
        </w:rPr>
        <w:t xml:space="preserve">一、项目基本情况                                            </w:t>
      </w:r>
    </w:p>
    <w:p w14:paraId="2BB0D05C">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color w:val="auto"/>
          <w:kern w:val="0"/>
          <w:sz w:val="22"/>
          <w:szCs w:val="22"/>
          <w:highlight w:val="none"/>
        </w:rPr>
      </w:pPr>
      <w:r>
        <w:rPr>
          <w:rFonts w:hint="eastAsia" w:ascii="仿宋" w:hAnsi="仿宋" w:cs="宋体"/>
          <w:color w:val="auto"/>
          <w:kern w:val="0"/>
          <w:szCs w:val="21"/>
          <w:highlight w:val="none"/>
        </w:rPr>
        <w:t xml:space="preserve"> 项目编号：</w:t>
      </w:r>
      <w:r>
        <w:rPr>
          <w:rFonts w:hint="default" w:ascii="仿宋"/>
          <w:b w:val="0"/>
          <w:bCs w:val="0"/>
          <w:color w:val="auto"/>
          <w:highlight w:val="none"/>
          <w:lang w:val="en"/>
        </w:rPr>
        <w:t>GXZC2025-J1-</w:t>
      </w:r>
      <w:r>
        <w:rPr>
          <w:rFonts w:hint="eastAsia" w:ascii="仿宋"/>
          <w:b w:val="0"/>
          <w:bCs w:val="0"/>
          <w:color w:val="auto"/>
          <w:highlight w:val="none"/>
          <w:lang w:val="en-US" w:eastAsia="zh-CN"/>
        </w:rPr>
        <w:t>002431</w:t>
      </w:r>
      <w:r>
        <w:rPr>
          <w:rFonts w:hint="default" w:ascii="仿宋"/>
          <w:b w:val="0"/>
          <w:bCs w:val="0"/>
          <w:color w:val="auto"/>
          <w:highlight w:val="none"/>
          <w:lang w:val="en"/>
        </w:rPr>
        <w:t>-CGZX</w:t>
      </w:r>
      <w:r>
        <w:rPr>
          <w:rFonts w:hint="eastAsia" w:ascii="仿宋" w:hAnsi="仿宋" w:cs="宋体"/>
          <w:b w:val="0"/>
          <w:bCs w:val="0"/>
          <w:color w:val="auto"/>
          <w:kern w:val="0"/>
          <w:szCs w:val="21"/>
          <w:highlight w:val="none"/>
        </w:rPr>
        <w:t xml:space="preserve"> </w:t>
      </w:r>
    </w:p>
    <w:p w14:paraId="5FC7BC83">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default" w:ascii="仿宋" w:hAnsi="仿宋" w:eastAsia="宋体" w:cs="宋体"/>
          <w:color w:val="auto"/>
          <w:kern w:val="0"/>
          <w:szCs w:val="21"/>
          <w:highlight w:val="none"/>
          <w:lang w:val="en-US" w:eastAsia="zh-CN"/>
        </w:rPr>
      </w:pPr>
      <w:r>
        <w:rPr>
          <w:rFonts w:hint="eastAsia" w:ascii="仿宋" w:hAnsi="仿宋" w:cs="宋体"/>
          <w:color w:val="auto"/>
          <w:kern w:val="0"/>
          <w:sz w:val="22"/>
          <w:szCs w:val="22"/>
          <w:highlight w:val="none"/>
        </w:rPr>
        <w:t xml:space="preserve"> 项目名称：</w:t>
      </w:r>
      <w:r>
        <w:rPr>
          <w:rFonts w:hint="eastAsia" w:ascii="仿宋" w:hAnsi="仿宋" w:cs="宋体"/>
          <w:color w:val="auto"/>
          <w:kern w:val="0"/>
          <w:sz w:val="22"/>
          <w:szCs w:val="22"/>
          <w:highlight w:val="none"/>
          <w:lang w:eastAsia="zh-CN"/>
        </w:rPr>
        <w:t>广西医科大学</w:t>
      </w:r>
      <w:r>
        <w:rPr>
          <w:rFonts w:hint="eastAsia" w:ascii="仿宋" w:hAnsi="仿宋" w:cs="宋体"/>
          <w:color w:val="auto"/>
          <w:kern w:val="0"/>
          <w:szCs w:val="21"/>
          <w:highlight w:val="none"/>
          <w:lang w:eastAsia="zh-CN"/>
        </w:rPr>
        <w:t>第二附属医院电梯采购及安装</w:t>
      </w:r>
    </w:p>
    <w:p w14:paraId="7EA15672">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 xml:space="preserve"> 采购方式：竞争性谈判 </w:t>
      </w:r>
    </w:p>
    <w:p w14:paraId="7B9F6C40">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 xml:space="preserve"> 预算总金额（元）：1321500</w:t>
      </w:r>
      <w:r>
        <w:rPr>
          <w:rFonts w:hint="eastAsia" w:ascii="仿宋" w:hAnsi="仿宋" w:cs="宋体"/>
          <w:color w:val="auto"/>
          <w:kern w:val="0"/>
          <w:szCs w:val="21"/>
          <w:highlight w:val="none"/>
          <w:lang w:val="en-US" w:eastAsia="zh-CN"/>
        </w:rPr>
        <w:t>.</w:t>
      </w:r>
      <w:r>
        <w:rPr>
          <w:rFonts w:hint="default" w:ascii="仿宋" w:hAnsi="仿宋" w:cs="宋体"/>
          <w:color w:val="auto"/>
          <w:kern w:val="0"/>
          <w:szCs w:val="21"/>
          <w:highlight w:val="none"/>
          <w:lang w:val="en" w:eastAsia="zh-CN"/>
        </w:rPr>
        <w:t>0</w:t>
      </w:r>
      <w:r>
        <w:rPr>
          <w:rFonts w:hint="eastAsia" w:ascii="仿宋" w:hAnsi="仿宋" w:cs="宋体"/>
          <w:color w:val="auto"/>
          <w:kern w:val="0"/>
          <w:szCs w:val="21"/>
          <w:highlight w:val="none"/>
          <w:lang w:val="en-US" w:eastAsia="zh-CN"/>
        </w:rPr>
        <w:t>0</w:t>
      </w:r>
      <w:r>
        <w:rPr>
          <w:rFonts w:hint="eastAsia" w:ascii="仿宋" w:hAnsi="仿宋" w:cs="宋体"/>
          <w:color w:val="auto"/>
          <w:kern w:val="0"/>
          <w:szCs w:val="21"/>
          <w:highlight w:val="none"/>
        </w:rPr>
        <w:t xml:space="preserve"> </w:t>
      </w:r>
    </w:p>
    <w:p w14:paraId="55ECAC82">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 xml:space="preserve"> 采购需求：</w:t>
      </w:r>
    </w:p>
    <w:p w14:paraId="5EF1B03F">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eastAsia="宋体" w:cs="宋体"/>
          <w:color w:val="auto"/>
          <w:kern w:val="0"/>
          <w:szCs w:val="21"/>
          <w:highlight w:val="none"/>
          <w:lang w:eastAsia="zh-CN"/>
        </w:rPr>
      </w:pPr>
      <w:r>
        <w:rPr>
          <w:rFonts w:hint="eastAsia" w:ascii="仿宋" w:hAnsi="仿宋" w:cs="宋体"/>
          <w:color w:val="auto"/>
          <w:kern w:val="0"/>
          <w:szCs w:val="21"/>
          <w:highlight w:val="none"/>
          <w:lang w:val="en-US" w:eastAsia="zh-CN"/>
        </w:rPr>
        <w:t xml:space="preserve"> </w:t>
      </w:r>
      <w:r>
        <w:rPr>
          <w:rFonts w:hint="eastAsia" w:ascii="仿宋" w:hAnsi="仿宋" w:cs="宋体"/>
          <w:color w:val="auto"/>
          <w:kern w:val="0"/>
          <w:szCs w:val="21"/>
          <w:highlight w:val="none"/>
        </w:rPr>
        <w:t>标项名称</w:t>
      </w:r>
      <w:r>
        <w:rPr>
          <w:rFonts w:hint="eastAsia" w:ascii="仿宋" w:hAnsi="仿宋" w:cs="宋体"/>
          <w:color w:val="auto"/>
          <w:kern w:val="0"/>
          <w:szCs w:val="21"/>
          <w:highlight w:val="none"/>
          <w:lang w:eastAsia="zh-CN"/>
        </w:rPr>
        <w:t>：</w:t>
      </w:r>
      <w:r>
        <w:rPr>
          <w:rFonts w:hint="eastAsia" w:ascii="仿宋" w:hAnsi="仿宋" w:cs="宋体"/>
          <w:color w:val="auto"/>
          <w:kern w:val="0"/>
          <w:sz w:val="22"/>
          <w:szCs w:val="22"/>
          <w:highlight w:val="none"/>
          <w:lang w:eastAsia="zh-CN"/>
        </w:rPr>
        <w:t>广西医科大学</w:t>
      </w:r>
      <w:r>
        <w:rPr>
          <w:rFonts w:hint="eastAsia" w:ascii="仿宋" w:hAnsi="仿宋" w:cs="宋体"/>
          <w:color w:val="auto"/>
          <w:kern w:val="0"/>
          <w:szCs w:val="21"/>
          <w:highlight w:val="none"/>
          <w:lang w:eastAsia="zh-CN"/>
        </w:rPr>
        <w:t>第二附属医院电梯采购及安装</w:t>
      </w:r>
      <w:r>
        <w:rPr>
          <w:rFonts w:hint="eastAsia"/>
          <w:color w:val="auto"/>
          <w:highlight w:val="none"/>
          <w:lang w:val="en-US" w:eastAsia="zh-CN"/>
        </w:rPr>
        <w:t xml:space="preserve"> </w:t>
      </w:r>
    </w:p>
    <w:p w14:paraId="7C27A329">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lang w:val="en-US" w:eastAsia="zh-CN"/>
        </w:rPr>
        <w:t xml:space="preserve"> </w:t>
      </w:r>
      <w:r>
        <w:rPr>
          <w:rFonts w:hint="eastAsia" w:ascii="仿宋" w:hAnsi="仿宋" w:cs="宋体"/>
          <w:color w:val="auto"/>
          <w:kern w:val="0"/>
          <w:szCs w:val="21"/>
          <w:highlight w:val="none"/>
        </w:rPr>
        <w:t>数量</w:t>
      </w:r>
      <w:r>
        <w:rPr>
          <w:rFonts w:hint="eastAsia" w:ascii="仿宋" w:hAnsi="仿宋" w:cs="宋体"/>
          <w:color w:val="auto"/>
          <w:kern w:val="0"/>
          <w:szCs w:val="21"/>
          <w:highlight w:val="none"/>
          <w:lang w:eastAsia="zh-CN"/>
        </w:rPr>
        <w:t>：</w:t>
      </w:r>
      <w:r>
        <w:rPr>
          <w:rFonts w:hint="eastAsia" w:ascii="仿宋" w:hAnsi="仿宋" w:cs="宋体"/>
          <w:color w:val="auto"/>
          <w:kern w:val="0"/>
          <w:szCs w:val="21"/>
          <w:highlight w:val="none"/>
        </w:rPr>
        <w:t>1</w:t>
      </w:r>
    </w:p>
    <w:p w14:paraId="7EA02089">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default" w:ascii="仿宋" w:hAnsi="仿宋" w:eastAsia="宋体" w:cs="宋体"/>
          <w:color w:val="auto"/>
          <w:kern w:val="0"/>
          <w:szCs w:val="21"/>
          <w:highlight w:val="none"/>
          <w:lang w:val="en-US" w:eastAsia="zh-CN"/>
        </w:rPr>
      </w:pPr>
      <w:r>
        <w:rPr>
          <w:rFonts w:hint="eastAsia" w:ascii="仿宋" w:hAnsi="仿宋" w:cs="宋体"/>
          <w:color w:val="auto"/>
          <w:kern w:val="0"/>
          <w:szCs w:val="21"/>
          <w:highlight w:val="none"/>
          <w:lang w:val="en-US" w:eastAsia="zh-CN"/>
        </w:rPr>
        <w:t xml:space="preserve"> </w:t>
      </w:r>
      <w:r>
        <w:rPr>
          <w:rFonts w:hint="eastAsia" w:ascii="仿宋" w:hAnsi="仿宋" w:cs="宋体"/>
          <w:color w:val="auto"/>
          <w:kern w:val="0"/>
          <w:szCs w:val="21"/>
          <w:highlight w:val="none"/>
        </w:rPr>
        <w:t>预算金额（元）</w:t>
      </w:r>
      <w:r>
        <w:rPr>
          <w:rFonts w:hint="eastAsia" w:ascii="仿宋" w:hAnsi="仿宋" w:cs="宋体"/>
          <w:color w:val="auto"/>
          <w:kern w:val="0"/>
          <w:szCs w:val="21"/>
          <w:highlight w:val="none"/>
          <w:lang w:eastAsia="zh-CN"/>
        </w:rPr>
        <w:t>：</w:t>
      </w:r>
      <w:r>
        <w:rPr>
          <w:rFonts w:hint="eastAsia" w:ascii="仿宋" w:hAnsi="仿宋" w:cs="宋体"/>
          <w:color w:val="auto"/>
          <w:kern w:val="0"/>
          <w:szCs w:val="21"/>
          <w:highlight w:val="none"/>
        </w:rPr>
        <w:t>1321500</w:t>
      </w:r>
      <w:r>
        <w:rPr>
          <w:rFonts w:hint="eastAsia" w:ascii="仿宋" w:hAnsi="仿宋" w:cs="宋体"/>
          <w:color w:val="auto"/>
          <w:kern w:val="0"/>
          <w:szCs w:val="21"/>
          <w:highlight w:val="none"/>
          <w:lang w:val="en-US" w:eastAsia="zh-CN"/>
        </w:rPr>
        <w:t>.</w:t>
      </w:r>
      <w:r>
        <w:rPr>
          <w:rFonts w:hint="default" w:ascii="仿宋" w:hAnsi="仿宋" w:cs="宋体"/>
          <w:color w:val="auto"/>
          <w:kern w:val="0"/>
          <w:szCs w:val="21"/>
          <w:highlight w:val="none"/>
          <w:lang w:val="en" w:eastAsia="zh-CN"/>
        </w:rPr>
        <w:t>0</w:t>
      </w:r>
      <w:r>
        <w:rPr>
          <w:rFonts w:hint="eastAsia" w:ascii="仿宋" w:hAnsi="仿宋" w:cs="宋体"/>
          <w:color w:val="auto"/>
          <w:kern w:val="0"/>
          <w:szCs w:val="21"/>
          <w:highlight w:val="none"/>
          <w:lang w:val="en-US" w:eastAsia="zh-CN"/>
        </w:rPr>
        <w:t>0</w:t>
      </w:r>
      <w:r>
        <w:rPr>
          <w:rFonts w:hint="eastAsia" w:ascii="仿宋" w:hAnsi="仿宋" w:cs="宋体"/>
          <w:color w:val="auto"/>
          <w:kern w:val="0"/>
          <w:szCs w:val="21"/>
          <w:highlight w:val="none"/>
        </w:rPr>
        <w:t xml:space="preserve"> </w:t>
      </w:r>
    </w:p>
    <w:p w14:paraId="5A041C03">
      <w:pPr>
        <w:rPr>
          <w:rFonts w:hint="eastAsia" w:ascii="仿宋" w:hAnsi="仿宋" w:cs="宋体"/>
          <w:color w:val="auto"/>
          <w:kern w:val="0"/>
          <w:szCs w:val="21"/>
          <w:highlight w:val="none"/>
        </w:rPr>
      </w:pPr>
      <w:r>
        <w:rPr>
          <w:rFonts w:hint="eastAsia" w:ascii="仿宋" w:hAnsi="仿宋" w:cs="宋体"/>
          <w:color w:val="auto"/>
          <w:kern w:val="0"/>
          <w:szCs w:val="21"/>
          <w:highlight w:val="none"/>
          <w:lang w:val="en-US" w:eastAsia="zh-CN"/>
        </w:rPr>
        <w:t xml:space="preserve">    </w:t>
      </w:r>
      <w:r>
        <w:rPr>
          <w:rFonts w:hint="eastAsia" w:ascii="仿宋" w:hAnsi="仿宋" w:cs="宋体"/>
          <w:color w:val="auto"/>
          <w:kern w:val="0"/>
          <w:szCs w:val="21"/>
          <w:highlight w:val="none"/>
        </w:rPr>
        <w:t>简要规格描述或项目基本概况介绍、用途：</w:t>
      </w:r>
      <w:r>
        <w:rPr>
          <w:rFonts w:hint="eastAsia" w:ascii="仿宋" w:hAnsi="仿宋" w:cs="宋体"/>
          <w:b/>
          <w:bCs/>
          <w:color w:val="auto"/>
          <w:kern w:val="0"/>
          <w:szCs w:val="21"/>
          <w:highlight w:val="none"/>
        </w:rPr>
        <w:t>小机房乘客电梯3台；医用电梯2台</w:t>
      </w:r>
      <w:r>
        <w:rPr>
          <w:rFonts w:hint="eastAsia" w:ascii="仿宋" w:hAnsi="仿宋" w:cs="宋体"/>
          <w:color w:val="auto"/>
          <w:kern w:val="0"/>
          <w:szCs w:val="21"/>
          <w:highlight w:val="none"/>
        </w:rPr>
        <w:t>。(详见采购文件)</w:t>
      </w:r>
    </w:p>
    <w:p w14:paraId="15F8FEC0">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lang w:val="en-US" w:eastAsia="zh-CN"/>
        </w:rPr>
        <w:t xml:space="preserve"> </w:t>
      </w:r>
      <w:r>
        <w:rPr>
          <w:rFonts w:hint="eastAsia" w:ascii="仿宋" w:hAnsi="仿宋" w:cs="宋体"/>
          <w:color w:val="auto"/>
          <w:kern w:val="0"/>
          <w:szCs w:val="21"/>
          <w:highlight w:val="none"/>
        </w:rPr>
        <w:t>最高限价（如有）：/</w:t>
      </w:r>
    </w:p>
    <w:p w14:paraId="7AF16BFB">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lang w:val="en-US" w:eastAsia="zh-CN"/>
        </w:rPr>
        <w:t xml:space="preserve"> </w:t>
      </w:r>
      <w:r>
        <w:rPr>
          <w:rFonts w:hint="eastAsia" w:ascii="仿宋" w:hAnsi="仿宋" w:cs="宋体"/>
          <w:color w:val="auto"/>
          <w:kern w:val="0"/>
          <w:szCs w:val="21"/>
          <w:highlight w:val="none"/>
        </w:rPr>
        <w:t>合同履约期限：自合同签订之日起至项目履约完毕。</w:t>
      </w:r>
    </w:p>
    <w:p w14:paraId="64FA0A9C">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default" w:ascii="仿宋" w:hAnsi="仿宋" w:eastAsia="宋体" w:cs="宋体"/>
          <w:color w:val="auto"/>
          <w:kern w:val="0"/>
          <w:szCs w:val="21"/>
          <w:highlight w:val="none"/>
          <w:lang w:val="en-US" w:eastAsia="zh-CN"/>
        </w:rPr>
      </w:pPr>
      <w:r>
        <w:rPr>
          <w:rFonts w:hint="eastAsia" w:ascii="仿宋" w:hAnsi="仿宋" w:cs="宋体"/>
          <w:color w:val="auto"/>
          <w:kern w:val="0"/>
          <w:szCs w:val="21"/>
          <w:highlight w:val="none"/>
          <w:lang w:val="en-US" w:eastAsia="zh-CN"/>
        </w:rPr>
        <w:t xml:space="preserve"> </w:t>
      </w:r>
      <w:r>
        <w:rPr>
          <w:rFonts w:hint="eastAsia" w:ascii="仿宋" w:hAnsi="仿宋" w:cs="宋体"/>
          <w:color w:val="auto"/>
          <w:kern w:val="0"/>
          <w:szCs w:val="21"/>
          <w:highlight w:val="none"/>
        </w:rPr>
        <w:t>本项目</w:t>
      </w:r>
      <w:r>
        <w:rPr>
          <w:rFonts w:hint="eastAsia" w:ascii="仿宋" w:hAnsi="仿宋" w:cs="宋体"/>
          <w:color w:val="auto"/>
          <w:kern w:val="0"/>
          <w:szCs w:val="21"/>
          <w:highlight w:val="none"/>
          <w:lang w:eastAsia="zh-CN"/>
        </w:rPr>
        <w:t>不</w:t>
      </w:r>
      <w:r>
        <w:rPr>
          <w:rFonts w:hint="eastAsia" w:ascii="仿宋" w:hAnsi="仿宋" w:cs="宋体"/>
          <w:color w:val="auto"/>
          <w:kern w:val="0"/>
          <w:szCs w:val="21"/>
          <w:highlight w:val="none"/>
        </w:rPr>
        <w:t>接受联合体</w:t>
      </w:r>
      <w:r>
        <w:rPr>
          <w:rFonts w:hint="eastAsia" w:ascii="仿宋" w:hAnsi="仿宋" w:cs="宋体"/>
          <w:color w:val="auto"/>
          <w:kern w:val="0"/>
          <w:szCs w:val="21"/>
          <w:highlight w:val="none"/>
          <w:lang w:eastAsia="zh-CN"/>
        </w:rPr>
        <w:t>竞标</w:t>
      </w:r>
    </w:p>
    <w:p w14:paraId="5F01D250">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lang w:val="en-US" w:eastAsia="zh-CN"/>
        </w:rPr>
        <w:t xml:space="preserve"> </w:t>
      </w:r>
      <w:r>
        <w:rPr>
          <w:rFonts w:hint="eastAsia" w:ascii="仿宋" w:hAnsi="仿宋" w:cs="宋体"/>
          <w:color w:val="auto"/>
          <w:kern w:val="0"/>
          <w:szCs w:val="21"/>
          <w:highlight w:val="none"/>
        </w:rPr>
        <w:t>备注：本项目为线上电子招标项目，有意向参与本项目的供应商应当做好参与全流程电子招</w:t>
      </w:r>
      <w:r>
        <w:rPr>
          <w:rFonts w:hint="eastAsia" w:ascii="仿宋" w:hAnsi="仿宋" w:cs="宋体"/>
          <w:color w:val="auto"/>
          <w:kern w:val="0"/>
          <w:szCs w:val="21"/>
          <w:highlight w:val="none"/>
          <w:lang w:eastAsia="zh-CN"/>
        </w:rPr>
        <w:t>竞标</w:t>
      </w:r>
      <w:r>
        <w:rPr>
          <w:rFonts w:hint="eastAsia" w:ascii="仿宋" w:hAnsi="仿宋" w:cs="宋体"/>
          <w:color w:val="auto"/>
          <w:kern w:val="0"/>
          <w:szCs w:val="21"/>
          <w:highlight w:val="none"/>
        </w:rPr>
        <w:t>交易的充</w:t>
      </w:r>
    </w:p>
    <w:p w14:paraId="1CC69D6E">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分准备。</w:t>
      </w:r>
    </w:p>
    <w:p w14:paraId="34DA5548">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b/>
          <w:bCs/>
          <w:color w:val="auto"/>
          <w:kern w:val="0"/>
          <w:szCs w:val="21"/>
          <w:highlight w:val="none"/>
        </w:rPr>
      </w:pPr>
      <w:r>
        <w:rPr>
          <w:rFonts w:hint="eastAsia" w:ascii="仿宋" w:hAnsi="仿宋" w:cs="宋体"/>
          <w:b/>
          <w:bCs/>
          <w:color w:val="auto"/>
          <w:kern w:val="0"/>
          <w:szCs w:val="21"/>
          <w:highlight w:val="none"/>
        </w:rPr>
        <w:t>二、申请人的资格要求：</w:t>
      </w:r>
    </w:p>
    <w:p w14:paraId="71E09846">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 xml:space="preserve">    1.满足《中华人民共和国政府采购法》第二十二条规定；</w:t>
      </w:r>
    </w:p>
    <w:p w14:paraId="1124B831">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 xml:space="preserve">    2.落实政府采购政策需满足的资格要求：分标1：</w:t>
      </w:r>
      <w:r>
        <w:rPr>
          <w:rFonts w:hint="eastAsia" w:ascii="仿宋" w:hAnsi="仿宋" w:cs="宋体"/>
          <w:color w:val="auto"/>
          <w:kern w:val="0"/>
          <w:szCs w:val="21"/>
          <w:highlight w:val="none"/>
          <w:lang w:eastAsia="zh-CN"/>
        </w:rPr>
        <w:t>无。</w:t>
      </w:r>
      <w:r>
        <w:rPr>
          <w:rFonts w:hint="eastAsia" w:ascii="仿宋" w:hAnsi="仿宋" w:cs="宋体"/>
          <w:color w:val="auto"/>
          <w:kern w:val="0"/>
          <w:szCs w:val="21"/>
          <w:highlight w:val="none"/>
        </w:rPr>
        <w:t xml:space="preserve"> </w:t>
      </w:r>
    </w:p>
    <w:p w14:paraId="37B99E78">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b/>
          <w:bCs/>
          <w:color w:val="auto"/>
          <w:kern w:val="0"/>
          <w:szCs w:val="21"/>
          <w:highlight w:val="none"/>
        </w:rPr>
      </w:pPr>
      <w:r>
        <w:rPr>
          <w:rFonts w:hint="eastAsia" w:ascii="仿宋" w:hAnsi="仿宋" w:cs="宋体"/>
          <w:color w:val="auto"/>
          <w:kern w:val="0"/>
          <w:szCs w:val="21"/>
          <w:highlight w:val="none"/>
        </w:rPr>
        <w:t xml:space="preserve">    3.</w:t>
      </w:r>
      <w:r>
        <w:rPr>
          <w:rFonts w:hint="eastAsia" w:ascii="仿宋" w:hAnsi="仿宋" w:cs="宋体"/>
          <w:b/>
          <w:bCs/>
          <w:color w:val="auto"/>
          <w:kern w:val="0"/>
          <w:szCs w:val="21"/>
          <w:highlight w:val="none"/>
        </w:rPr>
        <w:t>本项目的特定资格要求：</w:t>
      </w:r>
      <w:r>
        <w:rPr>
          <w:rStyle w:val="26"/>
          <w:rFonts w:hint="eastAsia" w:ascii="宋体" w:hAnsi="宋体"/>
          <w:b/>
          <w:bCs/>
          <w:color w:val="auto"/>
          <w:highlight w:val="none"/>
        </w:rPr>
        <w:t>竞标人</w:t>
      </w:r>
      <w:r>
        <w:rPr>
          <w:rStyle w:val="26"/>
          <w:rFonts w:hint="eastAsia" w:hAnsi="宋体"/>
          <w:b/>
          <w:bCs/>
          <w:color w:val="auto"/>
          <w:highlight w:val="none"/>
        </w:rPr>
        <w:t>必须具有《中华人民共和国特种设备安装改造维修许可证（电梯）》安装、维修</w:t>
      </w:r>
      <w:r>
        <w:rPr>
          <w:rStyle w:val="26"/>
          <w:rFonts w:hAnsi="宋体"/>
          <w:b/>
          <w:bCs/>
          <w:color w:val="auto"/>
          <w:highlight w:val="none"/>
        </w:rPr>
        <w:t>B</w:t>
      </w:r>
      <w:r>
        <w:rPr>
          <w:rStyle w:val="26"/>
          <w:rFonts w:hint="eastAsia" w:hAnsi="宋体"/>
          <w:b/>
          <w:bCs/>
          <w:color w:val="auto"/>
          <w:highlight w:val="none"/>
        </w:rPr>
        <w:t>级及以上证书或</w:t>
      </w:r>
      <w:r>
        <w:rPr>
          <w:rFonts w:hint="eastAsia" w:hAnsi="宋体"/>
          <w:b/>
          <w:bCs/>
          <w:color w:val="auto"/>
          <w:szCs w:val="21"/>
          <w:highlight w:val="none"/>
        </w:rPr>
        <w:t>《中华人民共和国特种设备生产许可证》证书（需提供证书复印件并加盖竞标人公章）</w:t>
      </w:r>
      <w:r>
        <w:rPr>
          <w:rFonts w:hint="eastAsia" w:ascii="宋体" w:hAnsi="宋体"/>
          <w:b/>
          <w:bCs/>
          <w:color w:val="auto"/>
          <w:szCs w:val="21"/>
          <w:highlight w:val="none"/>
        </w:rPr>
        <w:t>。</w:t>
      </w:r>
      <w:r>
        <w:rPr>
          <w:rFonts w:hint="eastAsia" w:ascii="仿宋" w:hAnsi="仿宋" w:cs="宋体"/>
          <w:b/>
          <w:bCs/>
          <w:color w:val="auto"/>
          <w:kern w:val="0"/>
          <w:szCs w:val="21"/>
          <w:highlight w:val="none"/>
        </w:rPr>
        <w:t xml:space="preserve"> </w:t>
      </w:r>
    </w:p>
    <w:p w14:paraId="25ACC470">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b/>
          <w:bCs/>
          <w:color w:val="auto"/>
          <w:kern w:val="0"/>
          <w:szCs w:val="21"/>
          <w:highlight w:val="none"/>
        </w:rPr>
      </w:pPr>
      <w:r>
        <w:rPr>
          <w:rFonts w:hint="eastAsia" w:ascii="仿宋" w:hAnsi="仿宋" w:cs="宋体"/>
          <w:b/>
          <w:bCs/>
          <w:color w:val="auto"/>
          <w:kern w:val="0"/>
          <w:szCs w:val="21"/>
          <w:highlight w:val="none"/>
        </w:rPr>
        <w:t>三、获取采购文件</w:t>
      </w:r>
    </w:p>
    <w:p w14:paraId="042A59DF">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b/>
          <w:bCs/>
          <w:color w:val="auto"/>
          <w:kern w:val="0"/>
          <w:szCs w:val="21"/>
          <w:highlight w:val="none"/>
        </w:rPr>
      </w:pPr>
      <w:r>
        <w:rPr>
          <w:rFonts w:hint="eastAsia" w:ascii="仿宋" w:hAnsi="仿宋" w:cs="宋体"/>
          <w:color w:val="auto"/>
          <w:kern w:val="0"/>
          <w:szCs w:val="21"/>
          <w:highlight w:val="none"/>
        </w:rPr>
        <w:t xml:space="preserve">    时间：</w:t>
      </w:r>
      <w:r>
        <w:rPr>
          <w:rFonts w:hint="eastAsia" w:ascii="仿宋" w:hAnsi="仿宋" w:cs="宋体"/>
          <w:b/>
          <w:bCs/>
          <w:color w:val="auto"/>
          <w:kern w:val="0"/>
          <w:szCs w:val="21"/>
          <w:highlight w:val="none"/>
        </w:rPr>
        <w:t>202</w:t>
      </w:r>
      <w:r>
        <w:rPr>
          <w:rFonts w:hint="eastAsia" w:ascii="仿宋" w:hAnsi="仿宋" w:cs="宋体"/>
          <w:b/>
          <w:bCs/>
          <w:color w:val="auto"/>
          <w:kern w:val="0"/>
          <w:szCs w:val="21"/>
          <w:highlight w:val="none"/>
          <w:lang w:val="en-US" w:eastAsia="zh-CN"/>
        </w:rPr>
        <w:t>5</w:t>
      </w:r>
      <w:r>
        <w:rPr>
          <w:rFonts w:hint="eastAsia" w:ascii="仿宋" w:hAnsi="仿宋" w:cs="宋体"/>
          <w:b/>
          <w:bCs/>
          <w:color w:val="auto"/>
          <w:kern w:val="0"/>
          <w:szCs w:val="21"/>
          <w:highlight w:val="none"/>
        </w:rPr>
        <w:t>年</w:t>
      </w:r>
      <w:r>
        <w:rPr>
          <w:rFonts w:hint="eastAsia" w:ascii="仿宋" w:hAnsi="仿宋" w:cs="宋体"/>
          <w:b/>
          <w:bCs/>
          <w:color w:val="auto"/>
          <w:kern w:val="0"/>
          <w:szCs w:val="21"/>
          <w:highlight w:val="none"/>
          <w:lang w:val="en-US" w:eastAsia="zh-CN"/>
        </w:rPr>
        <w:t>9</w:t>
      </w:r>
      <w:r>
        <w:rPr>
          <w:rFonts w:hint="eastAsia" w:ascii="仿宋" w:hAnsi="仿宋" w:cs="宋体"/>
          <w:b/>
          <w:bCs/>
          <w:color w:val="auto"/>
          <w:kern w:val="0"/>
          <w:szCs w:val="21"/>
          <w:highlight w:val="none"/>
        </w:rPr>
        <w:t>月</w:t>
      </w:r>
      <w:r>
        <w:rPr>
          <w:rFonts w:hint="eastAsia" w:ascii="仿宋" w:hAnsi="仿宋" w:cs="宋体"/>
          <w:b/>
          <w:bCs/>
          <w:color w:val="auto"/>
          <w:kern w:val="0"/>
          <w:szCs w:val="21"/>
          <w:highlight w:val="none"/>
          <w:lang w:val="en-US" w:eastAsia="zh-CN"/>
        </w:rPr>
        <w:t>17</w:t>
      </w:r>
      <w:r>
        <w:rPr>
          <w:rFonts w:hint="eastAsia" w:ascii="仿宋" w:hAnsi="仿宋" w:cs="宋体"/>
          <w:b/>
          <w:bCs/>
          <w:color w:val="auto"/>
          <w:kern w:val="0"/>
          <w:szCs w:val="21"/>
          <w:highlight w:val="none"/>
        </w:rPr>
        <w:t>日至202</w:t>
      </w:r>
      <w:r>
        <w:rPr>
          <w:rFonts w:hint="eastAsia" w:ascii="仿宋" w:hAnsi="仿宋" w:cs="宋体"/>
          <w:b/>
          <w:bCs/>
          <w:color w:val="auto"/>
          <w:kern w:val="0"/>
          <w:szCs w:val="21"/>
          <w:highlight w:val="none"/>
          <w:lang w:val="en-US" w:eastAsia="zh-CN"/>
        </w:rPr>
        <w:t>5</w:t>
      </w:r>
      <w:r>
        <w:rPr>
          <w:rFonts w:hint="eastAsia" w:ascii="仿宋" w:hAnsi="仿宋" w:cs="宋体"/>
          <w:b/>
          <w:bCs/>
          <w:color w:val="auto"/>
          <w:kern w:val="0"/>
          <w:szCs w:val="21"/>
          <w:highlight w:val="none"/>
        </w:rPr>
        <w:t>年</w:t>
      </w:r>
      <w:r>
        <w:rPr>
          <w:rFonts w:hint="eastAsia" w:ascii="仿宋" w:hAnsi="仿宋" w:cs="宋体"/>
          <w:b/>
          <w:bCs/>
          <w:color w:val="auto"/>
          <w:kern w:val="0"/>
          <w:szCs w:val="21"/>
          <w:highlight w:val="none"/>
          <w:lang w:val="en-US" w:eastAsia="zh-CN"/>
        </w:rPr>
        <w:t>9</w:t>
      </w:r>
      <w:r>
        <w:rPr>
          <w:rFonts w:hint="eastAsia" w:ascii="仿宋" w:hAnsi="仿宋" w:cs="宋体"/>
          <w:b/>
          <w:bCs/>
          <w:color w:val="auto"/>
          <w:kern w:val="0"/>
          <w:szCs w:val="21"/>
          <w:highlight w:val="none"/>
        </w:rPr>
        <w:t>月</w:t>
      </w:r>
      <w:r>
        <w:rPr>
          <w:rFonts w:hint="eastAsia" w:ascii="仿宋" w:hAnsi="仿宋" w:cs="宋体"/>
          <w:b/>
          <w:bCs/>
          <w:color w:val="auto"/>
          <w:kern w:val="0"/>
          <w:szCs w:val="21"/>
          <w:highlight w:val="none"/>
          <w:lang w:val="en-US" w:eastAsia="zh-CN"/>
        </w:rPr>
        <w:t>22</w:t>
      </w:r>
      <w:r>
        <w:rPr>
          <w:rFonts w:hint="eastAsia" w:ascii="仿宋" w:hAnsi="仿宋" w:cs="宋体"/>
          <w:b/>
          <w:bCs/>
          <w:color w:val="auto"/>
          <w:kern w:val="0"/>
          <w:szCs w:val="21"/>
          <w:highlight w:val="none"/>
        </w:rPr>
        <w:t>日</w:t>
      </w:r>
      <w:r>
        <w:rPr>
          <w:rFonts w:hint="eastAsia" w:ascii="仿宋" w:hAnsi="仿宋" w:cs="宋体"/>
          <w:color w:val="auto"/>
          <w:kern w:val="0"/>
          <w:szCs w:val="21"/>
          <w:highlight w:val="none"/>
        </w:rPr>
        <w:t>，</w:t>
      </w:r>
      <w:r>
        <w:rPr>
          <w:rFonts w:hint="eastAsia" w:ascii="仿宋" w:hAnsi="仿宋" w:cs="宋体"/>
          <w:b/>
          <w:bCs/>
          <w:color w:val="auto"/>
          <w:kern w:val="0"/>
          <w:szCs w:val="21"/>
          <w:highlight w:val="none"/>
        </w:rPr>
        <w:t>每天上午00:00至12:00，下午12:00至23:59（北京时</w:t>
      </w:r>
    </w:p>
    <w:p w14:paraId="709A4F3A">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b/>
          <w:bCs/>
          <w:color w:val="auto"/>
          <w:kern w:val="0"/>
          <w:szCs w:val="21"/>
          <w:highlight w:val="none"/>
        </w:rPr>
      </w:pPr>
      <w:r>
        <w:rPr>
          <w:rFonts w:hint="eastAsia" w:ascii="仿宋" w:hAnsi="仿宋" w:cs="宋体"/>
          <w:b/>
          <w:bCs/>
          <w:color w:val="auto"/>
          <w:kern w:val="0"/>
          <w:szCs w:val="21"/>
          <w:highlight w:val="none"/>
        </w:rPr>
        <w:t>间，法定节假日除外）</w:t>
      </w:r>
    </w:p>
    <w:p w14:paraId="2E0C6762">
      <w:pPr>
        <w:pStyle w:val="13"/>
        <w:rPr>
          <w:rFonts w:cs="宋体"/>
          <w:b w:val="0"/>
          <w:bCs/>
          <w:color w:val="auto"/>
          <w:kern w:val="0"/>
          <w:szCs w:val="21"/>
          <w:highlight w:val="none"/>
        </w:rPr>
      </w:pPr>
      <w:r>
        <w:rPr>
          <w:rFonts w:hint="eastAsia" w:ascii="仿宋" w:hAnsi="仿宋" w:cs="宋体"/>
          <w:color w:val="auto"/>
          <w:kern w:val="0"/>
          <w:szCs w:val="21"/>
          <w:highlight w:val="none"/>
        </w:rPr>
        <w:t xml:space="preserve">   </w:t>
      </w:r>
      <w:r>
        <w:rPr>
          <w:rFonts w:hint="eastAsia" w:cs="宋体"/>
          <w:b w:val="0"/>
          <w:color w:val="auto"/>
          <w:kern w:val="0"/>
          <w:szCs w:val="21"/>
          <w:highlight w:val="none"/>
        </w:rPr>
        <w:t>地点（网址）：</w:t>
      </w:r>
      <w:r>
        <w:rPr>
          <w:rStyle w:val="20"/>
          <w:b w:val="0"/>
          <w:bCs/>
          <w:color w:val="auto"/>
          <w:szCs w:val="21"/>
          <w:highlight w:val="none"/>
          <w:lang w:val="en"/>
        </w:rPr>
        <w:t>广西政府采购云平台</w:t>
      </w:r>
      <w:r>
        <w:rPr>
          <w:rStyle w:val="20"/>
          <w:rFonts w:hint="eastAsia"/>
          <w:b w:val="0"/>
          <w:bCs/>
          <w:color w:val="auto"/>
          <w:szCs w:val="21"/>
          <w:highlight w:val="none"/>
          <w:lang w:eastAsia="zh-CN"/>
        </w:rPr>
        <w:t>线上</w:t>
      </w:r>
      <w:r>
        <w:rPr>
          <w:rFonts w:hint="eastAsia" w:cs="宋体"/>
          <w:b w:val="0"/>
          <w:bCs/>
          <w:color w:val="auto"/>
          <w:kern w:val="0"/>
          <w:szCs w:val="21"/>
          <w:highlight w:val="none"/>
        </w:rPr>
        <w:t> </w:t>
      </w:r>
    </w:p>
    <w:p w14:paraId="0E54A836">
      <w:pPr>
        <w:pStyle w:val="12"/>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宋体" w:hAnsi="Courier New" w:eastAsia="宋体" w:cs="宋体"/>
          <w:color w:val="auto"/>
          <w:kern w:val="0"/>
          <w:sz w:val="21"/>
          <w:szCs w:val="21"/>
          <w:highlight w:val="none"/>
          <w:lang w:val="en-US"/>
        </w:rPr>
      </w:pPr>
      <w:r>
        <w:rPr>
          <w:rFonts w:hint="eastAsia" w:cs="宋体"/>
          <w:b w:val="0"/>
          <w:color w:val="auto"/>
          <w:kern w:val="0"/>
          <w:szCs w:val="21"/>
          <w:highlight w:val="none"/>
          <w:lang w:val="en-US" w:eastAsia="zh-CN"/>
        </w:rPr>
        <w:t xml:space="preserve">  </w:t>
      </w:r>
      <w:r>
        <w:rPr>
          <w:rFonts w:hint="eastAsia" w:hAnsi="Courier New" w:eastAsia="宋体" w:cs="宋体"/>
          <w:b w:val="0"/>
          <w:color w:val="auto"/>
          <w:kern w:val="0"/>
          <w:sz w:val="21"/>
          <w:szCs w:val="21"/>
          <w:highlight w:val="none"/>
          <w:lang w:val="en-US" w:eastAsia="zh-CN"/>
        </w:rPr>
        <w:t>方式：</w:t>
      </w:r>
      <w:r>
        <w:rPr>
          <w:rFonts w:hint="eastAsia" w:ascii="宋体" w:hAnsi="Courier New" w:eastAsia="宋体" w:cs="宋体"/>
          <w:color w:val="auto"/>
          <w:kern w:val="0"/>
          <w:sz w:val="21"/>
          <w:szCs w:val="21"/>
          <w:highlight w:val="none"/>
          <w:lang w:val="en-US"/>
        </w:rPr>
        <w:t>请登录广西政府采购云平台（网址：</w:t>
      </w:r>
      <w:r>
        <w:rPr>
          <w:rFonts w:hint="eastAsia" w:ascii="宋体" w:hAnsi="Courier New" w:eastAsia="宋体" w:cs="宋体"/>
          <w:color w:val="auto"/>
          <w:kern w:val="0"/>
          <w:sz w:val="21"/>
          <w:szCs w:val="21"/>
          <w:highlight w:val="none"/>
          <w:lang w:val="en-US"/>
        </w:rPr>
        <w:fldChar w:fldCharType="begin"/>
      </w:r>
      <w:r>
        <w:rPr>
          <w:rFonts w:hint="eastAsia" w:ascii="宋体" w:hAnsi="Courier New" w:eastAsia="宋体" w:cs="宋体"/>
          <w:color w:val="auto"/>
          <w:kern w:val="0"/>
          <w:sz w:val="21"/>
          <w:szCs w:val="21"/>
          <w:highlight w:val="none"/>
          <w:lang w:val="en-US"/>
        </w:rPr>
        <w:instrText xml:space="preserve"> HYPERLINK "http://www.gcy.zfcg.gxzf.gov.cn）进行报名并获取采购文" </w:instrText>
      </w:r>
      <w:r>
        <w:rPr>
          <w:rFonts w:hint="eastAsia" w:ascii="宋体" w:hAnsi="Courier New" w:eastAsia="宋体" w:cs="宋体"/>
          <w:color w:val="auto"/>
          <w:kern w:val="0"/>
          <w:sz w:val="21"/>
          <w:szCs w:val="21"/>
          <w:highlight w:val="none"/>
          <w:lang w:val="en-US"/>
        </w:rPr>
        <w:fldChar w:fldCharType="separate"/>
      </w:r>
      <w:r>
        <w:rPr>
          <w:rFonts w:hint="eastAsia" w:ascii="宋体" w:hAnsi="Courier New"/>
          <w:color w:val="auto"/>
          <w:kern w:val="0"/>
          <w:sz w:val="21"/>
          <w:szCs w:val="21"/>
          <w:highlight w:val="none"/>
          <w:lang w:val="en-US"/>
        </w:rPr>
        <w:t>http://www.gcy.zfcg.gxzf.gov.cn）进行报名并获取采购文</w:t>
      </w:r>
      <w:r>
        <w:rPr>
          <w:rFonts w:hint="eastAsia" w:ascii="宋体" w:hAnsi="Courier New" w:eastAsia="宋体" w:cs="宋体"/>
          <w:color w:val="auto"/>
          <w:kern w:val="0"/>
          <w:sz w:val="21"/>
          <w:szCs w:val="21"/>
          <w:highlight w:val="none"/>
          <w:lang w:val="en-US"/>
        </w:rPr>
        <w:fldChar w:fldCharType="end"/>
      </w:r>
    </w:p>
    <w:p w14:paraId="09BDBA21">
      <w:pPr>
        <w:pStyle w:val="12"/>
        <w:keepNext w:val="0"/>
        <w:keepLines w:val="0"/>
        <w:pageBreakBefore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宋体" w:hAnsi="Courier New" w:eastAsia="宋体" w:cs="宋体"/>
          <w:color w:val="auto"/>
          <w:kern w:val="0"/>
          <w:sz w:val="21"/>
          <w:szCs w:val="21"/>
          <w:highlight w:val="none"/>
          <w:lang w:val="en-US"/>
        </w:rPr>
      </w:pPr>
      <w:r>
        <w:rPr>
          <w:rFonts w:hint="eastAsia" w:ascii="宋体" w:hAnsi="Courier New" w:eastAsia="宋体" w:cs="宋体"/>
          <w:color w:val="auto"/>
          <w:kern w:val="0"/>
          <w:sz w:val="21"/>
          <w:szCs w:val="21"/>
          <w:highlight w:val="none"/>
          <w:lang w:val="en-US"/>
        </w:rPr>
        <w:t>件；未注册的供应商可在广西政府采购云平台完成注册后再行报名。如在操作过程中遇到问题或需技术支</w:t>
      </w:r>
    </w:p>
    <w:p w14:paraId="5809D387">
      <w:pPr>
        <w:pStyle w:val="12"/>
        <w:keepNext w:val="0"/>
        <w:keepLines w:val="0"/>
        <w:pageBreakBefore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Times New Roman" w:hAnsi="Times New Roman" w:eastAsia="宋体" w:cs="Times New Roman"/>
          <w:color w:val="auto"/>
          <w:kern w:val="2"/>
          <w:sz w:val="21"/>
          <w:szCs w:val="21"/>
          <w:highlight w:val="none"/>
          <w:lang w:val="en"/>
        </w:rPr>
      </w:pPr>
      <w:r>
        <w:rPr>
          <w:rFonts w:hint="eastAsia" w:ascii="宋体" w:hAnsi="Courier New" w:eastAsia="宋体" w:cs="宋体"/>
          <w:color w:val="auto"/>
          <w:kern w:val="0"/>
          <w:sz w:val="21"/>
          <w:szCs w:val="21"/>
          <w:highlight w:val="none"/>
          <w:lang w:val="en-US"/>
        </w:rPr>
        <w:t>持，请致电政采云客服热线：95763。</w:t>
      </w:r>
    </w:p>
    <w:p w14:paraId="69A85BC5">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 xml:space="preserve">    提示：采购公告附件内的采购文件仅供阅览使用；供应商只有在“广西政府采购云平台”完成获取采购文</w:t>
      </w:r>
    </w:p>
    <w:p w14:paraId="3B8D5409">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件申请并下载了采购文件后才视作依法获取采购文件（法律法规所指的供应商获取采购文件时间以供应商完成</w:t>
      </w:r>
    </w:p>
    <w:p w14:paraId="11B177FF">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eastAsia="宋体" w:cs="宋体"/>
          <w:color w:val="auto"/>
          <w:kern w:val="0"/>
          <w:szCs w:val="21"/>
          <w:highlight w:val="none"/>
        </w:rPr>
      </w:pPr>
      <w:r>
        <w:rPr>
          <w:rFonts w:hint="eastAsia" w:ascii="Times New Roman" w:hAnsi="Times New Roman" w:eastAsia="宋体" w:cs="Times New Roman"/>
          <w:color w:val="auto"/>
          <w:kern w:val="2"/>
          <w:sz w:val="21"/>
          <w:szCs w:val="21"/>
          <w:highlight w:val="none"/>
          <w:lang w:val="en-US" w:eastAsia="zh-CN"/>
        </w:rPr>
        <w:t>获取采购文件申请后下载采购文件的时间为准）。</w:t>
      </w:r>
      <w:r>
        <w:rPr>
          <w:rFonts w:hint="eastAsia" w:ascii="仿宋" w:hAnsi="仿宋" w:eastAsia="宋体" w:cs="宋体"/>
          <w:color w:val="auto"/>
          <w:kern w:val="0"/>
          <w:szCs w:val="21"/>
          <w:highlight w:val="none"/>
        </w:rPr>
        <w:t xml:space="preserve"> </w:t>
      </w:r>
    </w:p>
    <w:p w14:paraId="20599B8A">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eastAsia="宋体" w:cs="宋体"/>
          <w:color w:val="auto"/>
          <w:kern w:val="0"/>
          <w:szCs w:val="21"/>
          <w:highlight w:val="none"/>
        </w:rPr>
      </w:pPr>
      <w:r>
        <w:rPr>
          <w:rFonts w:hint="eastAsia" w:ascii="仿宋" w:hAnsi="仿宋" w:eastAsia="宋体" w:cs="宋体"/>
          <w:color w:val="auto"/>
          <w:kern w:val="0"/>
          <w:szCs w:val="21"/>
          <w:highlight w:val="none"/>
        </w:rPr>
        <w:t xml:space="preserve">    售价（元）：0 </w:t>
      </w:r>
    </w:p>
    <w:p w14:paraId="53EC3D8D">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b/>
          <w:bCs/>
          <w:color w:val="auto"/>
          <w:kern w:val="0"/>
          <w:szCs w:val="21"/>
          <w:highlight w:val="none"/>
        </w:rPr>
      </w:pPr>
      <w:r>
        <w:rPr>
          <w:rFonts w:hint="eastAsia" w:ascii="仿宋" w:hAnsi="仿宋" w:cs="宋体"/>
          <w:b/>
          <w:bCs/>
          <w:color w:val="auto"/>
          <w:kern w:val="0"/>
          <w:szCs w:val="21"/>
          <w:highlight w:val="none"/>
        </w:rPr>
        <w:t>四、响应文件提交</w:t>
      </w:r>
    </w:p>
    <w:p w14:paraId="1516C7EB">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 xml:space="preserve">    截止时间：</w:t>
      </w:r>
      <w:r>
        <w:rPr>
          <w:rFonts w:hint="eastAsia" w:ascii="仿宋" w:hAnsi="仿宋" w:cs="宋体"/>
          <w:b/>
          <w:bCs/>
          <w:color w:val="auto"/>
          <w:kern w:val="0"/>
          <w:szCs w:val="21"/>
          <w:highlight w:val="none"/>
        </w:rPr>
        <w:t>202</w:t>
      </w:r>
      <w:r>
        <w:rPr>
          <w:rFonts w:hint="eastAsia" w:ascii="仿宋" w:hAnsi="仿宋" w:cs="宋体"/>
          <w:b/>
          <w:bCs/>
          <w:color w:val="auto"/>
          <w:kern w:val="0"/>
          <w:szCs w:val="21"/>
          <w:highlight w:val="none"/>
          <w:lang w:val="en-US" w:eastAsia="zh-CN"/>
        </w:rPr>
        <w:t>5</w:t>
      </w:r>
      <w:r>
        <w:rPr>
          <w:rFonts w:hint="eastAsia" w:ascii="仿宋" w:hAnsi="仿宋" w:cs="宋体"/>
          <w:b/>
          <w:bCs/>
          <w:color w:val="auto"/>
          <w:kern w:val="0"/>
          <w:szCs w:val="21"/>
          <w:highlight w:val="none"/>
        </w:rPr>
        <w:t>年</w:t>
      </w:r>
      <w:r>
        <w:rPr>
          <w:rFonts w:hint="eastAsia" w:ascii="仿宋" w:hAnsi="仿宋" w:cs="宋体"/>
          <w:b/>
          <w:bCs/>
          <w:color w:val="auto"/>
          <w:kern w:val="0"/>
          <w:szCs w:val="21"/>
          <w:highlight w:val="none"/>
          <w:lang w:val="en-US" w:eastAsia="zh-CN"/>
        </w:rPr>
        <w:t>9</w:t>
      </w:r>
      <w:r>
        <w:rPr>
          <w:rFonts w:hint="eastAsia" w:ascii="仿宋" w:hAnsi="仿宋" w:cs="宋体"/>
          <w:b/>
          <w:bCs/>
          <w:color w:val="auto"/>
          <w:kern w:val="0"/>
          <w:szCs w:val="21"/>
          <w:highlight w:val="none"/>
        </w:rPr>
        <w:t>月</w:t>
      </w:r>
      <w:r>
        <w:rPr>
          <w:rFonts w:hint="eastAsia" w:ascii="仿宋" w:hAnsi="仿宋" w:cs="宋体"/>
          <w:b/>
          <w:bCs/>
          <w:color w:val="auto"/>
          <w:kern w:val="0"/>
          <w:szCs w:val="21"/>
          <w:highlight w:val="none"/>
          <w:lang w:val="en-US" w:eastAsia="zh-CN"/>
        </w:rPr>
        <w:t>24</w:t>
      </w:r>
      <w:r>
        <w:rPr>
          <w:rFonts w:hint="eastAsia" w:ascii="仿宋" w:hAnsi="仿宋" w:cs="宋体"/>
          <w:b/>
          <w:bCs/>
          <w:color w:val="auto"/>
          <w:kern w:val="0"/>
          <w:szCs w:val="21"/>
          <w:highlight w:val="none"/>
        </w:rPr>
        <w:t>日 10:00（北京时间）</w:t>
      </w:r>
    </w:p>
    <w:p w14:paraId="3EBEA41D">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 xml:space="preserve">    </w:t>
      </w:r>
      <w:r>
        <w:rPr>
          <w:rFonts w:hint="eastAsia" w:cs="宋体"/>
          <w:b w:val="0"/>
          <w:color w:val="auto"/>
          <w:kern w:val="0"/>
          <w:szCs w:val="21"/>
          <w:highlight w:val="none"/>
          <w:lang w:val="en-US" w:eastAsia="zh-CN"/>
        </w:rPr>
        <w:t>地点（网址）：请登录广西政府采购云平台投标客户端投标</w:t>
      </w:r>
    </w:p>
    <w:p w14:paraId="7E3B8B29">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b/>
          <w:bCs/>
          <w:color w:val="auto"/>
          <w:kern w:val="0"/>
          <w:szCs w:val="21"/>
          <w:highlight w:val="none"/>
        </w:rPr>
      </w:pPr>
      <w:r>
        <w:rPr>
          <w:rFonts w:hint="eastAsia" w:ascii="仿宋" w:hAnsi="仿宋" w:cs="宋体"/>
          <w:b/>
          <w:bCs/>
          <w:color w:val="auto"/>
          <w:kern w:val="0"/>
          <w:szCs w:val="21"/>
          <w:highlight w:val="none"/>
        </w:rPr>
        <w:t xml:space="preserve">五、响应文件开启 </w:t>
      </w:r>
    </w:p>
    <w:p w14:paraId="33E1C7F0">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b/>
          <w:bCs/>
          <w:color w:val="auto"/>
          <w:kern w:val="0"/>
          <w:szCs w:val="21"/>
          <w:highlight w:val="none"/>
        </w:rPr>
      </w:pPr>
      <w:r>
        <w:rPr>
          <w:rFonts w:hint="eastAsia" w:ascii="仿宋" w:hAnsi="仿宋" w:cs="宋体"/>
          <w:color w:val="auto"/>
          <w:kern w:val="0"/>
          <w:szCs w:val="21"/>
          <w:highlight w:val="none"/>
        </w:rPr>
        <w:t xml:space="preserve">    开启时间：</w:t>
      </w:r>
      <w:r>
        <w:rPr>
          <w:rFonts w:hint="eastAsia" w:ascii="仿宋" w:hAnsi="仿宋" w:cs="宋体"/>
          <w:b/>
          <w:bCs/>
          <w:color w:val="auto"/>
          <w:kern w:val="0"/>
          <w:szCs w:val="21"/>
          <w:highlight w:val="none"/>
        </w:rPr>
        <w:t>202</w:t>
      </w:r>
      <w:r>
        <w:rPr>
          <w:rFonts w:hint="eastAsia" w:ascii="仿宋" w:hAnsi="仿宋" w:cs="宋体"/>
          <w:b/>
          <w:bCs/>
          <w:color w:val="auto"/>
          <w:kern w:val="0"/>
          <w:szCs w:val="21"/>
          <w:highlight w:val="none"/>
          <w:lang w:val="en-US" w:eastAsia="zh-CN"/>
        </w:rPr>
        <w:t>5</w:t>
      </w:r>
      <w:r>
        <w:rPr>
          <w:rFonts w:hint="eastAsia" w:ascii="仿宋" w:hAnsi="仿宋" w:cs="宋体"/>
          <w:b/>
          <w:bCs/>
          <w:color w:val="auto"/>
          <w:kern w:val="0"/>
          <w:szCs w:val="21"/>
          <w:highlight w:val="none"/>
        </w:rPr>
        <w:t>年</w:t>
      </w:r>
      <w:r>
        <w:rPr>
          <w:rFonts w:hint="eastAsia" w:ascii="仿宋" w:hAnsi="仿宋" w:cs="宋体"/>
          <w:b/>
          <w:bCs/>
          <w:color w:val="auto"/>
          <w:kern w:val="0"/>
          <w:szCs w:val="21"/>
          <w:highlight w:val="none"/>
          <w:lang w:val="en-US" w:eastAsia="zh-CN"/>
        </w:rPr>
        <w:t>9</w:t>
      </w:r>
      <w:r>
        <w:rPr>
          <w:rFonts w:hint="eastAsia" w:ascii="仿宋" w:hAnsi="仿宋" w:cs="宋体"/>
          <w:b/>
          <w:bCs/>
          <w:color w:val="auto"/>
          <w:kern w:val="0"/>
          <w:szCs w:val="21"/>
          <w:highlight w:val="none"/>
        </w:rPr>
        <w:t>月</w:t>
      </w:r>
      <w:r>
        <w:rPr>
          <w:rFonts w:hint="eastAsia" w:ascii="仿宋" w:hAnsi="仿宋" w:cs="宋体"/>
          <w:b/>
          <w:bCs/>
          <w:color w:val="auto"/>
          <w:kern w:val="0"/>
          <w:szCs w:val="21"/>
          <w:highlight w:val="none"/>
          <w:lang w:val="en-US" w:eastAsia="zh-CN"/>
        </w:rPr>
        <w:t>24</w:t>
      </w:r>
      <w:r>
        <w:rPr>
          <w:rFonts w:hint="eastAsia" w:ascii="仿宋" w:hAnsi="仿宋" w:cs="宋体"/>
          <w:b/>
          <w:bCs/>
          <w:color w:val="auto"/>
          <w:kern w:val="0"/>
          <w:szCs w:val="21"/>
          <w:highlight w:val="none"/>
        </w:rPr>
        <w:t>日 10:00（北京时间）</w:t>
      </w:r>
    </w:p>
    <w:p w14:paraId="171BA7E0">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b w:val="0"/>
          <w:bCs w:val="0"/>
          <w:color w:val="auto"/>
          <w:kern w:val="0"/>
          <w:szCs w:val="21"/>
          <w:highlight w:val="none"/>
        </w:rPr>
      </w:pPr>
      <w:r>
        <w:rPr>
          <w:rFonts w:hint="eastAsia" w:ascii="仿宋" w:hAnsi="仿宋" w:cs="宋体"/>
          <w:b w:val="0"/>
          <w:bCs w:val="0"/>
          <w:color w:val="auto"/>
          <w:kern w:val="0"/>
          <w:szCs w:val="21"/>
          <w:highlight w:val="none"/>
        </w:rPr>
        <w:t xml:space="preserve">    </w:t>
      </w:r>
      <w:r>
        <w:rPr>
          <w:rFonts w:hint="eastAsia" w:cs="宋体"/>
          <w:b w:val="0"/>
          <w:color w:val="auto"/>
          <w:kern w:val="0"/>
          <w:szCs w:val="21"/>
          <w:highlight w:val="none"/>
        </w:rPr>
        <w:t>地点：</w:t>
      </w:r>
      <w:r>
        <w:rPr>
          <w:rFonts w:hint="eastAsia" w:cs="宋体"/>
          <w:b w:val="0"/>
          <w:color w:val="auto"/>
          <w:kern w:val="0"/>
          <w:szCs w:val="21"/>
          <w:highlight w:val="none"/>
          <w:lang w:val="en-US" w:eastAsia="zh-CN"/>
        </w:rPr>
        <w:t>广西壮族自治区南宁市青秀区广西政府采购云平台开标大厅</w:t>
      </w:r>
      <w:r>
        <w:rPr>
          <w:rFonts w:hint="eastAsia" w:ascii="仿宋" w:hAnsi="仿宋" w:cs="宋体"/>
          <w:b w:val="0"/>
          <w:bCs w:val="0"/>
          <w:color w:val="auto"/>
          <w:kern w:val="0"/>
          <w:szCs w:val="21"/>
          <w:highlight w:val="none"/>
        </w:rPr>
        <w:t xml:space="preserve"> </w:t>
      </w:r>
    </w:p>
    <w:p w14:paraId="44748F01">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b/>
          <w:bCs/>
          <w:color w:val="auto"/>
          <w:kern w:val="0"/>
          <w:szCs w:val="21"/>
          <w:highlight w:val="none"/>
        </w:rPr>
      </w:pPr>
      <w:r>
        <w:rPr>
          <w:rFonts w:hint="eastAsia" w:ascii="仿宋" w:hAnsi="仿宋" w:cs="宋体"/>
          <w:b/>
          <w:bCs/>
          <w:color w:val="auto"/>
          <w:kern w:val="0"/>
          <w:szCs w:val="21"/>
          <w:highlight w:val="none"/>
        </w:rPr>
        <w:t xml:space="preserve">六、公告期限 </w:t>
      </w:r>
    </w:p>
    <w:p w14:paraId="4158F600">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 xml:space="preserve">    自本公告发布之日起3个工作日。</w:t>
      </w:r>
    </w:p>
    <w:p w14:paraId="5D595EB4">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b/>
          <w:bCs/>
          <w:color w:val="auto"/>
          <w:kern w:val="0"/>
          <w:szCs w:val="21"/>
          <w:highlight w:val="none"/>
        </w:rPr>
      </w:pPr>
      <w:r>
        <w:rPr>
          <w:rFonts w:hint="eastAsia" w:ascii="仿宋" w:hAnsi="仿宋" w:cs="宋体"/>
          <w:b/>
          <w:bCs/>
          <w:color w:val="auto"/>
          <w:kern w:val="0"/>
          <w:szCs w:val="21"/>
          <w:highlight w:val="none"/>
        </w:rPr>
        <w:t xml:space="preserve">七、其他补充事宜 </w:t>
      </w:r>
    </w:p>
    <w:p w14:paraId="250B1E9A">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b/>
          <w:bCs/>
          <w:color w:val="auto"/>
          <w:kern w:val="0"/>
          <w:szCs w:val="21"/>
          <w:highlight w:val="none"/>
        </w:rPr>
      </w:pPr>
      <w:r>
        <w:rPr>
          <w:rFonts w:hint="eastAsia" w:ascii="仿宋" w:hAnsi="仿宋" w:cs="宋体"/>
          <w:color w:val="auto"/>
          <w:kern w:val="0"/>
          <w:szCs w:val="21"/>
          <w:highlight w:val="none"/>
        </w:rPr>
        <w:t xml:space="preserve"> </w:t>
      </w:r>
      <w:r>
        <w:rPr>
          <w:rFonts w:hint="eastAsia" w:ascii="仿宋" w:hAnsi="仿宋" w:cs="宋体"/>
          <w:color w:val="auto"/>
          <w:kern w:val="0"/>
          <w:szCs w:val="21"/>
          <w:highlight w:val="none"/>
          <w:lang w:val="en-US" w:eastAsia="zh-CN"/>
        </w:rPr>
        <w:t xml:space="preserve"> </w:t>
      </w:r>
      <w:r>
        <w:rPr>
          <w:rFonts w:hint="eastAsia" w:ascii="仿宋" w:hAnsi="仿宋" w:cs="宋体"/>
          <w:color w:val="auto"/>
          <w:kern w:val="0"/>
          <w:szCs w:val="21"/>
          <w:highlight w:val="none"/>
        </w:rPr>
        <w:t>1.竞标保证金（人民币）：</w:t>
      </w:r>
      <w:r>
        <w:rPr>
          <w:rFonts w:hint="default" w:ascii="仿宋" w:hAnsi="仿宋" w:cs="宋体"/>
          <w:b/>
          <w:bCs/>
          <w:color w:val="auto"/>
          <w:kern w:val="0"/>
          <w:szCs w:val="21"/>
          <w:highlight w:val="none"/>
          <w:u w:val="single"/>
          <w:lang w:val="en" w:eastAsia="zh-CN"/>
        </w:rPr>
        <w:t xml:space="preserve">  </w:t>
      </w:r>
      <w:r>
        <w:rPr>
          <w:rFonts w:hint="eastAsia" w:ascii="仿宋" w:hAnsi="仿宋" w:cs="宋体"/>
          <w:b/>
          <w:bCs/>
          <w:color w:val="auto"/>
          <w:kern w:val="0"/>
          <w:szCs w:val="21"/>
          <w:highlight w:val="none"/>
          <w:u w:val="single"/>
          <w:lang w:val="en-US" w:eastAsia="zh-CN"/>
        </w:rPr>
        <w:t xml:space="preserve"> </w:t>
      </w:r>
      <w:r>
        <w:rPr>
          <w:rFonts w:hint="default" w:ascii="仿宋" w:hAnsi="仿宋" w:cs="宋体"/>
          <w:b/>
          <w:bCs/>
          <w:color w:val="auto"/>
          <w:kern w:val="0"/>
          <w:szCs w:val="21"/>
          <w:highlight w:val="none"/>
          <w:u w:val="single"/>
          <w:lang w:val="en" w:eastAsia="zh-CN"/>
        </w:rPr>
        <w:t>1</w:t>
      </w:r>
      <w:r>
        <w:rPr>
          <w:rFonts w:hint="eastAsia" w:ascii="仿宋" w:hAnsi="仿宋" w:cs="宋体"/>
          <w:b/>
          <w:bCs/>
          <w:color w:val="auto"/>
          <w:kern w:val="0"/>
          <w:szCs w:val="21"/>
          <w:highlight w:val="none"/>
          <w:u w:val="single"/>
          <w:lang w:val="en-US" w:eastAsia="zh-CN"/>
        </w:rPr>
        <w:t>.3</w:t>
      </w:r>
      <w:r>
        <w:rPr>
          <w:rFonts w:hint="default" w:ascii="仿宋" w:hAnsi="仿宋" w:cs="宋体"/>
          <w:b/>
          <w:bCs/>
          <w:color w:val="auto"/>
          <w:kern w:val="0"/>
          <w:szCs w:val="21"/>
          <w:highlight w:val="none"/>
          <w:u w:val="single"/>
          <w:lang w:val="en" w:eastAsia="zh-CN"/>
        </w:rPr>
        <w:t xml:space="preserve">  </w:t>
      </w:r>
      <w:r>
        <w:rPr>
          <w:rFonts w:hint="eastAsia" w:ascii="仿宋" w:hAnsi="仿宋" w:cs="宋体"/>
          <w:b/>
          <w:bCs/>
          <w:color w:val="auto"/>
          <w:kern w:val="0"/>
          <w:szCs w:val="21"/>
          <w:highlight w:val="none"/>
        </w:rPr>
        <w:t xml:space="preserve">万元。 (必须足额交纳) </w:t>
      </w:r>
    </w:p>
    <w:p w14:paraId="70AD6C33">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color w:val="auto"/>
          <w:kern w:val="0"/>
          <w:szCs w:val="21"/>
          <w:highlight w:val="none"/>
          <w:lang w:val="en-US" w:eastAsia="zh-CN"/>
        </w:rPr>
      </w:pPr>
      <w:r>
        <w:rPr>
          <w:rFonts w:hint="eastAsia" w:ascii="仿宋" w:hAnsi="仿宋" w:cs="宋体"/>
          <w:color w:val="auto"/>
          <w:kern w:val="0"/>
          <w:szCs w:val="21"/>
          <w:highlight w:val="none"/>
        </w:rPr>
        <w:t>（1）竞标保证金交纳形式：支票、汇票、本票、网上银行或者</w:t>
      </w:r>
      <w:r>
        <w:rPr>
          <w:rFonts w:hint="eastAsia" w:ascii="仿宋" w:hAnsi="仿宋" w:cs="宋体"/>
          <w:color w:val="auto"/>
          <w:kern w:val="0"/>
          <w:szCs w:val="21"/>
          <w:highlight w:val="none"/>
          <w:lang w:eastAsia="zh-CN"/>
        </w:rPr>
        <w:t>金融机构</w:t>
      </w:r>
      <w:r>
        <w:rPr>
          <w:rFonts w:hint="eastAsia" w:ascii="仿宋" w:hAnsi="仿宋" w:cs="宋体"/>
          <w:color w:val="auto"/>
          <w:kern w:val="0"/>
          <w:szCs w:val="21"/>
          <w:highlight w:val="none"/>
        </w:rPr>
        <w:t>、</w:t>
      </w:r>
      <w:r>
        <w:rPr>
          <w:rFonts w:hint="eastAsia" w:ascii="仿宋" w:hAnsi="仿宋" w:cs="宋体"/>
          <w:color w:val="auto"/>
          <w:kern w:val="0"/>
          <w:szCs w:val="21"/>
          <w:highlight w:val="none"/>
          <w:lang w:eastAsia="zh-CN"/>
        </w:rPr>
        <w:t>担保</w:t>
      </w:r>
      <w:r>
        <w:rPr>
          <w:rFonts w:hint="eastAsia" w:ascii="仿宋" w:hAnsi="仿宋" w:cs="宋体"/>
          <w:color w:val="auto"/>
          <w:kern w:val="0"/>
          <w:szCs w:val="21"/>
          <w:highlight w:val="none"/>
        </w:rPr>
        <w:t>机构出具的保函等非现金形</w:t>
      </w:r>
      <w:r>
        <w:rPr>
          <w:rFonts w:hint="eastAsia" w:ascii="仿宋" w:hAnsi="仿宋" w:cs="宋体"/>
          <w:color w:val="auto"/>
          <w:kern w:val="0"/>
          <w:szCs w:val="21"/>
          <w:highlight w:val="none"/>
          <w:lang w:val="en-US" w:eastAsia="zh-CN"/>
        </w:rPr>
        <w:t xml:space="preserve"> </w:t>
      </w:r>
    </w:p>
    <w:p w14:paraId="21614AC5">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 xml:space="preserve">式。 </w:t>
      </w:r>
    </w:p>
    <w:p w14:paraId="48B7D735">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 xml:space="preserve">（2）采用网上银行转账形式的，供应商应于提交响应文件截止时间前将竞标保证金交至以下账户。 </w:t>
      </w:r>
    </w:p>
    <w:p w14:paraId="62B9B921">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 xml:space="preserve">开户名称：广西壮族自治区政府采购中心 </w:t>
      </w:r>
    </w:p>
    <w:p w14:paraId="226BB981">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 xml:space="preserve">开户银行：中国农业银行股份有限公司南宁市古城支行 </w:t>
      </w:r>
    </w:p>
    <w:p w14:paraId="1F9AEE7F">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 xml:space="preserve">银行账号：20009101040051648  </w:t>
      </w:r>
    </w:p>
    <w:p w14:paraId="3D4631DC">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（3）采用支票、汇票、本票或者保函等形式的，</w:t>
      </w:r>
      <w:r>
        <w:rPr>
          <w:rFonts w:hint="eastAsia" w:ascii="仿宋" w:hAnsi="仿宋" w:cs="宋体"/>
          <w:color w:val="auto"/>
          <w:kern w:val="0"/>
          <w:szCs w:val="21"/>
          <w:highlight w:val="none"/>
          <w:lang w:eastAsia="zh-CN"/>
        </w:rPr>
        <w:t>竞标</w:t>
      </w:r>
      <w:r>
        <w:rPr>
          <w:rFonts w:hint="eastAsia" w:ascii="仿宋" w:hAnsi="仿宋" w:cs="宋体"/>
          <w:color w:val="auto"/>
          <w:kern w:val="0"/>
          <w:szCs w:val="21"/>
          <w:highlight w:val="none"/>
        </w:rPr>
        <w:t>人应于提交投标文件截止时间前递交单独密封的支票、</w:t>
      </w:r>
    </w:p>
    <w:p w14:paraId="738B6EAF">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汇票、本票或者保函</w:t>
      </w:r>
      <w:r>
        <w:rPr>
          <w:rFonts w:hint="eastAsia" w:ascii="仿宋" w:hAnsi="仿宋" w:cs="宋体"/>
          <w:color w:val="auto"/>
          <w:kern w:val="0"/>
          <w:szCs w:val="21"/>
          <w:highlight w:val="none"/>
          <w:lang w:eastAsia="zh-CN"/>
        </w:rPr>
        <w:t>（电子保函除外）</w:t>
      </w:r>
      <w:r>
        <w:rPr>
          <w:rFonts w:hint="eastAsia" w:ascii="仿宋" w:hAnsi="仿宋" w:cs="宋体"/>
          <w:color w:val="auto"/>
          <w:kern w:val="0"/>
          <w:szCs w:val="21"/>
          <w:highlight w:val="none"/>
        </w:rPr>
        <w:t>原件至我中心财务处。</w:t>
      </w:r>
    </w:p>
    <w:p w14:paraId="5D8CEC32">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（4）本中心财务处联系方式：地址：广西南宁市星湖路22号广西壮族自治区政府采购中心综合楼3楼306</w:t>
      </w:r>
    </w:p>
    <w:p w14:paraId="5014CA83">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室；电话：0771-8600309。</w:t>
      </w:r>
    </w:p>
    <w:p w14:paraId="4B13B084">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lang w:val="en-US" w:eastAsia="zh-CN"/>
        </w:rPr>
        <w:t xml:space="preserve">    </w:t>
      </w:r>
      <w:r>
        <w:rPr>
          <w:rFonts w:hint="eastAsia" w:ascii="仿宋" w:hAnsi="仿宋" w:cs="宋体"/>
          <w:color w:val="auto"/>
          <w:kern w:val="0"/>
          <w:szCs w:val="21"/>
          <w:highlight w:val="none"/>
        </w:rPr>
        <w:t>2.本项目需要落实的政府采购政策：政府采购促进中小企业发展；政府采购支持采用本国产品的政策；强</w:t>
      </w:r>
    </w:p>
    <w:p w14:paraId="1A32CBA4">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制采购节能产品；优先采购节能产品、环境标志产品；政府采购促进残疾人就业政策；政府采购支持监狱企业</w:t>
      </w:r>
    </w:p>
    <w:p w14:paraId="076D6D4D">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发展；政府采购扶持不发达地区和少数民族地区等。</w:t>
      </w:r>
    </w:p>
    <w:p w14:paraId="5253FD69">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lang w:val="en-US" w:eastAsia="zh-CN"/>
        </w:rPr>
        <w:t xml:space="preserve">    </w:t>
      </w:r>
      <w:r>
        <w:rPr>
          <w:rFonts w:hint="eastAsia" w:ascii="仿宋" w:hAnsi="仿宋" w:cs="宋体"/>
          <w:color w:val="auto"/>
          <w:kern w:val="0"/>
          <w:szCs w:val="21"/>
          <w:highlight w:val="none"/>
        </w:rPr>
        <w:t>3.网上公告媒体查询：中国政府采购网（www.ccgp.gov.cn）、广西壮族自治区政府采购网</w:t>
      </w:r>
    </w:p>
    <w:p w14:paraId="02F80CB3">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（zfcg.gxzf.gov.cn）、广西壮族自治区公共资源交易中心网站（gxggzy.gxzf.gov.cn）。</w:t>
      </w:r>
    </w:p>
    <w:p w14:paraId="3CA6CDF2">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lang w:val="en-US" w:eastAsia="zh-CN"/>
        </w:rPr>
        <w:t xml:space="preserve">    </w:t>
      </w:r>
      <w:r>
        <w:rPr>
          <w:rFonts w:hint="eastAsia" w:ascii="仿宋" w:hAnsi="仿宋" w:cs="宋体"/>
          <w:color w:val="auto"/>
          <w:kern w:val="0"/>
          <w:szCs w:val="21"/>
          <w:highlight w:val="none"/>
        </w:rPr>
        <w:t>4.其他注意事项：</w:t>
      </w:r>
    </w:p>
    <w:p w14:paraId="72D8EB60">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（1）本项目实行电子</w:t>
      </w:r>
      <w:r>
        <w:rPr>
          <w:rFonts w:hint="eastAsia" w:ascii="仿宋" w:hAnsi="仿宋" w:cs="宋体"/>
          <w:color w:val="auto"/>
          <w:kern w:val="0"/>
          <w:szCs w:val="21"/>
          <w:highlight w:val="none"/>
          <w:lang w:eastAsia="zh-CN"/>
        </w:rPr>
        <w:t>竞标</w:t>
      </w:r>
      <w:r>
        <w:rPr>
          <w:rFonts w:hint="eastAsia" w:ascii="仿宋" w:hAnsi="仿宋" w:cs="宋体"/>
          <w:color w:val="auto"/>
          <w:kern w:val="0"/>
          <w:szCs w:val="21"/>
          <w:highlight w:val="none"/>
        </w:rPr>
        <w:t>，供应商应按照本项目招标文件和广西政府采购云平台的要求编制、加密并提交投</w:t>
      </w:r>
    </w:p>
    <w:p w14:paraId="32C02DEC">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标文件。供应商在使用系统参与</w:t>
      </w:r>
      <w:r>
        <w:rPr>
          <w:rFonts w:hint="eastAsia" w:ascii="仿宋" w:hAnsi="仿宋" w:cs="宋体"/>
          <w:color w:val="auto"/>
          <w:kern w:val="0"/>
          <w:szCs w:val="21"/>
          <w:highlight w:val="none"/>
          <w:lang w:eastAsia="zh-CN"/>
        </w:rPr>
        <w:t>竞标</w:t>
      </w:r>
      <w:r>
        <w:rPr>
          <w:rFonts w:hint="eastAsia" w:ascii="仿宋" w:hAnsi="仿宋" w:cs="宋体"/>
          <w:color w:val="auto"/>
          <w:kern w:val="0"/>
          <w:szCs w:val="21"/>
          <w:highlight w:val="none"/>
        </w:rPr>
        <w:t>过程中遇到涉及平台使用的任何问题，可致电广西政府采购云平台技术支</w:t>
      </w:r>
    </w:p>
    <w:p w14:paraId="20B1EDEA">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持热线咨询，联系方式：95763。</w:t>
      </w:r>
    </w:p>
    <w:p w14:paraId="11E29AB9">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（2）供应商应及时熟悉掌握电子标系统操作指南（见政采云电子卖场首页右上角—服务中心—帮助文档—项</w:t>
      </w:r>
    </w:p>
    <w:p w14:paraId="4D5423FD">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目采购）：https://helpcenter.zcygov.cn/document/#/document/dashboard?siteCode=gx。</w:t>
      </w:r>
    </w:p>
    <w:p w14:paraId="3C9CDB96">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（3）供应商应及时完成CA申领和绑定（见广西壮族自治区政府采购网—办事服务—下载专区-政采云CA证书</w:t>
      </w:r>
    </w:p>
    <w:p w14:paraId="3E3DA9BB">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办理操作指南）。</w:t>
      </w:r>
    </w:p>
    <w:p w14:paraId="5BAEAD84">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（4）供应商通过政采云投标客户端软件制作</w:t>
      </w:r>
      <w:r>
        <w:rPr>
          <w:rFonts w:hint="eastAsia" w:ascii="仿宋" w:hAnsi="仿宋" w:cs="宋体"/>
          <w:color w:val="auto"/>
          <w:kern w:val="0"/>
          <w:szCs w:val="21"/>
          <w:highlight w:val="none"/>
          <w:lang w:eastAsia="zh-CN"/>
        </w:rPr>
        <w:t>竞标</w:t>
      </w:r>
      <w:r>
        <w:rPr>
          <w:rFonts w:hint="eastAsia" w:ascii="仿宋" w:hAnsi="仿宋" w:cs="宋体"/>
          <w:color w:val="auto"/>
          <w:kern w:val="0"/>
          <w:szCs w:val="21"/>
          <w:highlight w:val="none"/>
        </w:rPr>
        <w:t>文件，政采云投标客户端软件请供应商自行前往下载并安装</w:t>
      </w:r>
    </w:p>
    <w:p w14:paraId="0568D05B">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（见广西壮族自治区政府采购网—办事服务—下载专区-广西壮族自治区全流程电子招投标项目管理系统--供</w:t>
      </w:r>
    </w:p>
    <w:p w14:paraId="5B7273BD">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应商客户端）。</w:t>
      </w:r>
    </w:p>
    <w:p w14:paraId="1C9292B3">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（5）因未注册入库、未办理CA数字证书、CA证书故障、操作不当等原因造成无法</w:t>
      </w:r>
      <w:r>
        <w:rPr>
          <w:rFonts w:hint="eastAsia" w:ascii="仿宋" w:hAnsi="仿宋" w:cs="宋体"/>
          <w:color w:val="auto"/>
          <w:kern w:val="0"/>
          <w:szCs w:val="21"/>
          <w:highlight w:val="none"/>
          <w:lang w:eastAsia="zh-CN"/>
        </w:rPr>
        <w:t>竞标</w:t>
      </w:r>
      <w:r>
        <w:rPr>
          <w:rFonts w:hint="eastAsia" w:ascii="仿宋" w:hAnsi="仿宋" w:cs="宋体"/>
          <w:color w:val="auto"/>
          <w:kern w:val="0"/>
          <w:szCs w:val="21"/>
          <w:highlight w:val="none"/>
        </w:rPr>
        <w:t>或</w:t>
      </w:r>
      <w:r>
        <w:rPr>
          <w:rFonts w:hint="eastAsia" w:ascii="仿宋" w:hAnsi="仿宋" w:cs="宋体"/>
          <w:color w:val="auto"/>
          <w:kern w:val="0"/>
          <w:szCs w:val="21"/>
          <w:highlight w:val="none"/>
          <w:lang w:eastAsia="zh-CN"/>
        </w:rPr>
        <w:t>竞标</w:t>
      </w:r>
      <w:r>
        <w:rPr>
          <w:rFonts w:hint="eastAsia" w:ascii="仿宋" w:hAnsi="仿宋" w:cs="宋体"/>
          <w:color w:val="auto"/>
          <w:kern w:val="0"/>
          <w:szCs w:val="21"/>
          <w:highlight w:val="none"/>
        </w:rPr>
        <w:t>失败等后果由供</w:t>
      </w:r>
    </w:p>
    <w:p w14:paraId="224B4CAE">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应商自行承担。</w:t>
      </w:r>
    </w:p>
    <w:p w14:paraId="4A931445">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（6）</w:t>
      </w:r>
      <w:r>
        <w:rPr>
          <w:rFonts w:hint="eastAsia" w:ascii="仿宋" w:hAnsi="仿宋" w:cs="宋体"/>
          <w:color w:val="auto"/>
          <w:kern w:val="0"/>
          <w:szCs w:val="21"/>
          <w:highlight w:val="none"/>
          <w:lang w:eastAsia="zh-CN"/>
        </w:rPr>
        <w:t>竞标</w:t>
      </w:r>
      <w:r>
        <w:rPr>
          <w:rFonts w:hint="eastAsia" w:ascii="仿宋" w:hAnsi="仿宋" w:cs="宋体"/>
          <w:color w:val="auto"/>
          <w:kern w:val="0"/>
          <w:szCs w:val="21"/>
          <w:highlight w:val="none"/>
        </w:rPr>
        <w:t>文件网上提交截止后，政采云（电子标系统）自动提取所有</w:t>
      </w:r>
      <w:r>
        <w:rPr>
          <w:rFonts w:hint="eastAsia" w:ascii="仿宋" w:hAnsi="仿宋" w:cs="宋体"/>
          <w:color w:val="auto"/>
          <w:kern w:val="0"/>
          <w:szCs w:val="21"/>
          <w:highlight w:val="none"/>
          <w:lang w:eastAsia="zh-CN"/>
        </w:rPr>
        <w:t>竞标</w:t>
      </w:r>
      <w:r>
        <w:rPr>
          <w:rFonts w:hint="eastAsia" w:ascii="仿宋" w:hAnsi="仿宋" w:cs="宋体"/>
          <w:color w:val="auto"/>
          <w:kern w:val="0"/>
          <w:szCs w:val="21"/>
          <w:highlight w:val="none"/>
        </w:rPr>
        <w:t>文件，各供应商须在开标开始后30</w:t>
      </w:r>
    </w:p>
    <w:p w14:paraId="4370FA95">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分钟内对上传政采云的</w:t>
      </w:r>
      <w:r>
        <w:rPr>
          <w:rFonts w:hint="eastAsia" w:ascii="仿宋" w:hAnsi="仿宋" w:cs="宋体"/>
          <w:color w:val="auto"/>
          <w:kern w:val="0"/>
          <w:szCs w:val="21"/>
          <w:highlight w:val="none"/>
          <w:lang w:eastAsia="zh-CN"/>
        </w:rPr>
        <w:t>竞标</w:t>
      </w:r>
      <w:r>
        <w:rPr>
          <w:rFonts w:hint="eastAsia" w:ascii="仿宋" w:hAnsi="仿宋" w:cs="宋体"/>
          <w:color w:val="auto"/>
          <w:kern w:val="0"/>
          <w:szCs w:val="21"/>
          <w:highlight w:val="none"/>
        </w:rPr>
        <w:t>文件进行解密，所有供应商在规定的解密时限内解密完成或解密时限结束后，本中</w:t>
      </w:r>
    </w:p>
    <w:p w14:paraId="02389C37">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心开启</w:t>
      </w:r>
      <w:r>
        <w:rPr>
          <w:rFonts w:hint="eastAsia" w:ascii="仿宋" w:hAnsi="仿宋" w:cs="宋体"/>
          <w:color w:val="auto"/>
          <w:kern w:val="0"/>
          <w:szCs w:val="21"/>
          <w:highlight w:val="none"/>
          <w:lang w:eastAsia="zh-CN"/>
        </w:rPr>
        <w:t>竞标</w:t>
      </w:r>
      <w:r>
        <w:rPr>
          <w:rFonts w:hint="eastAsia" w:ascii="仿宋" w:hAnsi="仿宋" w:cs="宋体"/>
          <w:color w:val="auto"/>
          <w:kern w:val="0"/>
          <w:szCs w:val="21"/>
          <w:highlight w:val="none"/>
        </w:rPr>
        <w:t xml:space="preserve">文件；供应商超过解密时限未完成解密的，系统默认其自动放弃。  </w:t>
      </w:r>
    </w:p>
    <w:p w14:paraId="17D43574">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b/>
          <w:bCs/>
          <w:color w:val="auto"/>
          <w:kern w:val="0"/>
          <w:szCs w:val="21"/>
          <w:highlight w:val="none"/>
        </w:rPr>
      </w:pPr>
      <w:r>
        <w:rPr>
          <w:rFonts w:hint="eastAsia" w:ascii="仿宋" w:hAnsi="仿宋" w:cs="宋体"/>
          <w:b/>
          <w:bCs/>
          <w:color w:val="auto"/>
          <w:kern w:val="0"/>
          <w:szCs w:val="21"/>
          <w:highlight w:val="none"/>
        </w:rPr>
        <w:t>八、凡对本次招标提出询问，请按以下方式联系</w:t>
      </w:r>
    </w:p>
    <w:p w14:paraId="66636D92">
      <w:pPr>
        <w:pStyle w:val="13"/>
        <w:ind w:firstLineChars="200"/>
        <w:rPr>
          <w:rFonts w:hint="eastAsia" w:cs="宋体"/>
          <w:b w:val="0"/>
          <w:color w:val="auto"/>
          <w:kern w:val="0"/>
          <w:szCs w:val="21"/>
          <w:highlight w:val="none"/>
        </w:rPr>
      </w:pPr>
      <w:r>
        <w:rPr>
          <w:rFonts w:hint="eastAsia" w:ascii="仿宋" w:hAnsi="仿宋" w:cs="宋体"/>
          <w:color w:val="auto"/>
          <w:kern w:val="0"/>
          <w:szCs w:val="21"/>
          <w:highlight w:val="none"/>
        </w:rPr>
        <w:t xml:space="preserve">    </w:t>
      </w:r>
      <w:r>
        <w:rPr>
          <w:rFonts w:hint="eastAsia" w:cs="宋体"/>
          <w:b w:val="0"/>
          <w:color w:val="auto"/>
          <w:kern w:val="0"/>
          <w:szCs w:val="21"/>
          <w:highlight w:val="none"/>
        </w:rPr>
        <w:t>1.采购人信息</w:t>
      </w:r>
    </w:p>
    <w:p w14:paraId="77B17571">
      <w:pPr>
        <w:pStyle w:val="13"/>
        <w:ind w:firstLineChars="200"/>
        <w:rPr>
          <w:rFonts w:hint="eastAsia" w:eastAsia="宋体" w:cs="宋体"/>
          <w:b w:val="0"/>
          <w:color w:val="auto"/>
          <w:kern w:val="0"/>
          <w:szCs w:val="21"/>
          <w:highlight w:val="none"/>
          <w:lang w:eastAsia="zh-CN"/>
        </w:rPr>
      </w:pPr>
      <w:r>
        <w:rPr>
          <w:rFonts w:hint="eastAsia" w:cs="宋体"/>
          <w:b w:val="0"/>
          <w:color w:val="auto"/>
          <w:kern w:val="0"/>
          <w:szCs w:val="21"/>
          <w:highlight w:val="none"/>
        </w:rPr>
        <w:t xml:space="preserve">  </w:t>
      </w:r>
      <w:r>
        <w:rPr>
          <w:rFonts w:hint="eastAsia" w:cs="宋体"/>
          <w:b w:val="0"/>
          <w:color w:val="auto"/>
          <w:kern w:val="0"/>
          <w:szCs w:val="21"/>
          <w:highlight w:val="none"/>
          <w:lang w:val="en-US" w:eastAsia="zh-CN"/>
        </w:rPr>
        <w:t xml:space="preserve">    </w:t>
      </w:r>
      <w:r>
        <w:rPr>
          <w:rFonts w:hint="eastAsia" w:cs="宋体"/>
          <w:b w:val="0"/>
          <w:color w:val="auto"/>
          <w:kern w:val="0"/>
          <w:szCs w:val="21"/>
          <w:highlight w:val="none"/>
        </w:rPr>
        <w:t>名   称：广西医科大学第二附属医院</w:t>
      </w:r>
    </w:p>
    <w:p w14:paraId="5BB4BDF1">
      <w:pPr>
        <w:pStyle w:val="13"/>
        <w:rPr>
          <w:rFonts w:hint="default" w:hAnsi="宋体" w:eastAsia="宋体" w:cs="宋体"/>
          <w:b w:val="0"/>
          <w:color w:val="auto"/>
          <w:kern w:val="0"/>
          <w:szCs w:val="21"/>
          <w:highlight w:val="none"/>
          <w:lang w:val="en-US" w:eastAsia="zh-CN"/>
        </w:rPr>
      </w:pPr>
      <w:r>
        <w:rPr>
          <w:rFonts w:hint="eastAsia" w:cs="宋体"/>
          <w:b w:val="0"/>
          <w:color w:val="auto"/>
          <w:kern w:val="0"/>
          <w:szCs w:val="21"/>
          <w:highlight w:val="none"/>
        </w:rPr>
        <w:t xml:space="preserve">  </w:t>
      </w:r>
      <w:r>
        <w:rPr>
          <w:rFonts w:hint="eastAsia" w:cs="宋体"/>
          <w:b w:val="0"/>
          <w:color w:val="auto"/>
          <w:kern w:val="0"/>
          <w:szCs w:val="21"/>
          <w:highlight w:val="none"/>
          <w:lang w:val="en-US" w:eastAsia="zh-CN"/>
        </w:rPr>
        <w:t xml:space="preserve">    </w:t>
      </w:r>
      <w:r>
        <w:rPr>
          <w:rFonts w:hint="eastAsia" w:cs="宋体"/>
          <w:b w:val="0"/>
          <w:color w:val="auto"/>
          <w:kern w:val="0"/>
          <w:szCs w:val="21"/>
          <w:highlight w:val="none"/>
        </w:rPr>
        <w:t>地   址：广西南宁市大学东路166号</w:t>
      </w:r>
      <w:r>
        <w:rPr>
          <w:rFonts w:hint="eastAsia" w:cs="宋体"/>
          <w:b w:val="0"/>
          <w:color w:val="auto"/>
          <w:kern w:val="0"/>
          <w:szCs w:val="21"/>
          <w:highlight w:val="none"/>
          <w:lang w:val="en-US" w:eastAsia="zh-CN"/>
        </w:rPr>
        <w:t xml:space="preserve"> </w:t>
      </w:r>
    </w:p>
    <w:p w14:paraId="71D51024">
      <w:pPr>
        <w:widowControl/>
        <w:spacing w:before="60" w:after="60" w:line="340" w:lineRule="exact"/>
        <w:jc w:val="left"/>
        <w:rPr>
          <w:rFonts w:hint="eastAsia" w:ascii="宋体" w:hAnsi="Courier New" w:eastAsia="宋体" w:cs="宋体"/>
          <w:b w:val="0"/>
          <w:color w:val="auto"/>
          <w:kern w:val="0"/>
          <w:sz w:val="21"/>
          <w:szCs w:val="21"/>
          <w:highlight w:val="none"/>
          <w:lang w:val="en-US" w:eastAsia="zh-CN" w:bidi="ar-SA"/>
        </w:rPr>
      </w:pPr>
      <w:r>
        <w:rPr>
          <w:rFonts w:hAnsi="宋体" w:cs="宋体"/>
          <w:b w:val="0"/>
          <w:color w:val="auto"/>
          <w:kern w:val="0"/>
          <w:szCs w:val="21"/>
          <w:highlight w:val="none"/>
        </w:rPr>
        <w:t> </w:t>
      </w:r>
      <w:r>
        <w:rPr>
          <w:rFonts w:hint="default" w:hAnsi="宋体" w:cs="宋体"/>
          <w:b w:val="0"/>
          <w:color w:val="auto"/>
          <w:kern w:val="0"/>
          <w:szCs w:val="21"/>
          <w:highlight w:val="none"/>
          <w:lang w:val="en"/>
        </w:rPr>
        <w:t xml:space="preserve">    </w:t>
      </w:r>
      <w:r>
        <w:rPr>
          <w:rFonts w:hint="eastAsia" w:hAnsi="宋体" w:cs="宋体"/>
          <w:b w:val="0"/>
          <w:color w:val="auto"/>
          <w:kern w:val="0"/>
          <w:szCs w:val="21"/>
          <w:highlight w:val="none"/>
          <w:lang w:val="en-US" w:eastAsia="zh-CN"/>
        </w:rPr>
        <w:t xml:space="preserve">   </w:t>
      </w:r>
      <w:r>
        <w:rPr>
          <w:rFonts w:hint="eastAsia" w:ascii="宋体" w:hAnsi="Courier New" w:eastAsia="宋体" w:cs="宋体"/>
          <w:b w:val="0"/>
          <w:color w:val="auto"/>
          <w:kern w:val="0"/>
          <w:sz w:val="21"/>
          <w:szCs w:val="21"/>
          <w:highlight w:val="none"/>
          <w:lang w:val="en-US" w:eastAsia="zh-CN" w:bidi="ar-SA"/>
        </w:rPr>
        <w:t xml:space="preserve"> 项目联系人：</w:t>
      </w:r>
      <w:r>
        <w:rPr>
          <w:rFonts w:hint="eastAsia" w:ascii="宋体" w:hAnsi="Courier New" w:cs="宋体"/>
          <w:b w:val="0"/>
          <w:color w:val="auto"/>
          <w:kern w:val="0"/>
          <w:sz w:val="21"/>
          <w:szCs w:val="21"/>
          <w:highlight w:val="none"/>
          <w:lang w:val="en-US" w:eastAsia="zh-CN" w:bidi="ar-SA"/>
        </w:rPr>
        <w:t>蒲炳官</w:t>
      </w:r>
    </w:p>
    <w:p w14:paraId="7C747A30">
      <w:pPr>
        <w:pStyle w:val="13"/>
        <w:ind w:firstLineChars="200"/>
        <w:rPr>
          <w:rFonts w:hint="default" w:ascii="宋体" w:hAnsi="Courier New" w:eastAsia="宋体" w:cs="宋体"/>
          <w:b w:val="0"/>
          <w:color w:val="auto"/>
          <w:kern w:val="0"/>
          <w:sz w:val="21"/>
          <w:szCs w:val="21"/>
          <w:highlight w:val="none"/>
          <w:lang w:val="en-US" w:eastAsia="zh-CN" w:bidi="ar-SA"/>
        </w:rPr>
      </w:pPr>
      <w:r>
        <w:rPr>
          <w:rFonts w:hint="eastAsia" w:ascii="宋体" w:hAnsi="Courier New" w:eastAsia="宋体" w:cs="宋体"/>
          <w:b w:val="0"/>
          <w:color w:val="auto"/>
          <w:kern w:val="0"/>
          <w:sz w:val="21"/>
          <w:szCs w:val="21"/>
          <w:highlight w:val="none"/>
          <w:lang w:val="en-US" w:eastAsia="zh-CN" w:bidi="ar-SA"/>
        </w:rPr>
        <w:t>   </w:t>
      </w:r>
      <w:r>
        <w:rPr>
          <w:rFonts w:hint="eastAsia" w:hAnsi="Courier New" w:cs="宋体"/>
          <w:b w:val="0"/>
          <w:color w:val="auto"/>
          <w:kern w:val="0"/>
          <w:sz w:val="21"/>
          <w:szCs w:val="21"/>
          <w:highlight w:val="none"/>
          <w:lang w:val="en-US" w:eastAsia="zh-CN" w:bidi="ar-SA"/>
        </w:rPr>
        <w:t xml:space="preserve">  </w:t>
      </w:r>
      <w:r>
        <w:rPr>
          <w:rFonts w:hint="eastAsia" w:ascii="宋体" w:hAnsi="Courier New" w:eastAsia="宋体" w:cs="宋体"/>
          <w:b w:val="0"/>
          <w:color w:val="auto"/>
          <w:kern w:val="0"/>
          <w:sz w:val="21"/>
          <w:szCs w:val="21"/>
          <w:highlight w:val="none"/>
          <w:lang w:val="en-US" w:eastAsia="zh-CN" w:bidi="ar-SA"/>
        </w:rPr>
        <w:t xml:space="preserve"> 项目联系方式：0771-3373768</w:t>
      </w:r>
    </w:p>
    <w:p w14:paraId="68C0B9BD">
      <w:pPr>
        <w:pStyle w:val="13"/>
        <w:rPr>
          <w:rFonts w:hint="eastAsia" w:cs="宋体"/>
          <w:b w:val="0"/>
          <w:color w:val="auto"/>
          <w:kern w:val="0"/>
          <w:szCs w:val="21"/>
          <w:highlight w:val="none"/>
        </w:rPr>
      </w:pPr>
      <w:r>
        <w:rPr>
          <w:rFonts w:hint="eastAsia" w:cs="宋体"/>
          <w:b w:val="0"/>
          <w:color w:val="auto"/>
          <w:kern w:val="0"/>
          <w:szCs w:val="21"/>
          <w:highlight w:val="none"/>
          <w:lang w:val="en-US" w:eastAsia="zh-CN"/>
        </w:rPr>
        <w:t xml:space="preserve">    </w:t>
      </w:r>
      <w:r>
        <w:rPr>
          <w:rFonts w:hint="eastAsia" w:cs="宋体"/>
          <w:b w:val="0"/>
          <w:color w:val="auto"/>
          <w:kern w:val="0"/>
          <w:szCs w:val="21"/>
          <w:highlight w:val="none"/>
        </w:rPr>
        <w:t>2.采购代理机构信息</w:t>
      </w:r>
    </w:p>
    <w:p w14:paraId="42C1F674">
      <w:pPr>
        <w:pStyle w:val="13"/>
        <w:ind w:firstLineChars="200"/>
        <w:rPr>
          <w:rFonts w:hint="eastAsia" w:cs="宋体"/>
          <w:b w:val="0"/>
          <w:color w:val="auto"/>
          <w:kern w:val="0"/>
          <w:szCs w:val="21"/>
          <w:highlight w:val="none"/>
        </w:rPr>
      </w:pPr>
      <w:r>
        <w:rPr>
          <w:rFonts w:hint="eastAsia" w:cs="宋体"/>
          <w:b w:val="0"/>
          <w:color w:val="auto"/>
          <w:kern w:val="0"/>
          <w:szCs w:val="21"/>
          <w:highlight w:val="none"/>
          <w:lang w:val="en-US" w:eastAsia="zh-CN"/>
        </w:rPr>
        <w:t xml:space="preserve">     </w:t>
      </w:r>
      <w:r>
        <w:rPr>
          <w:rFonts w:hint="eastAsia" w:cs="宋体"/>
          <w:b w:val="0"/>
          <w:color w:val="auto"/>
          <w:kern w:val="0"/>
          <w:szCs w:val="21"/>
          <w:highlight w:val="none"/>
        </w:rPr>
        <w:t> 名   称：广西壮族自治区政府采购中心 </w:t>
      </w:r>
    </w:p>
    <w:p w14:paraId="3DBC4EAE">
      <w:pPr>
        <w:pStyle w:val="13"/>
        <w:ind w:firstLineChars="200"/>
        <w:rPr>
          <w:rFonts w:hint="eastAsia" w:cs="宋体"/>
          <w:b w:val="0"/>
          <w:color w:val="auto"/>
          <w:kern w:val="0"/>
          <w:szCs w:val="21"/>
          <w:highlight w:val="none"/>
        </w:rPr>
      </w:pPr>
      <w:r>
        <w:rPr>
          <w:rFonts w:hint="eastAsia" w:cs="宋体"/>
          <w:b w:val="0"/>
          <w:color w:val="auto"/>
          <w:kern w:val="0"/>
          <w:szCs w:val="21"/>
          <w:highlight w:val="none"/>
        </w:rPr>
        <w:t> </w:t>
      </w:r>
      <w:r>
        <w:rPr>
          <w:rFonts w:hint="eastAsia" w:cs="宋体"/>
          <w:b w:val="0"/>
          <w:color w:val="auto"/>
          <w:kern w:val="0"/>
          <w:szCs w:val="21"/>
          <w:highlight w:val="none"/>
          <w:lang w:val="en-US" w:eastAsia="zh-CN"/>
        </w:rPr>
        <w:t xml:space="preserve">     </w:t>
      </w:r>
      <w:r>
        <w:rPr>
          <w:rFonts w:hint="eastAsia" w:cs="宋体"/>
          <w:b w:val="0"/>
          <w:color w:val="auto"/>
          <w:kern w:val="0"/>
          <w:szCs w:val="21"/>
          <w:highlight w:val="none"/>
        </w:rPr>
        <w:t>地   址：南宁市星湖路22号 </w:t>
      </w:r>
    </w:p>
    <w:p w14:paraId="269AB9B3">
      <w:pPr>
        <w:pStyle w:val="13"/>
        <w:ind w:firstLineChars="200"/>
        <w:rPr>
          <w:rFonts w:hint="eastAsia" w:cs="宋体"/>
          <w:b w:val="0"/>
          <w:color w:val="auto"/>
          <w:kern w:val="0"/>
          <w:szCs w:val="21"/>
          <w:highlight w:val="none"/>
        </w:rPr>
      </w:pPr>
      <w:r>
        <w:rPr>
          <w:rFonts w:hint="eastAsia" w:cs="宋体"/>
          <w:b w:val="0"/>
          <w:color w:val="auto"/>
          <w:kern w:val="0"/>
          <w:szCs w:val="21"/>
          <w:highlight w:val="none"/>
        </w:rPr>
        <w:t> </w:t>
      </w:r>
      <w:r>
        <w:rPr>
          <w:rFonts w:hint="eastAsia" w:cs="宋体"/>
          <w:b w:val="0"/>
          <w:color w:val="auto"/>
          <w:kern w:val="0"/>
          <w:szCs w:val="21"/>
          <w:highlight w:val="none"/>
          <w:lang w:val="en-US" w:eastAsia="zh-CN"/>
        </w:rPr>
        <w:t xml:space="preserve">     </w:t>
      </w:r>
      <w:r>
        <w:rPr>
          <w:rFonts w:hint="eastAsia" w:cs="宋体"/>
          <w:b w:val="0"/>
          <w:color w:val="auto"/>
          <w:kern w:val="0"/>
          <w:szCs w:val="21"/>
          <w:highlight w:val="none"/>
        </w:rPr>
        <w:t>项目联系人：</w:t>
      </w:r>
      <w:r>
        <w:rPr>
          <w:rFonts w:hint="eastAsia" w:ascii="仿宋" w:hAnsi="仿宋" w:cs="宋体"/>
          <w:b w:val="0"/>
          <w:bCs/>
          <w:color w:val="auto"/>
          <w:kern w:val="0"/>
          <w:szCs w:val="21"/>
          <w:highlight w:val="none"/>
          <w:lang w:eastAsia="zh-CN"/>
        </w:rPr>
        <w:t>陈立斌</w:t>
      </w:r>
    </w:p>
    <w:p w14:paraId="64D73C3B">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color w:val="auto"/>
          <w:kern w:val="0"/>
          <w:szCs w:val="21"/>
          <w:highlight w:val="none"/>
        </w:rPr>
      </w:pPr>
      <w:r>
        <w:rPr>
          <w:rFonts w:hint="eastAsia" w:cs="宋体"/>
          <w:b w:val="0"/>
          <w:color w:val="auto"/>
          <w:kern w:val="0"/>
          <w:szCs w:val="21"/>
          <w:highlight w:val="none"/>
        </w:rPr>
        <w:t> </w:t>
      </w:r>
      <w:r>
        <w:rPr>
          <w:rFonts w:hint="eastAsia" w:cs="宋体"/>
          <w:b w:val="0"/>
          <w:color w:val="auto"/>
          <w:kern w:val="0"/>
          <w:szCs w:val="21"/>
          <w:highlight w:val="none"/>
          <w:lang w:val="en-US" w:eastAsia="zh-CN"/>
        </w:rPr>
        <w:t xml:space="preserve">      </w:t>
      </w:r>
      <w:r>
        <w:rPr>
          <w:rFonts w:hint="eastAsia" w:cs="宋体"/>
          <w:b w:val="0"/>
          <w:color w:val="auto"/>
          <w:kern w:val="0"/>
          <w:szCs w:val="21"/>
          <w:highlight w:val="none"/>
        </w:rPr>
        <w:t>项目联系方式：</w:t>
      </w:r>
      <w:r>
        <w:rPr>
          <w:rFonts w:hint="eastAsia" w:ascii="宋体" w:hAnsi="Courier New" w:eastAsia="宋体" w:cs="宋体"/>
          <w:b w:val="0"/>
          <w:bCs/>
          <w:color w:val="auto"/>
          <w:kern w:val="0"/>
          <w:szCs w:val="21"/>
          <w:highlight w:val="none"/>
        </w:rPr>
        <w:t>0771-8600</w:t>
      </w:r>
      <w:r>
        <w:rPr>
          <w:rFonts w:hint="eastAsia" w:ascii="宋体" w:hAnsi="Courier New" w:cs="宋体"/>
          <w:b w:val="0"/>
          <w:bCs/>
          <w:color w:val="auto"/>
          <w:kern w:val="0"/>
          <w:szCs w:val="21"/>
          <w:highlight w:val="none"/>
          <w:lang w:val="en-US" w:eastAsia="zh-CN"/>
        </w:rPr>
        <w:t>433</w:t>
      </w:r>
      <w:r>
        <w:rPr>
          <w:rFonts w:hint="eastAsia" w:ascii="仿宋" w:hAnsi="仿宋" w:cs="宋体"/>
          <w:color w:val="auto"/>
          <w:kern w:val="0"/>
          <w:szCs w:val="21"/>
          <w:highlight w:val="none"/>
        </w:rPr>
        <w:t xml:space="preserve"> </w:t>
      </w:r>
    </w:p>
    <w:p w14:paraId="533FC139">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color w:val="auto"/>
          <w:kern w:val="0"/>
          <w:szCs w:val="21"/>
          <w:highlight w:val="none"/>
        </w:rPr>
      </w:pPr>
    </w:p>
    <w:p w14:paraId="24D9226E">
      <w:pPr>
        <w:pStyle w:val="2"/>
        <w:rPr>
          <w:rFonts w:hint="eastAsia" w:ascii="仿宋" w:hAnsi="仿宋" w:cs="宋体"/>
          <w:color w:val="auto"/>
          <w:kern w:val="0"/>
          <w:szCs w:val="21"/>
          <w:highlight w:val="none"/>
        </w:rPr>
      </w:pPr>
    </w:p>
    <w:p w14:paraId="1C854E1F">
      <w:pPr>
        <w:rPr>
          <w:rFonts w:hint="eastAsia"/>
          <w:color w:val="auto"/>
          <w:highlight w:val="none"/>
        </w:rPr>
      </w:pPr>
    </w:p>
    <w:p w14:paraId="0B681CF2">
      <w:pPr>
        <w:keepNext w:val="0"/>
        <w:keepLines w:val="0"/>
        <w:pageBreakBefore w:val="0"/>
        <w:widowControl/>
        <w:kinsoku/>
        <w:overflowPunct/>
        <w:topLinePunct w:val="0"/>
        <w:autoSpaceDE/>
        <w:autoSpaceDN/>
        <w:bidi w:val="0"/>
        <w:spacing w:before="60" w:after="60" w:line="360" w:lineRule="exact"/>
        <w:ind w:firstLine="324"/>
        <w:jc w:val="left"/>
        <w:textAlignment w:val="auto"/>
        <w:rPr>
          <w:rFonts w:hint="eastAsia" w:ascii="仿宋" w:hAnsi="仿宋" w:cs="宋体"/>
          <w:color w:val="auto"/>
          <w:kern w:val="0"/>
          <w:szCs w:val="21"/>
          <w:highlight w:val="none"/>
        </w:rPr>
      </w:pPr>
    </w:p>
    <w:p w14:paraId="43CE022C">
      <w:pPr>
        <w:keepNext w:val="0"/>
        <w:keepLines w:val="0"/>
        <w:pageBreakBefore w:val="0"/>
        <w:kinsoku/>
        <w:overflowPunct/>
        <w:topLinePunct w:val="0"/>
        <w:autoSpaceDE/>
        <w:autoSpaceDN/>
        <w:bidi w:val="0"/>
        <w:snapToGrid w:val="0"/>
        <w:spacing w:line="360" w:lineRule="exact"/>
        <w:ind w:left="238"/>
        <w:jc w:val="right"/>
        <w:textAlignment w:val="auto"/>
        <w:rPr>
          <w:rFonts w:ascii="宋体" w:cs="宋体"/>
          <w:b w:val="0"/>
          <w:bCs w:val="0"/>
          <w:color w:val="auto"/>
          <w:szCs w:val="21"/>
          <w:highlight w:val="none"/>
        </w:rPr>
      </w:pPr>
      <w:r>
        <w:rPr>
          <w:rFonts w:hint="eastAsia" w:ascii="仿宋" w:hAnsi="仿宋" w:cs="宋体"/>
          <w:color w:val="auto"/>
          <w:kern w:val="0"/>
          <w:szCs w:val="21"/>
          <w:highlight w:val="none"/>
        </w:rPr>
        <w:t xml:space="preserve">                                                        </w:t>
      </w:r>
      <w:r>
        <w:rPr>
          <w:rFonts w:hint="eastAsia" w:ascii="宋体" w:hAnsi="宋体" w:cs="宋体"/>
          <w:color w:val="auto"/>
          <w:szCs w:val="21"/>
          <w:highlight w:val="none"/>
        </w:rPr>
        <w:t>广西壮族</w:t>
      </w:r>
      <w:r>
        <w:rPr>
          <w:rFonts w:hint="eastAsia" w:ascii="宋体" w:hAnsi="宋体" w:cs="宋体"/>
          <w:b w:val="0"/>
          <w:bCs w:val="0"/>
          <w:color w:val="auto"/>
          <w:szCs w:val="21"/>
          <w:highlight w:val="none"/>
        </w:rPr>
        <w:t>自治区政府采购中心</w:t>
      </w:r>
    </w:p>
    <w:p w14:paraId="0BF03F2D">
      <w:pPr>
        <w:keepNext w:val="0"/>
        <w:keepLines w:val="0"/>
        <w:pageBreakBefore w:val="0"/>
        <w:widowControl/>
        <w:kinsoku/>
        <w:wordWrap w:val="0"/>
        <w:overflowPunct/>
        <w:topLinePunct w:val="0"/>
        <w:autoSpaceDE/>
        <w:autoSpaceDN/>
        <w:bidi w:val="0"/>
        <w:adjustRightInd w:val="0"/>
        <w:snapToGrid w:val="0"/>
        <w:spacing w:line="360" w:lineRule="exact"/>
        <w:ind w:right="384" w:rightChars="183"/>
        <w:jc w:val="right"/>
        <w:textAlignment w:val="auto"/>
        <w:rPr>
          <w:rFonts w:ascii="仿宋" w:hAnsi="仿宋" w:eastAsia="仿宋"/>
          <w:b w:val="0"/>
          <w:bCs w:val="0"/>
          <w:color w:val="auto"/>
          <w:szCs w:val="21"/>
          <w:highlight w:val="none"/>
        </w:rPr>
      </w:pPr>
      <w:r>
        <w:rPr>
          <w:rFonts w:ascii="宋体" w:hAnsi="宋体" w:cs="宋体"/>
          <w:b w:val="0"/>
          <w:bCs w:val="0"/>
          <w:color w:val="auto"/>
          <w:szCs w:val="21"/>
          <w:highlight w:val="none"/>
          <w:lang w:val="en"/>
        </w:rPr>
        <w:t>202</w:t>
      </w:r>
      <w:r>
        <w:rPr>
          <w:rFonts w:hint="eastAsia" w:ascii="宋体" w:hAnsi="宋体" w:cs="宋体"/>
          <w:b w:val="0"/>
          <w:bCs w:val="0"/>
          <w:color w:val="auto"/>
          <w:szCs w:val="21"/>
          <w:highlight w:val="none"/>
          <w:lang w:val="en-US" w:eastAsia="zh-CN"/>
        </w:rPr>
        <w:t>5</w:t>
      </w:r>
      <w:r>
        <w:rPr>
          <w:rFonts w:hint="eastAsia" w:ascii="宋体" w:hAnsi="宋体" w:cs="宋体"/>
          <w:b w:val="0"/>
          <w:bCs w:val="0"/>
          <w:color w:val="auto"/>
          <w:szCs w:val="21"/>
          <w:highlight w:val="none"/>
        </w:rPr>
        <w:t>年</w:t>
      </w:r>
      <w:r>
        <w:rPr>
          <w:rFonts w:hint="eastAsia" w:ascii="宋体" w:hAnsi="宋体" w:cs="宋体"/>
          <w:b w:val="0"/>
          <w:bCs w:val="0"/>
          <w:color w:val="auto"/>
          <w:szCs w:val="21"/>
          <w:highlight w:val="none"/>
          <w:lang w:val="en-US" w:eastAsia="zh-CN"/>
        </w:rPr>
        <w:t>9</w:t>
      </w:r>
      <w:r>
        <w:rPr>
          <w:rFonts w:hint="eastAsia" w:ascii="宋体" w:hAnsi="宋体" w:cs="宋体"/>
          <w:b w:val="0"/>
          <w:bCs w:val="0"/>
          <w:color w:val="auto"/>
          <w:szCs w:val="21"/>
          <w:highlight w:val="none"/>
        </w:rPr>
        <w:t>月</w:t>
      </w:r>
      <w:r>
        <w:rPr>
          <w:rFonts w:hint="eastAsia" w:ascii="宋体" w:hAnsi="宋体" w:cs="宋体"/>
          <w:b w:val="0"/>
          <w:bCs w:val="0"/>
          <w:color w:val="auto"/>
          <w:szCs w:val="21"/>
          <w:highlight w:val="none"/>
          <w:lang w:val="en-US" w:eastAsia="zh-CN"/>
        </w:rPr>
        <w:t>17</w:t>
      </w:r>
      <w:r>
        <w:rPr>
          <w:rFonts w:hint="eastAsia" w:ascii="宋体" w:hAnsi="宋体" w:cs="宋体"/>
          <w:b w:val="0"/>
          <w:bCs w:val="0"/>
          <w:color w:val="auto"/>
          <w:szCs w:val="21"/>
          <w:highlight w:val="none"/>
        </w:rPr>
        <w:t>日</w:t>
      </w:r>
    </w:p>
    <w:p w14:paraId="38C6E883">
      <w:pPr>
        <w:pageBreakBefore/>
        <w:spacing w:line="600" w:lineRule="exact"/>
        <w:jc w:val="center"/>
        <w:rPr>
          <w:rFonts w:ascii="仿宋_GB2312" w:hAnsi="仿宋_GB2312" w:eastAsia="仿宋_GB2312"/>
          <w:b/>
          <w:color w:val="auto"/>
          <w:sz w:val="44"/>
          <w:szCs w:val="44"/>
          <w:highlight w:val="none"/>
        </w:rPr>
      </w:pPr>
    </w:p>
    <w:p w14:paraId="2B261926">
      <w:pPr>
        <w:spacing w:line="600" w:lineRule="exact"/>
        <w:jc w:val="center"/>
        <w:rPr>
          <w:rFonts w:ascii="仿宋_GB2312" w:hAnsi="仿宋_GB2312" w:eastAsia="仿宋_GB2312"/>
          <w:b/>
          <w:color w:val="auto"/>
          <w:sz w:val="44"/>
          <w:szCs w:val="44"/>
          <w:highlight w:val="none"/>
        </w:rPr>
      </w:pPr>
    </w:p>
    <w:p w14:paraId="2ED2DE71">
      <w:pPr>
        <w:spacing w:line="600" w:lineRule="exact"/>
        <w:jc w:val="center"/>
        <w:rPr>
          <w:rFonts w:ascii="仿宋_GB2312" w:hAnsi="仿宋_GB2312" w:eastAsia="仿宋_GB2312"/>
          <w:b/>
          <w:color w:val="auto"/>
          <w:sz w:val="44"/>
          <w:szCs w:val="44"/>
          <w:highlight w:val="none"/>
        </w:rPr>
      </w:pPr>
    </w:p>
    <w:p w14:paraId="1A571C74">
      <w:pPr>
        <w:spacing w:line="600" w:lineRule="exact"/>
        <w:jc w:val="center"/>
        <w:rPr>
          <w:rFonts w:ascii="仿宋_GB2312" w:hAnsi="仿宋_GB2312" w:eastAsia="仿宋_GB2312"/>
          <w:b/>
          <w:color w:val="auto"/>
          <w:sz w:val="44"/>
          <w:szCs w:val="44"/>
          <w:highlight w:val="none"/>
        </w:rPr>
      </w:pPr>
    </w:p>
    <w:p w14:paraId="2AE55158">
      <w:pPr>
        <w:spacing w:line="600" w:lineRule="exact"/>
        <w:jc w:val="center"/>
        <w:rPr>
          <w:rFonts w:ascii="仿宋_GB2312" w:hAnsi="仿宋_GB2312" w:eastAsia="仿宋_GB2312"/>
          <w:b/>
          <w:color w:val="auto"/>
          <w:sz w:val="44"/>
          <w:szCs w:val="44"/>
          <w:highlight w:val="none"/>
        </w:rPr>
      </w:pPr>
    </w:p>
    <w:p w14:paraId="17388236">
      <w:pPr>
        <w:spacing w:line="600" w:lineRule="exact"/>
        <w:jc w:val="center"/>
        <w:rPr>
          <w:rFonts w:ascii="仿宋_GB2312" w:hAnsi="仿宋_GB2312" w:eastAsia="仿宋_GB2312"/>
          <w:b/>
          <w:color w:val="auto"/>
          <w:sz w:val="44"/>
          <w:szCs w:val="44"/>
          <w:highlight w:val="none"/>
        </w:rPr>
      </w:pPr>
    </w:p>
    <w:p w14:paraId="2138F146">
      <w:pPr>
        <w:spacing w:line="600" w:lineRule="exact"/>
        <w:jc w:val="center"/>
        <w:rPr>
          <w:rFonts w:ascii="仿宋_GB2312" w:hAnsi="仿宋_GB2312" w:eastAsia="仿宋_GB2312"/>
          <w:b/>
          <w:color w:val="auto"/>
          <w:sz w:val="44"/>
          <w:szCs w:val="44"/>
          <w:highlight w:val="none"/>
        </w:rPr>
      </w:pPr>
    </w:p>
    <w:p w14:paraId="689C3592">
      <w:pPr>
        <w:spacing w:line="600" w:lineRule="exact"/>
        <w:jc w:val="center"/>
        <w:rPr>
          <w:rFonts w:ascii="仿宋_GB2312" w:hAnsi="仿宋_GB2312" w:eastAsia="仿宋_GB2312"/>
          <w:b/>
          <w:color w:val="auto"/>
          <w:sz w:val="44"/>
          <w:szCs w:val="44"/>
          <w:highlight w:val="none"/>
        </w:rPr>
      </w:pPr>
    </w:p>
    <w:p w14:paraId="2CC1F0E1">
      <w:pPr>
        <w:spacing w:line="600" w:lineRule="exact"/>
        <w:jc w:val="center"/>
        <w:rPr>
          <w:rFonts w:ascii="仿宋_GB2312" w:hAnsi="仿宋_GB2312" w:eastAsia="仿宋_GB2312"/>
          <w:b/>
          <w:color w:val="auto"/>
          <w:sz w:val="44"/>
          <w:szCs w:val="44"/>
          <w:highlight w:val="none"/>
        </w:rPr>
      </w:pPr>
    </w:p>
    <w:p w14:paraId="1805C8CA">
      <w:pPr>
        <w:spacing w:line="600" w:lineRule="exact"/>
        <w:jc w:val="center"/>
        <w:rPr>
          <w:rFonts w:ascii="仿宋_GB2312" w:hAnsi="仿宋_GB2312" w:eastAsia="仿宋_GB2312"/>
          <w:b/>
          <w:color w:val="auto"/>
          <w:sz w:val="44"/>
          <w:szCs w:val="44"/>
          <w:highlight w:val="none"/>
        </w:rPr>
      </w:pPr>
    </w:p>
    <w:p w14:paraId="2CBA496C">
      <w:pPr>
        <w:pStyle w:val="3"/>
        <w:jc w:val="center"/>
        <w:rPr>
          <w:color w:val="auto"/>
          <w:highlight w:val="none"/>
        </w:rPr>
      </w:pPr>
      <w:bookmarkStart w:id="9" w:name="_Toc46136757"/>
      <w:r>
        <w:rPr>
          <w:rFonts w:hint="eastAsia"/>
          <w:color w:val="auto"/>
          <w:highlight w:val="none"/>
        </w:rPr>
        <w:t>第二章  谈判供应商须知</w:t>
      </w:r>
      <w:bookmarkEnd w:id="9"/>
    </w:p>
    <w:p w14:paraId="66A861A9">
      <w:pPr>
        <w:spacing w:line="400" w:lineRule="exact"/>
        <w:jc w:val="center"/>
        <w:rPr>
          <w:rFonts w:ascii="仿宋_GB2312" w:hAnsi="仿宋_GB2312" w:eastAsia="仿宋_GB2312"/>
          <w:b/>
          <w:color w:val="auto"/>
          <w:sz w:val="32"/>
          <w:szCs w:val="32"/>
          <w:highlight w:val="none"/>
        </w:rPr>
      </w:pPr>
    </w:p>
    <w:p w14:paraId="17924002">
      <w:pPr>
        <w:spacing w:line="600" w:lineRule="exact"/>
        <w:jc w:val="both"/>
        <w:rPr>
          <w:rFonts w:hint="eastAsia" w:ascii="仿宋_GB2312" w:hAnsi="仿宋_GB2312" w:eastAsia="仿宋_GB2312"/>
          <w:b/>
          <w:color w:val="auto"/>
          <w:sz w:val="32"/>
          <w:szCs w:val="32"/>
          <w:highlight w:val="none"/>
        </w:rPr>
      </w:pPr>
    </w:p>
    <w:p w14:paraId="6D4B14E3">
      <w:pPr>
        <w:spacing w:line="600" w:lineRule="exact"/>
        <w:jc w:val="both"/>
        <w:rPr>
          <w:rFonts w:hint="eastAsia" w:ascii="仿宋_GB2312" w:hAnsi="仿宋_GB2312" w:eastAsia="仿宋_GB2312"/>
          <w:b/>
          <w:color w:val="auto"/>
          <w:sz w:val="32"/>
          <w:szCs w:val="32"/>
          <w:highlight w:val="none"/>
        </w:rPr>
      </w:pPr>
    </w:p>
    <w:p w14:paraId="6842F32B">
      <w:pPr>
        <w:spacing w:line="600" w:lineRule="exact"/>
        <w:jc w:val="both"/>
        <w:rPr>
          <w:rFonts w:hint="eastAsia" w:ascii="仿宋_GB2312" w:hAnsi="仿宋_GB2312" w:eastAsia="仿宋_GB2312"/>
          <w:b/>
          <w:color w:val="auto"/>
          <w:sz w:val="32"/>
          <w:szCs w:val="32"/>
          <w:highlight w:val="none"/>
        </w:rPr>
      </w:pPr>
    </w:p>
    <w:p w14:paraId="54C6D073">
      <w:pPr>
        <w:spacing w:line="600" w:lineRule="exact"/>
        <w:jc w:val="both"/>
        <w:rPr>
          <w:rFonts w:hint="eastAsia" w:ascii="仿宋_GB2312" w:hAnsi="仿宋_GB2312" w:eastAsia="仿宋_GB2312"/>
          <w:b/>
          <w:color w:val="auto"/>
          <w:sz w:val="32"/>
          <w:szCs w:val="32"/>
          <w:highlight w:val="none"/>
        </w:rPr>
      </w:pPr>
    </w:p>
    <w:p w14:paraId="24204667">
      <w:pPr>
        <w:spacing w:line="600" w:lineRule="exact"/>
        <w:jc w:val="both"/>
        <w:rPr>
          <w:rFonts w:hint="eastAsia" w:ascii="仿宋_GB2312" w:hAnsi="仿宋_GB2312" w:eastAsia="仿宋_GB2312"/>
          <w:b/>
          <w:color w:val="auto"/>
          <w:sz w:val="32"/>
          <w:szCs w:val="32"/>
          <w:highlight w:val="none"/>
        </w:rPr>
      </w:pPr>
    </w:p>
    <w:p w14:paraId="7333059C">
      <w:pPr>
        <w:spacing w:line="600" w:lineRule="exact"/>
        <w:jc w:val="both"/>
        <w:rPr>
          <w:rFonts w:hint="eastAsia" w:ascii="仿宋_GB2312" w:hAnsi="仿宋_GB2312" w:eastAsia="仿宋_GB2312"/>
          <w:b/>
          <w:color w:val="auto"/>
          <w:sz w:val="32"/>
          <w:szCs w:val="32"/>
          <w:highlight w:val="none"/>
        </w:rPr>
      </w:pPr>
    </w:p>
    <w:p w14:paraId="6F2EA4F0">
      <w:pPr>
        <w:spacing w:line="600" w:lineRule="exact"/>
        <w:jc w:val="both"/>
        <w:rPr>
          <w:rFonts w:hint="eastAsia" w:ascii="仿宋_GB2312" w:hAnsi="仿宋_GB2312" w:eastAsia="仿宋_GB2312"/>
          <w:b/>
          <w:color w:val="auto"/>
          <w:sz w:val="32"/>
          <w:szCs w:val="32"/>
          <w:highlight w:val="none"/>
        </w:rPr>
      </w:pPr>
    </w:p>
    <w:p w14:paraId="272764B4">
      <w:pPr>
        <w:spacing w:line="600" w:lineRule="exact"/>
        <w:jc w:val="both"/>
        <w:rPr>
          <w:rFonts w:hint="eastAsia" w:ascii="仿宋_GB2312" w:hAnsi="仿宋_GB2312" w:eastAsia="仿宋_GB2312"/>
          <w:b/>
          <w:color w:val="auto"/>
          <w:sz w:val="32"/>
          <w:szCs w:val="32"/>
          <w:highlight w:val="none"/>
        </w:rPr>
      </w:pPr>
    </w:p>
    <w:p w14:paraId="706A975A">
      <w:pPr>
        <w:spacing w:line="600" w:lineRule="exact"/>
        <w:jc w:val="both"/>
        <w:rPr>
          <w:rFonts w:hint="eastAsia" w:ascii="仿宋_GB2312" w:hAnsi="仿宋_GB2312" w:eastAsia="仿宋_GB2312"/>
          <w:b/>
          <w:color w:val="auto"/>
          <w:sz w:val="32"/>
          <w:szCs w:val="32"/>
          <w:highlight w:val="none"/>
        </w:rPr>
      </w:pPr>
    </w:p>
    <w:p w14:paraId="330034AA">
      <w:pPr>
        <w:spacing w:line="600" w:lineRule="exact"/>
        <w:jc w:val="both"/>
        <w:rPr>
          <w:rFonts w:hint="eastAsia" w:ascii="仿宋_GB2312" w:hAnsi="仿宋_GB2312" w:eastAsia="仿宋_GB2312"/>
          <w:b/>
          <w:color w:val="auto"/>
          <w:sz w:val="32"/>
          <w:szCs w:val="32"/>
          <w:highlight w:val="none"/>
        </w:rPr>
      </w:pPr>
    </w:p>
    <w:p w14:paraId="758DFE30">
      <w:pPr>
        <w:spacing w:line="600" w:lineRule="exact"/>
        <w:jc w:val="center"/>
        <w:rPr>
          <w:rFonts w:ascii="仿宋_GB2312" w:hAnsi="仿宋_GB2312" w:eastAsia="仿宋_GB2312"/>
          <w:b/>
          <w:color w:val="auto"/>
          <w:sz w:val="32"/>
          <w:szCs w:val="32"/>
          <w:highlight w:val="none"/>
        </w:rPr>
      </w:pPr>
      <w:r>
        <w:rPr>
          <w:rFonts w:hint="eastAsia" w:ascii="仿宋_GB2312" w:hAnsi="仿宋_GB2312" w:eastAsia="仿宋_GB2312"/>
          <w:b/>
          <w:color w:val="auto"/>
          <w:sz w:val="32"/>
          <w:szCs w:val="32"/>
          <w:highlight w:val="none"/>
        </w:rPr>
        <w:t>谈判供应商须知前附表</w:t>
      </w:r>
    </w:p>
    <w:tbl>
      <w:tblPr>
        <w:tblStyle w:val="14"/>
        <w:tblpPr w:leftFromText="180" w:rightFromText="180" w:vertAnchor="text" w:horzAnchor="page" w:tblpX="829" w:tblpY="229"/>
        <w:tblOverlap w:val="never"/>
        <w:tblW w:w="0" w:type="auto"/>
        <w:tblInd w:w="0" w:type="dxa"/>
        <w:tblLayout w:type="fixed"/>
        <w:tblCellMar>
          <w:top w:w="0" w:type="dxa"/>
          <w:left w:w="108" w:type="dxa"/>
          <w:bottom w:w="0" w:type="dxa"/>
          <w:right w:w="108" w:type="dxa"/>
        </w:tblCellMar>
      </w:tblPr>
      <w:tblGrid>
        <w:gridCol w:w="790"/>
        <w:gridCol w:w="8855"/>
      </w:tblGrid>
      <w:tr w14:paraId="44279320">
        <w:tblPrEx>
          <w:tblCellMar>
            <w:top w:w="0" w:type="dxa"/>
            <w:left w:w="108" w:type="dxa"/>
            <w:bottom w:w="0" w:type="dxa"/>
            <w:right w:w="108" w:type="dxa"/>
          </w:tblCellMar>
        </w:tblPrEx>
        <w:trPr>
          <w:trHeight w:val="321" w:hRule="atLeast"/>
        </w:trPr>
        <w:tc>
          <w:tcPr>
            <w:tcW w:w="790" w:type="dxa"/>
            <w:tcBorders>
              <w:top w:val="single" w:color="000000" w:sz="4" w:space="0"/>
              <w:left w:val="single" w:color="000000" w:sz="4" w:space="0"/>
              <w:bottom w:val="single" w:color="000000" w:sz="4" w:space="0"/>
              <w:right w:val="single" w:color="000000" w:sz="4" w:space="0"/>
            </w:tcBorders>
            <w:noWrap w:val="0"/>
            <w:vAlign w:val="top"/>
          </w:tcPr>
          <w:p w14:paraId="27671C3A">
            <w:pPr>
              <w:pStyle w:val="21"/>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highlight w:val="none"/>
              </w:rPr>
            </w:pPr>
            <w:r>
              <w:rPr>
                <w:rFonts w:hint="eastAsia"/>
                <w:color w:val="auto"/>
                <w:highlight w:val="none"/>
              </w:rPr>
              <w:t>序号</w:t>
            </w:r>
          </w:p>
        </w:tc>
        <w:tc>
          <w:tcPr>
            <w:tcW w:w="8855" w:type="dxa"/>
            <w:tcBorders>
              <w:top w:val="single" w:color="000000" w:sz="4" w:space="0"/>
              <w:left w:val="single" w:color="000000" w:sz="4" w:space="0"/>
              <w:bottom w:val="single" w:color="000000" w:sz="4" w:space="0"/>
              <w:right w:val="single" w:color="000000" w:sz="4" w:space="0"/>
            </w:tcBorders>
            <w:noWrap w:val="0"/>
            <w:vAlign w:val="top"/>
          </w:tcPr>
          <w:p w14:paraId="7F6FA2D5">
            <w:pPr>
              <w:pStyle w:val="21"/>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highlight w:val="none"/>
              </w:rPr>
            </w:pPr>
            <w:r>
              <w:rPr>
                <w:rFonts w:hint="eastAsia"/>
                <w:color w:val="auto"/>
                <w:highlight w:val="none"/>
              </w:rPr>
              <w:t>内    容</w:t>
            </w:r>
          </w:p>
        </w:tc>
      </w:tr>
      <w:tr w14:paraId="4140847D">
        <w:tblPrEx>
          <w:tblCellMar>
            <w:top w:w="0" w:type="dxa"/>
            <w:left w:w="108" w:type="dxa"/>
            <w:bottom w:w="0" w:type="dxa"/>
            <w:right w:w="108" w:type="dxa"/>
          </w:tblCellMar>
        </w:tblPrEx>
        <w:trPr>
          <w:trHeight w:val="40" w:hRule="atLeast"/>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75FDFD2E">
            <w:pPr>
              <w:pStyle w:val="21"/>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highlight w:val="none"/>
              </w:rPr>
            </w:pPr>
            <w:r>
              <w:rPr>
                <w:rFonts w:hint="eastAsia"/>
                <w:color w:val="auto"/>
                <w:highlight w:val="none"/>
              </w:rPr>
              <w:t>1</w:t>
            </w:r>
          </w:p>
        </w:tc>
        <w:tc>
          <w:tcPr>
            <w:tcW w:w="8855" w:type="dxa"/>
            <w:tcBorders>
              <w:top w:val="single" w:color="000000" w:sz="4" w:space="0"/>
              <w:left w:val="single" w:color="000000" w:sz="4" w:space="0"/>
              <w:bottom w:val="single" w:color="000000" w:sz="4" w:space="0"/>
              <w:right w:val="single" w:color="000000" w:sz="4" w:space="0"/>
            </w:tcBorders>
            <w:noWrap w:val="0"/>
            <w:vAlign w:val="center"/>
          </w:tcPr>
          <w:p w14:paraId="69C8FB01">
            <w:pPr>
              <w:pStyle w:val="21"/>
              <w:keepNext w:val="0"/>
              <w:keepLines w:val="0"/>
              <w:pageBreakBefore w:val="0"/>
              <w:widowControl w:val="0"/>
              <w:kinsoku/>
              <w:wordWrap/>
              <w:overflowPunct/>
              <w:topLinePunct w:val="0"/>
              <w:autoSpaceDE/>
              <w:autoSpaceDN/>
              <w:bidi w:val="0"/>
              <w:adjustRightInd/>
              <w:snapToGrid/>
              <w:spacing w:line="320" w:lineRule="exact"/>
              <w:textAlignment w:val="auto"/>
              <w:rPr>
                <w:color w:val="auto"/>
                <w:highlight w:val="none"/>
              </w:rPr>
            </w:pPr>
            <w:r>
              <w:rPr>
                <w:rFonts w:hint="eastAsia"/>
                <w:color w:val="auto"/>
                <w:highlight w:val="none"/>
              </w:rPr>
              <w:t>项目名称：</w:t>
            </w:r>
            <w:r>
              <w:rPr>
                <w:rFonts w:hint="eastAsia" w:ascii="仿宋" w:hAnsi="仿宋" w:cs="宋体"/>
                <w:color w:val="auto"/>
                <w:kern w:val="0"/>
                <w:szCs w:val="21"/>
                <w:highlight w:val="none"/>
                <w:lang w:eastAsia="zh-CN"/>
              </w:rPr>
              <w:t>广西医科大学第二附属医院电梯采购及安装</w:t>
            </w:r>
          </w:p>
          <w:p w14:paraId="59DF4613">
            <w:pPr>
              <w:pStyle w:val="21"/>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宋体"/>
                <w:color w:val="auto"/>
                <w:highlight w:val="none"/>
                <w:u w:val="single"/>
                <w:lang w:eastAsia="zh-CN"/>
              </w:rPr>
            </w:pPr>
            <w:r>
              <w:rPr>
                <w:rFonts w:hint="eastAsia"/>
                <w:color w:val="auto"/>
                <w:highlight w:val="none"/>
              </w:rPr>
              <w:t>项目编号：GXZC2025-J1-002431-CGZX</w:t>
            </w:r>
            <w:r>
              <w:rPr>
                <w:rFonts w:hint="eastAsia"/>
                <w:color w:val="auto"/>
                <w:highlight w:val="none"/>
                <w:lang w:val="en-US" w:eastAsia="zh-CN"/>
              </w:rPr>
              <w:t xml:space="preserve"> </w:t>
            </w:r>
          </w:p>
        </w:tc>
      </w:tr>
      <w:tr w14:paraId="51E46C2E">
        <w:tblPrEx>
          <w:tblCellMar>
            <w:top w:w="0" w:type="dxa"/>
            <w:left w:w="108" w:type="dxa"/>
            <w:bottom w:w="0" w:type="dxa"/>
            <w:right w:w="108" w:type="dxa"/>
          </w:tblCellMar>
        </w:tblPrEx>
        <w:trPr>
          <w:trHeight w:val="604" w:hRule="atLeast"/>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163C3645">
            <w:pPr>
              <w:pStyle w:val="21"/>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highlight w:val="none"/>
              </w:rPr>
            </w:pPr>
            <w:r>
              <w:rPr>
                <w:rFonts w:hint="eastAsia"/>
                <w:color w:val="auto"/>
                <w:highlight w:val="none"/>
              </w:rPr>
              <w:t>2</w:t>
            </w:r>
          </w:p>
        </w:tc>
        <w:tc>
          <w:tcPr>
            <w:tcW w:w="8855" w:type="dxa"/>
            <w:tcBorders>
              <w:top w:val="single" w:color="000000" w:sz="4" w:space="0"/>
              <w:left w:val="single" w:color="000000" w:sz="4" w:space="0"/>
              <w:bottom w:val="single" w:color="000000" w:sz="4" w:space="0"/>
              <w:right w:val="single" w:color="000000" w:sz="4" w:space="0"/>
            </w:tcBorders>
            <w:noWrap w:val="0"/>
            <w:vAlign w:val="center"/>
          </w:tcPr>
          <w:p w14:paraId="4F9AC521">
            <w:pPr>
              <w:pStyle w:val="21"/>
              <w:keepNext w:val="0"/>
              <w:keepLines w:val="0"/>
              <w:pageBreakBefore w:val="0"/>
              <w:widowControl w:val="0"/>
              <w:kinsoku/>
              <w:wordWrap/>
              <w:overflowPunct/>
              <w:topLinePunct w:val="0"/>
              <w:autoSpaceDE/>
              <w:autoSpaceDN/>
              <w:bidi w:val="0"/>
              <w:adjustRightInd/>
              <w:snapToGrid/>
              <w:spacing w:line="320" w:lineRule="exact"/>
              <w:ind w:left="-36" w:firstLine="36"/>
              <w:textAlignment w:val="auto"/>
              <w:rPr>
                <w:color w:val="auto"/>
                <w:highlight w:val="none"/>
              </w:rPr>
            </w:pPr>
            <w:r>
              <w:rPr>
                <w:rFonts w:hint="eastAsia"/>
                <w:color w:val="auto"/>
                <w:highlight w:val="none"/>
              </w:rPr>
              <w:t>谈判供应商资格：</w:t>
            </w:r>
            <w:r>
              <w:rPr>
                <w:rFonts w:hint="eastAsia"/>
                <w:color w:val="auto"/>
                <w:highlight w:val="none"/>
                <w:u w:val="single"/>
              </w:rPr>
              <w:t xml:space="preserve">详见《第一章 </w:t>
            </w:r>
            <w:r>
              <w:rPr>
                <w:rFonts w:hint="eastAsia" w:ascii="Times New Roman" w:hAnsi="Times New Roman"/>
                <w:color w:val="auto"/>
                <w:szCs w:val="24"/>
                <w:highlight w:val="none"/>
                <w:u w:val="single"/>
              </w:rPr>
              <w:t>竞争性谈判公告</w:t>
            </w:r>
            <w:r>
              <w:rPr>
                <w:rFonts w:hint="eastAsia"/>
                <w:color w:val="auto"/>
                <w:highlight w:val="none"/>
                <w:u w:val="single"/>
              </w:rPr>
              <w:t>》</w:t>
            </w:r>
            <w:r>
              <w:rPr>
                <w:rFonts w:hint="eastAsia"/>
                <w:color w:val="auto"/>
                <w:highlight w:val="none"/>
              </w:rPr>
              <w:t>。</w:t>
            </w:r>
          </w:p>
        </w:tc>
      </w:tr>
      <w:tr w14:paraId="099EC199">
        <w:tblPrEx>
          <w:tblCellMar>
            <w:top w:w="0" w:type="dxa"/>
            <w:left w:w="108" w:type="dxa"/>
            <w:bottom w:w="0" w:type="dxa"/>
            <w:right w:w="108" w:type="dxa"/>
          </w:tblCellMar>
        </w:tblPrEx>
        <w:trPr>
          <w:trHeight w:val="570" w:hRule="atLeast"/>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514E0CB8">
            <w:pPr>
              <w:pStyle w:val="21"/>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highlight w:val="none"/>
              </w:rPr>
            </w:pPr>
            <w:r>
              <w:rPr>
                <w:rFonts w:hint="eastAsia"/>
                <w:color w:val="auto"/>
                <w:highlight w:val="none"/>
              </w:rPr>
              <w:t>3</w:t>
            </w:r>
          </w:p>
        </w:tc>
        <w:tc>
          <w:tcPr>
            <w:tcW w:w="8855" w:type="dxa"/>
            <w:tcBorders>
              <w:top w:val="single" w:color="000000" w:sz="4" w:space="0"/>
              <w:left w:val="single" w:color="000000" w:sz="4" w:space="0"/>
              <w:bottom w:val="single" w:color="000000" w:sz="4" w:space="0"/>
              <w:right w:val="single" w:color="000000" w:sz="4" w:space="0"/>
            </w:tcBorders>
            <w:noWrap w:val="0"/>
            <w:vAlign w:val="center"/>
          </w:tcPr>
          <w:p w14:paraId="1009148E">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Cs w:val="21"/>
                <w:highlight w:val="none"/>
              </w:rPr>
            </w:pPr>
            <w:r>
              <w:rPr>
                <w:rFonts w:hint="eastAsia"/>
                <w:color w:val="auto"/>
                <w:highlight w:val="none"/>
              </w:rPr>
              <w:t>报价：</w:t>
            </w:r>
            <w:r>
              <w:rPr>
                <w:rFonts w:hint="eastAsia" w:ascii="宋体" w:hAnsi="宋体"/>
                <w:color w:val="auto"/>
                <w:highlight w:val="none"/>
              </w:rPr>
              <w:t>竞标人可就《采购需求》中的</w:t>
            </w:r>
            <w:r>
              <w:rPr>
                <w:rFonts w:hint="eastAsia" w:ascii="宋体" w:hAnsi="宋体"/>
                <w:b/>
                <w:bCs/>
                <w:color w:val="auto"/>
                <w:highlight w:val="none"/>
              </w:rPr>
              <w:t>货物和服务内容做完整唯一报价</w:t>
            </w:r>
            <w:r>
              <w:rPr>
                <w:rFonts w:hint="eastAsia" w:ascii="宋体" w:hAnsi="宋体"/>
                <w:color w:val="auto"/>
                <w:highlight w:val="none"/>
              </w:rPr>
              <w:t>。</w:t>
            </w:r>
          </w:p>
        </w:tc>
      </w:tr>
      <w:tr w14:paraId="6C7E18C9">
        <w:tblPrEx>
          <w:tblCellMar>
            <w:top w:w="0" w:type="dxa"/>
            <w:left w:w="108" w:type="dxa"/>
            <w:bottom w:w="0" w:type="dxa"/>
            <w:right w:w="108" w:type="dxa"/>
          </w:tblCellMar>
        </w:tblPrEx>
        <w:trPr>
          <w:trHeight w:val="678" w:hRule="atLeast"/>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7BAFE0DB">
            <w:pPr>
              <w:pStyle w:val="21"/>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highlight w:val="none"/>
              </w:rPr>
            </w:pPr>
            <w:r>
              <w:rPr>
                <w:rFonts w:hint="eastAsia"/>
                <w:color w:val="auto"/>
                <w:highlight w:val="none"/>
              </w:rPr>
              <w:t>4</w:t>
            </w:r>
          </w:p>
        </w:tc>
        <w:tc>
          <w:tcPr>
            <w:tcW w:w="8855" w:type="dxa"/>
            <w:tcBorders>
              <w:top w:val="single" w:color="000000" w:sz="4" w:space="0"/>
              <w:left w:val="single" w:color="000000" w:sz="4" w:space="0"/>
              <w:bottom w:val="single" w:color="000000" w:sz="4" w:space="0"/>
              <w:right w:val="single" w:color="000000" w:sz="4" w:space="0"/>
            </w:tcBorders>
            <w:noWrap w:val="0"/>
            <w:vAlign w:val="center"/>
          </w:tcPr>
          <w:p w14:paraId="691414FB">
            <w:pPr>
              <w:pStyle w:val="8"/>
              <w:keepNext w:val="0"/>
              <w:keepLines w:val="0"/>
              <w:pageBreakBefore w:val="0"/>
              <w:widowControl w:val="0"/>
              <w:kinsoku/>
              <w:wordWrap/>
              <w:overflowPunct/>
              <w:topLinePunct w:val="0"/>
              <w:autoSpaceDE/>
              <w:autoSpaceDN/>
              <w:bidi w:val="0"/>
              <w:adjustRightInd/>
              <w:snapToGrid/>
              <w:spacing w:line="320" w:lineRule="exact"/>
              <w:textAlignment w:val="auto"/>
              <w:rPr>
                <w:color w:val="auto"/>
                <w:highlight w:val="none"/>
              </w:rPr>
            </w:pPr>
            <w:r>
              <w:rPr>
                <w:rFonts w:hint="eastAsia"/>
                <w:color w:val="auto"/>
                <w:highlight w:val="none"/>
              </w:rPr>
              <w:t>响应文件的上传和提交：本项目通过“</w:t>
            </w:r>
            <w:r>
              <w:rPr>
                <w:rFonts w:hint="eastAsia"/>
                <w:color w:val="auto"/>
                <w:highlight w:val="none"/>
                <w:lang w:eastAsia="zh-CN"/>
              </w:rPr>
              <w:t>广西政府采购云平台</w:t>
            </w:r>
            <w:r>
              <w:rPr>
                <w:rFonts w:hint="eastAsia"/>
                <w:color w:val="auto"/>
                <w:highlight w:val="none"/>
              </w:rPr>
              <w:t>（http://www.</w:t>
            </w:r>
            <w:r>
              <w:rPr>
                <w:rFonts w:hint="eastAsia"/>
                <w:color w:val="auto"/>
                <w:highlight w:val="none"/>
                <w:lang w:val="en-US" w:eastAsia="zh-CN"/>
              </w:rPr>
              <w:t>gcy</w:t>
            </w:r>
            <w:r>
              <w:rPr>
                <w:rFonts w:hint="eastAsia"/>
                <w:color w:val="auto"/>
                <w:highlight w:val="none"/>
              </w:rPr>
              <w:t>.</w:t>
            </w:r>
            <w:r>
              <w:rPr>
                <w:rFonts w:hint="eastAsia"/>
                <w:color w:val="auto"/>
                <w:highlight w:val="none"/>
                <w:lang w:val="en"/>
              </w:rPr>
              <w:t>zfcg.gxzf.gov.</w:t>
            </w:r>
            <w:r>
              <w:rPr>
                <w:rFonts w:hint="eastAsia"/>
                <w:color w:val="auto"/>
                <w:highlight w:val="none"/>
              </w:rPr>
              <w:t>cn</w:t>
            </w:r>
            <w:r>
              <w:rPr>
                <w:rFonts w:hint="eastAsia"/>
                <w:color w:val="auto"/>
                <w:highlight w:val="none"/>
                <w:lang w:val="en"/>
              </w:rPr>
              <w:t>/</w:t>
            </w:r>
            <w:r>
              <w:rPr>
                <w:color w:val="auto"/>
                <w:highlight w:val="none"/>
              </w:rPr>
              <w:t>）”实行在线</w:t>
            </w:r>
            <w:r>
              <w:rPr>
                <w:rFonts w:hint="eastAsia"/>
                <w:color w:val="auto"/>
                <w:highlight w:val="none"/>
              </w:rPr>
              <w:t>竞标</w:t>
            </w:r>
            <w:r>
              <w:rPr>
                <w:color w:val="auto"/>
                <w:highlight w:val="none"/>
              </w:rPr>
              <w:t>响应（电子标），</w:t>
            </w:r>
            <w:r>
              <w:rPr>
                <w:rFonts w:hint="eastAsia"/>
                <w:color w:val="auto"/>
                <w:highlight w:val="none"/>
              </w:rPr>
              <w:t>竞标</w:t>
            </w:r>
            <w:r>
              <w:rPr>
                <w:color w:val="auto"/>
                <w:highlight w:val="none"/>
              </w:rPr>
              <w:t>供应商应当在</w:t>
            </w:r>
            <w:r>
              <w:rPr>
                <w:rFonts w:hint="eastAsia"/>
                <w:b/>
                <w:color w:val="auto"/>
                <w:highlight w:val="none"/>
              </w:rPr>
              <w:t>上传响应文件截止时间</w:t>
            </w:r>
            <w:r>
              <w:rPr>
                <w:color w:val="auto"/>
                <w:highlight w:val="none"/>
              </w:rPr>
              <w:t>前，将生成的“电子加密</w:t>
            </w:r>
            <w:r>
              <w:rPr>
                <w:rFonts w:hint="eastAsia"/>
                <w:color w:val="auto"/>
                <w:highlight w:val="none"/>
              </w:rPr>
              <w:t>响应</w:t>
            </w:r>
            <w:r>
              <w:rPr>
                <w:color w:val="auto"/>
                <w:highlight w:val="none"/>
              </w:rPr>
              <w:t>文件”上传</w:t>
            </w:r>
            <w:r>
              <w:rPr>
                <w:rFonts w:hint="eastAsia"/>
                <w:color w:val="auto"/>
                <w:highlight w:val="none"/>
              </w:rPr>
              <w:t>提交</w:t>
            </w:r>
            <w:r>
              <w:rPr>
                <w:color w:val="auto"/>
                <w:highlight w:val="none"/>
              </w:rPr>
              <w:t>至“</w:t>
            </w:r>
            <w:r>
              <w:rPr>
                <w:rFonts w:hint="eastAsia"/>
                <w:color w:val="auto"/>
                <w:highlight w:val="none"/>
                <w:lang w:eastAsia="zh-CN"/>
              </w:rPr>
              <w:t>广西政府采购云平台</w:t>
            </w:r>
            <w:r>
              <w:rPr>
                <w:color w:val="auto"/>
                <w:highlight w:val="none"/>
              </w:rPr>
              <w:t>”。</w:t>
            </w:r>
          </w:p>
          <w:p w14:paraId="62F7E45F">
            <w:pPr>
              <w:pStyle w:val="8"/>
              <w:keepNext w:val="0"/>
              <w:keepLines w:val="0"/>
              <w:pageBreakBefore w:val="0"/>
              <w:widowControl w:val="0"/>
              <w:kinsoku/>
              <w:wordWrap/>
              <w:overflowPunct/>
              <w:topLinePunct w:val="0"/>
              <w:autoSpaceDE/>
              <w:autoSpaceDN/>
              <w:bidi w:val="0"/>
              <w:adjustRightInd/>
              <w:snapToGrid/>
              <w:spacing w:line="320" w:lineRule="exact"/>
              <w:textAlignment w:val="auto"/>
              <w:rPr>
                <w:color w:val="auto"/>
                <w:highlight w:val="none"/>
              </w:rPr>
            </w:pPr>
            <w:r>
              <w:rPr>
                <w:rFonts w:hint="eastAsia"/>
                <w:color w:val="auto"/>
                <w:highlight w:val="none"/>
              </w:rPr>
              <w:t>“电子加密响应文件”的上传、提交：</w:t>
            </w:r>
          </w:p>
          <w:p w14:paraId="27A162A2">
            <w:pPr>
              <w:pStyle w:val="8"/>
              <w:keepNext w:val="0"/>
              <w:keepLines w:val="0"/>
              <w:pageBreakBefore w:val="0"/>
              <w:widowControl w:val="0"/>
              <w:kinsoku/>
              <w:wordWrap/>
              <w:overflowPunct/>
              <w:topLinePunct w:val="0"/>
              <w:autoSpaceDE/>
              <w:autoSpaceDN/>
              <w:bidi w:val="0"/>
              <w:adjustRightInd/>
              <w:snapToGrid/>
              <w:spacing w:line="320" w:lineRule="exact"/>
              <w:textAlignment w:val="auto"/>
              <w:rPr>
                <w:color w:val="auto"/>
                <w:highlight w:val="none"/>
              </w:rPr>
            </w:pPr>
            <w:r>
              <w:rPr>
                <w:rFonts w:hint="eastAsia"/>
                <w:color w:val="auto"/>
                <w:highlight w:val="none"/>
              </w:rPr>
              <w:t>a.谈判供应商应在</w:t>
            </w:r>
            <w:r>
              <w:rPr>
                <w:rFonts w:hint="eastAsia"/>
                <w:b/>
                <w:color w:val="auto"/>
                <w:highlight w:val="none"/>
              </w:rPr>
              <w:t>上传响应文件截止时间</w:t>
            </w:r>
            <w:r>
              <w:rPr>
                <w:rFonts w:hint="eastAsia"/>
                <w:color w:val="auto"/>
                <w:highlight w:val="none"/>
              </w:rPr>
              <w:t>前将“电子加密响应文件”成功上传提交至“</w:t>
            </w:r>
            <w:r>
              <w:rPr>
                <w:rFonts w:hint="eastAsia"/>
                <w:color w:val="auto"/>
                <w:highlight w:val="none"/>
                <w:lang w:eastAsia="zh-CN"/>
              </w:rPr>
              <w:t>广西政府采购云平台</w:t>
            </w:r>
            <w:r>
              <w:rPr>
                <w:rFonts w:hint="eastAsia"/>
                <w:color w:val="auto"/>
                <w:highlight w:val="none"/>
              </w:rPr>
              <w:t>”，否则谈判无效。</w:t>
            </w:r>
          </w:p>
          <w:p w14:paraId="5377D708">
            <w:pPr>
              <w:pStyle w:val="8"/>
              <w:keepNext w:val="0"/>
              <w:keepLines w:val="0"/>
              <w:pageBreakBefore w:val="0"/>
              <w:widowControl w:val="0"/>
              <w:kinsoku/>
              <w:wordWrap/>
              <w:overflowPunct/>
              <w:topLinePunct w:val="0"/>
              <w:autoSpaceDE/>
              <w:autoSpaceDN/>
              <w:bidi w:val="0"/>
              <w:adjustRightInd/>
              <w:snapToGrid/>
              <w:spacing w:line="320" w:lineRule="exact"/>
              <w:textAlignment w:val="auto"/>
              <w:rPr>
                <w:color w:val="auto"/>
                <w:highlight w:val="none"/>
              </w:rPr>
            </w:pPr>
            <w:r>
              <w:rPr>
                <w:rFonts w:hint="eastAsia"/>
                <w:color w:val="auto"/>
                <w:highlight w:val="none"/>
              </w:rPr>
              <w:t>b.“电子加密谈判响应文件”成功上传提交后，供应商可自行打印响应文件接收回执。</w:t>
            </w:r>
          </w:p>
        </w:tc>
      </w:tr>
      <w:tr w14:paraId="72072851">
        <w:tblPrEx>
          <w:tblCellMar>
            <w:top w:w="0" w:type="dxa"/>
            <w:left w:w="108" w:type="dxa"/>
            <w:bottom w:w="0" w:type="dxa"/>
            <w:right w:w="108" w:type="dxa"/>
          </w:tblCellMar>
        </w:tblPrEx>
        <w:trPr>
          <w:trHeight w:val="511" w:hRule="atLeast"/>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4FE4A72D">
            <w:pPr>
              <w:pStyle w:val="21"/>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highlight w:val="none"/>
              </w:rPr>
            </w:pPr>
            <w:r>
              <w:rPr>
                <w:rFonts w:hint="eastAsia"/>
                <w:color w:val="auto"/>
                <w:highlight w:val="none"/>
              </w:rPr>
              <w:t>5</w:t>
            </w:r>
          </w:p>
        </w:tc>
        <w:tc>
          <w:tcPr>
            <w:tcW w:w="8855" w:type="dxa"/>
            <w:tcBorders>
              <w:top w:val="single" w:color="000000" w:sz="4" w:space="0"/>
              <w:left w:val="single" w:color="000000" w:sz="4" w:space="0"/>
              <w:bottom w:val="single" w:color="000000" w:sz="4" w:space="0"/>
              <w:right w:val="single" w:color="000000" w:sz="4" w:space="0"/>
            </w:tcBorders>
            <w:noWrap w:val="0"/>
            <w:vAlign w:val="center"/>
          </w:tcPr>
          <w:p w14:paraId="35F2470D">
            <w:pPr>
              <w:pStyle w:val="8"/>
              <w:keepNext w:val="0"/>
              <w:keepLines w:val="0"/>
              <w:pageBreakBefore w:val="0"/>
              <w:widowControl w:val="0"/>
              <w:kinsoku/>
              <w:wordWrap/>
              <w:overflowPunct/>
              <w:topLinePunct w:val="0"/>
              <w:autoSpaceDE/>
              <w:autoSpaceDN/>
              <w:bidi w:val="0"/>
              <w:adjustRightInd/>
              <w:snapToGrid/>
              <w:spacing w:line="320" w:lineRule="exact"/>
              <w:textAlignment w:val="auto"/>
              <w:rPr>
                <w:color w:val="auto"/>
                <w:highlight w:val="none"/>
              </w:rPr>
            </w:pPr>
            <w:r>
              <w:rPr>
                <w:rFonts w:hint="eastAsia"/>
                <w:color w:val="auto"/>
                <w:highlight w:val="none"/>
              </w:rPr>
              <w:t>提交响应文件截止时间：见竞争性谈判公告。</w:t>
            </w:r>
          </w:p>
        </w:tc>
      </w:tr>
      <w:tr w14:paraId="392CFBC5">
        <w:tblPrEx>
          <w:tblCellMar>
            <w:top w:w="0" w:type="dxa"/>
            <w:left w:w="108" w:type="dxa"/>
            <w:bottom w:w="0" w:type="dxa"/>
            <w:right w:w="108" w:type="dxa"/>
          </w:tblCellMar>
        </w:tblPrEx>
        <w:trPr>
          <w:trHeight w:val="492" w:hRule="atLeast"/>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37C73628">
            <w:pPr>
              <w:pStyle w:val="21"/>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highlight w:val="none"/>
              </w:rPr>
            </w:pPr>
            <w:r>
              <w:rPr>
                <w:rFonts w:hint="eastAsia"/>
                <w:color w:val="auto"/>
                <w:highlight w:val="none"/>
              </w:rPr>
              <w:t>6</w:t>
            </w:r>
          </w:p>
        </w:tc>
        <w:tc>
          <w:tcPr>
            <w:tcW w:w="8855" w:type="dxa"/>
            <w:tcBorders>
              <w:top w:val="single" w:color="000000" w:sz="4" w:space="0"/>
              <w:left w:val="single" w:color="000000" w:sz="4" w:space="0"/>
              <w:bottom w:val="single" w:color="000000" w:sz="4" w:space="0"/>
              <w:right w:val="single" w:color="000000" w:sz="4" w:space="0"/>
            </w:tcBorders>
            <w:noWrap w:val="0"/>
            <w:vAlign w:val="center"/>
          </w:tcPr>
          <w:p w14:paraId="337ECE40">
            <w:pPr>
              <w:pStyle w:val="21"/>
              <w:keepNext w:val="0"/>
              <w:keepLines w:val="0"/>
              <w:pageBreakBefore w:val="0"/>
              <w:widowControl w:val="0"/>
              <w:kinsoku/>
              <w:wordWrap/>
              <w:overflowPunct/>
              <w:topLinePunct w:val="0"/>
              <w:autoSpaceDE/>
              <w:autoSpaceDN/>
              <w:bidi w:val="0"/>
              <w:adjustRightInd/>
              <w:snapToGrid/>
              <w:spacing w:line="320" w:lineRule="exact"/>
              <w:textAlignment w:val="auto"/>
              <w:rPr>
                <w:color w:val="auto"/>
                <w:highlight w:val="none"/>
              </w:rPr>
            </w:pPr>
            <w:r>
              <w:rPr>
                <w:rFonts w:hint="eastAsia"/>
                <w:color w:val="auto"/>
                <w:highlight w:val="none"/>
              </w:rPr>
              <w:t>响应文件有效期：响应文件提交截止日期后六十日。</w:t>
            </w:r>
          </w:p>
        </w:tc>
      </w:tr>
      <w:tr w14:paraId="0D24DCED">
        <w:tblPrEx>
          <w:tblCellMar>
            <w:top w:w="0" w:type="dxa"/>
            <w:left w:w="108" w:type="dxa"/>
            <w:bottom w:w="0" w:type="dxa"/>
            <w:right w:w="108" w:type="dxa"/>
          </w:tblCellMar>
        </w:tblPrEx>
        <w:trPr>
          <w:trHeight w:val="452" w:hRule="atLeast"/>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51716D5D">
            <w:pPr>
              <w:pStyle w:val="21"/>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highlight w:val="none"/>
              </w:rPr>
            </w:pPr>
            <w:r>
              <w:rPr>
                <w:rFonts w:hint="eastAsia"/>
                <w:color w:val="auto"/>
                <w:highlight w:val="none"/>
              </w:rPr>
              <w:t>7</w:t>
            </w:r>
          </w:p>
        </w:tc>
        <w:tc>
          <w:tcPr>
            <w:tcW w:w="8855" w:type="dxa"/>
            <w:tcBorders>
              <w:top w:val="single" w:color="000000" w:sz="4" w:space="0"/>
              <w:left w:val="single" w:color="000000" w:sz="4" w:space="0"/>
              <w:bottom w:val="single" w:color="000000" w:sz="4" w:space="0"/>
              <w:right w:val="single" w:color="000000" w:sz="4" w:space="0"/>
            </w:tcBorders>
            <w:noWrap w:val="0"/>
            <w:vAlign w:val="center"/>
          </w:tcPr>
          <w:p w14:paraId="0D2A4047">
            <w:pPr>
              <w:pStyle w:val="8"/>
              <w:keepNext w:val="0"/>
              <w:keepLines w:val="0"/>
              <w:pageBreakBefore w:val="0"/>
              <w:widowControl w:val="0"/>
              <w:kinsoku/>
              <w:wordWrap/>
              <w:overflowPunct/>
              <w:topLinePunct w:val="0"/>
              <w:autoSpaceDE/>
              <w:autoSpaceDN/>
              <w:bidi w:val="0"/>
              <w:adjustRightInd/>
              <w:snapToGrid/>
              <w:spacing w:line="320" w:lineRule="exact"/>
              <w:textAlignment w:val="auto"/>
              <w:rPr>
                <w:color w:val="auto"/>
                <w:highlight w:val="none"/>
              </w:rPr>
            </w:pPr>
            <w:r>
              <w:rPr>
                <w:rFonts w:hint="eastAsia"/>
                <w:color w:val="auto"/>
                <w:highlight w:val="none"/>
              </w:rPr>
              <w:t>保证金（人民币）：</w:t>
            </w:r>
            <w:r>
              <w:rPr>
                <w:rFonts w:hint="eastAsia"/>
                <w:color w:val="auto"/>
                <w:highlight w:val="none"/>
                <w:u w:val="single"/>
              </w:rPr>
              <w:t xml:space="preserve">    详见《第一章 竞争性谈判公告》  </w:t>
            </w:r>
          </w:p>
        </w:tc>
      </w:tr>
      <w:tr w14:paraId="2504BC9E">
        <w:tblPrEx>
          <w:tblCellMar>
            <w:top w:w="0" w:type="dxa"/>
            <w:left w:w="108" w:type="dxa"/>
            <w:bottom w:w="0" w:type="dxa"/>
            <w:right w:w="108" w:type="dxa"/>
          </w:tblCellMar>
        </w:tblPrEx>
        <w:trPr>
          <w:trHeight w:val="570" w:hRule="atLeast"/>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5BC6CC6E">
            <w:pPr>
              <w:pStyle w:val="21"/>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highlight w:val="none"/>
              </w:rPr>
            </w:pPr>
            <w:r>
              <w:rPr>
                <w:rFonts w:hint="eastAsia"/>
                <w:color w:val="auto"/>
                <w:highlight w:val="none"/>
              </w:rPr>
              <w:t>8</w:t>
            </w:r>
          </w:p>
        </w:tc>
        <w:tc>
          <w:tcPr>
            <w:tcW w:w="8855" w:type="dxa"/>
            <w:tcBorders>
              <w:top w:val="single" w:color="000000" w:sz="4" w:space="0"/>
              <w:left w:val="single" w:color="000000" w:sz="4" w:space="0"/>
              <w:bottom w:val="single" w:color="000000" w:sz="4" w:space="0"/>
              <w:right w:val="single" w:color="000000" w:sz="4" w:space="0"/>
            </w:tcBorders>
            <w:noWrap w:val="0"/>
            <w:vAlign w:val="center"/>
          </w:tcPr>
          <w:p w14:paraId="4F79F3AF">
            <w:pPr>
              <w:pStyle w:val="21"/>
              <w:keepNext w:val="0"/>
              <w:keepLines w:val="0"/>
              <w:pageBreakBefore w:val="0"/>
              <w:widowControl w:val="0"/>
              <w:kinsoku/>
              <w:wordWrap/>
              <w:overflowPunct/>
              <w:topLinePunct w:val="0"/>
              <w:autoSpaceDE/>
              <w:autoSpaceDN/>
              <w:bidi w:val="0"/>
              <w:adjustRightInd/>
              <w:snapToGrid/>
              <w:spacing w:line="320" w:lineRule="exact"/>
              <w:textAlignment w:val="auto"/>
              <w:rPr>
                <w:b/>
                <w:color w:val="auto"/>
                <w:highlight w:val="none"/>
              </w:rPr>
            </w:pPr>
            <w:r>
              <w:rPr>
                <w:rFonts w:hint="eastAsia"/>
                <w:b/>
                <w:color w:val="auto"/>
                <w:highlight w:val="none"/>
              </w:rPr>
              <w:t>谈判时间：</w:t>
            </w:r>
            <w:r>
              <w:rPr>
                <w:rFonts w:ascii="仿宋" w:hAnsi="仿宋" w:cs="宋体"/>
                <w:b/>
                <w:bCs/>
                <w:color w:val="auto"/>
                <w:kern w:val="0"/>
                <w:szCs w:val="21"/>
                <w:highlight w:val="none"/>
                <w:u w:val="none"/>
                <w:lang w:val="en"/>
              </w:rPr>
              <w:t>202</w:t>
            </w:r>
            <w:r>
              <w:rPr>
                <w:rFonts w:hint="eastAsia" w:ascii="仿宋" w:hAnsi="仿宋" w:cs="宋体"/>
                <w:b/>
                <w:bCs/>
                <w:color w:val="auto"/>
                <w:kern w:val="0"/>
                <w:szCs w:val="21"/>
                <w:highlight w:val="none"/>
                <w:u w:val="none"/>
                <w:lang w:val="en-US" w:eastAsia="zh-CN"/>
              </w:rPr>
              <w:t>5</w:t>
            </w:r>
            <w:r>
              <w:rPr>
                <w:rFonts w:ascii="仿宋" w:hAnsi="仿宋" w:cs="宋体"/>
                <w:b/>
                <w:bCs/>
                <w:color w:val="auto"/>
                <w:kern w:val="0"/>
                <w:szCs w:val="21"/>
                <w:highlight w:val="none"/>
                <w:u w:val="none"/>
              </w:rPr>
              <w:t>年</w:t>
            </w:r>
            <w:r>
              <w:rPr>
                <w:rFonts w:hint="eastAsia" w:ascii="仿宋" w:hAnsi="仿宋" w:cs="宋体"/>
                <w:b/>
                <w:bCs/>
                <w:color w:val="auto"/>
                <w:kern w:val="0"/>
                <w:szCs w:val="21"/>
                <w:highlight w:val="none"/>
                <w:u w:val="none"/>
                <w:lang w:val="en-US" w:eastAsia="zh-CN"/>
              </w:rPr>
              <w:t>9</w:t>
            </w:r>
            <w:r>
              <w:rPr>
                <w:rFonts w:ascii="仿宋" w:hAnsi="仿宋" w:cs="宋体"/>
                <w:b/>
                <w:bCs/>
                <w:color w:val="auto"/>
                <w:kern w:val="0"/>
                <w:szCs w:val="21"/>
                <w:highlight w:val="none"/>
                <w:u w:val="none"/>
              </w:rPr>
              <w:t>月</w:t>
            </w:r>
            <w:r>
              <w:rPr>
                <w:rFonts w:hint="eastAsia" w:ascii="仿宋" w:hAnsi="仿宋" w:cs="宋体"/>
                <w:b/>
                <w:bCs/>
                <w:color w:val="auto"/>
                <w:kern w:val="0"/>
                <w:szCs w:val="21"/>
                <w:highlight w:val="none"/>
                <w:u w:val="none"/>
                <w:lang w:val="en-US" w:eastAsia="zh-CN"/>
              </w:rPr>
              <w:t>24</w:t>
            </w:r>
            <w:r>
              <w:rPr>
                <w:rFonts w:ascii="仿宋" w:hAnsi="仿宋" w:cs="宋体"/>
                <w:b/>
                <w:bCs/>
                <w:color w:val="auto"/>
                <w:kern w:val="0"/>
                <w:szCs w:val="21"/>
                <w:highlight w:val="none"/>
                <w:u w:val="none"/>
              </w:rPr>
              <w:t>日</w:t>
            </w:r>
            <w:r>
              <w:rPr>
                <w:rFonts w:hint="eastAsia"/>
                <w:b/>
                <w:color w:val="auto"/>
                <w:highlight w:val="none"/>
                <w:u w:val="none"/>
                <w:lang w:val="en-US" w:eastAsia="zh-CN"/>
              </w:rPr>
              <w:t>10</w:t>
            </w:r>
            <w:r>
              <w:rPr>
                <w:rFonts w:hint="eastAsia"/>
                <w:b/>
                <w:color w:val="auto"/>
                <w:highlight w:val="none"/>
              </w:rPr>
              <w:t>时截标后（如有变更，具体变更时间由广西壮族自治区政府采购中心另行通知）</w:t>
            </w:r>
          </w:p>
          <w:p w14:paraId="5652E0D2">
            <w:pPr>
              <w:pStyle w:val="21"/>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highlight w:val="none"/>
              </w:rPr>
            </w:pPr>
            <w:r>
              <w:rPr>
                <w:rFonts w:hint="eastAsia"/>
                <w:b/>
                <w:bCs/>
                <w:color w:val="auto"/>
                <w:highlight w:val="none"/>
              </w:rPr>
              <w:t>谈判地点：南宁市</w:t>
            </w:r>
            <w:r>
              <w:rPr>
                <w:rFonts w:hint="eastAsia"/>
                <w:b/>
                <w:bCs/>
                <w:color w:val="auto"/>
                <w:highlight w:val="none"/>
                <w:lang w:eastAsia="zh-CN"/>
              </w:rPr>
              <w:t>星湖路</w:t>
            </w:r>
            <w:r>
              <w:rPr>
                <w:rFonts w:hint="eastAsia"/>
                <w:b/>
                <w:bCs/>
                <w:color w:val="auto"/>
                <w:highlight w:val="none"/>
                <w:lang w:val="en-US" w:eastAsia="zh-CN"/>
              </w:rPr>
              <w:t>22</w:t>
            </w:r>
            <w:r>
              <w:rPr>
                <w:rFonts w:hint="eastAsia"/>
                <w:b/>
                <w:bCs/>
                <w:color w:val="auto"/>
                <w:highlight w:val="none"/>
              </w:rPr>
              <w:t>号广西壮族自治区政府采购中心开标室</w:t>
            </w:r>
            <w:r>
              <w:rPr>
                <w:rFonts w:hint="eastAsia" w:cs="宋体"/>
                <w:color w:val="auto"/>
                <w:szCs w:val="21"/>
                <w:highlight w:val="none"/>
              </w:rPr>
              <w:t>，广西壮族自治区政府采购中心</w:t>
            </w:r>
            <w:r>
              <w:rPr>
                <w:rFonts w:hint="eastAsia" w:ascii="Calibri Light" w:hAnsi="Calibri Light"/>
                <w:color w:val="auto"/>
                <w:szCs w:val="21"/>
                <w:highlight w:val="none"/>
              </w:rPr>
              <w:t>评标室。</w:t>
            </w:r>
            <w:r>
              <w:rPr>
                <w:rFonts w:hint="eastAsia"/>
                <w:color w:val="auto"/>
                <w:highlight w:val="none"/>
              </w:rPr>
              <w:t>（</w:t>
            </w:r>
            <w:r>
              <w:rPr>
                <w:rFonts w:hint="eastAsia"/>
                <w:color w:val="auto"/>
                <w:sz w:val="22"/>
                <w:highlight w:val="none"/>
              </w:rPr>
              <w:t>本项目采用全流程电子标方式，供应商无须前往谈判地点</w:t>
            </w:r>
            <w:r>
              <w:rPr>
                <w:rFonts w:hint="eastAsia"/>
                <w:color w:val="auto"/>
                <w:highlight w:val="none"/>
              </w:rPr>
              <w:t>）</w:t>
            </w:r>
          </w:p>
        </w:tc>
      </w:tr>
      <w:tr w14:paraId="7A2B1854">
        <w:tblPrEx>
          <w:tblCellMar>
            <w:top w:w="0" w:type="dxa"/>
            <w:left w:w="108" w:type="dxa"/>
            <w:bottom w:w="0" w:type="dxa"/>
            <w:right w:w="108" w:type="dxa"/>
          </w:tblCellMar>
        </w:tblPrEx>
        <w:trPr>
          <w:trHeight w:val="570" w:hRule="atLeast"/>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3759B077">
            <w:pPr>
              <w:pStyle w:val="21"/>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highlight w:val="none"/>
              </w:rPr>
            </w:pPr>
            <w:r>
              <w:rPr>
                <w:rFonts w:hint="eastAsia"/>
                <w:color w:val="auto"/>
                <w:highlight w:val="none"/>
              </w:rPr>
              <w:t>9</w:t>
            </w:r>
          </w:p>
        </w:tc>
        <w:tc>
          <w:tcPr>
            <w:tcW w:w="8855" w:type="dxa"/>
            <w:tcBorders>
              <w:top w:val="single" w:color="000000" w:sz="4" w:space="0"/>
              <w:left w:val="single" w:color="000000" w:sz="4" w:space="0"/>
              <w:bottom w:val="single" w:color="000000" w:sz="4" w:space="0"/>
              <w:right w:val="single" w:color="000000" w:sz="4" w:space="0"/>
            </w:tcBorders>
            <w:noWrap w:val="0"/>
            <w:vAlign w:val="center"/>
          </w:tcPr>
          <w:p w14:paraId="4BF39D7B">
            <w:pPr>
              <w:pStyle w:val="21"/>
              <w:keepNext w:val="0"/>
              <w:keepLines w:val="0"/>
              <w:pageBreakBefore w:val="0"/>
              <w:widowControl w:val="0"/>
              <w:kinsoku/>
              <w:wordWrap/>
              <w:overflowPunct/>
              <w:topLinePunct w:val="0"/>
              <w:autoSpaceDE/>
              <w:autoSpaceDN/>
              <w:bidi w:val="0"/>
              <w:adjustRightInd/>
              <w:snapToGrid/>
              <w:spacing w:line="320" w:lineRule="exact"/>
              <w:textAlignment w:val="auto"/>
              <w:rPr>
                <w:color w:val="auto"/>
                <w:highlight w:val="none"/>
              </w:rPr>
            </w:pPr>
            <w:r>
              <w:rPr>
                <w:rFonts w:hint="eastAsia"/>
                <w:color w:val="auto"/>
                <w:highlight w:val="none"/>
              </w:rPr>
              <w:t>评标方法：最低评标价法（详细见第六章）</w:t>
            </w:r>
          </w:p>
        </w:tc>
      </w:tr>
      <w:tr w14:paraId="48F1C1D0">
        <w:tblPrEx>
          <w:tblCellMar>
            <w:top w:w="0" w:type="dxa"/>
            <w:left w:w="108" w:type="dxa"/>
            <w:bottom w:w="0" w:type="dxa"/>
            <w:right w:w="108" w:type="dxa"/>
          </w:tblCellMar>
        </w:tblPrEx>
        <w:trPr>
          <w:trHeight w:val="570" w:hRule="atLeast"/>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3DFA3500">
            <w:pPr>
              <w:pStyle w:val="21"/>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olor w:val="auto"/>
                <w:highlight w:val="none"/>
              </w:rPr>
            </w:pPr>
            <w:r>
              <w:rPr>
                <w:rFonts w:hint="eastAsia"/>
                <w:color w:val="auto"/>
                <w:highlight w:val="none"/>
              </w:rPr>
              <w:t>10</w:t>
            </w:r>
          </w:p>
        </w:tc>
        <w:tc>
          <w:tcPr>
            <w:tcW w:w="8855" w:type="dxa"/>
            <w:tcBorders>
              <w:top w:val="single" w:color="000000" w:sz="4" w:space="0"/>
              <w:left w:val="single" w:color="000000" w:sz="4" w:space="0"/>
              <w:bottom w:val="single" w:color="000000" w:sz="4" w:space="0"/>
              <w:right w:val="single" w:color="000000" w:sz="4" w:space="0"/>
            </w:tcBorders>
            <w:noWrap w:val="0"/>
            <w:vAlign w:val="center"/>
          </w:tcPr>
          <w:p w14:paraId="4EFB9976">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snapToGrid w:val="0"/>
                <w:color w:val="auto"/>
                <w:sz w:val="22"/>
                <w:highlight w:val="none"/>
              </w:rPr>
            </w:pPr>
            <w:r>
              <w:rPr>
                <w:rFonts w:hint="eastAsia" w:ascii="宋体" w:hAnsi="宋体"/>
                <w:color w:val="auto"/>
                <w:highlight w:val="none"/>
              </w:rPr>
              <w:t>响应文件形式：</w:t>
            </w:r>
            <w:r>
              <w:rPr>
                <w:rFonts w:hint="eastAsia" w:ascii="宋体"/>
                <w:snapToGrid w:val="0"/>
                <w:color w:val="auto"/>
                <w:sz w:val="22"/>
                <w:highlight w:val="none"/>
              </w:rPr>
              <w:t>谈判供应商应准备电子响应文件。</w:t>
            </w:r>
          </w:p>
          <w:p w14:paraId="47865339">
            <w:pPr>
              <w:pStyle w:val="21"/>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highlight w:val="none"/>
              </w:rPr>
            </w:pPr>
            <w:r>
              <w:rPr>
                <w:rFonts w:hint="eastAsia"/>
                <w:snapToGrid w:val="0"/>
                <w:color w:val="auto"/>
                <w:sz w:val="22"/>
                <w:highlight w:val="none"/>
              </w:rPr>
              <w:t>电子响应文件是指通过“政采云电子</w:t>
            </w:r>
            <w:r>
              <w:rPr>
                <w:snapToGrid w:val="0"/>
                <w:color w:val="auto"/>
                <w:sz w:val="22"/>
                <w:highlight w:val="none"/>
                <w:lang w:val="en"/>
              </w:rPr>
              <w:t>竞标</w:t>
            </w:r>
            <w:r>
              <w:rPr>
                <w:rFonts w:hint="eastAsia"/>
                <w:snapToGrid w:val="0"/>
                <w:color w:val="auto"/>
                <w:sz w:val="22"/>
                <w:highlight w:val="none"/>
              </w:rPr>
              <w:t>客户端”完成响应文件编制后生成并加密的数据电文形式的电子加密响应文件。</w:t>
            </w:r>
          </w:p>
        </w:tc>
      </w:tr>
      <w:tr w14:paraId="1F0D1764">
        <w:tblPrEx>
          <w:tblCellMar>
            <w:top w:w="0" w:type="dxa"/>
            <w:left w:w="108" w:type="dxa"/>
            <w:bottom w:w="0" w:type="dxa"/>
            <w:right w:w="108" w:type="dxa"/>
          </w:tblCellMar>
        </w:tblPrEx>
        <w:trPr>
          <w:trHeight w:val="570" w:hRule="atLeast"/>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3E8DA760">
            <w:pPr>
              <w:pStyle w:val="21"/>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olor w:val="auto"/>
                <w:highlight w:val="none"/>
              </w:rPr>
            </w:pPr>
            <w:r>
              <w:rPr>
                <w:rFonts w:hint="eastAsia"/>
                <w:color w:val="auto"/>
                <w:highlight w:val="none"/>
              </w:rPr>
              <w:t>11</w:t>
            </w:r>
          </w:p>
        </w:tc>
        <w:tc>
          <w:tcPr>
            <w:tcW w:w="8855" w:type="dxa"/>
            <w:tcBorders>
              <w:top w:val="single" w:color="000000" w:sz="4" w:space="0"/>
              <w:left w:val="single" w:color="000000" w:sz="4" w:space="0"/>
              <w:bottom w:val="single" w:color="000000" w:sz="4" w:space="0"/>
              <w:right w:val="single" w:color="000000" w:sz="4" w:space="0"/>
            </w:tcBorders>
            <w:noWrap w:val="0"/>
            <w:vAlign w:val="center"/>
          </w:tcPr>
          <w:p w14:paraId="305AF553">
            <w:pPr>
              <w:pStyle w:val="21"/>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highlight w:val="none"/>
              </w:rPr>
            </w:pPr>
            <w:r>
              <w:rPr>
                <w:rFonts w:hint="eastAsia"/>
                <w:snapToGrid w:val="0"/>
                <w:color w:val="auto"/>
                <w:sz w:val="22"/>
                <w:highlight w:val="none"/>
              </w:rPr>
              <w:t>响应文件的编制：供应商应先安装“政采云电子</w:t>
            </w:r>
            <w:r>
              <w:rPr>
                <w:snapToGrid w:val="0"/>
                <w:color w:val="auto"/>
                <w:sz w:val="22"/>
                <w:highlight w:val="none"/>
                <w:lang w:val="en"/>
              </w:rPr>
              <w:t>竞标</w:t>
            </w:r>
            <w:r>
              <w:rPr>
                <w:rFonts w:hint="eastAsia"/>
                <w:snapToGrid w:val="0"/>
                <w:color w:val="auto"/>
                <w:sz w:val="22"/>
                <w:highlight w:val="none"/>
              </w:rPr>
              <w:t>客户端”，并按照本竞争性谈判文件和“</w:t>
            </w:r>
            <w:r>
              <w:rPr>
                <w:rFonts w:hint="eastAsia"/>
                <w:snapToGrid w:val="0"/>
                <w:color w:val="auto"/>
                <w:sz w:val="22"/>
                <w:highlight w:val="none"/>
                <w:lang w:eastAsia="zh-CN"/>
              </w:rPr>
              <w:t>广西政府采购云平台</w:t>
            </w:r>
            <w:r>
              <w:rPr>
                <w:rFonts w:hint="eastAsia"/>
                <w:snapToGrid w:val="0"/>
                <w:color w:val="auto"/>
                <w:sz w:val="22"/>
                <w:highlight w:val="none"/>
              </w:rPr>
              <w:t>”的要求，通过“政采云电子</w:t>
            </w:r>
            <w:r>
              <w:rPr>
                <w:snapToGrid w:val="0"/>
                <w:color w:val="auto"/>
                <w:sz w:val="22"/>
                <w:highlight w:val="none"/>
                <w:lang w:val="en"/>
              </w:rPr>
              <w:t>竞标</w:t>
            </w:r>
            <w:r>
              <w:rPr>
                <w:rFonts w:hint="eastAsia"/>
                <w:snapToGrid w:val="0"/>
                <w:color w:val="auto"/>
                <w:sz w:val="22"/>
                <w:highlight w:val="none"/>
              </w:rPr>
              <w:t>客户端”编制并加密响应文件。</w:t>
            </w:r>
          </w:p>
        </w:tc>
      </w:tr>
      <w:tr w14:paraId="31566477">
        <w:tblPrEx>
          <w:tblCellMar>
            <w:top w:w="0" w:type="dxa"/>
            <w:left w:w="108" w:type="dxa"/>
            <w:bottom w:w="0" w:type="dxa"/>
            <w:right w:w="108" w:type="dxa"/>
          </w:tblCellMar>
        </w:tblPrEx>
        <w:trPr>
          <w:trHeight w:val="570" w:hRule="atLeast"/>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6B88A5A7">
            <w:pPr>
              <w:pStyle w:val="21"/>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olor w:val="auto"/>
                <w:highlight w:val="none"/>
              </w:rPr>
            </w:pPr>
            <w:r>
              <w:rPr>
                <w:rFonts w:hint="eastAsia"/>
                <w:color w:val="auto"/>
                <w:highlight w:val="none"/>
              </w:rPr>
              <w:t>12</w:t>
            </w:r>
          </w:p>
        </w:tc>
        <w:tc>
          <w:tcPr>
            <w:tcW w:w="8855" w:type="dxa"/>
            <w:tcBorders>
              <w:top w:val="single" w:color="000000" w:sz="4" w:space="0"/>
              <w:left w:val="single" w:color="000000" w:sz="4" w:space="0"/>
              <w:bottom w:val="single" w:color="000000" w:sz="4" w:space="0"/>
              <w:right w:val="single" w:color="000000" w:sz="4" w:space="0"/>
            </w:tcBorders>
            <w:noWrap w:val="0"/>
            <w:vAlign w:val="center"/>
          </w:tcPr>
          <w:p w14:paraId="34BE3ED1">
            <w:pPr>
              <w:pStyle w:val="21"/>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highlight w:val="none"/>
              </w:rPr>
            </w:pPr>
            <w:r>
              <w:rPr>
                <w:rFonts w:hint="eastAsia"/>
                <w:snapToGrid w:val="0"/>
                <w:color w:val="auto"/>
                <w:sz w:val="22"/>
                <w:highlight w:val="none"/>
              </w:rPr>
              <w:t>响应文件的盖章：响应文件中所涉及的加盖公章均采用CA电子签章。</w:t>
            </w:r>
          </w:p>
        </w:tc>
      </w:tr>
      <w:tr w14:paraId="12585916">
        <w:tblPrEx>
          <w:tblCellMar>
            <w:top w:w="0" w:type="dxa"/>
            <w:left w:w="108" w:type="dxa"/>
            <w:bottom w:w="0" w:type="dxa"/>
            <w:right w:w="108" w:type="dxa"/>
          </w:tblCellMar>
        </w:tblPrEx>
        <w:trPr>
          <w:trHeight w:val="570" w:hRule="atLeast"/>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0DF58D2C">
            <w:pPr>
              <w:pStyle w:val="21"/>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olor w:val="auto"/>
                <w:highlight w:val="none"/>
              </w:rPr>
            </w:pPr>
            <w:r>
              <w:rPr>
                <w:rFonts w:hint="eastAsia"/>
                <w:color w:val="auto"/>
                <w:highlight w:val="none"/>
              </w:rPr>
              <w:t>13</w:t>
            </w:r>
          </w:p>
        </w:tc>
        <w:tc>
          <w:tcPr>
            <w:tcW w:w="8855" w:type="dxa"/>
            <w:tcBorders>
              <w:top w:val="single" w:color="000000" w:sz="4" w:space="0"/>
              <w:left w:val="single" w:color="000000" w:sz="4" w:space="0"/>
              <w:bottom w:val="single" w:color="000000" w:sz="4" w:space="0"/>
              <w:right w:val="single" w:color="000000" w:sz="4" w:space="0"/>
            </w:tcBorders>
            <w:noWrap w:val="0"/>
            <w:vAlign w:val="center"/>
          </w:tcPr>
          <w:p w14:paraId="52B1A1FC">
            <w:pPr>
              <w:pStyle w:val="21"/>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highlight w:val="none"/>
              </w:rPr>
            </w:pPr>
            <w:r>
              <w:rPr>
                <w:rFonts w:hint="eastAsia"/>
                <w:snapToGrid w:val="0"/>
                <w:color w:val="auto"/>
                <w:sz w:val="22"/>
                <w:highlight w:val="none"/>
              </w:rPr>
              <w:t>法定代表人或其授权代表</w:t>
            </w:r>
            <w:r>
              <w:rPr>
                <w:rFonts w:hint="eastAsia"/>
                <w:snapToGrid w:val="0"/>
                <w:color w:val="auto"/>
                <w:sz w:val="22"/>
                <w:highlight w:val="none"/>
                <w:lang w:eastAsia="zh-CN"/>
              </w:rPr>
              <w:t>签字或签章</w:t>
            </w:r>
            <w:r>
              <w:rPr>
                <w:rFonts w:hint="eastAsia"/>
                <w:snapToGrid w:val="0"/>
                <w:color w:val="auto"/>
                <w:sz w:val="22"/>
                <w:highlight w:val="none"/>
              </w:rPr>
              <w:t>：本竞争性谈判文件所涉及的法定代表人或其授权代表</w:t>
            </w:r>
            <w:r>
              <w:rPr>
                <w:rFonts w:hint="eastAsia"/>
                <w:snapToGrid w:val="0"/>
                <w:color w:val="auto"/>
                <w:sz w:val="22"/>
                <w:highlight w:val="none"/>
                <w:lang w:eastAsia="zh-CN"/>
              </w:rPr>
              <w:t>签字或签章</w:t>
            </w:r>
            <w:r>
              <w:rPr>
                <w:rFonts w:hint="eastAsia"/>
                <w:snapToGrid w:val="0"/>
                <w:color w:val="auto"/>
                <w:sz w:val="22"/>
                <w:highlight w:val="none"/>
              </w:rPr>
              <w:t>的内容，如果谈判供应商没有法定代表人电子签章，涉及到法定代表人或其授权代表</w:t>
            </w:r>
            <w:r>
              <w:rPr>
                <w:rFonts w:hint="eastAsia"/>
                <w:snapToGrid w:val="0"/>
                <w:color w:val="auto"/>
                <w:sz w:val="22"/>
                <w:highlight w:val="none"/>
                <w:lang w:eastAsia="zh-CN"/>
              </w:rPr>
              <w:t>签字或签章</w:t>
            </w:r>
            <w:r>
              <w:rPr>
                <w:rFonts w:hint="eastAsia"/>
                <w:snapToGrid w:val="0"/>
                <w:color w:val="auto"/>
                <w:sz w:val="22"/>
                <w:highlight w:val="none"/>
              </w:rPr>
              <w:t>的内容，谈判供应商可以线下</w:t>
            </w:r>
            <w:r>
              <w:rPr>
                <w:rFonts w:hint="eastAsia"/>
                <w:snapToGrid w:val="0"/>
                <w:color w:val="auto"/>
                <w:sz w:val="22"/>
                <w:highlight w:val="none"/>
                <w:lang w:eastAsia="zh-CN"/>
              </w:rPr>
              <w:t>签字或签章</w:t>
            </w:r>
            <w:r>
              <w:rPr>
                <w:rFonts w:hint="eastAsia"/>
                <w:snapToGrid w:val="0"/>
                <w:color w:val="auto"/>
                <w:sz w:val="22"/>
                <w:highlight w:val="none"/>
              </w:rPr>
              <w:t>后扫描上传。</w:t>
            </w:r>
          </w:p>
        </w:tc>
      </w:tr>
      <w:tr w14:paraId="19AAA2EB">
        <w:tblPrEx>
          <w:tblCellMar>
            <w:top w:w="0" w:type="dxa"/>
            <w:left w:w="108" w:type="dxa"/>
            <w:bottom w:w="0" w:type="dxa"/>
            <w:right w:w="108" w:type="dxa"/>
          </w:tblCellMar>
        </w:tblPrEx>
        <w:trPr>
          <w:trHeight w:val="570" w:hRule="atLeast"/>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4C3CAD6A">
            <w:pPr>
              <w:pStyle w:val="21"/>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olor w:val="auto"/>
                <w:highlight w:val="none"/>
              </w:rPr>
            </w:pPr>
            <w:r>
              <w:rPr>
                <w:rFonts w:hint="eastAsia"/>
                <w:color w:val="auto"/>
                <w:highlight w:val="none"/>
              </w:rPr>
              <w:t>14</w:t>
            </w:r>
          </w:p>
        </w:tc>
        <w:tc>
          <w:tcPr>
            <w:tcW w:w="8855" w:type="dxa"/>
            <w:tcBorders>
              <w:top w:val="single" w:color="000000" w:sz="4" w:space="0"/>
              <w:left w:val="single" w:color="000000" w:sz="4" w:space="0"/>
              <w:bottom w:val="single" w:color="000000" w:sz="4" w:space="0"/>
              <w:right w:val="single" w:color="000000" w:sz="4" w:space="0"/>
            </w:tcBorders>
            <w:noWrap w:val="0"/>
            <w:vAlign w:val="center"/>
          </w:tcPr>
          <w:p w14:paraId="71CF1ADC">
            <w:pPr>
              <w:pStyle w:val="21"/>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highlight w:val="none"/>
              </w:rPr>
            </w:pPr>
            <w:r>
              <w:rPr>
                <w:rFonts w:hint="eastAsia"/>
                <w:snapToGrid w:val="0"/>
                <w:color w:val="auto"/>
                <w:sz w:val="22"/>
                <w:highlight w:val="none"/>
              </w:rPr>
              <w:t>响应文件份数：电子加密响应文件在线上传提交一份。</w:t>
            </w:r>
          </w:p>
        </w:tc>
      </w:tr>
      <w:tr w14:paraId="2229B57C">
        <w:tblPrEx>
          <w:tblCellMar>
            <w:top w:w="0" w:type="dxa"/>
            <w:left w:w="108" w:type="dxa"/>
            <w:bottom w:w="0" w:type="dxa"/>
            <w:right w:w="108" w:type="dxa"/>
          </w:tblCellMar>
        </w:tblPrEx>
        <w:trPr>
          <w:trHeight w:val="570" w:hRule="atLeast"/>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75861CFC">
            <w:pPr>
              <w:pStyle w:val="21"/>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olor w:val="auto"/>
                <w:highlight w:val="none"/>
              </w:rPr>
            </w:pPr>
            <w:r>
              <w:rPr>
                <w:rFonts w:hint="eastAsia"/>
                <w:color w:val="auto"/>
                <w:highlight w:val="none"/>
              </w:rPr>
              <w:t>15</w:t>
            </w:r>
          </w:p>
        </w:tc>
        <w:tc>
          <w:tcPr>
            <w:tcW w:w="8855" w:type="dxa"/>
            <w:tcBorders>
              <w:top w:val="single" w:color="000000" w:sz="4" w:space="0"/>
              <w:left w:val="single" w:color="000000" w:sz="4" w:space="0"/>
              <w:bottom w:val="single" w:color="000000" w:sz="4" w:space="0"/>
              <w:right w:val="single" w:color="000000" w:sz="4" w:space="0"/>
            </w:tcBorders>
            <w:noWrap w:val="0"/>
            <w:vAlign w:val="center"/>
          </w:tcPr>
          <w:p w14:paraId="08AA7A2D">
            <w:pPr>
              <w:pStyle w:val="21"/>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napToGrid w:val="0"/>
                <w:color w:val="auto"/>
                <w:sz w:val="22"/>
                <w:highlight w:val="none"/>
              </w:rPr>
            </w:pPr>
            <w:r>
              <w:rPr>
                <w:rFonts w:hint="eastAsia"/>
                <w:snapToGrid w:val="0"/>
                <w:color w:val="auto"/>
                <w:sz w:val="22"/>
                <w:highlight w:val="none"/>
              </w:rPr>
              <w:t>电子加密响应文件的解密：</w:t>
            </w:r>
          </w:p>
          <w:p w14:paraId="433FE9ED">
            <w:pPr>
              <w:pStyle w:val="21"/>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napToGrid w:val="0"/>
                <w:color w:val="auto"/>
                <w:sz w:val="22"/>
                <w:highlight w:val="none"/>
              </w:rPr>
            </w:pPr>
            <w:r>
              <w:rPr>
                <w:rFonts w:hint="eastAsia"/>
                <w:snapToGrid w:val="0"/>
                <w:color w:val="auto"/>
                <w:sz w:val="22"/>
                <w:highlight w:val="none"/>
              </w:rPr>
              <w:t>谈判响应文件开启后，本中心将向各参与谈判供应商发出“电子加密响应文件”的解密通知，各谈判供应商代表应当在接到解密通知后30分钟内自行完成“电子加密响应文件”的在线解密。</w:t>
            </w:r>
          </w:p>
        </w:tc>
      </w:tr>
      <w:tr w14:paraId="3A26709D">
        <w:tblPrEx>
          <w:tblCellMar>
            <w:top w:w="0" w:type="dxa"/>
            <w:left w:w="108" w:type="dxa"/>
            <w:bottom w:w="0" w:type="dxa"/>
            <w:right w:w="108" w:type="dxa"/>
          </w:tblCellMar>
        </w:tblPrEx>
        <w:trPr>
          <w:trHeight w:val="570" w:hRule="atLeast"/>
        </w:trPr>
        <w:tc>
          <w:tcPr>
            <w:tcW w:w="790" w:type="dxa"/>
            <w:vMerge w:val="restart"/>
            <w:tcBorders>
              <w:top w:val="single" w:color="000000" w:sz="4" w:space="0"/>
              <w:left w:val="single" w:color="000000" w:sz="4" w:space="0"/>
              <w:right w:val="single" w:color="000000" w:sz="4" w:space="0"/>
            </w:tcBorders>
            <w:noWrap w:val="0"/>
            <w:vAlign w:val="center"/>
          </w:tcPr>
          <w:p w14:paraId="011D8388">
            <w:pPr>
              <w:pStyle w:val="21"/>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宋体"/>
                <w:color w:val="auto"/>
                <w:highlight w:val="none"/>
                <w:lang w:val="en-US" w:eastAsia="zh-CN"/>
              </w:rPr>
            </w:pPr>
            <w:r>
              <w:rPr>
                <w:rFonts w:hint="eastAsia"/>
                <w:color w:val="auto"/>
                <w:highlight w:val="none"/>
                <w:lang w:val="en-US" w:eastAsia="zh-CN"/>
              </w:rPr>
              <w:t>16</w:t>
            </w:r>
          </w:p>
        </w:tc>
        <w:tc>
          <w:tcPr>
            <w:tcW w:w="8855" w:type="dxa"/>
            <w:tcBorders>
              <w:top w:val="single" w:color="000000" w:sz="4" w:space="0"/>
              <w:left w:val="single" w:color="000000" w:sz="4" w:space="0"/>
              <w:bottom w:val="single" w:color="000000" w:sz="4" w:space="0"/>
              <w:right w:val="single" w:color="000000" w:sz="4" w:space="0"/>
            </w:tcBorders>
            <w:noWrap w:val="0"/>
            <w:vAlign w:val="center"/>
          </w:tcPr>
          <w:p w14:paraId="3D06844A">
            <w:pPr>
              <w:snapToGrid w:val="0"/>
              <w:spacing w:line="360" w:lineRule="exact"/>
              <w:rPr>
                <w:rFonts w:hint="eastAsia"/>
                <w:snapToGrid w:val="0"/>
                <w:color w:val="auto"/>
                <w:sz w:val="22"/>
                <w:highlight w:val="none"/>
              </w:rPr>
            </w:pPr>
            <w:r>
              <w:rPr>
                <w:rFonts w:hint="eastAsia" w:ascii="宋体" w:hAnsi="宋体" w:cs="Times New Roman"/>
                <w:b/>
                <w:bCs/>
                <w:color w:val="auto"/>
                <w:szCs w:val="21"/>
                <w:highlight w:val="none"/>
                <w:lang w:eastAsia="zh-CN"/>
              </w:rPr>
              <w:t>对竞争性谈判文件、采购过程或者成交结果的质疑由采购人接收或采购代理机构代为接收，由采购人负责答复。</w:t>
            </w:r>
          </w:p>
        </w:tc>
      </w:tr>
      <w:tr w14:paraId="1CA9AB30">
        <w:tblPrEx>
          <w:tblCellMar>
            <w:top w:w="0" w:type="dxa"/>
            <w:left w:w="108" w:type="dxa"/>
            <w:bottom w:w="0" w:type="dxa"/>
            <w:right w:w="108" w:type="dxa"/>
          </w:tblCellMar>
        </w:tblPrEx>
        <w:trPr>
          <w:trHeight w:val="570" w:hRule="atLeast"/>
        </w:trPr>
        <w:tc>
          <w:tcPr>
            <w:tcW w:w="790" w:type="dxa"/>
            <w:vMerge w:val="continue"/>
            <w:tcBorders>
              <w:left w:val="single" w:color="000000" w:sz="4" w:space="0"/>
              <w:right w:val="single" w:color="000000" w:sz="4" w:space="0"/>
            </w:tcBorders>
            <w:noWrap w:val="0"/>
            <w:vAlign w:val="center"/>
          </w:tcPr>
          <w:p w14:paraId="243D5D7D">
            <w:pPr>
              <w:pStyle w:val="21"/>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olor w:val="auto"/>
                <w:highlight w:val="none"/>
                <w:lang w:val="en-US" w:eastAsia="zh-CN"/>
              </w:rPr>
            </w:pPr>
          </w:p>
        </w:tc>
        <w:tc>
          <w:tcPr>
            <w:tcW w:w="8855" w:type="dxa"/>
            <w:tcBorders>
              <w:top w:val="single" w:color="000000" w:sz="4" w:space="0"/>
              <w:left w:val="single" w:color="000000" w:sz="4" w:space="0"/>
              <w:bottom w:val="single" w:color="000000" w:sz="4" w:space="0"/>
              <w:right w:val="single" w:color="000000" w:sz="4" w:space="0"/>
            </w:tcBorders>
            <w:noWrap w:val="0"/>
            <w:vAlign w:val="center"/>
          </w:tcPr>
          <w:p w14:paraId="4F584AA5">
            <w:pPr>
              <w:snapToGrid w:val="0"/>
              <w:spacing w:line="360" w:lineRule="exact"/>
              <w:rPr>
                <w:rFonts w:hint="eastAsia"/>
                <w:snapToGrid w:val="0"/>
                <w:color w:val="auto"/>
                <w:sz w:val="22"/>
                <w:highlight w:val="none"/>
              </w:rPr>
            </w:pPr>
            <w:r>
              <w:rPr>
                <w:rFonts w:hint="eastAsia" w:ascii="宋体" w:hAnsi="宋体"/>
                <w:color w:val="auto"/>
                <w:szCs w:val="21"/>
                <w:highlight w:val="none"/>
                <w:lang w:eastAsia="zh-CN"/>
              </w:rPr>
              <w:t>接收质疑函方式：以书面形式。</w:t>
            </w:r>
          </w:p>
        </w:tc>
      </w:tr>
      <w:tr w14:paraId="1825B225">
        <w:tblPrEx>
          <w:tblCellMar>
            <w:top w:w="0" w:type="dxa"/>
            <w:left w:w="108" w:type="dxa"/>
            <w:bottom w:w="0" w:type="dxa"/>
            <w:right w:w="108" w:type="dxa"/>
          </w:tblCellMar>
        </w:tblPrEx>
        <w:trPr>
          <w:trHeight w:val="570" w:hRule="atLeast"/>
        </w:trPr>
        <w:tc>
          <w:tcPr>
            <w:tcW w:w="790" w:type="dxa"/>
            <w:vMerge w:val="continue"/>
            <w:tcBorders>
              <w:left w:val="single" w:color="000000" w:sz="4" w:space="0"/>
              <w:right w:val="single" w:color="000000" w:sz="4" w:space="0"/>
            </w:tcBorders>
            <w:noWrap w:val="0"/>
            <w:vAlign w:val="center"/>
          </w:tcPr>
          <w:p w14:paraId="3CB9B7E2">
            <w:pPr>
              <w:pStyle w:val="21"/>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olor w:val="auto"/>
                <w:highlight w:val="none"/>
                <w:lang w:val="en-US" w:eastAsia="zh-CN"/>
              </w:rPr>
            </w:pPr>
          </w:p>
        </w:tc>
        <w:tc>
          <w:tcPr>
            <w:tcW w:w="8855" w:type="dxa"/>
            <w:tcBorders>
              <w:top w:val="single" w:color="000000" w:sz="4" w:space="0"/>
              <w:left w:val="single" w:color="000000" w:sz="4" w:space="0"/>
              <w:bottom w:val="single" w:color="000000" w:sz="4" w:space="0"/>
              <w:right w:val="single" w:color="000000" w:sz="4" w:space="0"/>
            </w:tcBorders>
            <w:noWrap w:val="0"/>
            <w:vAlign w:val="center"/>
          </w:tcPr>
          <w:p w14:paraId="10E2211A">
            <w:pPr>
              <w:snapToGrid w:val="0"/>
              <w:spacing w:line="360" w:lineRule="exact"/>
              <w:rPr>
                <w:rFonts w:hint="eastAsia"/>
                <w:color w:val="auto"/>
                <w:highlight w:val="none"/>
                <w:lang w:eastAsia="zh-CN"/>
              </w:rPr>
            </w:pPr>
            <w:r>
              <w:rPr>
                <w:rFonts w:hint="eastAsia"/>
                <w:color w:val="auto"/>
                <w:highlight w:val="none"/>
                <w:lang w:eastAsia="zh-CN"/>
              </w:rPr>
              <w:t>质疑联系部门及联系方式：</w:t>
            </w:r>
          </w:p>
          <w:p w14:paraId="68E814E7">
            <w:pPr>
              <w:numPr>
                <w:ilvl w:val="0"/>
                <w:numId w:val="0"/>
              </w:numPr>
              <w:snapToGrid w:val="0"/>
              <w:spacing w:line="360" w:lineRule="exact"/>
              <w:ind w:leftChars="0"/>
              <w:rPr>
                <w:rFonts w:hint="eastAsia"/>
                <w:color w:val="auto"/>
                <w:highlight w:val="none"/>
                <w:lang w:eastAsia="zh-CN"/>
              </w:rPr>
            </w:pPr>
            <w:r>
              <w:rPr>
                <w:rFonts w:hint="eastAsia"/>
                <w:b w:val="0"/>
                <w:bCs w:val="0"/>
                <w:color w:val="auto"/>
                <w:highlight w:val="none"/>
                <w:lang w:eastAsia="zh-CN"/>
              </w:rPr>
              <w:t>（</w:t>
            </w:r>
            <w:r>
              <w:rPr>
                <w:rFonts w:hint="eastAsia"/>
                <w:b w:val="0"/>
                <w:bCs w:val="0"/>
                <w:color w:val="auto"/>
                <w:highlight w:val="none"/>
                <w:lang w:val="en-US" w:eastAsia="zh-CN"/>
              </w:rPr>
              <w:t>1</w:t>
            </w:r>
            <w:r>
              <w:rPr>
                <w:rFonts w:hint="eastAsia"/>
                <w:b w:val="0"/>
                <w:bCs w:val="0"/>
                <w:color w:val="auto"/>
                <w:highlight w:val="none"/>
                <w:lang w:eastAsia="zh-CN"/>
              </w:rPr>
              <w:t xml:space="preserve">）广西壮族自治区政府采购中心内审科 </w:t>
            </w:r>
            <w:r>
              <w:rPr>
                <w:rFonts w:hint="eastAsia"/>
                <w:color w:val="auto"/>
                <w:highlight w:val="none"/>
                <w:lang w:eastAsia="zh-CN"/>
              </w:rPr>
              <w:t xml:space="preserve">    </w:t>
            </w:r>
          </w:p>
          <w:p w14:paraId="799D87F4">
            <w:pPr>
              <w:numPr>
                <w:ilvl w:val="0"/>
                <w:numId w:val="0"/>
              </w:numPr>
              <w:snapToGrid w:val="0"/>
              <w:spacing w:line="360" w:lineRule="exact"/>
              <w:ind w:leftChars="0" w:firstLine="420" w:firstLineChars="200"/>
              <w:rPr>
                <w:rFonts w:hint="eastAsia"/>
                <w:color w:val="auto"/>
                <w:highlight w:val="none"/>
                <w:lang w:eastAsia="zh-CN"/>
              </w:rPr>
            </w:pPr>
            <w:r>
              <w:rPr>
                <w:rFonts w:hint="eastAsia"/>
                <w:color w:val="auto"/>
                <w:highlight w:val="none"/>
                <w:lang w:eastAsia="zh-CN"/>
              </w:rPr>
              <w:t>电话：0771-8600453</w:t>
            </w:r>
          </w:p>
          <w:p w14:paraId="0A725076">
            <w:pPr>
              <w:numPr>
                <w:ilvl w:val="0"/>
                <w:numId w:val="0"/>
              </w:numPr>
              <w:snapToGrid w:val="0"/>
              <w:spacing w:line="360" w:lineRule="exact"/>
              <w:ind w:leftChars="0" w:firstLine="420" w:firstLineChars="200"/>
              <w:rPr>
                <w:rFonts w:hint="eastAsia"/>
                <w:color w:val="auto"/>
                <w:highlight w:val="none"/>
                <w:lang w:eastAsia="zh-CN"/>
              </w:rPr>
            </w:pPr>
            <w:r>
              <w:rPr>
                <w:rFonts w:hint="eastAsia"/>
                <w:color w:val="auto"/>
                <w:highlight w:val="none"/>
                <w:lang w:eastAsia="zh-CN"/>
              </w:rPr>
              <w:t>地址：广西南宁市星湖路22号</w:t>
            </w:r>
          </w:p>
          <w:p w14:paraId="57E94ED8">
            <w:pPr>
              <w:numPr>
                <w:ilvl w:val="0"/>
                <w:numId w:val="0"/>
              </w:numPr>
              <w:snapToGrid w:val="0"/>
              <w:spacing w:line="360" w:lineRule="exact"/>
              <w:rPr>
                <w:rFonts w:hint="eastAsia"/>
                <w:b/>
                <w:bCs/>
                <w:color w:val="auto"/>
                <w:highlight w:val="none"/>
                <w:lang w:eastAsia="zh-CN"/>
              </w:rPr>
            </w:pPr>
            <w:r>
              <w:rPr>
                <w:rFonts w:hint="eastAsia"/>
                <w:b/>
                <w:bCs/>
                <w:color w:val="auto"/>
                <w:highlight w:val="none"/>
                <w:lang w:eastAsia="zh-CN"/>
              </w:rPr>
              <w:t>（</w:t>
            </w:r>
            <w:r>
              <w:rPr>
                <w:rFonts w:hint="eastAsia"/>
                <w:b/>
                <w:bCs/>
                <w:color w:val="auto"/>
                <w:highlight w:val="none"/>
                <w:lang w:val="en-US" w:eastAsia="zh-CN"/>
              </w:rPr>
              <w:t>2</w:t>
            </w:r>
            <w:r>
              <w:rPr>
                <w:rFonts w:hint="eastAsia"/>
                <w:b/>
                <w:bCs/>
                <w:color w:val="auto"/>
                <w:highlight w:val="none"/>
                <w:lang w:eastAsia="zh-CN"/>
              </w:rPr>
              <w:t>）名   称：广西壮族自治区广西医科大学第二附属医院</w:t>
            </w:r>
            <w:r>
              <w:rPr>
                <w:rFonts w:hint="eastAsia"/>
                <w:b/>
                <w:bCs/>
                <w:color w:val="auto"/>
                <w:highlight w:val="none"/>
                <w:lang w:val="en-US" w:eastAsia="zh-CN"/>
              </w:rPr>
              <w:t xml:space="preserve"> </w:t>
            </w:r>
          </w:p>
          <w:p w14:paraId="02DD3A27">
            <w:pPr>
              <w:numPr>
                <w:ilvl w:val="0"/>
                <w:numId w:val="0"/>
              </w:numPr>
              <w:snapToGrid w:val="0"/>
              <w:spacing w:line="360" w:lineRule="exact"/>
              <w:ind w:left="0" w:leftChars="0" w:firstLine="420" w:firstLineChars="200"/>
              <w:rPr>
                <w:rFonts w:hint="eastAsia"/>
                <w:color w:val="auto"/>
                <w:highlight w:val="none"/>
                <w:lang w:eastAsia="zh-CN"/>
              </w:rPr>
            </w:pPr>
            <w:r>
              <w:rPr>
                <w:rFonts w:hint="eastAsia"/>
                <w:color w:val="auto"/>
                <w:highlight w:val="none"/>
                <w:lang w:eastAsia="zh-CN"/>
              </w:rPr>
              <w:t xml:space="preserve"> 地   址：</w:t>
            </w:r>
            <w:r>
              <w:rPr>
                <w:rFonts w:hint="eastAsia" w:cs="宋体"/>
                <w:b w:val="0"/>
                <w:color w:val="auto"/>
                <w:kern w:val="0"/>
                <w:szCs w:val="21"/>
                <w:highlight w:val="none"/>
              </w:rPr>
              <w:t>广西南宁市大学东路166号</w:t>
            </w:r>
            <w:r>
              <w:rPr>
                <w:rFonts w:hint="eastAsia"/>
                <w:color w:val="auto"/>
                <w:highlight w:val="none"/>
                <w:lang w:val="en-US" w:eastAsia="zh-CN"/>
              </w:rPr>
              <w:t xml:space="preserve"> </w:t>
            </w:r>
          </w:p>
          <w:p w14:paraId="1056ABD5">
            <w:pPr>
              <w:numPr>
                <w:ilvl w:val="0"/>
                <w:numId w:val="0"/>
              </w:numPr>
              <w:snapToGrid w:val="0"/>
              <w:spacing w:line="360" w:lineRule="exact"/>
              <w:ind w:left="0" w:leftChars="0" w:firstLine="420" w:firstLineChars="200"/>
              <w:rPr>
                <w:rFonts w:hint="eastAsia" w:eastAsia="宋体"/>
                <w:color w:val="auto"/>
                <w:highlight w:val="none"/>
                <w:lang w:eastAsia="zh-CN"/>
              </w:rPr>
            </w:pPr>
            <w:r>
              <w:rPr>
                <w:rFonts w:hint="eastAsia"/>
                <w:color w:val="auto"/>
                <w:highlight w:val="none"/>
                <w:lang w:eastAsia="zh-CN"/>
              </w:rPr>
              <w:t> </w:t>
            </w:r>
            <w:r>
              <w:rPr>
                <w:rFonts w:hint="eastAsia"/>
                <w:color w:val="auto"/>
                <w:highlight w:val="none"/>
                <w:lang w:val="en-US" w:eastAsia="zh-CN"/>
              </w:rPr>
              <w:t xml:space="preserve"> </w:t>
            </w:r>
            <w:r>
              <w:rPr>
                <w:rFonts w:hint="eastAsia"/>
                <w:color w:val="auto"/>
                <w:highlight w:val="none"/>
                <w:lang w:eastAsia="zh-CN"/>
              </w:rPr>
              <w:t>项目联系人：</w:t>
            </w:r>
            <w:r>
              <w:rPr>
                <w:rFonts w:hint="eastAsia"/>
                <w:color w:val="auto"/>
                <w:highlight w:val="none"/>
                <w:lang w:val="en-US" w:eastAsia="zh-CN"/>
              </w:rPr>
              <w:t xml:space="preserve"> 蒲炳官</w:t>
            </w:r>
          </w:p>
          <w:p w14:paraId="109D0AC3">
            <w:pPr>
              <w:numPr>
                <w:ilvl w:val="0"/>
                <w:numId w:val="0"/>
              </w:numPr>
              <w:snapToGrid w:val="0"/>
              <w:spacing w:line="360" w:lineRule="exact"/>
              <w:ind w:left="0" w:leftChars="0" w:firstLine="420" w:firstLineChars="200"/>
              <w:rPr>
                <w:rFonts w:hint="eastAsia"/>
                <w:color w:val="auto"/>
                <w:highlight w:val="none"/>
                <w:lang w:eastAsia="zh-CN"/>
              </w:rPr>
            </w:pPr>
            <w:r>
              <w:rPr>
                <w:rFonts w:hint="eastAsia" w:hAnsi="宋体" w:cs="宋体"/>
                <w:b w:val="0"/>
                <w:color w:val="auto"/>
                <w:kern w:val="0"/>
                <w:szCs w:val="21"/>
                <w:highlight w:val="none"/>
                <w:lang w:val="en-US" w:eastAsia="zh-CN"/>
              </w:rPr>
              <w:t xml:space="preserve"> </w:t>
            </w:r>
            <w:r>
              <w:rPr>
                <w:rFonts w:hAnsi="宋体" w:cs="宋体"/>
                <w:b w:val="0"/>
                <w:color w:val="auto"/>
                <w:kern w:val="0"/>
                <w:szCs w:val="21"/>
                <w:highlight w:val="none"/>
              </w:rPr>
              <w:t>项目联系方式：</w:t>
            </w:r>
            <w:r>
              <w:rPr>
                <w:rFonts w:hint="eastAsia" w:ascii="宋体" w:hAnsi="Courier New" w:eastAsia="宋体" w:cs="宋体"/>
                <w:b w:val="0"/>
                <w:color w:val="auto"/>
                <w:kern w:val="0"/>
                <w:sz w:val="21"/>
                <w:szCs w:val="21"/>
                <w:highlight w:val="none"/>
                <w:lang w:val="en-US" w:eastAsia="zh-CN" w:bidi="ar-SA"/>
              </w:rPr>
              <w:t>0771-3373768</w:t>
            </w:r>
            <w:r>
              <w:rPr>
                <w:rFonts w:hint="eastAsia" w:hAnsi="宋体" w:cs="宋体"/>
                <w:b w:val="0"/>
                <w:color w:val="auto"/>
                <w:kern w:val="0"/>
                <w:szCs w:val="21"/>
                <w:highlight w:val="none"/>
                <w:lang w:val="en-US" w:eastAsia="zh-CN"/>
              </w:rPr>
              <w:t xml:space="preserve"> </w:t>
            </w:r>
          </w:p>
        </w:tc>
      </w:tr>
      <w:tr w14:paraId="0CE1E899">
        <w:tblPrEx>
          <w:tblCellMar>
            <w:top w:w="0" w:type="dxa"/>
            <w:left w:w="108" w:type="dxa"/>
            <w:bottom w:w="0" w:type="dxa"/>
            <w:right w:w="108" w:type="dxa"/>
          </w:tblCellMar>
        </w:tblPrEx>
        <w:trPr>
          <w:trHeight w:val="570" w:hRule="atLeast"/>
        </w:trPr>
        <w:tc>
          <w:tcPr>
            <w:tcW w:w="790" w:type="dxa"/>
            <w:vMerge w:val="continue"/>
            <w:tcBorders>
              <w:left w:val="single" w:color="000000" w:sz="4" w:space="0"/>
              <w:bottom w:val="single" w:color="000000" w:sz="4" w:space="0"/>
              <w:right w:val="single" w:color="000000" w:sz="4" w:space="0"/>
            </w:tcBorders>
            <w:noWrap w:val="0"/>
            <w:vAlign w:val="center"/>
          </w:tcPr>
          <w:p w14:paraId="748EFCC4">
            <w:pPr>
              <w:pStyle w:val="21"/>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olor w:val="auto"/>
                <w:highlight w:val="none"/>
                <w:lang w:val="en-US" w:eastAsia="zh-CN"/>
              </w:rPr>
            </w:pPr>
          </w:p>
        </w:tc>
        <w:tc>
          <w:tcPr>
            <w:tcW w:w="8855" w:type="dxa"/>
            <w:tcBorders>
              <w:top w:val="single" w:color="000000" w:sz="4" w:space="0"/>
              <w:left w:val="single" w:color="000000" w:sz="4" w:space="0"/>
              <w:bottom w:val="single" w:color="000000" w:sz="4" w:space="0"/>
              <w:right w:val="single" w:color="000000" w:sz="4" w:space="0"/>
            </w:tcBorders>
            <w:noWrap w:val="0"/>
            <w:vAlign w:val="center"/>
          </w:tcPr>
          <w:p w14:paraId="24A06002">
            <w:pPr>
              <w:snapToGrid w:val="0"/>
              <w:spacing w:line="360" w:lineRule="exact"/>
              <w:rPr>
                <w:rFonts w:hint="eastAsia"/>
                <w:snapToGrid w:val="0"/>
                <w:color w:val="auto"/>
                <w:sz w:val="22"/>
                <w:highlight w:val="none"/>
              </w:rPr>
            </w:pPr>
            <w:r>
              <w:rPr>
                <w:rFonts w:hint="eastAsia" w:ascii="宋体" w:hAnsi="宋体"/>
                <w:color w:val="auto"/>
                <w:szCs w:val="21"/>
                <w:highlight w:val="none"/>
                <w:lang w:eastAsia="zh-CN"/>
              </w:rPr>
              <w:t>现场提交质疑办理业务时间：质疑期内每个工作日采购人或采购代理机构正常工作时间（其中采购代理机构为</w:t>
            </w:r>
            <w:r>
              <w:rPr>
                <w:rFonts w:hint="eastAsia" w:ascii="宋体" w:hAnsi="宋体" w:cs="Times New Roman"/>
                <w:color w:val="auto"/>
                <w:szCs w:val="21"/>
                <w:highlight w:val="none"/>
                <w:lang w:val="en-US" w:eastAsia="zh-CN"/>
              </w:rPr>
              <w:t>9：00-12：00，14：00-17：00）</w:t>
            </w:r>
          </w:p>
        </w:tc>
      </w:tr>
    </w:tbl>
    <w:p w14:paraId="1A556AC5">
      <w:pPr>
        <w:spacing w:line="400" w:lineRule="exact"/>
        <w:jc w:val="center"/>
        <w:rPr>
          <w:rFonts w:ascii="仿宋_GB2312" w:hAnsi="仿宋_GB2312" w:eastAsia="仿宋_GB2312"/>
          <w:b/>
          <w:color w:val="auto"/>
          <w:sz w:val="32"/>
          <w:szCs w:val="32"/>
          <w:highlight w:val="none"/>
        </w:rPr>
      </w:pPr>
    </w:p>
    <w:p w14:paraId="008623EE">
      <w:pPr>
        <w:pageBreakBefore/>
        <w:spacing w:line="600" w:lineRule="exact"/>
        <w:jc w:val="center"/>
        <w:rPr>
          <w:rFonts w:ascii="仿宋_GB2312" w:hAnsi="仿宋_GB2312" w:eastAsia="仿宋_GB2312"/>
          <w:b/>
          <w:color w:val="auto"/>
          <w:sz w:val="32"/>
          <w:szCs w:val="32"/>
          <w:highlight w:val="none"/>
        </w:rPr>
      </w:pPr>
      <w:r>
        <w:rPr>
          <w:rFonts w:hint="eastAsia" w:ascii="仿宋_GB2312" w:hAnsi="仿宋_GB2312" w:eastAsia="仿宋_GB2312"/>
          <w:b/>
          <w:color w:val="auto"/>
          <w:sz w:val="32"/>
          <w:szCs w:val="32"/>
          <w:highlight w:val="none"/>
        </w:rPr>
        <w:t>谈判供应商须知</w:t>
      </w:r>
    </w:p>
    <w:p w14:paraId="68CA1B3C">
      <w:pPr>
        <w:spacing w:line="400" w:lineRule="exact"/>
        <w:rPr>
          <w:rFonts w:ascii="仿宋_GB2312" w:hAnsi="仿宋_GB2312" w:eastAsia="仿宋_GB2312"/>
          <w:color w:val="auto"/>
          <w:szCs w:val="21"/>
          <w:highlight w:val="none"/>
        </w:rPr>
      </w:pPr>
    </w:p>
    <w:p w14:paraId="612B950D">
      <w:pPr>
        <w:spacing w:line="400" w:lineRule="exact"/>
        <w:ind w:firstLine="422"/>
        <w:rPr>
          <w:rFonts w:ascii="宋体" w:hAnsi="宋体"/>
          <w:b/>
          <w:color w:val="auto"/>
          <w:szCs w:val="21"/>
          <w:highlight w:val="none"/>
        </w:rPr>
      </w:pPr>
      <w:r>
        <w:rPr>
          <w:rFonts w:hint="eastAsia" w:ascii="宋体" w:hAnsi="宋体"/>
          <w:b/>
          <w:color w:val="auto"/>
          <w:szCs w:val="21"/>
          <w:highlight w:val="none"/>
        </w:rPr>
        <w:t>一、总　则</w:t>
      </w:r>
    </w:p>
    <w:p w14:paraId="6A426A01">
      <w:pPr>
        <w:spacing w:line="400" w:lineRule="exact"/>
        <w:ind w:firstLine="420"/>
        <w:rPr>
          <w:rFonts w:ascii="宋体" w:hAnsi="宋体"/>
          <w:color w:val="auto"/>
          <w:szCs w:val="21"/>
          <w:highlight w:val="none"/>
        </w:rPr>
      </w:pPr>
      <w:r>
        <w:rPr>
          <w:rFonts w:hint="eastAsia" w:ascii="宋体" w:hAnsi="宋体"/>
          <w:color w:val="auto"/>
          <w:szCs w:val="21"/>
          <w:highlight w:val="none"/>
        </w:rPr>
        <w:t>1. 适用范围</w:t>
      </w:r>
    </w:p>
    <w:p w14:paraId="423A9C28">
      <w:pPr>
        <w:spacing w:line="400" w:lineRule="exact"/>
        <w:ind w:firstLine="420"/>
        <w:rPr>
          <w:rFonts w:hint="default" w:ascii="宋体" w:hAnsi="宋体" w:eastAsia="宋体"/>
          <w:color w:val="auto"/>
          <w:szCs w:val="21"/>
          <w:highlight w:val="none"/>
          <w:lang w:val="en-US" w:eastAsia="zh-CN"/>
        </w:rPr>
      </w:pPr>
      <w:r>
        <w:rPr>
          <w:rFonts w:hint="eastAsia" w:ascii="宋体" w:hAnsi="宋体"/>
          <w:color w:val="auto"/>
          <w:szCs w:val="21"/>
          <w:highlight w:val="none"/>
        </w:rPr>
        <w:t>1.1项目名称：</w:t>
      </w:r>
      <w:r>
        <w:rPr>
          <w:rFonts w:hint="eastAsia" w:ascii="仿宋" w:hAnsi="仿宋" w:cs="宋体"/>
          <w:color w:val="auto"/>
          <w:kern w:val="0"/>
          <w:szCs w:val="21"/>
          <w:highlight w:val="none"/>
          <w:lang w:eastAsia="zh-CN"/>
        </w:rPr>
        <w:t>广西医科大学第二附属医院电梯采购及安装</w:t>
      </w:r>
    </w:p>
    <w:p w14:paraId="14F0DECA">
      <w:pPr>
        <w:spacing w:line="400" w:lineRule="exact"/>
        <w:ind w:firstLine="420"/>
        <w:rPr>
          <w:rFonts w:ascii="宋体" w:hAnsi="宋体"/>
          <w:color w:val="auto"/>
          <w:szCs w:val="21"/>
          <w:highlight w:val="none"/>
        </w:rPr>
      </w:pPr>
      <w:r>
        <w:rPr>
          <w:rFonts w:hint="eastAsia" w:ascii="宋体" w:hAnsi="宋体"/>
          <w:color w:val="auto"/>
          <w:szCs w:val="21"/>
          <w:highlight w:val="none"/>
        </w:rPr>
        <w:t>本文件仅适用于本文件中所叙述的货物类政府采购项目。</w:t>
      </w:r>
    </w:p>
    <w:p w14:paraId="22374300">
      <w:pPr>
        <w:spacing w:line="400" w:lineRule="exact"/>
        <w:ind w:firstLine="420"/>
        <w:rPr>
          <w:rFonts w:ascii="宋体" w:hAnsi="宋体"/>
          <w:color w:val="auto"/>
          <w:szCs w:val="21"/>
          <w:highlight w:val="none"/>
        </w:rPr>
      </w:pPr>
      <w:r>
        <w:rPr>
          <w:rFonts w:hint="eastAsia" w:ascii="宋体" w:hAnsi="宋体"/>
          <w:color w:val="auto"/>
          <w:szCs w:val="21"/>
          <w:highlight w:val="none"/>
        </w:rPr>
        <w:t>2. 定义</w:t>
      </w:r>
    </w:p>
    <w:p w14:paraId="1FCEE629">
      <w:pPr>
        <w:spacing w:line="400" w:lineRule="exact"/>
        <w:ind w:firstLine="420"/>
        <w:rPr>
          <w:rFonts w:hint="default" w:ascii="宋体" w:hAnsi="宋体"/>
          <w:color w:val="auto"/>
          <w:szCs w:val="21"/>
          <w:highlight w:val="none"/>
          <w:lang w:val="en" w:eastAsia="zh-CN"/>
        </w:rPr>
      </w:pPr>
      <w:r>
        <w:rPr>
          <w:rFonts w:hint="eastAsia" w:ascii="宋体" w:hAnsi="宋体"/>
          <w:color w:val="auto"/>
          <w:szCs w:val="21"/>
          <w:highlight w:val="none"/>
        </w:rPr>
        <w:t>2.1“采购人”是指：</w:t>
      </w:r>
      <w:r>
        <w:rPr>
          <w:rFonts w:ascii="Arial" w:hAnsi="Arial" w:cs="Arial"/>
          <w:color w:val="auto"/>
          <w:kern w:val="0"/>
          <w:szCs w:val="21"/>
          <w:highlight w:val="none"/>
        </w:rPr>
        <w:t>广西医科大学第二附属医院</w:t>
      </w:r>
      <w:r>
        <w:rPr>
          <w:rFonts w:hint="eastAsia" w:ascii="宋体" w:hAnsi="宋体"/>
          <w:color w:val="auto"/>
          <w:szCs w:val="21"/>
          <w:highlight w:val="none"/>
          <w:lang w:val="en" w:eastAsia="zh-CN"/>
        </w:rPr>
        <w:t>。</w:t>
      </w:r>
    </w:p>
    <w:p w14:paraId="15355BCA">
      <w:pPr>
        <w:spacing w:line="400" w:lineRule="exact"/>
        <w:ind w:firstLine="420"/>
        <w:rPr>
          <w:rFonts w:ascii="宋体" w:hAnsi="宋体"/>
          <w:color w:val="auto"/>
          <w:szCs w:val="21"/>
          <w:highlight w:val="none"/>
        </w:rPr>
      </w:pPr>
      <w:r>
        <w:rPr>
          <w:rFonts w:hint="eastAsia" w:ascii="宋体" w:hAnsi="宋体"/>
          <w:color w:val="auto"/>
          <w:szCs w:val="21"/>
          <w:highlight w:val="none"/>
        </w:rPr>
        <w:t>2.2“采购代理机构”是指：</w:t>
      </w:r>
      <w:r>
        <w:rPr>
          <w:rFonts w:hint="eastAsia"/>
          <w:color w:val="auto"/>
          <w:highlight w:val="none"/>
        </w:rPr>
        <w:t>广西壮族自治区政府采购中心(以下简称“本中心”)。</w:t>
      </w:r>
    </w:p>
    <w:p w14:paraId="2F018E68">
      <w:pPr>
        <w:spacing w:line="400" w:lineRule="exact"/>
        <w:ind w:firstLine="420"/>
        <w:rPr>
          <w:rFonts w:ascii="宋体" w:hAnsi="宋体"/>
          <w:color w:val="auto"/>
          <w:szCs w:val="21"/>
          <w:highlight w:val="none"/>
        </w:rPr>
      </w:pPr>
      <w:r>
        <w:rPr>
          <w:rFonts w:hint="eastAsia" w:ascii="宋体" w:hAnsi="宋体"/>
          <w:color w:val="auto"/>
          <w:szCs w:val="21"/>
          <w:highlight w:val="none"/>
        </w:rPr>
        <w:t>2.3“谈判供应商”是指响应本文件要求，参加谈判的法人或者其他组织和自然人。如果该供应商在本次谈判中成交,即成为“成交供应商”。</w:t>
      </w:r>
    </w:p>
    <w:p w14:paraId="3FA976FA">
      <w:pPr>
        <w:spacing w:line="400" w:lineRule="exact"/>
        <w:ind w:firstLine="420"/>
        <w:rPr>
          <w:rFonts w:ascii="宋体" w:hAnsi="宋体"/>
          <w:color w:val="auto"/>
          <w:szCs w:val="21"/>
          <w:highlight w:val="none"/>
        </w:rPr>
      </w:pPr>
      <w:r>
        <w:rPr>
          <w:rFonts w:hint="eastAsia" w:ascii="宋体" w:hAnsi="宋体"/>
          <w:color w:val="auto"/>
          <w:szCs w:val="21"/>
          <w:highlight w:val="none"/>
        </w:rPr>
        <w:t>2.4“货物”是指各种形态和种类的物品，包括原材料、燃料、设备、产品等。</w:t>
      </w:r>
    </w:p>
    <w:p w14:paraId="606732EF">
      <w:pPr>
        <w:spacing w:line="400" w:lineRule="exact"/>
        <w:ind w:firstLine="420"/>
        <w:rPr>
          <w:rFonts w:ascii="宋体" w:hAnsi="宋体"/>
          <w:color w:val="auto"/>
          <w:szCs w:val="21"/>
          <w:highlight w:val="none"/>
        </w:rPr>
      </w:pPr>
      <w:r>
        <w:rPr>
          <w:rFonts w:hint="eastAsia" w:ascii="宋体" w:hAnsi="宋体"/>
          <w:color w:val="auto"/>
          <w:szCs w:val="21"/>
          <w:highlight w:val="none"/>
        </w:rPr>
        <w:t>2.5“服务”是指除货物和工程以外的其他政府采购对象。</w:t>
      </w:r>
    </w:p>
    <w:p w14:paraId="2F085D94">
      <w:pPr>
        <w:spacing w:line="400" w:lineRule="exact"/>
        <w:ind w:firstLine="420"/>
        <w:rPr>
          <w:rFonts w:ascii="宋体" w:hAnsi="宋体"/>
          <w:color w:val="auto"/>
          <w:szCs w:val="21"/>
          <w:highlight w:val="none"/>
        </w:rPr>
      </w:pPr>
      <w:r>
        <w:rPr>
          <w:rFonts w:hint="eastAsia" w:ascii="宋体" w:hAnsi="宋体"/>
          <w:color w:val="auto"/>
          <w:szCs w:val="21"/>
          <w:highlight w:val="none"/>
        </w:rPr>
        <w:t>2.6“竞争性谈判响应文件”是指：供应商根据本文件要求，编制包含报价、技术和服务等所有内容的文件。</w:t>
      </w:r>
    </w:p>
    <w:p w14:paraId="52B9DDD2">
      <w:pPr>
        <w:spacing w:line="400" w:lineRule="exact"/>
        <w:ind w:firstLine="422"/>
        <w:rPr>
          <w:rFonts w:ascii="宋体" w:hAnsi="宋体"/>
          <w:b/>
          <w:color w:val="auto"/>
          <w:szCs w:val="21"/>
          <w:highlight w:val="none"/>
          <w:u w:val="single"/>
        </w:rPr>
      </w:pPr>
      <w:r>
        <w:rPr>
          <w:rFonts w:hint="eastAsia" w:ascii="宋体" w:hAnsi="宋体"/>
          <w:b/>
          <w:color w:val="auto"/>
          <w:szCs w:val="21"/>
          <w:highlight w:val="none"/>
        </w:rPr>
        <w:t>3. 谈判供应商资格：</w:t>
      </w:r>
      <w:r>
        <w:rPr>
          <w:rFonts w:hint="eastAsia" w:ascii="宋体" w:hAnsi="宋体"/>
          <w:b/>
          <w:color w:val="auto"/>
          <w:szCs w:val="21"/>
          <w:highlight w:val="none"/>
          <w:u w:val="single"/>
        </w:rPr>
        <w:t xml:space="preserve">   </w:t>
      </w:r>
      <w:r>
        <w:rPr>
          <w:rFonts w:hint="eastAsia"/>
          <w:color w:val="auto"/>
          <w:highlight w:val="none"/>
          <w:u w:val="single"/>
        </w:rPr>
        <w:t>详见《第一章 竞争性谈判公告》  。</w:t>
      </w:r>
    </w:p>
    <w:p w14:paraId="5F14E156">
      <w:pPr>
        <w:spacing w:line="600" w:lineRule="exact"/>
        <w:ind w:firstLine="413"/>
        <w:rPr>
          <w:rFonts w:ascii="宋体" w:hAnsi="宋体"/>
          <w:b/>
          <w:color w:val="auto"/>
          <w:szCs w:val="21"/>
          <w:highlight w:val="none"/>
        </w:rPr>
      </w:pPr>
      <w:r>
        <w:rPr>
          <w:rFonts w:hint="eastAsia" w:ascii="宋体" w:hAnsi="宋体"/>
          <w:b/>
          <w:color w:val="auto"/>
          <w:szCs w:val="21"/>
          <w:highlight w:val="none"/>
        </w:rPr>
        <w:t>4. 谈判费用、竞争性谈判公告、竞争性谈判文件的澄清和修改</w:t>
      </w:r>
    </w:p>
    <w:p w14:paraId="1E06A7BD">
      <w:pPr>
        <w:spacing w:line="400" w:lineRule="exact"/>
        <w:ind w:firstLine="420"/>
        <w:rPr>
          <w:rFonts w:ascii="宋体" w:hAnsi="宋体"/>
          <w:color w:val="auto"/>
          <w:szCs w:val="21"/>
          <w:highlight w:val="none"/>
        </w:rPr>
      </w:pPr>
      <w:r>
        <w:rPr>
          <w:rFonts w:hint="eastAsia" w:ascii="宋体" w:hAnsi="宋体"/>
          <w:color w:val="auto"/>
          <w:szCs w:val="21"/>
          <w:highlight w:val="none"/>
        </w:rPr>
        <w:t>4.1谈判费用：谈判供应商应自行承担所有与编写和提交竞争性谈判响应文件有关的费用，不论谈判结果如何，采购人和</w:t>
      </w:r>
      <w:r>
        <w:rPr>
          <w:rFonts w:hint="eastAsia" w:ascii="宋体" w:hAnsi="宋体"/>
          <w:color w:val="auto"/>
          <w:highlight w:val="none"/>
        </w:rPr>
        <w:t>本中心</w:t>
      </w:r>
      <w:r>
        <w:rPr>
          <w:rFonts w:hint="eastAsia" w:ascii="宋体" w:hAnsi="宋体"/>
          <w:color w:val="auto"/>
          <w:szCs w:val="21"/>
          <w:highlight w:val="none"/>
        </w:rPr>
        <w:t>在任何情况下无义务和责任承担此类费用。</w:t>
      </w:r>
    </w:p>
    <w:p w14:paraId="4E97E4F8">
      <w:pPr>
        <w:pStyle w:val="8"/>
        <w:spacing w:line="440" w:lineRule="exact"/>
        <w:ind w:firstLine="420"/>
        <w:rPr>
          <w:color w:val="auto"/>
          <w:highlight w:val="none"/>
        </w:rPr>
      </w:pPr>
      <w:r>
        <w:rPr>
          <w:rFonts w:hint="eastAsia"/>
          <w:color w:val="auto"/>
          <w:highlight w:val="none"/>
        </w:rPr>
        <w:t>4.2竞争性谈判公告：</w:t>
      </w:r>
      <w:r>
        <w:rPr>
          <w:rFonts w:hint="eastAsia"/>
          <w:color w:val="auto"/>
          <w:highlight w:val="none"/>
          <w:u w:val="single"/>
        </w:rPr>
        <w:t>见中国政府采购网(</w:t>
      </w:r>
      <w:r>
        <w:rPr>
          <w:color w:val="auto"/>
          <w:highlight w:val="none"/>
          <w:u w:val="single"/>
        </w:rPr>
        <w:fldChar w:fldCharType="begin"/>
      </w:r>
      <w:r>
        <w:rPr>
          <w:color w:val="auto"/>
          <w:highlight w:val="none"/>
          <w:u w:val="single"/>
        </w:rPr>
        <w:instrText xml:space="preserve"> HYPERLINK "http://www.ccgp.gov.cn" </w:instrText>
      </w:r>
      <w:r>
        <w:rPr>
          <w:color w:val="auto"/>
          <w:highlight w:val="none"/>
          <w:u w:val="single"/>
        </w:rPr>
        <w:fldChar w:fldCharType="separate"/>
      </w:r>
      <w:r>
        <w:rPr>
          <w:color w:val="auto"/>
          <w:highlight w:val="none"/>
          <w:u w:val="single"/>
        </w:rPr>
        <w:t>www.ccgp.gov.cn</w:t>
      </w:r>
      <w:r>
        <w:rPr>
          <w:color w:val="auto"/>
          <w:highlight w:val="none"/>
        </w:rPr>
        <w:fldChar w:fldCharType="end"/>
      </w:r>
      <w:r>
        <w:rPr>
          <w:rFonts w:hint="eastAsia"/>
          <w:color w:val="auto"/>
          <w:highlight w:val="none"/>
        </w:rPr>
        <w:t>)、广西壮族自治区政府采购网（</w:t>
      </w:r>
      <w:r>
        <w:rPr>
          <w:color w:val="auto"/>
          <w:highlight w:val="none"/>
        </w:rPr>
        <w:t>zfcg.gxzf.gov.cn</w:t>
      </w:r>
      <w:r>
        <w:rPr>
          <w:rFonts w:hint="eastAsia"/>
          <w:color w:val="auto"/>
          <w:highlight w:val="none"/>
        </w:rPr>
        <w:t>）及本中心网站（</w:t>
      </w:r>
      <w:r>
        <w:rPr>
          <w:color w:val="auto"/>
          <w:highlight w:val="none"/>
          <w:lang w:val="en"/>
        </w:rPr>
        <w:t>gxggzy.gxzf.gov.cn</w:t>
      </w:r>
      <w:r>
        <w:rPr>
          <w:rFonts w:hint="eastAsia"/>
          <w:color w:val="auto"/>
          <w:highlight w:val="none"/>
        </w:rPr>
        <w:t>）。</w:t>
      </w:r>
    </w:p>
    <w:p w14:paraId="183370B3">
      <w:pPr>
        <w:spacing w:line="400" w:lineRule="exact"/>
        <w:ind w:firstLine="420"/>
        <w:rPr>
          <w:rFonts w:ascii="宋体" w:hAnsi="宋体"/>
          <w:color w:val="auto"/>
          <w:highlight w:val="none"/>
        </w:rPr>
      </w:pPr>
      <w:r>
        <w:rPr>
          <w:rFonts w:hint="eastAsia" w:ascii="宋体" w:hAnsi="宋体"/>
          <w:color w:val="auto"/>
          <w:szCs w:val="21"/>
          <w:highlight w:val="none"/>
        </w:rPr>
        <w:t>4.3竞争性</w:t>
      </w:r>
      <w:r>
        <w:rPr>
          <w:rFonts w:hint="eastAsia" w:ascii="宋体" w:hAnsi="宋体"/>
          <w:color w:val="auto"/>
          <w:highlight w:val="none"/>
        </w:rPr>
        <w:t>谈判文件的澄清和修改：</w:t>
      </w:r>
    </w:p>
    <w:p w14:paraId="0B3D3723">
      <w:pPr>
        <w:pStyle w:val="8"/>
        <w:spacing w:line="400" w:lineRule="exact"/>
        <w:ind w:firstLine="420"/>
        <w:rPr>
          <w:color w:val="auto"/>
          <w:highlight w:val="none"/>
        </w:rPr>
      </w:pPr>
      <w:r>
        <w:rPr>
          <w:rFonts w:hint="eastAsia"/>
          <w:color w:val="auto"/>
          <w:highlight w:val="none"/>
        </w:rPr>
        <w:t>4.3.1</w:t>
      </w:r>
      <w:r>
        <w:rPr>
          <w:rFonts w:hint="eastAsia"/>
          <w:bCs/>
          <w:color w:val="auto"/>
          <w:highlight w:val="none"/>
        </w:rPr>
        <w:t>谈判供应商应认真审核《采购需求》中的技术参数、配置及要求，如发现表中技术参数、配置有误或要求不合理的，谈判供应商必须在规定的时间前要求澄清，否则，由此产生的后果由谈判供应商负责。</w:t>
      </w:r>
    </w:p>
    <w:p w14:paraId="5454DB5E">
      <w:pPr>
        <w:pStyle w:val="8"/>
        <w:spacing w:line="400" w:lineRule="exact"/>
        <w:ind w:firstLine="420"/>
        <w:rPr>
          <w:color w:val="auto"/>
          <w:highlight w:val="none"/>
        </w:rPr>
      </w:pPr>
      <w:r>
        <w:rPr>
          <w:rFonts w:hint="eastAsia"/>
          <w:color w:val="auto"/>
          <w:highlight w:val="none"/>
        </w:rPr>
        <w:t>4.3.2任何要求澄清竞争性谈判文件的谈判供应商，均应在响应文件提交截止日期</w:t>
      </w:r>
      <w:r>
        <w:rPr>
          <w:rFonts w:hint="eastAsia"/>
          <w:color w:val="auto"/>
          <w:highlight w:val="none"/>
          <w:lang w:val="en-US" w:eastAsia="zh-CN"/>
        </w:rPr>
        <w:t>3</w:t>
      </w:r>
      <w:r>
        <w:rPr>
          <w:rFonts w:hint="eastAsia"/>
          <w:color w:val="auto"/>
          <w:highlight w:val="none"/>
        </w:rPr>
        <w:t>日前的正常工作时间以传真等书面形式通知本中心，同时认定其他澄清方式为无效。本中心将以书面形式予以答复。</w:t>
      </w:r>
    </w:p>
    <w:p w14:paraId="6415C36B">
      <w:pPr>
        <w:pStyle w:val="8"/>
        <w:spacing w:line="440" w:lineRule="exact"/>
        <w:ind w:firstLine="420"/>
        <w:rPr>
          <w:color w:val="auto"/>
          <w:highlight w:val="none"/>
        </w:rPr>
      </w:pPr>
      <w:r>
        <w:rPr>
          <w:rFonts w:hint="eastAsia"/>
          <w:color w:val="auto"/>
          <w:szCs w:val="20"/>
          <w:highlight w:val="none"/>
        </w:rPr>
        <w:t>4.3.3</w:t>
      </w:r>
      <w:r>
        <w:rPr>
          <w:rFonts w:hint="eastAsia"/>
          <w:color w:val="auto"/>
          <w:highlight w:val="none"/>
        </w:rPr>
        <w:t>本中心对已发出的谈判文件进行必要澄清或者修改的，在竞争性谈判文件要求提交竞争性谈判响应文件截止时间</w:t>
      </w:r>
      <w:r>
        <w:rPr>
          <w:rFonts w:hint="eastAsia"/>
          <w:color w:val="auto"/>
          <w:highlight w:val="none"/>
          <w:lang w:val="en-US" w:eastAsia="zh-CN"/>
        </w:rPr>
        <w:t>3</w:t>
      </w:r>
      <w:r>
        <w:rPr>
          <w:rFonts w:hint="eastAsia"/>
          <w:color w:val="auto"/>
          <w:highlight w:val="none"/>
        </w:rPr>
        <w:t>个工作日前（不足</w:t>
      </w:r>
      <w:r>
        <w:rPr>
          <w:rFonts w:hint="eastAsia"/>
          <w:color w:val="auto"/>
          <w:highlight w:val="none"/>
          <w:lang w:val="en-US" w:eastAsia="zh-CN"/>
        </w:rPr>
        <w:t>3</w:t>
      </w:r>
      <w:r>
        <w:rPr>
          <w:rFonts w:hint="eastAsia"/>
          <w:color w:val="auto"/>
          <w:highlight w:val="none"/>
        </w:rPr>
        <w:t>个工作日顺延），在</w:t>
      </w:r>
      <w:r>
        <w:rPr>
          <w:rFonts w:hint="eastAsia"/>
          <w:color w:val="auto"/>
          <w:highlight w:val="none"/>
          <w:u w:val="single"/>
        </w:rPr>
        <w:t>中国政府采购网(</w:t>
      </w:r>
      <w:r>
        <w:rPr>
          <w:color w:val="auto"/>
          <w:highlight w:val="none"/>
          <w:u w:val="single"/>
        </w:rPr>
        <w:t>www.ccgp.gov.cn</w:t>
      </w:r>
      <w:r>
        <w:rPr>
          <w:rFonts w:hint="eastAsia"/>
          <w:color w:val="auto"/>
          <w:highlight w:val="none"/>
          <w:u w:val="single"/>
        </w:rPr>
        <w:t>)、广西壮族自治区政府采购网（</w:t>
      </w:r>
      <w:r>
        <w:rPr>
          <w:color w:val="auto"/>
          <w:highlight w:val="none"/>
          <w:u w:val="single"/>
        </w:rPr>
        <w:t>zfcg.gxzf.gov.cn</w:t>
      </w:r>
      <w:r>
        <w:rPr>
          <w:rFonts w:hint="eastAsia"/>
          <w:color w:val="auto"/>
          <w:highlight w:val="none"/>
          <w:u w:val="single"/>
        </w:rPr>
        <w:t>）及本中心网站（</w:t>
      </w:r>
      <w:r>
        <w:rPr>
          <w:color w:val="auto"/>
          <w:highlight w:val="none"/>
          <w:u w:val="single"/>
          <w:lang w:val="en"/>
        </w:rPr>
        <w:t>gxggzy.gxzf.gov.cn</w:t>
      </w:r>
      <w:r>
        <w:rPr>
          <w:rFonts w:hint="eastAsia"/>
          <w:color w:val="auto"/>
          <w:highlight w:val="none"/>
          <w:u w:val="single"/>
        </w:rPr>
        <w:t>）</w:t>
      </w:r>
      <w:r>
        <w:rPr>
          <w:rFonts w:hint="eastAsia"/>
          <w:color w:val="auto"/>
          <w:highlight w:val="none"/>
        </w:rPr>
        <w:t>上发布更正公告，并以书面形式通知所有竞争性谈判文件收受人。该澄清或者修改的内容为竞争性谈判文件的组成部分。</w:t>
      </w:r>
    </w:p>
    <w:p w14:paraId="2BEB04EC">
      <w:pPr>
        <w:pStyle w:val="8"/>
        <w:spacing w:line="440" w:lineRule="exact"/>
        <w:ind w:firstLine="420"/>
        <w:rPr>
          <w:color w:val="auto"/>
          <w:highlight w:val="none"/>
        </w:rPr>
      </w:pPr>
      <w:r>
        <w:rPr>
          <w:rFonts w:hint="eastAsia"/>
          <w:color w:val="auto"/>
          <w:highlight w:val="none"/>
        </w:rPr>
        <w:t>4.3.4本中心可视具体情况，延长响应文件提交截止时间和开标时间。本中心至少在竞争性谈判文件要求提交竞争性谈判响应文件的截止时间一日前，将变更时间书面通知所有竞争性谈判文件收受人，并在</w:t>
      </w:r>
      <w:r>
        <w:rPr>
          <w:rFonts w:hint="eastAsia"/>
          <w:color w:val="auto"/>
          <w:highlight w:val="none"/>
          <w:u w:val="single"/>
        </w:rPr>
        <w:t>中国政府采购网(</w:t>
      </w:r>
      <w:r>
        <w:rPr>
          <w:color w:val="auto"/>
          <w:highlight w:val="none"/>
          <w:u w:val="single"/>
        </w:rPr>
        <w:t>www.ccgp.gov.cn</w:t>
      </w:r>
      <w:r>
        <w:rPr>
          <w:rFonts w:hint="eastAsia"/>
          <w:color w:val="auto"/>
          <w:highlight w:val="none"/>
          <w:u w:val="single"/>
        </w:rPr>
        <w:t>)、广西壮族自治区政府采购网（</w:t>
      </w:r>
      <w:r>
        <w:rPr>
          <w:color w:val="auto"/>
          <w:highlight w:val="none"/>
          <w:u w:val="single"/>
        </w:rPr>
        <w:t>zfcg.gxzf.gov.cn</w:t>
      </w:r>
      <w:r>
        <w:rPr>
          <w:rFonts w:hint="eastAsia"/>
          <w:color w:val="auto"/>
          <w:highlight w:val="none"/>
          <w:u w:val="single"/>
        </w:rPr>
        <w:t>）及本中心网站（</w:t>
      </w:r>
      <w:r>
        <w:rPr>
          <w:color w:val="auto"/>
          <w:highlight w:val="none"/>
          <w:u w:val="single"/>
          <w:lang w:val="en"/>
        </w:rPr>
        <w:t>gxggzy.gxzf.gov.cn</w:t>
      </w:r>
      <w:r>
        <w:rPr>
          <w:rFonts w:hint="eastAsia"/>
          <w:color w:val="auto"/>
          <w:highlight w:val="none"/>
          <w:u w:val="single"/>
        </w:rPr>
        <w:t>）</w:t>
      </w:r>
      <w:r>
        <w:rPr>
          <w:rFonts w:hint="eastAsia"/>
          <w:color w:val="auto"/>
          <w:highlight w:val="none"/>
        </w:rPr>
        <w:t>上发布变更公告。</w:t>
      </w:r>
    </w:p>
    <w:p w14:paraId="78D828D8">
      <w:pPr>
        <w:spacing w:line="400" w:lineRule="exact"/>
        <w:ind w:firstLine="422"/>
        <w:rPr>
          <w:rFonts w:ascii="宋体" w:hAnsi="宋体"/>
          <w:b/>
          <w:color w:val="auto"/>
          <w:szCs w:val="21"/>
          <w:highlight w:val="none"/>
        </w:rPr>
      </w:pPr>
      <w:r>
        <w:rPr>
          <w:rFonts w:hint="eastAsia" w:ascii="宋体" w:hAnsi="宋体"/>
          <w:b/>
          <w:color w:val="auto"/>
          <w:szCs w:val="21"/>
          <w:highlight w:val="none"/>
        </w:rPr>
        <w:t>二、竞争性谈判响应文件的编制</w:t>
      </w:r>
    </w:p>
    <w:p w14:paraId="0385FEE2">
      <w:pPr>
        <w:spacing w:line="440" w:lineRule="exact"/>
        <w:ind w:firstLine="420" w:firstLineChars="200"/>
        <w:rPr>
          <w:rFonts w:hint="eastAsia" w:ascii="宋体" w:hAnsi="宋体"/>
          <w:color w:val="auto"/>
          <w:highlight w:val="none"/>
        </w:rPr>
      </w:pPr>
      <w:r>
        <w:rPr>
          <w:rFonts w:hint="eastAsia" w:ascii="宋体" w:hAnsi="宋体"/>
          <w:color w:val="auto"/>
          <w:highlight w:val="none"/>
        </w:rPr>
        <w:t>5. 竞争性谈判响应文件编制基本要求</w:t>
      </w:r>
    </w:p>
    <w:p w14:paraId="07871A0C">
      <w:pPr>
        <w:spacing w:line="440" w:lineRule="exact"/>
        <w:ind w:firstLine="420" w:firstLineChars="200"/>
        <w:rPr>
          <w:rFonts w:hint="eastAsia" w:ascii="宋体" w:hAnsi="宋体"/>
          <w:color w:val="auto"/>
          <w:highlight w:val="none"/>
        </w:rPr>
      </w:pPr>
      <w:r>
        <w:rPr>
          <w:rFonts w:hint="eastAsia" w:ascii="宋体" w:hAnsi="宋体"/>
          <w:color w:val="auto"/>
          <w:highlight w:val="none"/>
        </w:rPr>
        <w:t>5.1谈判供应商应按本竞争性谈判文件规定的格式和顺序编制并标注页码，响应文件内容不完整、编排混乱导致响应文件被误读、漏读或者查找不到相关内容的后果由谈判供应商承担。供应商应准确设置评审关联点。未设置或设置错误导致响应文件被误读、漏读或者查找不到相关内容的后果由谈判供应商承担。</w:t>
      </w:r>
    </w:p>
    <w:p w14:paraId="649567AF">
      <w:pPr>
        <w:spacing w:line="440" w:lineRule="exact"/>
        <w:ind w:firstLine="420" w:firstLineChars="200"/>
        <w:rPr>
          <w:rFonts w:hint="eastAsia" w:ascii="宋体" w:hAnsi="宋体"/>
          <w:color w:val="auto"/>
          <w:highlight w:val="none"/>
        </w:rPr>
      </w:pPr>
      <w:r>
        <w:rPr>
          <w:rFonts w:hint="eastAsia" w:ascii="宋体" w:hAnsi="宋体"/>
          <w:color w:val="auto"/>
          <w:highlight w:val="none"/>
        </w:rPr>
        <w:t>5.2响应文件须由竞标供应商在规定位置盖章并由法定代表人或法定代表人的授权委托人签署，谈判供应商应写全称。</w:t>
      </w:r>
    </w:p>
    <w:p w14:paraId="21739E57">
      <w:pPr>
        <w:spacing w:line="440" w:lineRule="exact"/>
        <w:ind w:firstLine="420" w:firstLineChars="200"/>
        <w:rPr>
          <w:rFonts w:hint="eastAsia" w:ascii="宋体" w:hAnsi="宋体"/>
          <w:color w:val="auto"/>
          <w:highlight w:val="none"/>
        </w:rPr>
      </w:pPr>
      <w:r>
        <w:rPr>
          <w:rFonts w:hint="eastAsia" w:ascii="宋体" w:hAnsi="宋体"/>
          <w:color w:val="auto"/>
          <w:highlight w:val="none"/>
        </w:rPr>
        <w:t>5.3响应文件不得涂改，若有修改错漏处，须加盖单位公章或者法定代表人或授权委托人</w:t>
      </w:r>
      <w:r>
        <w:rPr>
          <w:rFonts w:hint="eastAsia" w:ascii="宋体" w:hAnsi="宋体"/>
          <w:color w:val="auto"/>
          <w:highlight w:val="none"/>
          <w:lang w:eastAsia="zh-CN"/>
        </w:rPr>
        <w:t>签字或签章</w:t>
      </w:r>
      <w:r>
        <w:rPr>
          <w:rFonts w:hint="eastAsia" w:ascii="宋体" w:hAnsi="宋体"/>
          <w:color w:val="auto"/>
          <w:highlight w:val="none"/>
        </w:rPr>
        <w:t>。响应文件因扫描不清晰或乱码或表达不清所引起的后果由谈判供应商承担。</w:t>
      </w:r>
    </w:p>
    <w:p w14:paraId="3D5FEA0D">
      <w:pPr>
        <w:spacing w:line="440" w:lineRule="exact"/>
        <w:ind w:firstLine="420" w:firstLineChars="200"/>
        <w:rPr>
          <w:rFonts w:hint="eastAsia" w:ascii="宋体" w:hAnsi="宋体"/>
          <w:color w:val="auto"/>
          <w:highlight w:val="none"/>
        </w:rPr>
      </w:pPr>
      <w:r>
        <w:rPr>
          <w:rFonts w:hint="eastAsia" w:ascii="宋体" w:hAnsi="宋体"/>
          <w:color w:val="auto"/>
          <w:highlight w:val="none"/>
        </w:rPr>
        <w:t>5.4竞争性谈判响应文件的组成：竞争性谈判响应文件应分为价格文件和商务技术文件两个部分组成。</w:t>
      </w:r>
    </w:p>
    <w:p w14:paraId="4A115E1C">
      <w:pPr>
        <w:spacing w:line="400" w:lineRule="exact"/>
        <w:ind w:firstLine="422"/>
        <w:rPr>
          <w:rFonts w:ascii="宋体" w:hAnsi="宋体"/>
          <w:b/>
          <w:color w:val="auto"/>
          <w:szCs w:val="21"/>
          <w:highlight w:val="none"/>
        </w:rPr>
      </w:pPr>
      <w:r>
        <w:rPr>
          <w:rFonts w:hint="eastAsia" w:ascii="宋体" w:hAnsi="宋体"/>
          <w:b/>
          <w:color w:val="auto"/>
          <w:szCs w:val="21"/>
          <w:highlight w:val="none"/>
        </w:rPr>
        <w:t>5.5.1价格文件</w:t>
      </w:r>
    </w:p>
    <w:p w14:paraId="4D51AA6D">
      <w:pPr>
        <w:spacing w:line="400" w:lineRule="exact"/>
        <w:ind w:firstLine="420"/>
        <w:rPr>
          <w:rFonts w:ascii="宋体" w:hAnsi="宋体"/>
          <w:b/>
          <w:bCs/>
          <w:color w:val="auto"/>
          <w:szCs w:val="21"/>
          <w:highlight w:val="none"/>
        </w:rPr>
      </w:pPr>
      <w:r>
        <w:rPr>
          <w:rFonts w:hint="eastAsia" w:ascii="宋体" w:hAnsi="宋体"/>
          <w:b/>
          <w:bCs/>
          <w:color w:val="auto"/>
          <w:szCs w:val="21"/>
          <w:highlight w:val="none"/>
        </w:rPr>
        <w:t>1）报价表；（附件二）[必须提供]</w:t>
      </w:r>
    </w:p>
    <w:p w14:paraId="192F1C56">
      <w:pPr>
        <w:spacing w:line="400" w:lineRule="exact"/>
        <w:ind w:firstLine="422"/>
        <w:rPr>
          <w:rFonts w:ascii="宋体" w:hAnsi="宋体"/>
          <w:color w:val="auto"/>
          <w:szCs w:val="21"/>
          <w:highlight w:val="none"/>
        </w:rPr>
      </w:pPr>
      <w:r>
        <w:rPr>
          <w:rFonts w:hint="eastAsia" w:ascii="宋体" w:hAnsi="宋体"/>
          <w:b/>
          <w:color w:val="auto"/>
          <w:szCs w:val="21"/>
          <w:highlight w:val="none"/>
        </w:rPr>
        <w:t>5.5.2 商务技术文件</w:t>
      </w:r>
      <w:r>
        <w:rPr>
          <w:rFonts w:hint="eastAsia" w:ascii="宋体" w:hAnsi="宋体"/>
          <w:color w:val="auto"/>
          <w:szCs w:val="21"/>
          <w:highlight w:val="none"/>
        </w:rPr>
        <w:t xml:space="preserve">（应该有的必须提供,如未提供,谈判小组有权拒绝其竞争性谈判响应文件） </w:t>
      </w:r>
    </w:p>
    <w:p w14:paraId="60358883">
      <w:pPr>
        <w:spacing w:line="400" w:lineRule="exact"/>
        <w:ind w:firstLine="420"/>
        <w:rPr>
          <w:rFonts w:ascii="宋体" w:hAnsi="宋体"/>
          <w:b/>
          <w:bCs/>
          <w:color w:val="auto"/>
          <w:szCs w:val="21"/>
          <w:highlight w:val="none"/>
        </w:rPr>
      </w:pPr>
      <w:r>
        <w:rPr>
          <w:rFonts w:hint="eastAsia" w:ascii="宋体" w:hAnsi="宋体"/>
          <w:b/>
          <w:bCs/>
          <w:color w:val="auto"/>
          <w:szCs w:val="21"/>
          <w:highlight w:val="none"/>
        </w:rPr>
        <w:t>1）谈判书；（附件一）[必须提供]</w:t>
      </w:r>
    </w:p>
    <w:p w14:paraId="062F2244">
      <w:pPr>
        <w:spacing w:line="400" w:lineRule="exact"/>
        <w:ind w:firstLine="420"/>
        <w:rPr>
          <w:rFonts w:ascii="宋体" w:hAnsi="宋体"/>
          <w:b/>
          <w:bCs/>
          <w:color w:val="auto"/>
          <w:szCs w:val="21"/>
          <w:highlight w:val="none"/>
        </w:rPr>
      </w:pPr>
      <w:r>
        <w:rPr>
          <w:rFonts w:hint="eastAsia" w:ascii="宋体" w:hAnsi="宋体"/>
          <w:b/>
          <w:bCs/>
          <w:color w:val="auto"/>
          <w:szCs w:val="21"/>
          <w:highlight w:val="none"/>
        </w:rPr>
        <w:t>2）商务、技术响应、偏离情况说明表；（附件三）[必须提供]</w:t>
      </w:r>
    </w:p>
    <w:p w14:paraId="3DA5E76B">
      <w:pPr>
        <w:spacing w:line="360" w:lineRule="exact"/>
        <w:ind w:firstLine="412"/>
        <w:jc w:val="left"/>
        <w:rPr>
          <w:rFonts w:ascii="宋体" w:hAnsi="宋体"/>
          <w:color w:val="auto"/>
          <w:szCs w:val="21"/>
          <w:highlight w:val="none"/>
        </w:rPr>
      </w:pPr>
      <w:r>
        <w:rPr>
          <w:rFonts w:hint="eastAsia" w:ascii="宋体" w:hAnsi="宋体"/>
          <w:color w:val="auto"/>
          <w:szCs w:val="21"/>
          <w:highlight w:val="none"/>
        </w:rPr>
        <w:t>3）法定代表人授权委托书原件</w:t>
      </w:r>
      <w:r>
        <w:rPr>
          <w:rFonts w:hint="eastAsia" w:ascii="宋体" w:hAnsi="宋体"/>
          <w:color w:val="auto"/>
          <w:highlight w:val="none"/>
        </w:rPr>
        <w:t>、委托代理人身份证扫描件或其他电子文件；[</w:t>
      </w:r>
      <w:r>
        <w:rPr>
          <w:rFonts w:hint="eastAsia" w:ascii="宋体" w:hAnsi="宋体"/>
          <w:b/>
          <w:color w:val="auto"/>
          <w:highlight w:val="none"/>
        </w:rPr>
        <w:t>委托代理时</w:t>
      </w:r>
      <w:r>
        <w:rPr>
          <w:rFonts w:hint="eastAsia" w:ascii="宋体" w:hAnsi="宋体"/>
          <w:b/>
          <w:bCs/>
          <w:color w:val="auto"/>
          <w:highlight w:val="none"/>
        </w:rPr>
        <w:t>必须提供</w:t>
      </w:r>
      <w:r>
        <w:rPr>
          <w:rFonts w:hint="eastAsia" w:ascii="宋体" w:hAnsi="宋体"/>
          <w:color w:val="auto"/>
          <w:highlight w:val="none"/>
        </w:rPr>
        <w:t>]</w:t>
      </w:r>
      <w:r>
        <w:rPr>
          <w:rFonts w:hint="eastAsia" w:ascii="宋体" w:hAnsi="宋体"/>
          <w:color w:val="auto"/>
          <w:szCs w:val="21"/>
          <w:highlight w:val="none"/>
        </w:rPr>
        <w:t xml:space="preserve">；[附件四]； </w:t>
      </w:r>
    </w:p>
    <w:p w14:paraId="5B31E587">
      <w:pPr>
        <w:spacing w:line="400" w:lineRule="exact"/>
        <w:ind w:firstLine="420"/>
        <w:rPr>
          <w:rFonts w:ascii="宋体" w:hAnsi="宋体"/>
          <w:color w:val="auto"/>
          <w:szCs w:val="21"/>
          <w:highlight w:val="none"/>
        </w:rPr>
      </w:pPr>
      <w:r>
        <w:rPr>
          <w:rFonts w:hint="eastAsia" w:ascii="宋体" w:hAnsi="宋体"/>
          <w:color w:val="auto"/>
          <w:szCs w:val="21"/>
          <w:highlight w:val="none"/>
        </w:rPr>
        <w:t>4）法定代表人身份证</w:t>
      </w:r>
      <w:r>
        <w:rPr>
          <w:rFonts w:hint="eastAsia" w:ascii="宋体" w:hAnsi="宋体"/>
          <w:color w:val="auto"/>
          <w:highlight w:val="none"/>
        </w:rPr>
        <w:t>扫描件或其他电子文件</w:t>
      </w:r>
      <w:r>
        <w:rPr>
          <w:rFonts w:hint="eastAsia" w:ascii="宋体" w:hAnsi="宋体"/>
          <w:b/>
          <w:color w:val="auto"/>
          <w:szCs w:val="21"/>
          <w:highlight w:val="none"/>
        </w:rPr>
        <w:t>；[法定代表人参加谈判时，必须提供]</w:t>
      </w:r>
    </w:p>
    <w:p w14:paraId="132F0111">
      <w:pPr>
        <w:spacing w:line="400" w:lineRule="exact"/>
        <w:ind w:firstLine="420"/>
        <w:rPr>
          <w:rFonts w:ascii="宋体" w:hAnsi="宋体"/>
          <w:color w:val="auto"/>
          <w:szCs w:val="21"/>
          <w:highlight w:val="none"/>
        </w:rPr>
      </w:pPr>
      <w:r>
        <w:rPr>
          <w:rFonts w:hint="eastAsia" w:ascii="宋体" w:hAnsi="宋体"/>
          <w:color w:val="auto"/>
          <w:szCs w:val="21"/>
          <w:highlight w:val="none"/>
        </w:rPr>
        <w:t>5）有效的营业执照等证明文件</w:t>
      </w:r>
      <w:r>
        <w:rPr>
          <w:rFonts w:hint="eastAsia" w:ascii="宋体" w:hAnsi="宋体"/>
          <w:color w:val="auto"/>
          <w:highlight w:val="none"/>
        </w:rPr>
        <w:t>扫描件或其他电子文件</w:t>
      </w:r>
      <w:r>
        <w:rPr>
          <w:rFonts w:hint="eastAsia" w:ascii="宋体" w:hAnsi="宋体"/>
          <w:color w:val="auto"/>
          <w:szCs w:val="21"/>
          <w:highlight w:val="none"/>
        </w:rPr>
        <w:t>；</w:t>
      </w:r>
    </w:p>
    <w:p w14:paraId="42849B38">
      <w:pPr>
        <w:pStyle w:val="8"/>
        <w:spacing w:line="440" w:lineRule="exact"/>
        <w:ind w:firstLine="410"/>
        <w:rPr>
          <w:b w:val="0"/>
          <w:bCs w:val="0"/>
          <w:color w:val="auto"/>
          <w:highlight w:val="none"/>
        </w:rPr>
      </w:pPr>
      <w:r>
        <w:rPr>
          <w:rFonts w:hint="eastAsia"/>
          <w:b w:val="0"/>
          <w:bCs w:val="0"/>
          <w:color w:val="auto"/>
          <w:highlight w:val="none"/>
        </w:rPr>
        <w:t>①谈判供应商有效的“营业执照”等证明文件扫描件或其他电子文件；</w:t>
      </w:r>
      <w:r>
        <w:rPr>
          <w:rFonts w:hint="eastAsia"/>
          <w:b/>
          <w:bCs/>
          <w:color w:val="auto"/>
          <w:highlight w:val="none"/>
        </w:rPr>
        <w:t xml:space="preserve"> [必须提供，原件备查]</w:t>
      </w:r>
      <w:r>
        <w:rPr>
          <w:rFonts w:hint="eastAsia"/>
          <w:b w:val="0"/>
          <w:bCs w:val="0"/>
          <w:color w:val="auto"/>
          <w:highlight w:val="none"/>
        </w:rPr>
        <w:t>；</w:t>
      </w:r>
    </w:p>
    <w:p w14:paraId="05E0F5FA">
      <w:pPr>
        <w:spacing w:line="400" w:lineRule="exact"/>
        <w:ind w:firstLine="420"/>
        <w:rPr>
          <w:rFonts w:ascii="宋体" w:hAnsi="宋体"/>
          <w:color w:val="auto"/>
          <w:szCs w:val="21"/>
          <w:highlight w:val="none"/>
        </w:rPr>
      </w:pPr>
      <w:r>
        <w:rPr>
          <w:rFonts w:hint="eastAsia" w:ascii="宋体" w:hAnsi="宋体"/>
          <w:bCs/>
          <w:color w:val="auto"/>
          <w:highlight w:val="none"/>
        </w:rPr>
        <w:t>②对于有经营资质要求的，</w:t>
      </w:r>
      <w:r>
        <w:rPr>
          <w:rFonts w:hint="eastAsia" w:ascii="宋体" w:hAnsi="宋体"/>
          <w:color w:val="auto"/>
          <w:highlight w:val="none"/>
        </w:rPr>
        <w:t>谈判供应商</w:t>
      </w:r>
      <w:r>
        <w:rPr>
          <w:rFonts w:hint="eastAsia" w:ascii="宋体" w:hAnsi="宋体"/>
          <w:bCs/>
          <w:color w:val="auto"/>
          <w:highlight w:val="none"/>
        </w:rPr>
        <w:t>必须提供有效的经营资质证书副本内页</w:t>
      </w:r>
      <w:r>
        <w:rPr>
          <w:rFonts w:hint="eastAsia" w:ascii="宋体" w:hAnsi="宋体"/>
          <w:color w:val="auto"/>
          <w:highlight w:val="none"/>
        </w:rPr>
        <w:t>扫描件或其他电子文件</w:t>
      </w:r>
      <w:r>
        <w:rPr>
          <w:rFonts w:hint="eastAsia" w:ascii="宋体" w:hAnsi="宋体"/>
          <w:bCs/>
          <w:color w:val="auto"/>
          <w:highlight w:val="none"/>
        </w:rPr>
        <w:t>，要求清晰反映该</w:t>
      </w:r>
      <w:r>
        <w:rPr>
          <w:rFonts w:hint="eastAsia" w:ascii="宋体" w:hAnsi="宋体"/>
          <w:color w:val="auto"/>
          <w:highlight w:val="none"/>
        </w:rPr>
        <w:t>谈判供应商</w:t>
      </w:r>
      <w:r>
        <w:rPr>
          <w:rFonts w:hint="eastAsia" w:ascii="宋体" w:hAnsi="宋体"/>
          <w:bCs/>
          <w:color w:val="auto"/>
          <w:highlight w:val="none"/>
        </w:rPr>
        <w:t>本年度经营资质，同时要加盖单位公章。</w:t>
      </w:r>
      <w:r>
        <w:rPr>
          <w:rFonts w:hint="eastAsia" w:ascii="宋体" w:hAnsi="宋体"/>
          <w:b/>
          <w:color w:val="auto"/>
          <w:szCs w:val="21"/>
          <w:highlight w:val="none"/>
        </w:rPr>
        <w:t>[</w:t>
      </w:r>
      <w:r>
        <w:rPr>
          <w:rFonts w:hint="eastAsia" w:ascii="宋体" w:hAnsi="宋体"/>
          <w:b/>
          <w:color w:val="auto"/>
          <w:szCs w:val="21"/>
          <w:highlight w:val="none"/>
          <w:lang w:eastAsia="zh-CN"/>
        </w:rPr>
        <w:t>如有要求，</w:t>
      </w:r>
      <w:r>
        <w:rPr>
          <w:rFonts w:hint="eastAsia" w:ascii="宋体" w:hAnsi="宋体"/>
          <w:b/>
          <w:color w:val="auto"/>
          <w:highlight w:val="none"/>
        </w:rPr>
        <w:t>必须提供</w:t>
      </w:r>
      <w:r>
        <w:rPr>
          <w:rFonts w:hint="eastAsia" w:ascii="宋体" w:hAnsi="宋体"/>
          <w:b/>
          <w:color w:val="auto"/>
          <w:szCs w:val="21"/>
          <w:highlight w:val="none"/>
        </w:rPr>
        <w:t>]</w:t>
      </w:r>
      <w:r>
        <w:rPr>
          <w:rFonts w:hint="eastAsia" w:ascii="宋体" w:hAnsi="宋体"/>
          <w:b/>
          <w:color w:val="auto"/>
          <w:highlight w:val="none"/>
        </w:rPr>
        <w:t>；</w:t>
      </w:r>
    </w:p>
    <w:p w14:paraId="10A694F5">
      <w:pPr>
        <w:spacing w:line="400" w:lineRule="exact"/>
        <w:ind w:firstLine="420"/>
        <w:rPr>
          <w:rFonts w:ascii="宋体" w:hAnsi="宋体"/>
          <w:b w:val="0"/>
          <w:bCs w:val="0"/>
          <w:color w:val="auto"/>
          <w:szCs w:val="21"/>
          <w:highlight w:val="none"/>
        </w:rPr>
      </w:pPr>
      <w:r>
        <w:rPr>
          <w:rFonts w:hint="eastAsia" w:ascii="宋体" w:hAnsi="宋体"/>
          <w:b w:val="0"/>
          <w:bCs w:val="0"/>
          <w:color w:val="auto"/>
          <w:szCs w:val="21"/>
          <w:highlight w:val="none"/>
        </w:rPr>
        <w:t>6</w:t>
      </w: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rPr>
        <w:t>财务状况报告[</w:t>
      </w:r>
      <w:r>
        <w:rPr>
          <w:rFonts w:hint="eastAsia" w:ascii="宋体" w:hAnsi="宋体"/>
          <w:b/>
          <w:bCs/>
          <w:color w:val="auto"/>
          <w:szCs w:val="21"/>
          <w:highlight w:val="none"/>
        </w:rPr>
        <w:t>格式自拟，必须提供</w:t>
      </w:r>
      <w:r>
        <w:rPr>
          <w:rFonts w:hint="eastAsia" w:ascii="宋体" w:hAnsi="宋体"/>
          <w:b w:val="0"/>
          <w:bCs w:val="0"/>
          <w:color w:val="auto"/>
          <w:szCs w:val="21"/>
          <w:highlight w:val="none"/>
        </w:rPr>
        <w:t>]；</w:t>
      </w:r>
    </w:p>
    <w:p w14:paraId="57809740">
      <w:pPr>
        <w:spacing w:line="360" w:lineRule="exact"/>
        <w:ind w:firstLine="412"/>
        <w:jc w:val="left"/>
        <w:rPr>
          <w:rFonts w:ascii="宋体" w:hAnsi="宋体"/>
          <w:b w:val="0"/>
          <w:bCs w:val="0"/>
          <w:color w:val="auto"/>
          <w:szCs w:val="21"/>
          <w:highlight w:val="none"/>
        </w:rPr>
      </w:pPr>
      <w:r>
        <w:rPr>
          <w:rFonts w:hint="eastAsia" w:ascii="宋体" w:hAnsi="宋体"/>
          <w:b w:val="0"/>
          <w:bCs w:val="0"/>
          <w:color w:val="auto"/>
          <w:szCs w:val="21"/>
          <w:highlight w:val="none"/>
        </w:rPr>
        <w:t>7）响应文件提交截止之日前半年内谈判供应商</w:t>
      </w:r>
      <w:r>
        <w:rPr>
          <w:rFonts w:hint="eastAsia" w:ascii="宋体" w:hAnsi="宋体"/>
          <w:b/>
          <w:bCs/>
          <w:color w:val="auto"/>
          <w:szCs w:val="21"/>
          <w:highlight w:val="none"/>
        </w:rPr>
        <w:t>连续三个月的依法缴纳税费或依法免缴税费的证明[</w:t>
      </w:r>
      <w:r>
        <w:rPr>
          <w:rFonts w:hint="eastAsia" w:ascii="宋体" w:hAnsi="宋体"/>
          <w:b/>
          <w:bCs/>
          <w:color w:val="auto"/>
          <w:highlight w:val="none"/>
        </w:rPr>
        <w:t>扫描件或其他电子文件</w:t>
      </w:r>
      <w:r>
        <w:rPr>
          <w:rFonts w:hint="eastAsia" w:ascii="宋体" w:hAnsi="宋体"/>
          <w:b w:val="0"/>
          <w:bCs w:val="0"/>
          <w:color w:val="auto"/>
          <w:szCs w:val="21"/>
          <w:highlight w:val="none"/>
        </w:rPr>
        <w:t>，原件备查，格式自拟，必须提供]；无纳税记录的，</w:t>
      </w:r>
      <w:r>
        <w:rPr>
          <w:rFonts w:hint="eastAsia" w:ascii="宋体" w:hAnsi="宋体"/>
          <w:b/>
          <w:bCs/>
          <w:color w:val="auto"/>
          <w:szCs w:val="21"/>
          <w:highlight w:val="none"/>
        </w:rPr>
        <w:t>应提供由谈判供应商所在地主管国税或地税部门出具的《依法纳税或依法免税证明》</w:t>
      </w:r>
      <w:r>
        <w:rPr>
          <w:rFonts w:hint="eastAsia" w:ascii="宋体" w:hAnsi="宋体"/>
          <w:b w:val="0"/>
          <w:bCs w:val="0"/>
          <w:color w:val="auto"/>
          <w:szCs w:val="21"/>
          <w:highlight w:val="none"/>
        </w:rPr>
        <w:t>[格式自拟，</w:t>
      </w:r>
      <w:r>
        <w:rPr>
          <w:rFonts w:hint="eastAsia" w:ascii="宋体" w:hAnsi="宋体"/>
          <w:b w:val="0"/>
          <w:bCs w:val="0"/>
          <w:color w:val="auto"/>
          <w:highlight w:val="none"/>
        </w:rPr>
        <w:t>扫描件或其他电子文件</w:t>
      </w:r>
      <w:r>
        <w:rPr>
          <w:rFonts w:hint="eastAsia" w:ascii="宋体" w:hAnsi="宋体"/>
          <w:b w:val="0"/>
          <w:bCs w:val="0"/>
          <w:color w:val="auto"/>
          <w:szCs w:val="21"/>
          <w:highlight w:val="none"/>
        </w:rPr>
        <w:t>，原件备查]。</w:t>
      </w:r>
    </w:p>
    <w:p w14:paraId="28440708">
      <w:pPr>
        <w:spacing w:after="50" w:line="360" w:lineRule="exact"/>
        <w:rPr>
          <w:rFonts w:ascii="宋体" w:hAnsi="宋体"/>
          <w:b w:val="0"/>
          <w:bCs w:val="0"/>
          <w:color w:val="auto"/>
          <w:szCs w:val="21"/>
          <w:highlight w:val="none"/>
        </w:rPr>
      </w:pPr>
      <w:r>
        <w:rPr>
          <w:rFonts w:hint="eastAsia" w:ascii="宋体" w:hAnsi="宋体"/>
          <w:b w:val="0"/>
          <w:bCs w:val="0"/>
          <w:color w:val="auto"/>
          <w:szCs w:val="21"/>
          <w:highlight w:val="none"/>
        </w:rPr>
        <w:t xml:space="preserve">    8）响应文件提交截止之日前半年内谈判供应商</w:t>
      </w:r>
      <w:r>
        <w:rPr>
          <w:rFonts w:hint="eastAsia" w:ascii="宋体" w:hAnsi="宋体"/>
          <w:b/>
          <w:bCs/>
          <w:color w:val="auto"/>
          <w:szCs w:val="21"/>
          <w:highlight w:val="none"/>
        </w:rPr>
        <w:t>连续三个月的依法缴纳社保费的缴费凭证</w:t>
      </w:r>
      <w:r>
        <w:rPr>
          <w:rFonts w:hint="eastAsia" w:ascii="宋体" w:hAnsi="宋体"/>
          <w:b w:val="0"/>
          <w:bCs w:val="0"/>
          <w:color w:val="auto"/>
          <w:szCs w:val="21"/>
          <w:highlight w:val="none"/>
        </w:rPr>
        <w:t>（复印件，原件备查，格式自拟）[必须提供]；无缴费记录的，</w:t>
      </w:r>
      <w:r>
        <w:rPr>
          <w:rFonts w:hint="eastAsia" w:ascii="宋体" w:hAnsi="宋体"/>
          <w:b/>
          <w:bCs/>
          <w:color w:val="auto"/>
          <w:szCs w:val="21"/>
          <w:highlight w:val="none"/>
        </w:rPr>
        <w:t>应提供由谈判供应商所在地社保部门出具的《依法缴纳或依法免缴社保费证明》</w:t>
      </w:r>
      <w:r>
        <w:rPr>
          <w:rFonts w:hint="eastAsia" w:ascii="宋体" w:hAnsi="宋体"/>
          <w:b w:val="0"/>
          <w:bCs w:val="0"/>
          <w:color w:val="auto"/>
          <w:szCs w:val="21"/>
          <w:highlight w:val="none"/>
        </w:rPr>
        <w:t>[格式自拟，复印件，原件备查]。</w:t>
      </w:r>
    </w:p>
    <w:p w14:paraId="053F208B">
      <w:pPr>
        <w:spacing w:line="360" w:lineRule="exact"/>
        <w:ind w:firstLine="413"/>
        <w:jc w:val="left"/>
        <w:rPr>
          <w:rFonts w:ascii="宋体" w:hAnsi="宋体" w:cs="宋体"/>
          <w:b/>
          <w:color w:val="auto"/>
          <w:szCs w:val="21"/>
          <w:highlight w:val="none"/>
        </w:rPr>
      </w:pPr>
      <w:r>
        <w:rPr>
          <w:rFonts w:hint="eastAsia" w:ascii="宋体" w:hAnsi="宋体" w:cs="宋体"/>
          <w:b/>
          <w:color w:val="auto"/>
          <w:szCs w:val="21"/>
          <w:highlight w:val="none"/>
        </w:rPr>
        <w:t>9）</w:t>
      </w:r>
      <w:r>
        <w:rPr>
          <w:rFonts w:ascii="宋体" w:hAnsi="宋体"/>
          <w:b/>
          <w:color w:val="auto"/>
          <w:szCs w:val="21"/>
          <w:highlight w:val="none"/>
        </w:rPr>
        <w:t>具备履行合同所必需的设备和专业技术能力的证明材料</w:t>
      </w:r>
      <w:r>
        <w:rPr>
          <w:rFonts w:hint="eastAsia" w:ascii="宋体" w:hAnsi="宋体"/>
          <w:b/>
          <w:color w:val="auto"/>
          <w:szCs w:val="21"/>
          <w:highlight w:val="none"/>
        </w:rPr>
        <w:t>[格式自拟，必须提供]</w:t>
      </w:r>
      <w:r>
        <w:rPr>
          <w:rFonts w:hint="eastAsia" w:ascii="宋体" w:hAnsi="宋体" w:cs="宋体"/>
          <w:b/>
          <w:color w:val="auto"/>
          <w:szCs w:val="21"/>
          <w:highlight w:val="none"/>
        </w:rPr>
        <w:t>；</w:t>
      </w:r>
    </w:p>
    <w:p w14:paraId="46796854">
      <w:pPr>
        <w:spacing w:line="360" w:lineRule="exact"/>
        <w:ind w:firstLine="413"/>
        <w:jc w:val="left"/>
        <w:rPr>
          <w:rFonts w:ascii="宋体" w:hAnsi="宋体"/>
          <w:b w:val="0"/>
          <w:bCs/>
          <w:color w:val="auto"/>
          <w:szCs w:val="21"/>
          <w:highlight w:val="none"/>
        </w:rPr>
      </w:pPr>
      <w:r>
        <w:rPr>
          <w:rFonts w:hint="eastAsia" w:ascii="宋体" w:hAnsi="宋体"/>
          <w:b w:val="0"/>
          <w:bCs/>
          <w:color w:val="auto"/>
          <w:szCs w:val="21"/>
          <w:highlight w:val="none"/>
        </w:rPr>
        <w:t>10</w:t>
      </w:r>
      <w:r>
        <w:rPr>
          <w:rFonts w:hint="eastAsia" w:ascii="宋体" w:hAnsi="宋体"/>
          <w:b w:val="0"/>
          <w:bCs/>
          <w:color w:val="auto"/>
          <w:szCs w:val="21"/>
          <w:highlight w:val="none"/>
          <w:lang w:eastAsia="zh-CN"/>
        </w:rPr>
        <w:t>）</w:t>
      </w:r>
      <w:r>
        <w:rPr>
          <w:rFonts w:hint="eastAsia" w:ascii="宋体" w:hAnsi="宋体" w:cs="宋体"/>
          <w:b w:val="0"/>
          <w:bCs/>
          <w:color w:val="auto"/>
          <w:szCs w:val="21"/>
          <w:highlight w:val="none"/>
        </w:rPr>
        <w:t>参加政府采购活动前三年内在经营活动中没有重大违法记录的书面声明</w:t>
      </w:r>
      <w:r>
        <w:rPr>
          <w:rFonts w:hint="eastAsia" w:ascii="宋体" w:hAnsi="宋体"/>
          <w:b w:val="0"/>
          <w:bCs/>
          <w:color w:val="auto"/>
          <w:szCs w:val="21"/>
          <w:highlight w:val="none"/>
        </w:rPr>
        <w:t>和信用记录查询方法；</w:t>
      </w:r>
    </w:p>
    <w:p w14:paraId="3469D69C">
      <w:pPr>
        <w:spacing w:line="360" w:lineRule="exact"/>
        <w:ind w:firstLine="412"/>
        <w:jc w:val="left"/>
        <w:rPr>
          <w:rFonts w:ascii="宋体" w:hAnsi="宋体"/>
          <w:b w:val="0"/>
          <w:bCs w:val="0"/>
          <w:color w:val="auto"/>
          <w:szCs w:val="21"/>
          <w:highlight w:val="none"/>
        </w:rPr>
      </w:pPr>
      <w:r>
        <w:rPr>
          <w:rFonts w:hint="eastAsia" w:ascii="宋体" w:hAnsi="宋体"/>
          <w:b w:val="0"/>
          <w:bCs w:val="0"/>
          <w:color w:val="auto"/>
          <w:szCs w:val="21"/>
          <w:highlight w:val="none"/>
        </w:rPr>
        <w:t>①</w:t>
      </w:r>
      <w:r>
        <w:rPr>
          <w:rFonts w:hint="eastAsia" w:ascii="宋体" w:hAnsi="宋体" w:cs="宋体"/>
          <w:b w:val="0"/>
          <w:bCs w:val="0"/>
          <w:color w:val="auto"/>
          <w:szCs w:val="21"/>
          <w:highlight w:val="none"/>
        </w:rPr>
        <w:t>参加政府采购活动前三年内</w:t>
      </w:r>
      <w:r>
        <w:rPr>
          <w:rFonts w:hint="eastAsia" w:ascii="宋体" w:hAnsi="宋体" w:cs="宋体"/>
          <w:b/>
          <w:bCs/>
          <w:color w:val="auto"/>
          <w:szCs w:val="21"/>
          <w:highlight w:val="none"/>
        </w:rPr>
        <w:t>在经营活动中没有重大违法记录的书面声明</w:t>
      </w:r>
      <w:r>
        <w:rPr>
          <w:rFonts w:hint="eastAsia" w:ascii="宋体" w:hAnsi="宋体"/>
          <w:b/>
          <w:bCs/>
          <w:color w:val="auto"/>
          <w:szCs w:val="21"/>
          <w:highlight w:val="none"/>
        </w:rPr>
        <w:t>（格式自拟，必须提供）[附件五]</w:t>
      </w:r>
      <w:r>
        <w:rPr>
          <w:rFonts w:hint="eastAsia" w:ascii="宋体" w:hAnsi="宋体"/>
          <w:b w:val="0"/>
          <w:bCs w:val="0"/>
          <w:color w:val="auto"/>
          <w:szCs w:val="21"/>
          <w:highlight w:val="none"/>
        </w:rPr>
        <w:t>；</w:t>
      </w:r>
    </w:p>
    <w:p w14:paraId="47B645C3">
      <w:pPr>
        <w:spacing w:line="360" w:lineRule="exact"/>
        <w:ind w:firstLine="412"/>
        <w:jc w:val="left"/>
        <w:rPr>
          <w:rFonts w:ascii="宋体" w:hAnsi="宋体"/>
          <w:color w:val="auto"/>
          <w:szCs w:val="21"/>
          <w:highlight w:val="none"/>
        </w:rPr>
      </w:pPr>
      <w:r>
        <w:rPr>
          <w:rFonts w:hint="eastAsia" w:ascii="宋体" w:hAnsi="宋体"/>
          <w:color w:val="auto"/>
          <w:szCs w:val="21"/>
          <w:highlight w:val="none"/>
        </w:rPr>
        <w:t>②供应商可在“信用中国”网站（www.creditchina.gov.cn）、中国政府采购网（www.ccgp.gov.cn）查询相关供应商主体信用记录。</w:t>
      </w:r>
    </w:p>
    <w:p w14:paraId="02C74B58">
      <w:pPr>
        <w:spacing w:line="360" w:lineRule="exact"/>
        <w:ind w:firstLine="412"/>
        <w:jc w:val="left"/>
        <w:rPr>
          <w:rFonts w:ascii="宋体" w:hAnsi="宋体"/>
          <w:color w:val="auto"/>
          <w:szCs w:val="21"/>
          <w:highlight w:val="none"/>
        </w:rPr>
      </w:pPr>
      <w:r>
        <w:rPr>
          <w:rFonts w:hint="eastAsia" w:ascii="宋体" w:hAnsi="宋体"/>
          <w:color w:val="auto"/>
          <w:szCs w:val="21"/>
          <w:highlight w:val="none"/>
        </w:rPr>
        <w:t>“信用中国”网站查询方法：竞标人在本项目竞标截止时间前10日内,进入竞标人基本信息页面，点击“下载信用报告”后点击“下载”。</w:t>
      </w:r>
    </w:p>
    <w:p w14:paraId="7511D88C">
      <w:pPr>
        <w:spacing w:line="360" w:lineRule="exact"/>
        <w:ind w:firstLine="412"/>
        <w:jc w:val="left"/>
        <w:rPr>
          <w:rFonts w:ascii="宋体" w:hAnsi="宋体"/>
          <w:color w:val="auto"/>
          <w:szCs w:val="21"/>
          <w:highlight w:val="none"/>
        </w:rPr>
      </w:pPr>
      <w:r>
        <w:rPr>
          <w:rFonts w:hint="eastAsia" w:ascii="宋体" w:hAnsi="宋体"/>
          <w:color w:val="auto"/>
          <w:szCs w:val="21"/>
          <w:highlight w:val="none"/>
        </w:rPr>
        <w:t xml:space="preserve"> “中国政府采购网”的查询方法：点击“政府采购严重违法失信行为记录名单”进行查询。页面中的处罚日期不设置起始时间，只能设置截止时间，截止时间为本项目竞标截止时间前10日至竞标截止时间中任意一天。</w:t>
      </w:r>
    </w:p>
    <w:p w14:paraId="5D92A01F">
      <w:pPr>
        <w:spacing w:line="360" w:lineRule="exact"/>
        <w:ind w:firstLine="412"/>
        <w:jc w:val="left"/>
        <w:rPr>
          <w:rFonts w:ascii="宋体" w:hAnsi="宋体"/>
          <w:color w:val="auto"/>
          <w:highlight w:val="none"/>
        </w:rPr>
      </w:pPr>
      <w:r>
        <w:rPr>
          <w:rFonts w:hint="eastAsia" w:ascii="宋体" w:hAnsi="宋体"/>
          <w:color w:val="auto"/>
          <w:szCs w:val="21"/>
          <w:highlight w:val="none"/>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14:paraId="21058410">
      <w:pPr>
        <w:spacing w:line="360" w:lineRule="exact"/>
        <w:ind w:firstLine="412"/>
        <w:jc w:val="left"/>
        <w:rPr>
          <w:rFonts w:hint="eastAsia" w:ascii="宋体" w:hAnsi="宋体" w:eastAsia="宋体"/>
          <w:color w:val="auto"/>
          <w:szCs w:val="21"/>
          <w:highlight w:val="none"/>
          <w:lang w:eastAsia="zh-CN"/>
        </w:rPr>
      </w:pPr>
      <w:r>
        <w:rPr>
          <w:rFonts w:hint="eastAsia" w:ascii="宋体" w:hAnsi="宋体"/>
          <w:color w:val="auto"/>
          <w:szCs w:val="21"/>
          <w:highlight w:val="none"/>
        </w:rPr>
        <w:t>11）具备法律、行政法规规定的其他条件的证明材料</w:t>
      </w:r>
      <w:r>
        <w:rPr>
          <w:rFonts w:hint="eastAsia" w:ascii="宋体" w:hAnsi="宋体"/>
          <w:b/>
          <w:color w:val="auto"/>
          <w:szCs w:val="21"/>
          <w:highlight w:val="none"/>
        </w:rPr>
        <w:t>[如有规定,则必须提供]</w:t>
      </w:r>
      <w:r>
        <w:rPr>
          <w:rFonts w:hint="eastAsia" w:ascii="宋体" w:hAnsi="宋体"/>
          <w:b/>
          <w:color w:val="auto"/>
          <w:szCs w:val="21"/>
          <w:highlight w:val="none"/>
          <w:lang w:eastAsia="zh-CN"/>
        </w:rPr>
        <w:t>；</w:t>
      </w:r>
    </w:p>
    <w:p w14:paraId="7ECEDC85">
      <w:pPr>
        <w:spacing w:line="400" w:lineRule="exact"/>
        <w:ind w:firstLine="420"/>
        <w:rPr>
          <w:rFonts w:ascii="宋体" w:hAnsi="宋体"/>
          <w:b/>
          <w:bCs/>
          <w:color w:val="auto"/>
          <w:szCs w:val="21"/>
          <w:highlight w:val="none"/>
        </w:rPr>
      </w:pPr>
      <w:r>
        <w:rPr>
          <w:rFonts w:hint="eastAsia" w:ascii="宋体" w:hAnsi="宋体"/>
          <w:b/>
          <w:bCs/>
          <w:color w:val="auto"/>
          <w:szCs w:val="21"/>
          <w:highlight w:val="none"/>
        </w:rPr>
        <w:t>12）售后服务承诺书（内容可以是提供的切实可行的售后服务和优惠承诺）[格式自拟，必须提供]；</w:t>
      </w:r>
    </w:p>
    <w:p w14:paraId="2296A1A9">
      <w:pPr>
        <w:spacing w:line="400" w:lineRule="exact"/>
        <w:ind w:firstLine="420"/>
        <w:rPr>
          <w:rFonts w:hint="eastAsia" w:ascii="宋体" w:hAnsi="宋体" w:eastAsia="宋体"/>
          <w:color w:val="auto"/>
          <w:szCs w:val="21"/>
          <w:highlight w:val="none"/>
          <w:lang w:eastAsia="zh-CN"/>
        </w:rPr>
      </w:pPr>
      <w:r>
        <w:rPr>
          <w:rFonts w:hint="eastAsia" w:ascii="宋体" w:hAnsi="宋体"/>
          <w:color w:val="auto"/>
          <w:szCs w:val="21"/>
          <w:highlight w:val="none"/>
        </w:rPr>
        <w:t>13）项目需求表中要求提供的文件</w:t>
      </w:r>
      <w:r>
        <w:rPr>
          <w:rFonts w:hint="eastAsia" w:ascii="宋体" w:hAnsi="宋体"/>
          <w:b/>
          <w:color w:val="auto"/>
          <w:szCs w:val="21"/>
          <w:highlight w:val="none"/>
        </w:rPr>
        <w:t>[如有,则必须提供]</w:t>
      </w:r>
      <w:r>
        <w:rPr>
          <w:rFonts w:hint="eastAsia" w:ascii="宋体" w:hAnsi="宋体"/>
          <w:b/>
          <w:color w:val="auto"/>
          <w:szCs w:val="21"/>
          <w:highlight w:val="none"/>
          <w:lang w:eastAsia="zh-CN"/>
        </w:rPr>
        <w:t>；</w:t>
      </w:r>
    </w:p>
    <w:p w14:paraId="6D856924">
      <w:pPr>
        <w:spacing w:line="400" w:lineRule="exact"/>
        <w:ind w:firstLine="420"/>
        <w:rPr>
          <w:rFonts w:ascii="宋体" w:hAnsi="宋体"/>
          <w:color w:val="auto"/>
          <w:szCs w:val="21"/>
          <w:highlight w:val="none"/>
        </w:rPr>
      </w:pPr>
      <w:r>
        <w:rPr>
          <w:rFonts w:hint="eastAsia" w:ascii="宋体" w:hAnsi="宋体"/>
          <w:color w:val="auto"/>
          <w:szCs w:val="21"/>
          <w:highlight w:val="none"/>
        </w:rPr>
        <w:t>14）生产、销售许可证（如国家实行强制性要求的）；</w:t>
      </w:r>
    </w:p>
    <w:p w14:paraId="4FB9FB65">
      <w:pPr>
        <w:spacing w:line="400" w:lineRule="exact"/>
        <w:ind w:firstLine="420"/>
        <w:rPr>
          <w:rFonts w:ascii="宋体" w:hAnsi="宋体"/>
          <w:color w:val="auto"/>
          <w:szCs w:val="21"/>
          <w:highlight w:val="none"/>
        </w:rPr>
      </w:pPr>
      <w:r>
        <w:rPr>
          <w:rFonts w:hint="eastAsia" w:ascii="宋体" w:hAnsi="宋体"/>
          <w:color w:val="auto"/>
          <w:szCs w:val="21"/>
          <w:highlight w:val="none"/>
        </w:rPr>
        <w:t>15）货物制造、检验、测试、验收执行的标准；</w:t>
      </w:r>
    </w:p>
    <w:p w14:paraId="131E7A8B">
      <w:pPr>
        <w:spacing w:line="400" w:lineRule="exact"/>
        <w:ind w:firstLine="420"/>
        <w:rPr>
          <w:rFonts w:ascii="宋体" w:hAnsi="宋体"/>
          <w:color w:val="auto"/>
          <w:szCs w:val="21"/>
          <w:highlight w:val="none"/>
        </w:rPr>
      </w:pPr>
      <w:r>
        <w:rPr>
          <w:rFonts w:hint="eastAsia" w:ascii="宋体" w:hAnsi="宋体"/>
          <w:color w:val="auto"/>
          <w:szCs w:val="21"/>
          <w:highlight w:val="none"/>
        </w:rPr>
        <w:t>16）货物认证、检测报告、鉴定证书等；</w:t>
      </w:r>
    </w:p>
    <w:p w14:paraId="07733999">
      <w:pPr>
        <w:spacing w:line="400" w:lineRule="exact"/>
        <w:ind w:firstLine="420"/>
        <w:rPr>
          <w:rFonts w:ascii="宋体" w:hAnsi="宋体"/>
          <w:color w:val="auto"/>
          <w:szCs w:val="21"/>
          <w:highlight w:val="none"/>
        </w:rPr>
      </w:pPr>
      <w:r>
        <w:rPr>
          <w:rFonts w:hint="eastAsia" w:ascii="宋体" w:hAnsi="宋体"/>
          <w:color w:val="auto"/>
          <w:szCs w:val="21"/>
          <w:highlight w:val="none"/>
        </w:rPr>
        <w:t xml:space="preserve">17）产品获奖证书； </w:t>
      </w:r>
    </w:p>
    <w:p w14:paraId="15FE9027">
      <w:pPr>
        <w:spacing w:line="400" w:lineRule="exact"/>
        <w:ind w:firstLine="420"/>
        <w:rPr>
          <w:rFonts w:ascii="宋体" w:hAnsi="宋体"/>
          <w:color w:val="auto"/>
          <w:szCs w:val="21"/>
          <w:highlight w:val="none"/>
        </w:rPr>
      </w:pPr>
      <w:r>
        <w:rPr>
          <w:rFonts w:hint="eastAsia" w:ascii="宋体" w:hAnsi="宋体"/>
          <w:color w:val="auto"/>
          <w:szCs w:val="21"/>
          <w:highlight w:val="none"/>
        </w:rPr>
        <w:t>18）货物名称、型号、规格、数量、性能、内部配置、使用原材料，引进新技术、新工艺、新材料的等情况；</w:t>
      </w:r>
    </w:p>
    <w:p w14:paraId="31B5A3A8">
      <w:pPr>
        <w:spacing w:line="400" w:lineRule="exact"/>
        <w:ind w:firstLine="420"/>
        <w:rPr>
          <w:rFonts w:ascii="宋体" w:hAnsi="宋体"/>
          <w:color w:val="auto"/>
          <w:szCs w:val="21"/>
          <w:highlight w:val="none"/>
        </w:rPr>
      </w:pPr>
      <w:r>
        <w:rPr>
          <w:rFonts w:hint="eastAsia" w:ascii="宋体" w:hAnsi="宋体"/>
          <w:color w:val="auto"/>
          <w:szCs w:val="21"/>
          <w:highlight w:val="none"/>
        </w:rPr>
        <w:t>19）质量保证措施；</w:t>
      </w:r>
    </w:p>
    <w:p w14:paraId="5409B31E">
      <w:pPr>
        <w:spacing w:line="400" w:lineRule="exact"/>
        <w:ind w:firstLine="420"/>
        <w:rPr>
          <w:rFonts w:ascii="宋体" w:hAnsi="宋体"/>
          <w:color w:val="auto"/>
          <w:szCs w:val="21"/>
          <w:highlight w:val="none"/>
        </w:rPr>
      </w:pPr>
      <w:r>
        <w:rPr>
          <w:rFonts w:hint="eastAsia" w:ascii="宋体" w:hAnsi="宋体"/>
          <w:color w:val="auto"/>
          <w:szCs w:val="21"/>
          <w:highlight w:val="none"/>
        </w:rPr>
        <w:t>20）产品样本、使用保养说明书、图纸等技术资料；</w:t>
      </w:r>
    </w:p>
    <w:p w14:paraId="166F410C">
      <w:pPr>
        <w:spacing w:line="400" w:lineRule="exact"/>
        <w:ind w:firstLine="420"/>
        <w:rPr>
          <w:rFonts w:hint="eastAsia" w:ascii="宋体" w:hAnsi="宋体"/>
          <w:b/>
          <w:bCs/>
          <w:color w:val="auto"/>
          <w:szCs w:val="21"/>
          <w:highlight w:val="none"/>
        </w:rPr>
      </w:pPr>
      <w:r>
        <w:rPr>
          <w:rFonts w:hint="eastAsia" w:ascii="宋体" w:hAnsi="宋体"/>
          <w:b/>
          <w:bCs/>
          <w:color w:val="auto"/>
          <w:szCs w:val="21"/>
          <w:highlight w:val="none"/>
        </w:rPr>
        <w:t>21）中小企业声明函；（</w:t>
      </w:r>
      <w:r>
        <w:rPr>
          <w:rFonts w:hint="eastAsia" w:ascii="宋体" w:hAnsi="宋体"/>
          <w:b/>
          <w:bCs/>
          <w:color w:val="auto"/>
          <w:szCs w:val="21"/>
          <w:highlight w:val="none"/>
          <w:lang w:eastAsia="zh-CN"/>
        </w:rPr>
        <w:t>如有，请提供</w:t>
      </w:r>
      <w:r>
        <w:rPr>
          <w:rFonts w:hint="eastAsia" w:ascii="宋体" w:hAnsi="宋体"/>
          <w:b/>
          <w:bCs/>
          <w:color w:val="auto"/>
          <w:szCs w:val="21"/>
          <w:highlight w:val="none"/>
        </w:rPr>
        <w:t>）[附件六]</w:t>
      </w:r>
    </w:p>
    <w:p w14:paraId="1FD56067">
      <w:pPr>
        <w:spacing w:line="400" w:lineRule="exact"/>
        <w:ind w:firstLine="420"/>
        <w:rPr>
          <w:rFonts w:ascii="宋体" w:hAnsi="宋体"/>
          <w:color w:val="auto"/>
          <w:szCs w:val="21"/>
          <w:highlight w:val="none"/>
        </w:rPr>
      </w:pPr>
      <w:r>
        <w:rPr>
          <w:rFonts w:hint="eastAsia" w:ascii="宋体" w:hAnsi="宋体"/>
          <w:color w:val="auto"/>
          <w:szCs w:val="21"/>
          <w:highlight w:val="none"/>
        </w:rPr>
        <w:t>22）谈判供应商认为需要提供的有关资料。</w:t>
      </w:r>
    </w:p>
    <w:p w14:paraId="0950CC50">
      <w:pPr>
        <w:spacing w:line="400" w:lineRule="exact"/>
        <w:ind w:firstLine="420"/>
        <w:rPr>
          <w:rFonts w:ascii="宋体" w:hAnsi="宋体"/>
          <w:color w:val="auto"/>
          <w:szCs w:val="21"/>
          <w:highlight w:val="none"/>
        </w:rPr>
      </w:pPr>
      <w:r>
        <w:rPr>
          <w:rFonts w:hint="eastAsia" w:ascii="宋体" w:hAnsi="宋体"/>
          <w:color w:val="auto"/>
          <w:szCs w:val="21"/>
          <w:highlight w:val="none"/>
        </w:rPr>
        <w:t>6. 计量单位</w:t>
      </w:r>
    </w:p>
    <w:p w14:paraId="20071B56">
      <w:pPr>
        <w:spacing w:line="400" w:lineRule="exact"/>
        <w:ind w:firstLine="420"/>
        <w:rPr>
          <w:rFonts w:ascii="宋体" w:hAnsi="宋体"/>
          <w:color w:val="auto"/>
          <w:szCs w:val="21"/>
          <w:highlight w:val="none"/>
        </w:rPr>
      </w:pPr>
      <w:r>
        <w:rPr>
          <w:rFonts w:hint="eastAsia" w:ascii="宋体" w:hAnsi="宋体"/>
          <w:color w:val="auto"/>
          <w:szCs w:val="21"/>
          <w:highlight w:val="none"/>
        </w:rPr>
        <w:t>6.1除技术要求中另有规定外，本文件所要求使用的计量单位均应采用国家法定计量单位。</w:t>
      </w:r>
    </w:p>
    <w:p w14:paraId="2F3679B4">
      <w:pPr>
        <w:spacing w:line="400" w:lineRule="exact"/>
        <w:ind w:firstLine="422"/>
        <w:rPr>
          <w:rFonts w:ascii="宋体" w:hAnsi="宋体"/>
          <w:b/>
          <w:color w:val="auto"/>
          <w:szCs w:val="21"/>
          <w:highlight w:val="none"/>
        </w:rPr>
      </w:pPr>
      <w:r>
        <w:rPr>
          <w:rFonts w:hint="eastAsia" w:ascii="宋体" w:hAnsi="宋体"/>
          <w:b/>
          <w:color w:val="auto"/>
          <w:szCs w:val="21"/>
          <w:highlight w:val="none"/>
        </w:rPr>
        <w:t>三、报价要求</w:t>
      </w:r>
    </w:p>
    <w:p w14:paraId="4F818811">
      <w:pPr>
        <w:spacing w:line="400" w:lineRule="exact"/>
        <w:ind w:firstLine="420"/>
        <w:rPr>
          <w:rFonts w:ascii="宋体" w:hAnsi="宋体"/>
          <w:color w:val="auto"/>
          <w:szCs w:val="21"/>
          <w:highlight w:val="none"/>
        </w:rPr>
      </w:pPr>
      <w:r>
        <w:rPr>
          <w:rFonts w:hint="eastAsia" w:ascii="宋体" w:hAnsi="宋体"/>
          <w:color w:val="auto"/>
          <w:szCs w:val="21"/>
          <w:highlight w:val="none"/>
        </w:rPr>
        <w:t>7.1对于本文件中未列明，而谈判供应商认为必需的费用也需列入总报价。在合同实施时，采购人将不予支付成交供应商没有列入的项目费用，并认为此项目的费用已包括在总报价中。</w:t>
      </w:r>
    </w:p>
    <w:p w14:paraId="3D5E9DD8">
      <w:pPr>
        <w:spacing w:line="400" w:lineRule="exact"/>
        <w:ind w:firstLine="420"/>
        <w:rPr>
          <w:rFonts w:ascii="宋体" w:hAnsi="宋体"/>
          <w:color w:val="auto"/>
          <w:szCs w:val="21"/>
          <w:highlight w:val="none"/>
        </w:rPr>
      </w:pPr>
      <w:r>
        <w:rPr>
          <w:rFonts w:hint="eastAsia" w:ascii="宋体" w:hAnsi="宋体"/>
          <w:color w:val="auto"/>
          <w:szCs w:val="21"/>
          <w:highlight w:val="none"/>
        </w:rPr>
        <w:t>7.2成交供应商负责本项目所需货物的制造、运输、售后服务等全部工作。</w:t>
      </w:r>
    </w:p>
    <w:p w14:paraId="649B06A7">
      <w:pPr>
        <w:pStyle w:val="8"/>
        <w:spacing w:line="420" w:lineRule="exact"/>
        <w:ind w:firstLine="420"/>
        <w:rPr>
          <w:color w:val="auto"/>
          <w:highlight w:val="none"/>
        </w:rPr>
      </w:pPr>
      <w:r>
        <w:rPr>
          <w:rFonts w:hint="eastAsia"/>
          <w:color w:val="auto"/>
          <w:highlight w:val="none"/>
        </w:rPr>
        <w:t>7.3谈判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谈判响应文件的解释发生异议的，以中文文本为准。除上述原因以外，如果因谈判供应商原因引起的报价失误，并在谈判时被接受，其后果由谈判供应商自负。</w:t>
      </w:r>
    </w:p>
    <w:p w14:paraId="4ED0F925">
      <w:pPr>
        <w:spacing w:line="400" w:lineRule="exact"/>
        <w:ind w:firstLine="420"/>
        <w:rPr>
          <w:rFonts w:ascii="宋体" w:hAnsi="宋体"/>
          <w:color w:val="auto"/>
          <w:highlight w:val="none"/>
        </w:rPr>
      </w:pPr>
      <w:r>
        <w:rPr>
          <w:rFonts w:hint="eastAsia" w:ascii="宋体" w:hAnsi="宋体"/>
          <w:color w:val="auto"/>
          <w:highlight w:val="none"/>
        </w:rPr>
        <w:t>7.4</w:t>
      </w:r>
      <w:r>
        <w:rPr>
          <w:rFonts w:hint="eastAsia"/>
          <w:b/>
          <w:color w:val="auto"/>
          <w:highlight w:val="none"/>
        </w:rPr>
        <w:t>报价：</w:t>
      </w:r>
      <w:r>
        <w:rPr>
          <w:rFonts w:hint="eastAsia" w:ascii="宋体" w:hAnsi="宋体"/>
          <w:b/>
          <w:color w:val="auto"/>
          <w:highlight w:val="none"/>
        </w:rPr>
        <w:t>竞标人可就《采购需求》中的货物和服务内容做完整唯一报价</w:t>
      </w:r>
      <w:r>
        <w:rPr>
          <w:rFonts w:hint="eastAsia" w:ascii="宋体" w:hAnsi="宋体"/>
          <w:color w:val="auto"/>
          <w:highlight w:val="none"/>
        </w:rPr>
        <w:t>。</w:t>
      </w:r>
    </w:p>
    <w:p w14:paraId="1786D1EE">
      <w:pPr>
        <w:spacing w:line="400" w:lineRule="exact"/>
        <w:ind w:firstLine="422"/>
        <w:rPr>
          <w:rFonts w:ascii="宋体" w:hAnsi="宋体"/>
          <w:b/>
          <w:color w:val="auto"/>
          <w:szCs w:val="21"/>
          <w:highlight w:val="none"/>
        </w:rPr>
      </w:pPr>
      <w:r>
        <w:rPr>
          <w:rFonts w:hint="eastAsia" w:ascii="宋体" w:hAnsi="宋体"/>
          <w:b/>
          <w:color w:val="auto"/>
          <w:szCs w:val="21"/>
          <w:highlight w:val="none"/>
        </w:rPr>
        <w:t>四、竞争性谈判响应文件的份数、上传、提交、修改、撤回、解密</w:t>
      </w:r>
    </w:p>
    <w:p w14:paraId="00100ACD">
      <w:pPr>
        <w:spacing w:line="400" w:lineRule="exact"/>
        <w:ind w:firstLine="420"/>
        <w:rPr>
          <w:rFonts w:ascii="宋体" w:hAnsi="宋体"/>
          <w:color w:val="auto"/>
          <w:szCs w:val="21"/>
          <w:highlight w:val="none"/>
        </w:rPr>
      </w:pPr>
      <w:r>
        <w:rPr>
          <w:rFonts w:hint="eastAsia" w:ascii="宋体" w:hAnsi="宋体"/>
          <w:color w:val="auto"/>
          <w:szCs w:val="21"/>
          <w:highlight w:val="none"/>
        </w:rPr>
        <w:t>8. 竞争性谈判响应文件的份数、上传、提交、解密</w:t>
      </w:r>
    </w:p>
    <w:p w14:paraId="51C56377">
      <w:pPr>
        <w:pStyle w:val="8"/>
        <w:spacing w:line="440" w:lineRule="exact"/>
        <w:ind w:firstLine="420"/>
        <w:rPr>
          <w:rFonts w:hint="eastAsia"/>
          <w:color w:val="auto"/>
          <w:highlight w:val="none"/>
        </w:rPr>
      </w:pPr>
      <w:r>
        <w:rPr>
          <w:rFonts w:hint="eastAsia"/>
          <w:color w:val="auto"/>
          <w:highlight w:val="none"/>
        </w:rPr>
        <w:t>见须知前附表</w:t>
      </w:r>
    </w:p>
    <w:p w14:paraId="6EEE8D5E">
      <w:pPr>
        <w:spacing w:line="440" w:lineRule="exact"/>
        <w:ind w:firstLine="420" w:firstLineChars="200"/>
        <w:rPr>
          <w:rFonts w:hint="eastAsia" w:ascii="宋体" w:hAnsi="宋体"/>
          <w:color w:val="auto"/>
          <w:highlight w:val="none"/>
        </w:rPr>
      </w:pPr>
      <w:r>
        <w:rPr>
          <w:rFonts w:hint="eastAsia" w:ascii="宋体" w:hAnsi="宋体"/>
          <w:color w:val="auto"/>
          <w:szCs w:val="21"/>
          <w:highlight w:val="none"/>
        </w:rPr>
        <w:t>9. 竞争性谈判响应文件的修改和撤回：</w:t>
      </w:r>
      <w:r>
        <w:rPr>
          <w:rFonts w:hint="eastAsia" w:ascii="宋体" w:hAnsi="宋体"/>
          <w:color w:val="auto"/>
          <w:szCs w:val="20"/>
          <w:highlight w:val="none"/>
          <w:lang w:val="zh-CN"/>
        </w:rPr>
        <w:t>供应商应当在截止时间前完成响应文件的上传、提交，并可以补充、修改或者撤回响应文件。补充或者修改响应文件的，应当先行撤回原文件，补充、修改后重新上传、提交。截止时间前未完成上传、提交的，视为撤回响应文件。截止时间后提交的响应文件，“广西政府采购云平台”将予以拒收。截止时间后，供应商不得撤回、修改响应文件。</w:t>
      </w:r>
    </w:p>
    <w:p w14:paraId="185D80A2">
      <w:pPr>
        <w:widowControl/>
        <w:spacing w:line="440" w:lineRule="exact"/>
        <w:ind w:firstLine="420" w:firstLineChars="200"/>
        <w:jc w:val="left"/>
        <w:rPr>
          <w:rFonts w:hint="eastAsia" w:ascii="宋体" w:hAnsi="宋体"/>
          <w:color w:val="auto"/>
          <w:highlight w:val="none"/>
        </w:rPr>
      </w:pPr>
      <w:r>
        <w:rPr>
          <w:rFonts w:hint="eastAsia" w:ascii="宋体" w:hAnsi="宋体"/>
          <w:color w:val="auto"/>
          <w:highlight w:val="none"/>
        </w:rPr>
        <w:t>10.保证金说明及要求</w:t>
      </w:r>
    </w:p>
    <w:p w14:paraId="65C0D6A9">
      <w:pPr>
        <w:widowControl/>
        <w:spacing w:line="440" w:lineRule="exact"/>
        <w:ind w:firstLine="420" w:firstLineChars="200"/>
        <w:jc w:val="left"/>
        <w:rPr>
          <w:rFonts w:hint="eastAsia" w:ascii="宋体" w:hAnsi="宋体"/>
          <w:b/>
          <w:bCs/>
          <w:color w:val="auto"/>
          <w:highlight w:val="none"/>
        </w:rPr>
      </w:pPr>
      <w:r>
        <w:rPr>
          <w:rFonts w:hint="eastAsia" w:ascii="宋体" w:hAnsi="宋体"/>
          <w:color w:val="auto"/>
          <w:highlight w:val="none"/>
        </w:rPr>
        <w:t>10.1保证金应用人民币：</w:t>
      </w:r>
      <w:r>
        <w:rPr>
          <w:rFonts w:hint="eastAsia" w:ascii="宋体" w:hAnsi="宋体"/>
          <w:bCs/>
          <w:color w:val="auto"/>
          <w:highlight w:val="none"/>
        </w:rPr>
        <w:t>具体金额详见采购公告。</w:t>
      </w:r>
    </w:p>
    <w:p w14:paraId="7735EFCC">
      <w:pPr>
        <w:widowControl/>
        <w:spacing w:line="440" w:lineRule="exact"/>
        <w:ind w:firstLine="420" w:firstLineChars="200"/>
        <w:jc w:val="left"/>
        <w:rPr>
          <w:rFonts w:hint="eastAsia" w:ascii="宋体" w:hAnsi="宋体"/>
          <w:b/>
          <w:bCs/>
          <w:color w:val="auto"/>
          <w:highlight w:val="none"/>
        </w:rPr>
      </w:pPr>
      <w:r>
        <w:rPr>
          <w:rFonts w:hint="eastAsia" w:ascii="宋体" w:hAnsi="宋体"/>
          <w:color w:val="auto"/>
          <w:highlight w:val="none"/>
        </w:rPr>
        <w:t>10.2 保证金交纳方式：支票、汇票、本票、网上银行或者</w:t>
      </w:r>
      <w:r>
        <w:rPr>
          <w:rFonts w:hint="eastAsia" w:ascii="宋体" w:hAnsi="宋体"/>
          <w:color w:val="auto"/>
          <w:highlight w:val="none"/>
          <w:lang w:eastAsia="zh-CN"/>
        </w:rPr>
        <w:t>金融机构</w:t>
      </w:r>
      <w:r>
        <w:rPr>
          <w:rFonts w:hint="eastAsia" w:ascii="宋体" w:hAnsi="宋体"/>
          <w:color w:val="auto"/>
          <w:highlight w:val="none"/>
        </w:rPr>
        <w:t>、</w:t>
      </w:r>
      <w:r>
        <w:rPr>
          <w:rFonts w:hint="eastAsia" w:ascii="宋体" w:hAnsi="宋体"/>
          <w:color w:val="auto"/>
          <w:highlight w:val="none"/>
          <w:lang w:eastAsia="zh-CN"/>
        </w:rPr>
        <w:t>担保</w:t>
      </w:r>
      <w:r>
        <w:rPr>
          <w:rFonts w:hint="eastAsia" w:ascii="宋体" w:hAnsi="宋体"/>
          <w:color w:val="auto"/>
          <w:highlight w:val="none"/>
        </w:rPr>
        <w:t>机构出具的保函等非现金形式交纳。</w:t>
      </w:r>
    </w:p>
    <w:p w14:paraId="41AF017E">
      <w:pPr>
        <w:widowControl/>
        <w:spacing w:line="440" w:lineRule="exact"/>
        <w:ind w:firstLine="420" w:firstLineChars="200"/>
        <w:jc w:val="left"/>
        <w:rPr>
          <w:rFonts w:hint="eastAsia" w:ascii="宋体" w:hAnsi="宋体"/>
          <w:color w:val="auto"/>
          <w:highlight w:val="none"/>
        </w:rPr>
      </w:pPr>
      <w:r>
        <w:rPr>
          <w:rFonts w:hint="eastAsia" w:ascii="宋体" w:hAnsi="宋体"/>
          <w:color w:val="auto"/>
          <w:highlight w:val="none"/>
        </w:rPr>
        <w:t>10.3办理保证金手续时，请务必在银行相关票据（非现金）或凭证的用途或空白栏上注明项目名称及项目编号，以免耽误竞争性谈判。</w:t>
      </w:r>
    </w:p>
    <w:p w14:paraId="4B7EFA03">
      <w:pPr>
        <w:widowControl/>
        <w:spacing w:line="440" w:lineRule="exact"/>
        <w:ind w:firstLine="420" w:firstLineChars="200"/>
        <w:jc w:val="left"/>
        <w:rPr>
          <w:rFonts w:hint="eastAsia" w:ascii="宋体" w:hAnsi="宋体"/>
          <w:color w:val="auto"/>
          <w:highlight w:val="none"/>
        </w:rPr>
      </w:pPr>
      <w:r>
        <w:rPr>
          <w:rFonts w:hint="eastAsia" w:ascii="宋体" w:hAnsi="宋体"/>
          <w:color w:val="auto"/>
          <w:highlight w:val="none"/>
        </w:rPr>
        <w:t>10.4保证金相关事宜：</w:t>
      </w:r>
      <w:r>
        <w:rPr>
          <w:rFonts w:hint="eastAsia" w:ascii="宋体" w:hAnsi="宋体"/>
          <w:bCs/>
          <w:color w:val="auto"/>
          <w:highlight w:val="none"/>
        </w:rPr>
        <w:t>电话：</w:t>
      </w:r>
      <w:r>
        <w:rPr>
          <w:rFonts w:hint="eastAsia" w:ascii="仿宋" w:hAnsi="仿宋" w:cs="宋体"/>
          <w:color w:val="auto"/>
          <w:kern w:val="0"/>
          <w:szCs w:val="21"/>
          <w:highlight w:val="none"/>
        </w:rPr>
        <w:t>0771-8600309</w:t>
      </w:r>
      <w:r>
        <w:rPr>
          <w:rFonts w:hint="eastAsia" w:ascii="宋体" w:hAnsi="宋体"/>
          <w:bCs/>
          <w:color w:val="auto"/>
          <w:highlight w:val="none"/>
        </w:rPr>
        <w:t>，</w:t>
      </w:r>
      <w:r>
        <w:rPr>
          <w:rFonts w:hint="eastAsia" w:ascii="仿宋" w:hAnsi="仿宋" w:cs="宋体"/>
          <w:color w:val="auto"/>
          <w:kern w:val="0"/>
          <w:szCs w:val="21"/>
          <w:highlight w:val="none"/>
        </w:rPr>
        <w:t>地址：广西南宁市星湖路22号广西壮族自治区政府采购中心综合楼3楼306室。</w:t>
      </w:r>
    </w:p>
    <w:p w14:paraId="4C64FEC4">
      <w:pPr>
        <w:widowControl/>
        <w:spacing w:line="440" w:lineRule="exact"/>
        <w:ind w:firstLine="420" w:firstLineChars="200"/>
        <w:jc w:val="left"/>
        <w:rPr>
          <w:rFonts w:hint="eastAsia" w:ascii="宋体" w:hAnsi="宋体"/>
          <w:color w:val="auto"/>
          <w:highlight w:val="none"/>
        </w:rPr>
      </w:pPr>
      <w:r>
        <w:rPr>
          <w:rFonts w:hint="eastAsia" w:ascii="宋体" w:hAnsi="宋体"/>
          <w:color w:val="auto"/>
          <w:highlight w:val="none"/>
        </w:rPr>
        <w:t>10.5未成交供应商的保证金，将在成交通知书发出后</w:t>
      </w:r>
      <w:r>
        <w:rPr>
          <w:rFonts w:hint="eastAsia" w:ascii="宋体" w:hAnsi="宋体"/>
          <w:color w:val="auto"/>
          <w:highlight w:val="none"/>
          <w:lang w:val="en-US" w:eastAsia="zh-CN"/>
        </w:rPr>
        <w:t>5</w:t>
      </w:r>
      <w:r>
        <w:rPr>
          <w:rFonts w:hint="eastAsia" w:ascii="宋体" w:hAnsi="宋体"/>
          <w:color w:val="auto"/>
          <w:highlight w:val="none"/>
        </w:rPr>
        <w:t>个工作日内予以退还，不计利息。</w:t>
      </w:r>
    </w:p>
    <w:p w14:paraId="5F35081F">
      <w:pPr>
        <w:widowControl/>
        <w:spacing w:line="440" w:lineRule="exact"/>
        <w:ind w:firstLine="420" w:firstLineChars="200"/>
        <w:jc w:val="left"/>
        <w:rPr>
          <w:rFonts w:hint="eastAsia" w:ascii="宋体" w:hAnsi="宋体"/>
          <w:color w:val="auto"/>
          <w:highlight w:val="none"/>
        </w:rPr>
      </w:pPr>
      <w:r>
        <w:rPr>
          <w:rFonts w:hint="eastAsia" w:ascii="宋体" w:hAnsi="宋体"/>
          <w:color w:val="auto"/>
          <w:highlight w:val="none"/>
        </w:rPr>
        <w:t>成交人的保证金在合同签订后</w:t>
      </w:r>
      <w:r>
        <w:rPr>
          <w:rFonts w:hint="eastAsia" w:ascii="宋体" w:hAnsi="宋体"/>
          <w:color w:val="auto"/>
          <w:highlight w:val="none"/>
          <w:lang w:val="en-US" w:eastAsia="zh-CN"/>
        </w:rPr>
        <w:t>5</w:t>
      </w:r>
      <w:r>
        <w:rPr>
          <w:rFonts w:hint="eastAsia" w:ascii="宋体" w:hAnsi="宋体"/>
          <w:color w:val="auto"/>
          <w:highlight w:val="none"/>
        </w:rPr>
        <w:t>个工作日内退还（合同签订后送达本中心），不计利息。</w:t>
      </w:r>
    </w:p>
    <w:p w14:paraId="24E1604B">
      <w:pPr>
        <w:widowControl/>
        <w:spacing w:line="440" w:lineRule="exact"/>
        <w:ind w:firstLine="420" w:firstLineChars="200"/>
        <w:jc w:val="left"/>
        <w:rPr>
          <w:rFonts w:hint="eastAsia" w:ascii="宋体" w:hAnsi="宋体"/>
          <w:color w:val="auto"/>
          <w:highlight w:val="none"/>
        </w:rPr>
      </w:pPr>
      <w:r>
        <w:rPr>
          <w:rFonts w:hint="eastAsia" w:ascii="宋体" w:hAnsi="宋体"/>
          <w:color w:val="auto"/>
          <w:highlight w:val="none"/>
        </w:rPr>
        <w:t>10.6对应交未交保证金的竞争性谈判响应文件，将会在评审中按照无效竞争性谈判响应文件处理。</w:t>
      </w:r>
    </w:p>
    <w:p w14:paraId="5FECE2D6">
      <w:pPr>
        <w:pStyle w:val="8"/>
        <w:spacing w:line="380" w:lineRule="exact"/>
        <w:ind w:firstLine="420"/>
        <w:rPr>
          <w:color w:val="auto"/>
          <w:highlight w:val="none"/>
        </w:rPr>
      </w:pPr>
      <w:r>
        <w:rPr>
          <w:rFonts w:hint="eastAsia"/>
          <w:color w:val="auto"/>
          <w:highlight w:val="none"/>
        </w:rPr>
        <w:t>（说明：评审时，谈判小组将以本中心财务室编制的《采购项目报名名单及保证金收缴情况表》作为评审依据）。</w:t>
      </w:r>
    </w:p>
    <w:p w14:paraId="24BA837F">
      <w:pPr>
        <w:tabs>
          <w:tab w:val="left" w:pos="975"/>
        </w:tabs>
        <w:spacing w:line="360" w:lineRule="exact"/>
        <w:ind w:firstLine="413"/>
        <w:jc w:val="left"/>
        <w:rPr>
          <w:rFonts w:ascii="宋体" w:hAnsi="宋体"/>
          <w:b w:val="0"/>
          <w:bCs/>
          <w:color w:val="auto"/>
          <w:szCs w:val="21"/>
          <w:highlight w:val="none"/>
        </w:rPr>
      </w:pPr>
      <w:r>
        <w:rPr>
          <w:rFonts w:hint="eastAsia" w:ascii="宋体" w:hAnsi="宋体"/>
          <w:b w:val="0"/>
          <w:bCs/>
          <w:color w:val="auto"/>
          <w:szCs w:val="21"/>
          <w:highlight w:val="none"/>
        </w:rPr>
        <w:t>注：</w:t>
      </w:r>
      <w:r>
        <w:rPr>
          <w:rFonts w:hint="eastAsia" w:ascii="宋体" w:hAnsi="宋体" w:cs="宋体"/>
          <w:b w:val="0"/>
          <w:bCs/>
          <w:color w:val="auto"/>
          <w:szCs w:val="21"/>
          <w:highlight w:val="none"/>
        </w:rPr>
        <w:t>在采购过程中符合竞争要求的供应商或者报价未超过采购</w:t>
      </w:r>
      <w:r>
        <w:rPr>
          <w:b w:val="0"/>
          <w:bCs/>
          <w:color w:val="auto"/>
          <w:highlight w:val="none"/>
        </w:rPr>
        <w:t>预算（最高限价）</w:t>
      </w:r>
      <w:r>
        <w:rPr>
          <w:rFonts w:hint="eastAsia" w:ascii="宋体" w:hAnsi="宋体" w:cs="宋体"/>
          <w:b w:val="0"/>
          <w:bCs/>
          <w:color w:val="auto"/>
          <w:szCs w:val="21"/>
          <w:highlight w:val="none"/>
        </w:rPr>
        <w:t>的供应商不足3家的</w:t>
      </w:r>
      <w:r>
        <w:rPr>
          <w:rFonts w:hint="eastAsia" w:ascii="宋体" w:hAnsi="宋体"/>
          <w:b w:val="0"/>
          <w:bCs/>
          <w:color w:val="auto"/>
          <w:szCs w:val="21"/>
          <w:highlight w:val="none"/>
        </w:rPr>
        <w:t>，本中心将按政府采购管理的有关规定处理。</w:t>
      </w:r>
    </w:p>
    <w:p w14:paraId="268DF264">
      <w:pPr>
        <w:spacing w:line="360" w:lineRule="exact"/>
        <w:ind w:firstLine="413"/>
        <w:jc w:val="left"/>
        <w:rPr>
          <w:rFonts w:ascii="宋体" w:hAnsi="宋体"/>
          <w:b w:val="0"/>
          <w:bCs/>
          <w:color w:val="auto"/>
          <w:szCs w:val="21"/>
          <w:highlight w:val="none"/>
        </w:rPr>
      </w:pPr>
      <w:r>
        <w:rPr>
          <w:rFonts w:hint="eastAsia" w:ascii="宋体" w:hAnsi="宋体"/>
          <w:b w:val="0"/>
          <w:bCs/>
          <w:color w:val="auto"/>
          <w:szCs w:val="21"/>
          <w:highlight w:val="none"/>
        </w:rPr>
        <w:t>10.7谈判供应商有下列情形之一的，保证金将不予退还：</w:t>
      </w:r>
    </w:p>
    <w:p w14:paraId="40DC0C99">
      <w:pPr>
        <w:pStyle w:val="8"/>
        <w:spacing w:line="380" w:lineRule="exact"/>
        <w:ind w:firstLine="420"/>
        <w:rPr>
          <w:color w:val="auto"/>
          <w:highlight w:val="none"/>
        </w:rPr>
      </w:pPr>
      <w:r>
        <w:rPr>
          <w:rFonts w:hint="eastAsia"/>
          <w:color w:val="auto"/>
          <w:highlight w:val="none"/>
        </w:rPr>
        <w:t>（1）谈判供应商在竞争性谈判有效期内撤回竞争性谈判响应文件的；</w:t>
      </w:r>
    </w:p>
    <w:p w14:paraId="508CCB65">
      <w:pPr>
        <w:pStyle w:val="8"/>
        <w:spacing w:line="380" w:lineRule="exact"/>
        <w:ind w:firstLine="420"/>
        <w:rPr>
          <w:color w:val="auto"/>
          <w:highlight w:val="none"/>
        </w:rPr>
      </w:pPr>
      <w:r>
        <w:rPr>
          <w:rFonts w:hint="eastAsia"/>
          <w:color w:val="auto"/>
          <w:highlight w:val="none"/>
        </w:rPr>
        <w:t>（2）谈判供应商在竞争性谈判响应文件中提供虚假材料的；</w:t>
      </w:r>
    </w:p>
    <w:p w14:paraId="060D60AA">
      <w:pPr>
        <w:pStyle w:val="8"/>
        <w:spacing w:line="380" w:lineRule="exact"/>
        <w:ind w:firstLine="420"/>
        <w:rPr>
          <w:color w:val="auto"/>
          <w:highlight w:val="none"/>
        </w:rPr>
      </w:pPr>
      <w:r>
        <w:rPr>
          <w:rFonts w:hint="eastAsia"/>
          <w:color w:val="auto"/>
          <w:highlight w:val="none"/>
        </w:rPr>
        <w:t>（3）除因不可抗力或竞争性谈判文件认可的情形以外，成交供应商不与采购人签订合同的；</w:t>
      </w:r>
    </w:p>
    <w:p w14:paraId="76CE1788">
      <w:pPr>
        <w:pStyle w:val="8"/>
        <w:spacing w:line="380" w:lineRule="exact"/>
        <w:ind w:firstLine="420"/>
        <w:rPr>
          <w:rFonts w:hint="eastAsia"/>
          <w:color w:val="auto"/>
          <w:highlight w:val="none"/>
        </w:rPr>
      </w:pPr>
      <w:r>
        <w:rPr>
          <w:rFonts w:hint="eastAsia"/>
          <w:color w:val="auto"/>
          <w:highlight w:val="none"/>
        </w:rPr>
        <w:t>（4）谈判供应商与采购人、其他供应商或者采购代理机构恶意串通的。</w:t>
      </w:r>
    </w:p>
    <w:p w14:paraId="3B40DCD5">
      <w:pPr>
        <w:snapToGrid w:val="0"/>
        <w:spacing w:line="440" w:lineRule="exact"/>
        <w:ind w:firstLine="411" w:firstLineChars="196"/>
        <w:jc w:val="left"/>
        <w:rPr>
          <w:rFonts w:hint="eastAsia" w:ascii="宋体" w:hAnsi="宋体"/>
          <w:color w:val="auto"/>
          <w:highlight w:val="none"/>
        </w:rPr>
      </w:pPr>
      <w:r>
        <w:rPr>
          <w:rFonts w:hint="eastAsia" w:ascii="宋体" w:hAnsi="宋体"/>
          <w:color w:val="auto"/>
          <w:highlight w:val="none"/>
        </w:rPr>
        <w:t>（5） 谈判文件规定的其他情形。</w:t>
      </w:r>
    </w:p>
    <w:p w14:paraId="5DFFF3A0">
      <w:pPr>
        <w:spacing w:line="380" w:lineRule="exact"/>
        <w:ind w:firstLine="420"/>
        <w:rPr>
          <w:rFonts w:ascii="宋体" w:hAnsi="宋体"/>
          <w:b w:val="0"/>
          <w:bCs/>
          <w:color w:val="auto"/>
          <w:highlight w:val="none"/>
        </w:rPr>
      </w:pPr>
      <w:r>
        <w:rPr>
          <w:rFonts w:hint="eastAsia" w:ascii="宋体" w:hAnsi="宋体"/>
          <w:b w:val="0"/>
          <w:bCs/>
          <w:color w:val="auto"/>
          <w:szCs w:val="21"/>
          <w:highlight w:val="none"/>
        </w:rPr>
        <w:t>注：</w:t>
      </w:r>
      <w:r>
        <w:rPr>
          <w:rFonts w:hint="eastAsia" w:ascii="宋体" w:hAnsi="宋体" w:cs="宋体"/>
          <w:b w:val="0"/>
          <w:bCs/>
          <w:color w:val="auto"/>
          <w:szCs w:val="21"/>
          <w:highlight w:val="none"/>
        </w:rPr>
        <w:t>谈判供应商</w:t>
      </w:r>
      <w:r>
        <w:rPr>
          <w:rFonts w:hint="eastAsia" w:ascii="宋体" w:hAnsi="宋体"/>
          <w:b w:val="0"/>
          <w:bCs/>
          <w:color w:val="auto"/>
          <w:highlight w:val="none"/>
        </w:rPr>
        <w:t>已经被推荐为第一成交候选人后撤回</w:t>
      </w:r>
      <w:r>
        <w:rPr>
          <w:rFonts w:hint="eastAsia" w:ascii="宋体" w:hAnsi="宋体"/>
          <w:b w:val="0"/>
          <w:bCs/>
          <w:color w:val="auto"/>
          <w:szCs w:val="21"/>
          <w:highlight w:val="none"/>
        </w:rPr>
        <w:t>竞争性谈判</w:t>
      </w:r>
      <w:r>
        <w:rPr>
          <w:rFonts w:hint="eastAsia" w:ascii="宋体" w:hAnsi="宋体" w:cs="宋体"/>
          <w:b w:val="0"/>
          <w:bCs/>
          <w:color w:val="auto"/>
          <w:szCs w:val="21"/>
          <w:highlight w:val="none"/>
        </w:rPr>
        <w:t>响应文件</w:t>
      </w:r>
      <w:r>
        <w:rPr>
          <w:rFonts w:hint="eastAsia" w:ascii="宋体" w:hAnsi="宋体"/>
          <w:b w:val="0"/>
          <w:bCs/>
          <w:color w:val="auto"/>
          <w:highlight w:val="none"/>
        </w:rPr>
        <w:t>或</w:t>
      </w:r>
      <w:r>
        <w:rPr>
          <w:rFonts w:hint="eastAsia" w:ascii="宋体" w:hAnsi="宋体" w:cs="宋体"/>
          <w:b w:val="0"/>
          <w:bCs/>
          <w:color w:val="auto"/>
          <w:szCs w:val="21"/>
          <w:highlight w:val="none"/>
        </w:rPr>
        <w:t>拒绝签订政府采购合同的</w:t>
      </w:r>
      <w:r>
        <w:rPr>
          <w:rFonts w:hint="eastAsia" w:ascii="宋体" w:hAnsi="宋体"/>
          <w:b w:val="0"/>
          <w:bCs/>
          <w:color w:val="auto"/>
          <w:highlight w:val="none"/>
        </w:rPr>
        <w:t>，</w:t>
      </w:r>
      <w:r>
        <w:rPr>
          <w:rFonts w:hint="eastAsia"/>
          <w:b w:val="0"/>
          <w:bCs/>
          <w:color w:val="auto"/>
          <w:highlight w:val="none"/>
        </w:rPr>
        <w:t>其保证金将不予退还，并上缴国库，给采购人造成其损失的，还应当赔偿损失，并作为不良行为记录在案</w:t>
      </w:r>
      <w:r>
        <w:rPr>
          <w:rFonts w:hint="eastAsia" w:ascii="宋体" w:hAnsi="宋体"/>
          <w:b w:val="0"/>
          <w:bCs/>
          <w:color w:val="auto"/>
          <w:highlight w:val="none"/>
        </w:rPr>
        <w:t>。</w:t>
      </w:r>
    </w:p>
    <w:p w14:paraId="52C6989B">
      <w:pPr>
        <w:spacing w:line="380" w:lineRule="exact"/>
        <w:ind w:firstLine="422"/>
        <w:rPr>
          <w:rFonts w:ascii="宋体" w:hAnsi="宋体"/>
          <w:b/>
          <w:color w:val="auto"/>
          <w:szCs w:val="21"/>
          <w:highlight w:val="none"/>
        </w:rPr>
      </w:pPr>
      <w:r>
        <w:rPr>
          <w:rFonts w:hint="eastAsia" w:ascii="宋体" w:hAnsi="宋体"/>
          <w:b/>
          <w:color w:val="auto"/>
          <w:szCs w:val="21"/>
          <w:highlight w:val="none"/>
        </w:rPr>
        <w:t>五</w:t>
      </w:r>
      <w:r>
        <w:rPr>
          <w:rFonts w:hint="eastAsia"/>
          <w:b/>
          <w:color w:val="auto"/>
          <w:highlight w:val="none"/>
        </w:rPr>
        <w:t>、谈判程序</w:t>
      </w:r>
      <w:r>
        <w:rPr>
          <w:rFonts w:hint="eastAsia" w:ascii="宋体" w:hAnsi="宋体"/>
          <w:b/>
          <w:color w:val="auto"/>
          <w:szCs w:val="21"/>
          <w:highlight w:val="none"/>
        </w:rPr>
        <w:t>及</w:t>
      </w:r>
      <w:r>
        <w:rPr>
          <w:rFonts w:hint="eastAsia"/>
          <w:b/>
          <w:color w:val="auto"/>
          <w:highlight w:val="none"/>
        </w:rPr>
        <w:t>评标方法</w:t>
      </w:r>
    </w:p>
    <w:p w14:paraId="5A5D7C59">
      <w:pPr>
        <w:spacing w:line="380" w:lineRule="exact"/>
        <w:ind w:firstLine="420"/>
        <w:rPr>
          <w:color w:val="auto"/>
          <w:highlight w:val="none"/>
        </w:rPr>
      </w:pPr>
      <w:r>
        <w:rPr>
          <w:rFonts w:hint="eastAsia"/>
          <w:color w:val="auto"/>
          <w:highlight w:val="none"/>
        </w:rPr>
        <w:t>（一）在谈判正式开始前由谈判小组对竞争性谈判文件进行确认，认可竞争性谈判文件的内容符合法律法规的规定、不存在歧视性或排他性内容。</w:t>
      </w:r>
    </w:p>
    <w:p w14:paraId="77B98BD4">
      <w:pPr>
        <w:spacing w:line="380" w:lineRule="exact"/>
        <w:ind w:firstLine="420"/>
        <w:rPr>
          <w:color w:val="auto"/>
          <w:highlight w:val="none"/>
        </w:rPr>
      </w:pPr>
      <w:r>
        <w:rPr>
          <w:rFonts w:hint="eastAsia"/>
          <w:color w:val="auto"/>
          <w:highlight w:val="none"/>
        </w:rPr>
        <w:t>（二）竞争性谈判响应文件无效的情形：</w:t>
      </w:r>
    </w:p>
    <w:p w14:paraId="5F996634">
      <w:pPr>
        <w:spacing w:line="380" w:lineRule="exact"/>
        <w:ind w:firstLine="420"/>
        <w:rPr>
          <w:color w:val="auto"/>
          <w:highlight w:val="none"/>
        </w:rPr>
      </w:pPr>
      <w:r>
        <w:rPr>
          <w:rFonts w:hint="eastAsia"/>
          <w:color w:val="auto"/>
          <w:highlight w:val="none"/>
        </w:rPr>
        <w:t>1.未实质性响应竞争性谈判文件的竞争性谈判响应文件按无效处理。</w:t>
      </w:r>
    </w:p>
    <w:p w14:paraId="1DA8A782">
      <w:pPr>
        <w:spacing w:line="380" w:lineRule="exact"/>
        <w:ind w:firstLine="420"/>
        <w:rPr>
          <w:color w:val="auto"/>
          <w:highlight w:val="none"/>
        </w:rPr>
      </w:pPr>
      <w:r>
        <w:rPr>
          <w:rFonts w:hint="eastAsia"/>
          <w:color w:val="auto"/>
          <w:highlight w:val="none"/>
        </w:rPr>
        <w:t>2.有下列情形之一的视为供应商相互串通参与谈判活动，竞争性谈判响应文件将被视为无效：</w:t>
      </w:r>
    </w:p>
    <w:p w14:paraId="4B8E9B62">
      <w:pPr>
        <w:spacing w:line="380" w:lineRule="exact"/>
        <w:ind w:firstLine="420"/>
        <w:rPr>
          <w:color w:val="auto"/>
          <w:highlight w:val="none"/>
        </w:rPr>
      </w:pPr>
      <w:r>
        <w:rPr>
          <w:rFonts w:hint="eastAsia"/>
          <w:color w:val="auto"/>
          <w:highlight w:val="none"/>
        </w:rPr>
        <w:t>（1）不同供应商的竞争性谈判响应文件由同一单位或者个人编制；或不同供应商报名的IP地址一致的；</w:t>
      </w:r>
    </w:p>
    <w:p w14:paraId="27A1042F">
      <w:pPr>
        <w:spacing w:line="380" w:lineRule="exact"/>
        <w:ind w:firstLine="420"/>
        <w:rPr>
          <w:color w:val="auto"/>
          <w:highlight w:val="none"/>
        </w:rPr>
      </w:pPr>
      <w:r>
        <w:rPr>
          <w:rFonts w:hint="eastAsia"/>
          <w:color w:val="auto"/>
          <w:highlight w:val="none"/>
        </w:rPr>
        <w:t>（2）不同供应商委托同一单位或者个人办理谈判活动事宜；</w:t>
      </w:r>
    </w:p>
    <w:p w14:paraId="75F96134">
      <w:pPr>
        <w:spacing w:line="380" w:lineRule="exact"/>
        <w:ind w:firstLine="420"/>
        <w:rPr>
          <w:color w:val="auto"/>
          <w:highlight w:val="none"/>
        </w:rPr>
      </w:pPr>
      <w:r>
        <w:rPr>
          <w:rFonts w:hint="eastAsia"/>
          <w:color w:val="auto"/>
          <w:highlight w:val="none"/>
        </w:rPr>
        <w:t>（3）不同的供应商的竞争性谈判响应文件载明的项目管理员为同一个人；</w:t>
      </w:r>
    </w:p>
    <w:p w14:paraId="2BF06CF6">
      <w:pPr>
        <w:spacing w:line="380" w:lineRule="exact"/>
        <w:ind w:firstLine="420"/>
        <w:rPr>
          <w:color w:val="auto"/>
          <w:highlight w:val="none"/>
        </w:rPr>
      </w:pPr>
      <w:r>
        <w:rPr>
          <w:rFonts w:hint="eastAsia"/>
          <w:color w:val="auto"/>
          <w:highlight w:val="none"/>
        </w:rPr>
        <w:t>（4）不同供应商的竞争性谈判响应文件异常一致或谈判报价呈规律性差异；</w:t>
      </w:r>
    </w:p>
    <w:p w14:paraId="224C4E6B">
      <w:pPr>
        <w:spacing w:line="380" w:lineRule="exact"/>
        <w:ind w:firstLine="420"/>
        <w:rPr>
          <w:color w:val="auto"/>
          <w:highlight w:val="none"/>
        </w:rPr>
      </w:pPr>
      <w:r>
        <w:rPr>
          <w:rFonts w:hint="eastAsia"/>
          <w:color w:val="auto"/>
          <w:highlight w:val="none"/>
        </w:rPr>
        <w:t>（5）不同供应商的竞争性谈判响应文件相互混装；</w:t>
      </w:r>
    </w:p>
    <w:p w14:paraId="497B458E">
      <w:pPr>
        <w:spacing w:line="380" w:lineRule="exact"/>
        <w:ind w:firstLine="420"/>
        <w:rPr>
          <w:color w:val="auto"/>
          <w:highlight w:val="none"/>
        </w:rPr>
      </w:pPr>
      <w:r>
        <w:rPr>
          <w:rFonts w:hint="eastAsia"/>
          <w:color w:val="auto"/>
          <w:highlight w:val="none"/>
        </w:rPr>
        <w:t>（6）不同供应商的保证金从同一单位或者个人账户转出。</w:t>
      </w:r>
    </w:p>
    <w:p w14:paraId="57846171">
      <w:pPr>
        <w:widowControl/>
        <w:spacing w:line="400" w:lineRule="exact"/>
        <w:ind w:firstLine="420" w:firstLineChars="200"/>
        <w:jc w:val="left"/>
        <w:rPr>
          <w:rFonts w:hint="eastAsia" w:ascii="宋体" w:hAnsi="宋体"/>
          <w:bCs/>
          <w:color w:val="auto"/>
          <w:kern w:val="0"/>
          <w:highlight w:val="none"/>
        </w:rPr>
      </w:pPr>
      <w:r>
        <w:rPr>
          <w:rFonts w:hint="eastAsia"/>
          <w:color w:val="auto"/>
          <w:highlight w:val="none"/>
        </w:rPr>
        <w:t>3.</w:t>
      </w:r>
      <w:r>
        <w:rPr>
          <w:rFonts w:hint="eastAsia" w:ascii="宋体" w:hAnsi="宋体"/>
          <w:bCs/>
          <w:color w:val="auto"/>
          <w:kern w:val="0"/>
          <w:highlight w:val="none"/>
        </w:rPr>
        <w:t>其他竞标无效的情形：</w:t>
      </w:r>
    </w:p>
    <w:p w14:paraId="0F14C37F">
      <w:pPr>
        <w:widowControl/>
        <w:spacing w:line="400" w:lineRule="exact"/>
        <w:ind w:firstLine="420" w:firstLineChars="200"/>
        <w:jc w:val="left"/>
        <w:rPr>
          <w:rFonts w:hint="eastAsia" w:ascii="宋体" w:hAnsi="宋体"/>
          <w:b w:val="0"/>
          <w:bCs w:val="0"/>
          <w:color w:val="auto"/>
          <w:kern w:val="0"/>
          <w:highlight w:val="none"/>
        </w:rPr>
      </w:pPr>
      <w:r>
        <w:rPr>
          <w:rFonts w:hint="eastAsia" w:ascii="宋体" w:hAnsi="宋体"/>
          <w:b w:val="0"/>
          <w:bCs w:val="0"/>
          <w:color w:val="auto"/>
          <w:kern w:val="0"/>
          <w:highlight w:val="none"/>
        </w:rPr>
        <w:t>（1）竞争性谈判响应文件未按竞争性谈判文件要求签署或CA电子签章的；</w:t>
      </w:r>
    </w:p>
    <w:p w14:paraId="56CB189F">
      <w:pPr>
        <w:widowControl/>
        <w:spacing w:line="400" w:lineRule="exact"/>
        <w:ind w:firstLine="420" w:firstLineChars="200"/>
        <w:jc w:val="left"/>
        <w:rPr>
          <w:rFonts w:hint="eastAsia" w:ascii="宋体" w:hAnsi="宋体"/>
          <w:b w:val="0"/>
          <w:bCs w:val="0"/>
          <w:color w:val="auto"/>
          <w:kern w:val="0"/>
          <w:highlight w:val="none"/>
        </w:rPr>
      </w:pPr>
      <w:r>
        <w:rPr>
          <w:rFonts w:hint="eastAsia" w:ascii="宋体" w:hAnsi="宋体"/>
          <w:b w:val="0"/>
          <w:bCs w:val="0"/>
          <w:color w:val="auto"/>
          <w:kern w:val="0"/>
          <w:highlight w:val="none"/>
        </w:rPr>
        <w:t>（2）供应商提交</w:t>
      </w:r>
      <w:r>
        <w:rPr>
          <w:rFonts w:hint="eastAsia" w:ascii="宋体" w:hAnsi="宋体"/>
          <w:b w:val="0"/>
          <w:bCs w:val="0"/>
          <w:color w:val="auto"/>
          <w:kern w:val="0"/>
          <w:highlight w:val="none"/>
          <w:lang w:val="en-US" w:eastAsia="zh-CN"/>
        </w:rPr>
        <w:t>2</w:t>
      </w:r>
      <w:r>
        <w:rPr>
          <w:rFonts w:hint="eastAsia" w:ascii="宋体" w:hAnsi="宋体"/>
          <w:b w:val="0"/>
          <w:bCs w:val="0"/>
          <w:color w:val="auto"/>
          <w:kern w:val="0"/>
          <w:highlight w:val="none"/>
        </w:rPr>
        <w:t>份或</w:t>
      </w:r>
      <w:r>
        <w:rPr>
          <w:rFonts w:hint="eastAsia" w:ascii="宋体" w:hAnsi="宋体"/>
          <w:b w:val="0"/>
          <w:bCs w:val="0"/>
          <w:color w:val="auto"/>
          <w:kern w:val="0"/>
          <w:highlight w:val="none"/>
          <w:lang w:val="en-US" w:eastAsia="zh-CN"/>
        </w:rPr>
        <w:t>2</w:t>
      </w:r>
      <w:r>
        <w:rPr>
          <w:rFonts w:hint="eastAsia" w:ascii="宋体" w:hAnsi="宋体"/>
          <w:b w:val="0"/>
          <w:bCs w:val="0"/>
          <w:color w:val="auto"/>
          <w:kern w:val="0"/>
          <w:highlight w:val="none"/>
        </w:rPr>
        <w:t>份以上内容不同的竞争性谈判响应文件；</w:t>
      </w:r>
    </w:p>
    <w:p w14:paraId="72393F46">
      <w:pPr>
        <w:widowControl/>
        <w:spacing w:line="400" w:lineRule="exact"/>
        <w:ind w:firstLine="420" w:firstLineChars="200"/>
        <w:jc w:val="left"/>
        <w:rPr>
          <w:rFonts w:ascii="宋体" w:hAnsi="宋体"/>
          <w:b w:val="0"/>
          <w:bCs w:val="0"/>
          <w:color w:val="auto"/>
          <w:kern w:val="0"/>
          <w:highlight w:val="none"/>
        </w:rPr>
      </w:pPr>
      <w:r>
        <w:rPr>
          <w:rFonts w:hint="eastAsia" w:ascii="宋体" w:hAnsi="宋体"/>
          <w:b w:val="0"/>
          <w:bCs w:val="0"/>
          <w:color w:val="auto"/>
          <w:kern w:val="0"/>
          <w:highlight w:val="none"/>
        </w:rPr>
        <w:t>（3）谈判</w:t>
      </w:r>
      <w:r>
        <w:rPr>
          <w:rFonts w:ascii="宋体" w:hAnsi="宋体"/>
          <w:b w:val="0"/>
          <w:bCs w:val="0"/>
          <w:color w:val="auto"/>
          <w:kern w:val="0"/>
          <w:highlight w:val="none"/>
        </w:rPr>
        <w:t>供应商在线制作</w:t>
      </w:r>
      <w:r>
        <w:rPr>
          <w:rFonts w:hint="eastAsia" w:ascii="宋体" w:hAnsi="宋体"/>
          <w:b w:val="0"/>
          <w:bCs w:val="0"/>
          <w:color w:val="auto"/>
          <w:kern w:val="0"/>
          <w:highlight w:val="none"/>
        </w:rPr>
        <w:t>竞争性谈判响应文件</w:t>
      </w:r>
      <w:r>
        <w:rPr>
          <w:rFonts w:ascii="宋体" w:hAnsi="宋体"/>
          <w:b w:val="0"/>
          <w:bCs w:val="0"/>
          <w:color w:val="auto"/>
          <w:kern w:val="0"/>
          <w:highlight w:val="none"/>
        </w:rPr>
        <w:t>时填写的</w:t>
      </w:r>
      <w:r>
        <w:rPr>
          <w:rFonts w:hint="eastAsia" w:ascii="宋体" w:hAnsi="宋体"/>
          <w:b w:val="0"/>
          <w:bCs w:val="0"/>
          <w:color w:val="auto"/>
          <w:kern w:val="0"/>
          <w:highlight w:val="none"/>
        </w:rPr>
        <w:t>报价</w:t>
      </w:r>
      <w:r>
        <w:rPr>
          <w:rFonts w:ascii="宋体" w:hAnsi="宋体"/>
          <w:b w:val="0"/>
          <w:bCs w:val="0"/>
          <w:color w:val="auto"/>
          <w:kern w:val="0"/>
          <w:highlight w:val="none"/>
        </w:rPr>
        <w:t>金额与解密后“电子加密</w:t>
      </w:r>
      <w:r>
        <w:rPr>
          <w:rFonts w:hint="eastAsia" w:ascii="宋体" w:hAnsi="宋体"/>
          <w:b w:val="0"/>
          <w:bCs w:val="0"/>
          <w:color w:val="auto"/>
          <w:kern w:val="0"/>
          <w:highlight w:val="none"/>
        </w:rPr>
        <w:t>响应</w:t>
      </w:r>
      <w:r>
        <w:rPr>
          <w:rFonts w:ascii="宋体" w:hAnsi="宋体"/>
          <w:b w:val="0"/>
          <w:bCs w:val="0"/>
          <w:color w:val="auto"/>
          <w:kern w:val="0"/>
          <w:highlight w:val="none"/>
        </w:rPr>
        <w:t>文件”中《</w:t>
      </w:r>
      <w:r>
        <w:rPr>
          <w:rFonts w:hint="eastAsia" w:ascii="宋体" w:hAnsi="宋体"/>
          <w:b w:val="0"/>
          <w:bCs w:val="0"/>
          <w:color w:val="auto"/>
          <w:kern w:val="0"/>
          <w:highlight w:val="none"/>
        </w:rPr>
        <w:t>报价文件</w:t>
      </w:r>
      <w:r>
        <w:rPr>
          <w:rFonts w:ascii="宋体" w:hAnsi="宋体"/>
          <w:b w:val="0"/>
          <w:bCs w:val="0"/>
          <w:color w:val="auto"/>
          <w:kern w:val="0"/>
          <w:highlight w:val="none"/>
        </w:rPr>
        <w:t>》填写的金额不一致并拒绝按</w:t>
      </w:r>
      <w:r>
        <w:rPr>
          <w:rFonts w:hint="eastAsia" w:ascii="宋体" w:hAnsi="宋体"/>
          <w:b w:val="0"/>
          <w:bCs w:val="0"/>
          <w:color w:val="auto"/>
          <w:kern w:val="0"/>
          <w:highlight w:val="none"/>
        </w:rPr>
        <w:t>采购</w:t>
      </w:r>
      <w:r>
        <w:rPr>
          <w:rFonts w:ascii="宋体" w:hAnsi="宋体"/>
          <w:b w:val="0"/>
          <w:bCs w:val="0"/>
          <w:color w:val="auto"/>
          <w:kern w:val="0"/>
          <w:highlight w:val="none"/>
        </w:rPr>
        <w:t>文件要求接受调整的；</w:t>
      </w:r>
    </w:p>
    <w:p w14:paraId="6C784FF9">
      <w:pPr>
        <w:widowControl/>
        <w:spacing w:line="400" w:lineRule="exact"/>
        <w:ind w:firstLine="420" w:firstLineChars="200"/>
        <w:jc w:val="left"/>
        <w:rPr>
          <w:rFonts w:hint="eastAsia" w:ascii="宋体" w:hAnsi="宋体"/>
          <w:color w:val="auto"/>
          <w:kern w:val="0"/>
          <w:highlight w:val="none"/>
        </w:rPr>
      </w:pPr>
      <w:r>
        <w:rPr>
          <w:rFonts w:hint="eastAsia" w:ascii="宋体" w:hAnsi="宋体"/>
          <w:b w:val="0"/>
          <w:bCs w:val="0"/>
          <w:color w:val="auto"/>
          <w:kern w:val="0"/>
          <w:highlight w:val="none"/>
        </w:rPr>
        <w:t>（4）</w:t>
      </w:r>
      <w:r>
        <w:rPr>
          <w:rFonts w:ascii="宋体" w:hAnsi="宋体"/>
          <w:b w:val="0"/>
          <w:bCs w:val="0"/>
          <w:color w:val="auto"/>
          <w:kern w:val="0"/>
          <w:highlight w:val="none"/>
        </w:rPr>
        <w:t>法律、法规和</w:t>
      </w:r>
      <w:r>
        <w:rPr>
          <w:rFonts w:hint="eastAsia" w:ascii="宋体" w:hAnsi="宋体"/>
          <w:b w:val="0"/>
          <w:bCs w:val="0"/>
          <w:color w:val="auto"/>
          <w:kern w:val="0"/>
          <w:highlight w:val="none"/>
        </w:rPr>
        <w:t>采购</w:t>
      </w:r>
      <w:r>
        <w:rPr>
          <w:rFonts w:ascii="宋体" w:hAnsi="宋体"/>
          <w:b w:val="0"/>
          <w:bCs w:val="0"/>
          <w:color w:val="auto"/>
          <w:kern w:val="0"/>
          <w:highlight w:val="none"/>
        </w:rPr>
        <w:t>文件规定的其他无效情形（或出现重大偏差）。</w:t>
      </w:r>
    </w:p>
    <w:p w14:paraId="63C222C2">
      <w:pPr>
        <w:spacing w:line="380" w:lineRule="exact"/>
        <w:ind w:firstLine="420"/>
        <w:rPr>
          <w:color w:val="auto"/>
          <w:highlight w:val="none"/>
        </w:rPr>
      </w:pPr>
      <w:r>
        <w:rPr>
          <w:rFonts w:hint="eastAsia"/>
          <w:color w:val="auto"/>
          <w:highlight w:val="none"/>
          <w:lang w:val="en-US" w:eastAsia="zh-CN"/>
        </w:rPr>
        <w:t>4</w:t>
      </w:r>
      <w:r>
        <w:rPr>
          <w:rFonts w:hint="eastAsia"/>
          <w:color w:val="auto"/>
          <w:highlight w:val="none"/>
        </w:rPr>
        <w:t>.被拒绝的响应文件为无效。</w:t>
      </w:r>
    </w:p>
    <w:p w14:paraId="358161AC">
      <w:pPr>
        <w:spacing w:line="380" w:lineRule="exact"/>
        <w:ind w:firstLine="422"/>
        <w:rPr>
          <w:b/>
          <w:color w:val="auto"/>
          <w:highlight w:val="none"/>
        </w:rPr>
      </w:pPr>
      <w:r>
        <w:rPr>
          <w:rFonts w:hint="eastAsia"/>
          <w:b/>
          <w:color w:val="auto"/>
          <w:highlight w:val="none"/>
        </w:rPr>
        <w:t xml:space="preserve">  谈判供应商竞争性谈判响应文件无效的，谈判小组应当告知有关供应商。</w:t>
      </w:r>
    </w:p>
    <w:p w14:paraId="43E58632">
      <w:pPr>
        <w:widowControl/>
        <w:spacing w:line="400" w:lineRule="exact"/>
        <w:ind w:firstLine="420" w:firstLineChars="200"/>
        <w:jc w:val="left"/>
        <w:rPr>
          <w:rFonts w:hint="eastAsia" w:ascii="宋体" w:hAnsi="宋体"/>
          <w:b w:val="0"/>
          <w:bCs w:val="0"/>
          <w:color w:val="auto"/>
          <w:kern w:val="0"/>
          <w:highlight w:val="none"/>
        </w:rPr>
      </w:pPr>
      <w:r>
        <w:rPr>
          <w:rFonts w:hint="eastAsia" w:ascii="宋体" w:hAnsi="宋体"/>
          <w:b w:val="0"/>
          <w:bCs w:val="0"/>
          <w:color w:val="auto"/>
          <w:kern w:val="0"/>
          <w:highlight w:val="none"/>
        </w:rPr>
        <w:t>11.1第一轮谈判</w:t>
      </w:r>
    </w:p>
    <w:p w14:paraId="5AEAC2EB">
      <w:pPr>
        <w:widowControl/>
        <w:spacing w:line="400" w:lineRule="exact"/>
        <w:ind w:firstLine="420" w:firstLineChars="200"/>
        <w:jc w:val="left"/>
        <w:rPr>
          <w:rFonts w:hint="eastAsia" w:ascii="宋体" w:hAnsi="宋体"/>
          <w:b w:val="0"/>
          <w:bCs w:val="0"/>
          <w:color w:val="auto"/>
          <w:kern w:val="0"/>
          <w:highlight w:val="none"/>
        </w:rPr>
      </w:pPr>
      <w:r>
        <w:rPr>
          <w:rFonts w:hint="eastAsia" w:ascii="宋体" w:hAnsi="宋体"/>
          <w:b w:val="0"/>
          <w:bCs w:val="0"/>
          <w:color w:val="auto"/>
          <w:kern w:val="0"/>
          <w:highlight w:val="none"/>
        </w:rPr>
        <w:t>（一）谈判准备</w:t>
      </w:r>
    </w:p>
    <w:p w14:paraId="15A85E83">
      <w:pPr>
        <w:widowControl/>
        <w:spacing w:line="400" w:lineRule="exact"/>
        <w:ind w:firstLine="420" w:firstLineChars="200"/>
        <w:jc w:val="left"/>
        <w:rPr>
          <w:rFonts w:hint="eastAsia" w:ascii="宋体" w:hAnsi="宋体"/>
          <w:b w:val="0"/>
          <w:bCs w:val="0"/>
          <w:color w:val="auto"/>
          <w:kern w:val="0"/>
          <w:highlight w:val="none"/>
        </w:rPr>
      </w:pPr>
      <w:r>
        <w:rPr>
          <w:rFonts w:hint="eastAsia" w:ascii="宋体" w:hAnsi="宋体"/>
          <w:b w:val="0"/>
          <w:bCs w:val="0"/>
          <w:color w:val="auto"/>
          <w:kern w:val="0"/>
          <w:highlight w:val="none"/>
        </w:rPr>
        <w:t>本中心将在规定的时间和地点进行电子谈判，谈判供应商的法定代表人或其委托代理人应做好谈判准备，准时在线参加电子谈判会议，随时关注谈判进度。</w:t>
      </w:r>
    </w:p>
    <w:p w14:paraId="1EEB9274">
      <w:pPr>
        <w:widowControl/>
        <w:spacing w:line="400" w:lineRule="exact"/>
        <w:ind w:firstLine="420" w:firstLineChars="200"/>
        <w:jc w:val="left"/>
        <w:rPr>
          <w:rFonts w:hint="eastAsia" w:ascii="宋体" w:hAnsi="宋体"/>
          <w:b w:val="0"/>
          <w:bCs w:val="0"/>
          <w:color w:val="auto"/>
          <w:kern w:val="0"/>
          <w:highlight w:val="none"/>
        </w:rPr>
      </w:pPr>
      <w:r>
        <w:rPr>
          <w:rFonts w:hint="eastAsia" w:ascii="宋体" w:hAnsi="宋体"/>
          <w:b w:val="0"/>
          <w:bCs w:val="0"/>
          <w:color w:val="auto"/>
          <w:kern w:val="0"/>
          <w:highlight w:val="none"/>
        </w:rPr>
        <w:t>（二） 第一轮谈判程序：</w:t>
      </w:r>
    </w:p>
    <w:p w14:paraId="7F603982">
      <w:pPr>
        <w:widowControl/>
        <w:spacing w:line="400" w:lineRule="exact"/>
        <w:ind w:firstLine="420" w:firstLineChars="200"/>
        <w:jc w:val="left"/>
        <w:rPr>
          <w:rFonts w:hint="eastAsia" w:ascii="宋体" w:hAnsi="宋体"/>
          <w:color w:val="auto"/>
          <w:kern w:val="0"/>
          <w:highlight w:val="none"/>
        </w:rPr>
      </w:pPr>
      <w:r>
        <w:rPr>
          <w:rFonts w:hint="eastAsia" w:ascii="宋体" w:hAnsi="宋体"/>
          <w:color w:val="auto"/>
          <w:kern w:val="0"/>
          <w:highlight w:val="none"/>
        </w:rPr>
        <w:t>1.谈判会由本中心主持，主持人宣布谈判会议开始；</w:t>
      </w:r>
    </w:p>
    <w:p w14:paraId="6C074E7D">
      <w:pPr>
        <w:widowControl/>
        <w:spacing w:line="400" w:lineRule="exact"/>
        <w:ind w:firstLine="420" w:firstLineChars="200"/>
        <w:jc w:val="left"/>
        <w:rPr>
          <w:rFonts w:hint="eastAsia" w:ascii="宋体" w:hAnsi="宋体"/>
          <w:color w:val="auto"/>
          <w:kern w:val="0"/>
          <w:highlight w:val="none"/>
        </w:rPr>
      </w:pPr>
      <w:r>
        <w:rPr>
          <w:rFonts w:hint="eastAsia" w:ascii="宋体" w:hAnsi="宋体"/>
          <w:color w:val="auto"/>
          <w:kern w:val="0"/>
          <w:highlight w:val="none"/>
        </w:rPr>
        <w:t xml:space="preserve">2.主持人介绍参加谈判会的人员名单； </w:t>
      </w:r>
    </w:p>
    <w:p w14:paraId="71AFA2DA">
      <w:pPr>
        <w:widowControl/>
        <w:spacing w:line="400" w:lineRule="exact"/>
        <w:ind w:firstLine="420" w:firstLineChars="200"/>
        <w:jc w:val="left"/>
        <w:rPr>
          <w:rFonts w:hint="eastAsia" w:ascii="宋体" w:hAnsi="宋体"/>
          <w:color w:val="auto"/>
          <w:kern w:val="0"/>
          <w:highlight w:val="none"/>
        </w:rPr>
      </w:pPr>
      <w:r>
        <w:rPr>
          <w:rFonts w:hint="eastAsia" w:ascii="宋体" w:hAnsi="宋体"/>
          <w:color w:val="auto"/>
          <w:kern w:val="0"/>
          <w:highlight w:val="none"/>
        </w:rPr>
        <w:t>3.主持人宣布谈判会议纪律及评审期间的有关事项；告知应当回避的情形,提请有关人员回避；</w:t>
      </w:r>
    </w:p>
    <w:p w14:paraId="23BF3916">
      <w:pPr>
        <w:widowControl/>
        <w:spacing w:line="400" w:lineRule="exact"/>
        <w:ind w:firstLine="420" w:firstLineChars="200"/>
        <w:jc w:val="left"/>
        <w:rPr>
          <w:rFonts w:hint="eastAsia" w:ascii="宋体" w:hAnsi="宋体"/>
          <w:color w:val="auto"/>
          <w:kern w:val="0"/>
          <w:highlight w:val="none"/>
        </w:rPr>
      </w:pPr>
      <w:r>
        <w:rPr>
          <w:rFonts w:hint="eastAsia" w:ascii="宋体" w:hAnsi="宋体"/>
          <w:color w:val="auto"/>
          <w:kern w:val="0"/>
          <w:highlight w:val="none"/>
        </w:rPr>
        <w:t>4.谈判及评审程序</w:t>
      </w:r>
    </w:p>
    <w:p w14:paraId="6131979A">
      <w:pPr>
        <w:widowControl/>
        <w:spacing w:line="400" w:lineRule="exact"/>
        <w:ind w:firstLine="420" w:firstLineChars="200"/>
        <w:jc w:val="left"/>
        <w:rPr>
          <w:rFonts w:hint="eastAsia" w:ascii="宋体" w:hAnsi="宋体"/>
          <w:color w:val="auto"/>
          <w:kern w:val="0"/>
          <w:highlight w:val="none"/>
        </w:rPr>
      </w:pPr>
      <w:r>
        <w:rPr>
          <w:rFonts w:hint="eastAsia" w:ascii="宋体" w:hAnsi="宋体"/>
          <w:color w:val="auto"/>
          <w:kern w:val="0"/>
          <w:highlight w:val="none"/>
        </w:rPr>
        <w:t>（1）在谈判开始时间截止后30分钟内由各供应商自行对谈判响应文件进行解密；</w:t>
      </w:r>
    </w:p>
    <w:p w14:paraId="75EC0A32">
      <w:pPr>
        <w:widowControl/>
        <w:spacing w:line="400" w:lineRule="exact"/>
        <w:ind w:firstLine="420" w:firstLineChars="200"/>
        <w:jc w:val="left"/>
        <w:rPr>
          <w:rFonts w:hint="eastAsia" w:ascii="宋体" w:hAnsi="宋体"/>
          <w:color w:val="auto"/>
          <w:kern w:val="0"/>
          <w:highlight w:val="none"/>
        </w:rPr>
      </w:pPr>
      <w:r>
        <w:rPr>
          <w:rFonts w:hint="eastAsia" w:ascii="宋体" w:hAnsi="宋体"/>
          <w:color w:val="auto"/>
          <w:kern w:val="0"/>
          <w:highlight w:val="none"/>
        </w:rPr>
        <w:t>（2）由谈判小组进行资格审查和符合性审查，审查结束后，在线通知无效谈判供应商谈判响应文件无效理由，有效谈判供应商进入谈判程序。</w:t>
      </w:r>
    </w:p>
    <w:p w14:paraId="28CE6DEF">
      <w:pPr>
        <w:widowControl/>
        <w:spacing w:line="400" w:lineRule="exact"/>
        <w:ind w:firstLine="420" w:firstLineChars="200"/>
        <w:jc w:val="left"/>
        <w:rPr>
          <w:rFonts w:hint="eastAsia" w:ascii="宋体" w:hAnsi="宋体"/>
          <w:color w:val="auto"/>
          <w:kern w:val="0"/>
          <w:highlight w:val="none"/>
        </w:rPr>
      </w:pPr>
      <w:r>
        <w:rPr>
          <w:rFonts w:hint="eastAsia" w:ascii="宋体" w:hAnsi="宋体"/>
          <w:color w:val="auto"/>
          <w:kern w:val="0"/>
          <w:highlight w:val="none"/>
        </w:rPr>
        <w:t>（3）系统对各供应商的商务技术进行汇总；</w:t>
      </w:r>
    </w:p>
    <w:p w14:paraId="49D90A3A">
      <w:pPr>
        <w:widowControl/>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（4）谈判小组所有成员应当集中与单一供应商分别进行在线谈判，并给予所有参加谈判的供应商平等的谈判机会。</w:t>
      </w:r>
    </w:p>
    <w:p w14:paraId="05F88378">
      <w:pPr>
        <w:widowControl/>
        <w:spacing w:line="400" w:lineRule="exact"/>
        <w:ind w:firstLine="420" w:firstLineChars="200"/>
        <w:jc w:val="left"/>
        <w:rPr>
          <w:rFonts w:hint="eastAsia" w:ascii="宋体" w:hAnsi="宋体"/>
          <w:color w:val="auto"/>
          <w:kern w:val="0"/>
          <w:highlight w:val="none"/>
        </w:rPr>
      </w:pPr>
      <w:r>
        <w:rPr>
          <w:rFonts w:hint="eastAsia" w:ascii="宋体" w:hAnsi="宋体"/>
          <w:color w:val="auto"/>
          <w:kern w:val="0"/>
          <w:highlight w:val="none"/>
        </w:rPr>
        <w:t>（5）当谈判小组一致确定供应商的竞争性谈判响应文件能够详细列明采购标的的技术、服务要求且符合竞争性谈判文件要求，无需再谈判的，谈判小组按竞争性谈判文件设定的11.4、11.6程序和评标方法确定成交候选供应商。第一轮谈判后竞争性谈判文件有实质性变动或仍需谈判的，谈判小组对竞争性谈判文件变动或提出谈判意见后进行第二轮谈判。</w:t>
      </w:r>
    </w:p>
    <w:p w14:paraId="6BA97219">
      <w:pPr>
        <w:widowControl/>
        <w:spacing w:line="400" w:lineRule="exact"/>
        <w:ind w:firstLine="420" w:firstLineChars="200"/>
        <w:jc w:val="left"/>
        <w:rPr>
          <w:rFonts w:hint="eastAsia" w:ascii="宋体" w:hAnsi="宋体"/>
          <w:color w:val="auto"/>
          <w:kern w:val="0"/>
          <w:highlight w:val="none"/>
        </w:rPr>
      </w:pPr>
      <w:r>
        <w:rPr>
          <w:rFonts w:hint="eastAsia" w:ascii="宋体" w:hAnsi="宋体"/>
          <w:color w:val="auto"/>
          <w:kern w:val="0"/>
          <w:highlight w:val="none"/>
        </w:rPr>
        <w:t>11.2竞争性谈判文件变动</w:t>
      </w:r>
    </w:p>
    <w:p w14:paraId="641EF08C">
      <w:pPr>
        <w:widowControl/>
        <w:spacing w:line="400" w:lineRule="exact"/>
        <w:ind w:firstLine="420" w:firstLineChars="200"/>
        <w:jc w:val="left"/>
        <w:rPr>
          <w:rFonts w:hint="eastAsia" w:ascii="宋体" w:hAnsi="宋体"/>
          <w:color w:val="auto"/>
          <w:kern w:val="0"/>
          <w:highlight w:val="none"/>
        </w:rPr>
      </w:pPr>
      <w:r>
        <w:rPr>
          <w:rFonts w:hint="eastAsia" w:ascii="宋体" w:hAnsi="宋体"/>
          <w:color w:val="auto"/>
          <w:kern w:val="0"/>
          <w:highlight w:val="none"/>
        </w:rPr>
        <w:t>⑴第一轮谈判结束后，由谈判小组组长主持，根据竞争性谈判文件和谈判情况结合第一轮谈判整体情况，可以对竞争性谈判文件采购需求中已事先明确的可能实质性变动采购需求中的技术、服务要求以及合同草案条款进行统一变动，但不得变动竞争性谈判文件中的其他内容。实质性变动的内容，须经采购人代表确认。</w:t>
      </w:r>
    </w:p>
    <w:p w14:paraId="08FABAC6">
      <w:pPr>
        <w:widowControl/>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对竞争性谈判文件作出的实质性变动是竞争性谈判文件的有效组成部分，谈判小组应当在询标规定时间内及时通知所有参加谈判的供应商，并要求供应商做出响应（需盖CA电子签章）。</w:t>
      </w:r>
    </w:p>
    <w:p w14:paraId="076D1995">
      <w:pPr>
        <w:widowControl/>
        <w:spacing w:line="400" w:lineRule="exact"/>
        <w:ind w:firstLine="420" w:firstLineChars="200"/>
        <w:jc w:val="left"/>
        <w:rPr>
          <w:rFonts w:hint="eastAsia" w:ascii="宋体" w:hAnsi="宋体"/>
          <w:color w:val="auto"/>
          <w:kern w:val="0"/>
          <w:highlight w:val="none"/>
        </w:rPr>
      </w:pPr>
      <w:r>
        <w:rPr>
          <w:rFonts w:hint="eastAsia" w:ascii="宋体" w:hAnsi="宋体"/>
          <w:color w:val="auto"/>
          <w:kern w:val="0"/>
          <w:highlight w:val="none"/>
        </w:rPr>
        <w:t>11.3第二轮谈判</w:t>
      </w:r>
    </w:p>
    <w:p w14:paraId="5735A514">
      <w:pPr>
        <w:widowControl/>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谈判小组集中就重新提交的响应材料或谈判小组提出的谈判意见与单一响应供应商分别进行在线谈判。</w:t>
      </w:r>
    </w:p>
    <w:p w14:paraId="7274F654">
      <w:pPr>
        <w:widowControl/>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谈判后，在询标规定时间内供应商根据谈判小组统一整理的谈判记录要求做出承诺（需盖CA电子签章）。</w:t>
      </w:r>
    </w:p>
    <w:p w14:paraId="78D25839">
      <w:pPr>
        <w:widowControl/>
        <w:spacing w:line="400" w:lineRule="exact"/>
        <w:ind w:firstLine="420" w:firstLineChars="200"/>
        <w:jc w:val="left"/>
        <w:rPr>
          <w:rFonts w:hint="eastAsia" w:ascii="宋体" w:hAnsi="宋体"/>
          <w:color w:val="auto"/>
          <w:kern w:val="0"/>
          <w:highlight w:val="none"/>
        </w:rPr>
      </w:pPr>
      <w:r>
        <w:rPr>
          <w:rFonts w:hint="eastAsia" w:ascii="宋体" w:hAnsi="宋体"/>
          <w:color w:val="auto"/>
          <w:kern w:val="0"/>
          <w:highlight w:val="none"/>
        </w:rPr>
        <w:t>当谈判小组一致确定供应商的竞争性谈判响应文件能够详细列明采购标的的技术、服务要求且符合竞争性谈判文件要求，无需再谈判的，谈判小组按竞争性谈判文件设定的11.4、11.6程序和评标方法确定成交候选供应商。第二轮谈判后竞争性谈判文件仍有实质性变动的或仍需谈判的，谈判小组对竞争性谈判文件变动或提出谈判意见后进行第三轮谈判。以此类推。</w:t>
      </w:r>
    </w:p>
    <w:p w14:paraId="3A1CAD03">
      <w:pPr>
        <w:widowControl/>
        <w:spacing w:line="400" w:lineRule="exact"/>
        <w:ind w:firstLine="420" w:firstLineChars="200"/>
        <w:jc w:val="left"/>
        <w:rPr>
          <w:rFonts w:hint="eastAsia" w:ascii="宋体" w:hAnsi="宋体"/>
          <w:color w:val="auto"/>
          <w:kern w:val="0"/>
          <w:highlight w:val="none"/>
        </w:rPr>
      </w:pPr>
      <w:r>
        <w:rPr>
          <w:rFonts w:hint="eastAsia" w:ascii="宋体" w:hAnsi="宋体"/>
          <w:color w:val="auto"/>
          <w:kern w:val="0"/>
          <w:highlight w:val="none"/>
        </w:rPr>
        <w:t>特别说明：</w:t>
      </w:r>
    </w:p>
    <w:p w14:paraId="7E720CD2">
      <w:pPr>
        <w:widowControl/>
        <w:spacing w:line="400" w:lineRule="exact"/>
        <w:ind w:firstLine="420" w:firstLineChars="200"/>
        <w:jc w:val="left"/>
        <w:rPr>
          <w:rFonts w:hint="eastAsia" w:ascii="宋体" w:hAnsi="宋体"/>
          <w:color w:val="auto"/>
          <w:kern w:val="0"/>
          <w:highlight w:val="none"/>
        </w:rPr>
      </w:pPr>
      <w:r>
        <w:rPr>
          <w:rFonts w:hint="eastAsia" w:ascii="宋体" w:hAnsi="宋体"/>
          <w:color w:val="auto"/>
          <w:kern w:val="0"/>
          <w:highlight w:val="none"/>
        </w:rPr>
        <w:t>政采云公司如对电子化开标及评审程序有调整的，按调整后的程序操作。</w:t>
      </w:r>
    </w:p>
    <w:p w14:paraId="47985608">
      <w:pPr>
        <w:widowControl/>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谈判评审在严格保密的情况下进行，谈判的任何一方不得透露与谈判有关的其他供应商的技术资料、价格和其他信息。</w:t>
      </w:r>
    </w:p>
    <w:p w14:paraId="0E42C584">
      <w:pPr>
        <w:widowControl/>
        <w:spacing w:line="400" w:lineRule="exact"/>
        <w:ind w:firstLine="420" w:firstLineChars="200"/>
        <w:jc w:val="left"/>
        <w:rPr>
          <w:rFonts w:hint="eastAsia" w:ascii="宋体" w:hAnsi="宋体"/>
          <w:color w:val="auto"/>
          <w:kern w:val="0"/>
          <w:highlight w:val="none"/>
        </w:rPr>
      </w:pPr>
      <w:r>
        <w:rPr>
          <w:rFonts w:hint="eastAsia" w:ascii="宋体" w:hAnsi="宋体"/>
          <w:color w:val="auto"/>
          <w:kern w:val="0"/>
          <w:highlight w:val="none"/>
        </w:rPr>
        <w:t>电子谈判过程中需要供应商在线确认的所有内容，供应商不予确认的应说明理由，超过规定时间未确认的，将被视为放弃确认或者无异议。</w:t>
      </w:r>
    </w:p>
    <w:p w14:paraId="1A618431">
      <w:pPr>
        <w:widowControl/>
        <w:spacing w:line="400" w:lineRule="exact"/>
        <w:ind w:firstLine="420" w:firstLineChars="200"/>
        <w:jc w:val="left"/>
        <w:rPr>
          <w:rFonts w:hint="eastAsia" w:ascii="宋体" w:hAnsi="宋体"/>
          <w:color w:val="auto"/>
          <w:kern w:val="0"/>
          <w:highlight w:val="none"/>
        </w:rPr>
      </w:pPr>
      <w:r>
        <w:rPr>
          <w:rFonts w:hint="eastAsia" w:ascii="宋体" w:hAnsi="宋体"/>
          <w:color w:val="auto"/>
          <w:kern w:val="0"/>
          <w:highlight w:val="none"/>
        </w:rPr>
        <w:t>澄清问题的形式：对响应文件中含义不明确、同类问题表述不一致或者有明显文字和计算错误的内容，谈判小组可要求供应商作出必要的澄清、说明或者纠正，供应商应在询标规定时间内进行澄清或说明（需盖CA电子签章），并不得超出采购文件的范围或者改变谈判响应文件的实质性内容。</w:t>
      </w:r>
    </w:p>
    <w:p w14:paraId="323B04ED">
      <w:pPr>
        <w:widowControl/>
        <w:spacing w:line="400" w:lineRule="exact"/>
        <w:ind w:firstLine="420" w:firstLineChars="200"/>
        <w:jc w:val="left"/>
        <w:rPr>
          <w:rFonts w:hint="eastAsia" w:ascii="宋体" w:hAnsi="宋体"/>
          <w:color w:val="auto"/>
          <w:kern w:val="0"/>
          <w:highlight w:val="none"/>
        </w:rPr>
      </w:pPr>
      <w:r>
        <w:rPr>
          <w:rFonts w:hint="eastAsia" w:ascii="宋体" w:hAnsi="宋体"/>
          <w:color w:val="auto"/>
          <w:kern w:val="0"/>
          <w:highlight w:val="none"/>
        </w:rPr>
        <w:t>11.4最后报价及成交候选供应商推荐</w:t>
      </w:r>
    </w:p>
    <w:p w14:paraId="4DC0D681">
      <w:pPr>
        <w:widowControl/>
        <w:spacing w:line="400" w:lineRule="exact"/>
        <w:ind w:firstLine="420" w:firstLineChars="200"/>
        <w:jc w:val="left"/>
        <w:rPr>
          <w:rFonts w:hint="eastAsia" w:ascii="宋体" w:hAnsi="宋体"/>
          <w:color w:val="auto"/>
          <w:kern w:val="0"/>
          <w:highlight w:val="none"/>
        </w:rPr>
      </w:pPr>
      <w:r>
        <w:rPr>
          <w:rFonts w:hint="eastAsia" w:ascii="宋体" w:hAnsi="宋体"/>
          <w:color w:val="auto"/>
          <w:kern w:val="0"/>
          <w:highlight w:val="none"/>
        </w:rPr>
        <w:t>谈判结束后，谈判小组要求所有继续参加谈判的供应商在规定时间内在线提交最后报价。继续参加谈判的供应商作最后报价，由其法定代表人(负责人)或授权代表CA电子签章后提交。</w:t>
      </w:r>
    </w:p>
    <w:p w14:paraId="4DF203FA">
      <w:pPr>
        <w:widowControl/>
        <w:tabs>
          <w:tab w:val="left" w:pos="540"/>
        </w:tabs>
        <w:spacing w:line="360" w:lineRule="exact"/>
        <w:ind w:firstLine="420"/>
        <w:jc w:val="left"/>
        <w:rPr>
          <w:rFonts w:ascii="宋体" w:hAnsi="宋体" w:cs="宋体"/>
          <w:color w:val="auto"/>
          <w:szCs w:val="21"/>
          <w:highlight w:val="none"/>
        </w:rPr>
      </w:pPr>
      <w:r>
        <w:rPr>
          <w:rFonts w:hint="eastAsia" w:ascii="宋体" w:hAnsi="宋体"/>
          <w:color w:val="auto"/>
          <w:szCs w:val="21"/>
          <w:highlight w:val="none"/>
        </w:rPr>
        <w:t>谈判小组</w:t>
      </w:r>
      <w:r>
        <w:rPr>
          <w:rFonts w:hint="eastAsia" w:ascii="宋体" w:hAnsi="宋体" w:cs="宋体"/>
          <w:color w:val="auto"/>
          <w:szCs w:val="21"/>
          <w:highlight w:val="none"/>
        </w:rPr>
        <w:t>从质量和服务均能满足</w:t>
      </w:r>
      <w:r>
        <w:rPr>
          <w:rFonts w:hint="eastAsia" w:ascii="宋体" w:hAnsi="宋体"/>
          <w:color w:val="auto"/>
          <w:szCs w:val="21"/>
          <w:highlight w:val="none"/>
        </w:rPr>
        <w:t>竞争性</w:t>
      </w:r>
      <w:r>
        <w:rPr>
          <w:rFonts w:hint="eastAsia" w:ascii="宋体" w:hAnsi="宋体" w:cs="宋体"/>
          <w:color w:val="auto"/>
          <w:szCs w:val="21"/>
          <w:highlight w:val="none"/>
        </w:rPr>
        <w:t>谈判文件实质性响应要求的供应商中，按照最后报价由低到高的顺序提出3名以上成交候选人，</w:t>
      </w:r>
      <w:r>
        <w:rPr>
          <w:rFonts w:hint="eastAsia"/>
          <w:bCs/>
          <w:color w:val="auto"/>
          <w:highlight w:val="none"/>
        </w:rPr>
        <w:t>最后报价相同时，由谈判小组根据</w:t>
      </w:r>
      <w:r>
        <w:rPr>
          <w:rFonts w:hint="eastAsia" w:ascii="宋体" w:hAnsi="宋体"/>
          <w:color w:val="auto"/>
          <w:szCs w:val="21"/>
          <w:highlight w:val="none"/>
        </w:rPr>
        <w:t>竞争性谈判</w:t>
      </w:r>
      <w:r>
        <w:rPr>
          <w:rFonts w:hint="eastAsia"/>
          <w:bCs/>
          <w:color w:val="auto"/>
          <w:highlight w:val="none"/>
        </w:rPr>
        <w:t>响应文件中技术、服务、合同条款情况确定排序，按确定排序由低到高的原则推荐成交候选人，</w:t>
      </w:r>
      <w:r>
        <w:rPr>
          <w:rFonts w:hint="eastAsia" w:ascii="宋体" w:hAnsi="宋体" w:cs="宋体"/>
          <w:color w:val="auto"/>
          <w:szCs w:val="21"/>
          <w:highlight w:val="none"/>
        </w:rPr>
        <w:t>并编写评审报告。最后报价是供应商</w:t>
      </w:r>
      <w:r>
        <w:rPr>
          <w:rFonts w:hint="eastAsia" w:ascii="宋体" w:hAnsi="宋体"/>
          <w:color w:val="auto"/>
          <w:szCs w:val="21"/>
          <w:highlight w:val="none"/>
        </w:rPr>
        <w:t>竞争性谈判</w:t>
      </w:r>
      <w:r>
        <w:rPr>
          <w:rFonts w:hint="eastAsia" w:ascii="宋体" w:hAnsi="宋体" w:cs="宋体"/>
          <w:color w:val="auto"/>
          <w:szCs w:val="21"/>
          <w:highlight w:val="none"/>
        </w:rPr>
        <w:t>响应文件的有效组成部分。</w:t>
      </w:r>
    </w:p>
    <w:p w14:paraId="33A039AB">
      <w:pPr>
        <w:widowControl/>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谈判小组按照少数服从多数的原则推荐成交候选供应商，采购程序继续进行。对评审报告有异议的谈判小组成员，应当明确不同意见并说明理由。谈判小组成员拒绝提出理由的，视为同意评审结果。</w:t>
      </w:r>
    </w:p>
    <w:p w14:paraId="3F78D76A">
      <w:pPr>
        <w:widowControl/>
        <w:spacing w:line="400" w:lineRule="exact"/>
        <w:ind w:firstLine="420" w:firstLineChars="200"/>
        <w:jc w:val="left"/>
        <w:rPr>
          <w:rFonts w:hint="eastAsia" w:ascii="宋体" w:hAnsi="宋体"/>
          <w:color w:val="auto"/>
          <w:kern w:val="0"/>
          <w:highlight w:val="none"/>
        </w:rPr>
      </w:pPr>
      <w:r>
        <w:rPr>
          <w:rFonts w:hint="eastAsia" w:ascii="宋体" w:hAnsi="宋体"/>
          <w:color w:val="auto"/>
          <w:kern w:val="0"/>
          <w:highlight w:val="none"/>
        </w:rPr>
        <w:t>11.5供应商的报价均超过了政府采购最高限价，采购人不能支付的，谈判活动终止。</w:t>
      </w:r>
    </w:p>
    <w:p w14:paraId="116834EB">
      <w:pPr>
        <w:widowControl/>
        <w:spacing w:line="400" w:lineRule="exact"/>
        <w:ind w:firstLine="420" w:firstLineChars="200"/>
        <w:jc w:val="left"/>
        <w:rPr>
          <w:rFonts w:hint="eastAsia" w:ascii="宋体" w:hAnsi="宋体"/>
          <w:color w:val="auto"/>
          <w:kern w:val="0"/>
          <w:highlight w:val="none"/>
        </w:rPr>
      </w:pPr>
      <w:r>
        <w:rPr>
          <w:rFonts w:hint="eastAsia" w:ascii="宋体" w:hAnsi="宋体"/>
          <w:color w:val="auto"/>
          <w:kern w:val="0"/>
          <w:highlight w:val="none"/>
        </w:rPr>
        <w:t>11.6</w:t>
      </w:r>
      <w:r>
        <w:rPr>
          <w:rFonts w:hint="eastAsia"/>
          <w:color w:val="auto"/>
          <w:highlight w:val="none"/>
        </w:rPr>
        <w:t>本采购项目的评审依据为竞争性谈判文件和竞争性谈判响应文件，采用的评标方法为</w:t>
      </w:r>
      <w:r>
        <w:rPr>
          <w:rFonts w:hint="eastAsia"/>
          <w:b/>
          <w:color w:val="auto"/>
          <w:sz w:val="21"/>
          <w:szCs w:val="21"/>
          <w:highlight w:val="none"/>
        </w:rPr>
        <w:t>最低评标价法</w:t>
      </w:r>
      <w:r>
        <w:rPr>
          <w:rFonts w:hint="eastAsia"/>
          <w:color w:val="auto"/>
          <w:highlight w:val="none"/>
        </w:rPr>
        <w:t>。</w:t>
      </w:r>
    </w:p>
    <w:p w14:paraId="094598C1">
      <w:pPr>
        <w:widowControl/>
        <w:spacing w:line="400" w:lineRule="exact"/>
        <w:ind w:firstLine="420" w:firstLineChars="200"/>
        <w:jc w:val="left"/>
        <w:rPr>
          <w:rFonts w:hint="eastAsia" w:ascii="宋体" w:hAnsi="宋体"/>
          <w:color w:val="auto"/>
          <w:kern w:val="0"/>
          <w:highlight w:val="none"/>
        </w:rPr>
      </w:pPr>
      <w:r>
        <w:rPr>
          <w:rFonts w:hint="eastAsia" w:ascii="宋体" w:hAnsi="宋体"/>
          <w:color w:val="auto"/>
          <w:kern w:val="0"/>
          <w:highlight w:val="none"/>
        </w:rPr>
        <w:t>11.7可中止电子交易活动的情形</w:t>
      </w:r>
    </w:p>
    <w:p w14:paraId="53385615">
      <w:pPr>
        <w:widowControl/>
        <w:spacing w:line="400" w:lineRule="exact"/>
        <w:ind w:firstLine="420" w:firstLineChars="200"/>
        <w:jc w:val="left"/>
        <w:rPr>
          <w:rFonts w:hint="eastAsia" w:ascii="宋体" w:hAnsi="宋体"/>
          <w:color w:val="auto"/>
          <w:kern w:val="0"/>
          <w:highlight w:val="none"/>
        </w:rPr>
      </w:pPr>
      <w:r>
        <w:rPr>
          <w:rFonts w:hint="eastAsia" w:ascii="宋体" w:hAnsi="宋体"/>
          <w:color w:val="auto"/>
          <w:kern w:val="0"/>
          <w:highlight w:val="none"/>
        </w:rPr>
        <w:t>采购过程中出现以下情形，导致电子交易平台无法正常运行，或者无法保证电子交易的公平、公正和安全时，本中心可中止电子标活动：</w:t>
      </w:r>
    </w:p>
    <w:p w14:paraId="685DBD3B">
      <w:pPr>
        <w:widowControl/>
        <w:spacing w:line="400" w:lineRule="exact"/>
        <w:ind w:firstLine="420" w:firstLineChars="200"/>
        <w:jc w:val="left"/>
        <w:rPr>
          <w:rFonts w:hint="eastAsia" w:ascii="宋体" w:hAnsi="宋体"/>
          <w:color w:val="auto"/>
          <w:kern w:val="0"/>
          <w:highlight w:val="none"/>
        </w:rPr>
      </w:pPr>
      <w:r>
        <w:rPr>
          <w:rFonts w:ascii="宋体" w:hAnsi="宋体"/>
          <w:color w:val="auto"/>
          <w:kern w:val="0"/>
          <w:highlight w:val="none"/>
        </w:rPr>
        <w:t>(1)</w:t>
      </w:r>
      <w:r>
        <w:rPr>
          <w:rFonts w:hint="eastAsia" w:ascii="宋体" w:hAnsi="宋体"/>
          <w:color w:val="auto"/>
          <w:kern w:val="0"/>
          <w:highlight w:val="none"/>
        </w:rPr>
        <w:t>电子交易平台发生故障而无法登录访问的；</w:t>
      </w:r>
    </w:p>
    <w:p w14:paraId="249A03B9">
      <w:pPr>
        <w:widowControl/>
        <w:spacing w:line="400" w:lineRule="exact"/>
        <w:ind w:firstLine="420" w:firstLineChars="200"/>
        <w:jc w:val="left"/>
        <w:rPr>
          <w:rFonts w:hint="eastAsia" w:ascii="宋体" w:hAns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电子交易平台应用或数据库出现错误，不能进行正常操作的；</w:t>
      </w:r>
    </w:p>
    <w:p w14:paraId="479D8285">
      <w:pPr>
        <w:widowControl/>
        <w:spacing w:line="400" w:lineRule="exact"/>
        <w:ind w:firstLine="420" w:firstLineChars="200"/>
        <w:jc w:val="left"/>
        <w:rPr>
          <w:rFonts w:hint="eastAsia" w:ascii="宋体" w:hAnsi="宋体"/>
          <w:color w:val="auto"/>
          <w:kern w:val="0"/>
          <w:highlight w:val="none"/>
        </w:rPr>
      </w:pPr>
      <w:r>
        <w:rPr>
          <w:rFonts w:ascii="宋体" w:hAnsi="宋体"/>
          <w:color w:val="auto"/>
          <w:kern w:val="0"/>
          <w:highlight w:val="none"/>
        </w:rPr>
        <w:t>(3)</w:t>
      </w:r>
      <w:r>
        <w:rPr>
          <w:rFonts w:hint="eastAsia" w:ascii="宋体" w:hAnsi="宋体"/>
          <w:color w:val="auto"/>
          <w:kern w:val="0"/>
          <w:highlight w:val="none"/>
        </w:rPr>
        <w:t>电子交易平台发现严重安全漏洞，有潜在泄密危险的；</w:t>
      </w:r>
    </w:p>
    <w:p w14:paraId="2C5BFC15">
      <w:pPr>
        <w:widowControl/>
        <w:spacing w:line="400" w:lineRule="exact"/>
        <w:ind w:firstLine="420" w:firstLineChars="200"/>
        <w:jc w:val="left"/>
        <w:rPr>
          <w:rFonts w:hint="eastAsia" w:ascii="宋体" w:hAnsi="宋体"/>
          <w:color w:val="auto"/>
          <w:kern w:val="0"/>
          <w:highlight w:val="none"/>
        </w:rPr>
      </w:pPr>
      <w:r>
        <w:rPr>
          <w:rFonts w:ascii="宋体" w:hAnsi="宋体"/>
          <w:color w:val="auto"/>
          <w:kern w:val="0"/>
          <w:highlight w:val="none"/>
        </w:rPr>
        <w:t>(4)</w:t>
      </w:r>
      <w:r>
        <w:rPr>
          <w:rFonts w:hint="eastAsia" w:ascii="宋体" w:hAnsi="宋体"/>
          <w:color w:val="auto"/>
          <w:kern w:val="0"/>
          <w:highlight w:val="none"/>
        </w:rPr>
        <w:t>病毒发作导致不能进行正常操作的；</w:t>
      </w:r>
    </w:p>
    <w:p w14:paraId="3E4DACA6">
      <w:pPr>
        <w:widowControl/>
        <w:spacing w:line="400" w:lineRule="exact"/>
        <w:ind w:firstLine="420" w:firstLineChars="200"/>
        <w:jc w:val="left"/>
        <w:rPr>
          <w:rFonts w:hint="eastAsia" w:ascii="宋体" w:hAnsi="宋体"/>
          <w:color w:val="auto"/>
          <w:kern w:val="0"/>
          <w:highlight w:val="none"/>
        </w:rPr>
      </w:pPr>
      <w:r>
        <w:rPr>
          <w:rFonts w:ascii="宋体" w:hAnsi="宋体"/>
          <w:color w:val="auto"/>
          <w:kern w:val="0"/>
          <w:highlight w:val="none"/>
        </w:rPr>
        <w:t>(5)</w:t>
      </w:r>
      <w:r>
        <w:rPr>
          <w:rFonts w:hint="eastAsia" w:ascii="宋体" w:hAnsi="宋体"/>
          <w:color w:val="auto"/>
          <w:kern w:val="0"/>
          <w:highlight w:val="none"/>
        </w:rPr>
        <w:t>其他无法保证电子交易的公平、公正和安全的情况。</w:t>
      </w:r>
    </w:p>
    <w:p w14:paraId="47EEC063">
      <w:pPr>
        <w:widowControl/>
        <w:spacing w:line="400" w:lineRule="exact"/>
        <w:ind w:firstLine="420" w:firstLineChars="200"/>
        <w:jc w:val="left"/>
        <w:rPr>
          <w:rFonts w:hint="eastAsia" w:ascii="宋体" w:hAnsi="宋体"/>
          <w:color w:val="auto"/>
          <w:kern w:val="0"/>
          <w:highlight w:val="none"/>
        </w:rPr>
      </w:pPr>
      <w:r>
        <w:rPr>
          <w:rFonts w:hint="eastAsia" w:ascii="宋体" w:hAnsi="宋体"/>
          <w:color w:val="auto"/>
          <w:kern w:val="0"/>
          <w:highlight w:val="none"/>
        </w:rPr>
        <w:t>出现前款规定情形，不影响采购公平、公正性的，本中心待上述情形消除后继续组织电子交易活动；影响或可能影响采购公平、公正性的，重新组织采购活动。</w:t>
      </w:r>
    </w:p>
    <w:p w14:paraId="4CB8F3FD">
      <w:pPr>
        <w:spacing w:line="340" w:lineRule="exact"/>
        <w:ind w:firstLine="422"/>
        <w:rPr>
          <w:rFonts w:ascii="宋体" w:hAnsi="宋体"/>
          <w:b/>
          <w:color w:val="auto"/>
          <w:szCs w:val="21"/>
          <w:highlight w:val="none"/>
        </w:rPr>
      </w:pPr>
      <w:r>
        <w:rPr>
          <w:rFonts w:hint="eastAsia" w:ascii="宋体" w:hAnsi="宋体"/>
          <w:b/>
          <w:color w:val="auto"/>
          <w:szCs w:val="21"/>
          <w:highlight w:val="none"/>
        </w:rPr>
        <w:t>六、确定成交供应商办法</w:t>
      </w:r>
    </w:p>
    <w:p w14:paraId="6465679D">
      <w:pPr>
        <w:widowControl/>
        <w:spacing w:line="340" w:lineRule="exact"/>
        <w:ind w:firstLine="525"/>
        <w:jc w:val="left"/>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1</w:t>
      </w:r>
      <w:r>
        <w:rPr>
          <w:rFonts w:ascii="宋体" w:hAnsi="宋体" w:cs="宋体"/>
          <w:color w:val="auto"/>
          <w:szCs w:val="21"/>
          <w:highlight w:val="none"/>
        </w:rPr>
        <w:t xml:space="preserve"> 根据以下原则确定成交供应商：</w:t>
      </w:r>
    </w:p>
    <w:p w14:paraId="36E99485">
      <w:pPr>
        <w:widowControl/>
        <w:spacing w:line="340" w:lineRule="exact"/>
        <w:ind w:firstLine="525"/>
        <w:jc w:val="left"/>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2质量和服务均能满足</w:t>
      </w:r>
      <w:r>
        <w:rPr>
          <w:rFonts w:hint="eastAsia"/>
          <w:color w:val="auto"/>
          <w:highlight w:val="none"/>
        </w:rPr>
        <w:t>竞争性谈判文件</w:t>
      </w:r>
      <w:r>
        <w:rPr>
          <w:rFonts w:hint="eastAsia" w:ascii="宋体" w:hAnsi="宋体" w:cs="宋体"/>
          <w:color w:val="auto"/>
          <w:szCs w:val="21"/>
          <w:highlight w:val="none"/>
        </w:rPr>
        <w:t>实质性响应要求的供应商中</w:t>
      </w:r>
      <w:r>
        <w:rPr>
          <w:rFonts w:ascii="宋体" w:hAnsi="宋体" w:cs="宋体"/>
          <w:color w:val="auto"/>
          <w:szCs w:val="21"/>
          <w:highlight w:val="none"/>
        </w:rPr>
        <w:t>按</w:t>
      </w:r>
      <w:r>
        <w:rPr>
          <w:rFonts w:hint="eastAsia" w:ascii="宋体" w:hAnsi="宋体" w:cs="宋体"/>
          <w:color w:val="auto"/>
          <w:szCs w:val="21"/>
          <w:highlight w:val="none"/>
        </w:rPr>
        <w:t>最后</w:t>
      </w:r>
      <w:r>
        <w:rPr>
          <w:rFonts w:ascii="宋体" w:hAnsi="宋体" w:cs="宋体"/>
          <w:color w:val="auto"/>
          <w:szCs w:val="21"/>
          <w:highlight w:val="none"/>
        </w:rPr>
        <w:t>报价最低的原则确定成交供应商</w:t>
      </w:r>
      <w:r>
        <w:rPr>
          <w:rFonts w:hint="eastAsia" w:ascii="宋体" w:hAnsi="宋体" w:cs="宋体"/>
          <w:color w:val="auto"/>
          <w:szCs w:val="21"/>
          <w:highlight w:val="none"/>
        </w:rPr>
        <w:t>。</w:t>
      </w:r>
    </w:p>
    <w:p w14:paraId="75ED6651">
      <w:pPr>
        <w:pStyle w:val="8"/>
        <w:spacing w:line="380" w:lineRule="exact"/>
        <w:ind w:firstLine="413"/>
        <w:rPr>
          <w:b/>
          <w:color w:val="auto"/>
          <w:highlight w:val="none"/>
        </w:rPr>
      </w:pPr>
      <w:r>
        <w:rPr>
          <w:rFonts w:hint="eastAsia"/>
          <w:b/>
          <w:color w:val="auto"/>
          <w:highlight w:val="none"/>
        </w:rPr>
        <w:t>七、成交结果公告</w:t>
      </w:r>
    </w:p>
    <w:p w14:paraId="46014154">
      <w:pPr>
        <w:widowControl/>
        <w:spacing w:line="380" w:lineRule="exact"/>
        <w:ind w:left="0" w:firstLine="420"/>
        <w:jc w:val="left"/>
        <w:rPr>
          <w:rFonts w:hint="eastAsia" w:ascii="宋体" w:hAnsi="宋体" w:eastAsia="宋体" w:cs="Times New Roman"/>
          <w:b w:val="0"/>
          <w:color w:val="auto"/>
          <w:szCs w:val="21"/>
          <w:highlight w:val="none"/>
        </w:rPr>
      </w:pPr>
      <w:r>
        <w:rPr>
          <w:rFonts w:hint="eastAsia" w:ascii="宋体" w:hAnsi="宋体" w:eastAsia="宋体" w:cs="Times New Roman"/>
          <w:b w:val="0"/>
          <w:bCs w:val="0"/>
          <w:color w:val="auto"/>
          <w:szCs w:val="21"/>
          <w:highlight w:val="none"/>
        </w:rPr>
        <w:t>13</w:t>
      </w:r>
      <w:r>
        <w:rPr>
          <w:rFonts w:hint="eastAsia" w:ascii="宋体" w:hAnsi="宋体" w:eastAsia="宋体" w:cs="Times New Roman"/>
          <w:b w:val="0"/>
          <w:bCs w:val="0"/>
          <w:color w:val="auto"/>
          <w:szCs w:val="21"/>
          <w:highlight w:val="none"/>
          <w:lang w:val="en-US" w:eastAsia="zh-CN"/>
        </w:rPr>
        <w:t>.</w:t>
      </w:r>
      <w:r>
        <w:rPr>
          <w:rFonts w:hint="eastAsia" w:ascii="宋体" w:hAnsi="宋体" w:eastAsia="宋体" w:cs="Times New Roman"/>
          <w:b w:val="0"/>
          <w:bCs w:val="0"/>
          <w:color w:val="auto"/>
          <w:szCs w:val="21"/>
          <w:highlight w:val="none"/>
        </w:rPr>
        <w:t>本中心在评审结束后</w:t>
      </w:r>
      <w:r>
        <w:rPr>
          <w:rFonts w:hint="eastAsia" w:ascii="宋体" w:hAnsi="宋体" w:eastAsia="宋体" w:cs="Times New Roman"/>
          <w:b w:val="0"/>
          <w:bCs w:val="0"/>
          <w:color w:val="auto"/>
          <w:szCs w:val="21"/>
          <w:highlight w:val="none"/>
          <w:lang w:val="en-US" w:eastAsia="zh-CN"/>
        </w:rPr>
        <w:t>2</w:t>
      </w:r>
      <w:r>
        <w:rPr>
          <w:rFonts w:hint="eastAsia" w:ascii="宋体" w:hAnsi="宋体" w:eastAsia="宋体" w:cs="Times New Roman"/>
          <w:b w:val="0"/>
          <w:bCs w:val="0"/>
          <w:color w:val="auto"/>
          <w:szCs w:val="21"/>
          <w:highlight w:val="none"/>
        </w:rPr>
        <w:t>个工作日内将谈判评审报告送采购人确认，采购人确认后，成交结果公告将在</w:t>
      </w:r>
      <w:r>
        <w:rPr>
          <w:rFonts w:hint="eastAsia" w:ascii="宋体" w:hAnsi="宋体" w:eastAsia="宋体" w:cs="Times New Roman"/>
          <w:b w:val="0"/>
          <w:bCs w:val="0"/>
          <w:color w:val="auto"/>
          <w:szCs w:val="21"/>
          <w:highlight w:val="none"/>
          <w:u w:val="none"/>
        </w:rPr>
        <w:t>中</w:t>
      </w:r>
      <w:r>
        <w:rPr>
          <w:rFonts w:hint="eastAsia" w:ascii="宋体" w:hAnsi="宋体" w:eastAsia="宋体" w:cs="Times New Roman"/>
          <w:b w:val="0"/>
          <w:bCs w:val="0"/>
          <w:color w:val="auto"/>
          <w:szCs w:val="21"/>
          <w:highlight w:val="none"/>
        </w:rPr>
        <w:t>国政府采购网(www.ccgp.gov.cn)、广西壮族自治区政府采购网（zfcg.gxzf.gov.cn）及本中心网站（</w:t>
      </w:r>
      <w:r>
        <w:rPr>
          <w:rFonts w:hint="eastAsia" w:ascii="宋体" w:hAnsi="宋体" w:eastAsia="宋体" w:cs="Times New Roman"/>
          <w:b w:val="0"/>
          <w:bCs w:val="0"/>
          <w:color w:val="auto"/>
          <w:szCs w:val="21"/>
          <w:highlight w:val="none"/>
          <w:lang w:val="en"/>
        </w:rPr>
        <w:t>gxggzy.gxzf.gov.cn</w:t>
      </w:r>
      <w:r>
        <w:rPr>
          <w:rFonts w:hint="eastAsia" w:ascii="宋体" w:hAnsi="宋体" w:eastAsia="宋体" w:cs="Times New Roman"/>
          <w:b w:val="0"/>
          <w:bCs w:val="0"/>
          <w:color w:val="auto"/>
          <w:szCs w:val="21"/>
          <w:highlight w:val="none"/>
        </w:rPr>
        <w:t>）上发布，同时向成交供应商发出成交通知书。</w:t>
      </w:r>
    </w:p>
    <w:p w14:paraId="5BD19F78">
      <w:pPr>
        <w:spacing w:line="380" w:lineRule="exact"/>
        <w:ind w:left="420" w:firstLine="105"/>
        <w:rPr>
          <w:rFonts w:ascii="宋体" w:hAnsi="宋体"/>
          <w:b/>
          <w:color w:val="auto"/>
          <w:szCs w:val="21"/>
          <w:highlight w:val="none"/>
        </w:rPr>
      </w:pPr>
      <w:r>
        <w:rPr>
          <w:rFonts w:hint="eastAsia" w:ascii="宋体" w:hAnsi="宋体"/>
          <w:b/>
          <w:color w:val="auto"/>
          <w:szCs w:val="21"/>
          <w:highlight w:val="none"/>
        </w:rPr>
        <w:t>八、签订合同</w:t>
      </w:r>
    </w:p>
    <w:p w14:paraId="1816AFCA">
      <w:pPr>
        <w:widowControl/>
        <w:spacing w:line="38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14.1成交供应商自成交通知书发出之日起：</w:t>
      </w:r>
      <w:r>
        <w:rPr>
          <w:rFonts w:hint="eastAsia" w:ascii="宋体" w:hAnsi="宋体" w:eastAsia="宋体" w:cs="Times New Roman"/>
          <w:b/>
          <w:bCs/>
          <w:color w:val="auto"/>
          <w:szCs w:val="21"/>
          <w:highlight w:val="none"/>
          <w:u w:val="none"/>
        </w:rPr>
        <w:t>25日内</w:t>
      </w:r>
      <w:r>
        <w:rPr>
          <w:rFonts w:hint="eastAsia" w:ascii="宋体" w:hAnsi="宋体" w:eastAsia="宋体" w:cs="Times New Roman"/>
          <w:color w:val="auto"/>
          <w:szCs w:val="21"/>
          <w:highlight w:val="none"/>
        </w:rPr>
        <w:t>与采购人签订合同（采购需求中另有要求的，按要求执行）。</w:t>
      </w:r>
    </w:p>
    <w:p w14:paraId="414CB7B6">
      <w:pPr>
        <w:widowControl/>
        <w:spacing w:line="380" w:lineRule="exact"/>
        <w:ind w:firstLine="420"/>
        <w:jc w:val="left"/>
        <w:rPr>
          <w:rFonts w:hint="eastAsia" w:ascii="宋体" w:hAnsi="宋体" w:eastAsia="宋体" w:cs="Times New Roman"/>
          <w:b w:val="0"/>
          <w:bCs w:val="0"/>
          <w:color w:val="auto"/>
          <w:szCs w:val="21"/>
          <w:highlight w:val="none"/>
        </w:rPr>
      </w:pPr>
      <w:r>
        <w:rPr>
          <w:rFonts w:hint="eastAsia" w:ascii="宋体" w:hAnsi="宋体" w:eastAsia="宋体" w:cs="Times New Roman"/>
          <w:color w:val="auto"/>
          <w:szCs w:val="21"/>
          <w:highlight w:val="none"/>
        </w:rPr>
        <w:t>14.2成交供应商拒绝签订政府采购合同的，采购人可以根据谈判评审报告确定排名第二的成交候选人作为成交供应商并签订政府采购合同，以此类推。拒绝签订政府采购合同的成交供应商不得参加对该项目重新开展的采</w:t>
      </w:r>
      <w:r>
        <w:rPr>
          <w:rFonts w:hint="eastAsia" w:ascii="宋体" w:hAnsi="宋体" w:eastAsia="宋体" w:cs="Times New Roman"/>
          <w:b w:val="0"/>
          <w:bCs w:val="0"/>
          <w:color w:val="auto"/>
          <w:szCs w:val="21"/>
          <w:highlight w:val="none"/>
        </w:rPr>
        <w:t>购活动。</w:t>
      </w:r>
    </w:p>
    <w:p w14:paraId="5A4858DB">
      <w:pPr>
        <w:widowControl/>
        <w:spacing w:line="380" w:lineRule="exact"/>
        <w:ind w:firstLine="420"/>
        <w:jc w:val="left"/>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14.3成交供应商拒绝签订政府采购合同的，其保证金将不予退还，并上缴国库，给采购人造成其损失的，还应当赔偿损失，并作为不良行为记录在案。</w:t>
      </w:r>
    </w:p>
    <w:p w14:paraId="7C52CC41">
      <w:pPr>
        <w:spacing w:line="380" w:lineRule="exact"/>
        <w:ind w:left="420" w:firstLine="105"/>
        <w:rPr>
          <w:rFonts w:ascii="宋体" w:hAnsi="宋体"/>
          <w:b/>
          <w:color w:val="auto"/>
          <w:szCs w:val="21"/>
          <w:highlight w:val="none"/>
        </w:rPr>
      </w:pPr>
      <w:r>
        <w:rPr>
          <w:rFonts w:hint="eastAsia" w:ascii="宋体" w:hAnsi="宋体"/>
          <w:b/>
          <w:color w:val="auto"/>
          <w:szCs w:val="21"/>
          <w:highlight w:val="none"/>
        </w:rPr>
        <w:t>九、</w:t>
      </w:r>
      <w:r>
        <w:rPr>
          <w:rFonts w:hint="eastAsia"/>
          <w:b/>
          <w:color w:val="auto"/>
          <w:highlight w:val="none"/>
        </w:rPr>
        <w:t>询问、质疑和投诉</w:t>
      </w:r>
    </w:p>
    <w:p w14:paraId="3D87967B">
      <w:pPr>
        <w:widowControl/>
        <w:spacing w:line="38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15.</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供应商</w:t>
      </w:r>
      <w:r>
        <w:rPr>
          <w:rFonts w:hint="eastAsia" w:ascii="宋体" w:hAnsi="宋体" w:eastAsia="宋体" w:cs="Times New Roman"/>
          <w:color w:val="auto"/>
          <w:szCs w:val="21"/>
          <w:highlight w:val="none"/>
        </w:rPr>
        <w:t>对政府采购活动事项有疑问的，可以向采购人、采购代理机构提出询问。</w:t>
      </w:r>
    </w:p>
    <w:p w14:paraId="3D964838">
      <w:pPr>
        <w:widowControl/>
        <w:spacing w:line="38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15.</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供应商</w:t>
      </w:r>
      <w:r>
        <w:rPr>
          <w:rFonts w:hint="eastAsia" w:ascii="宋体" w:hAnsi="宋体" w:eastAsia="宋体" w:cs="Times New Roman"/>
          <w:color w:val="auto"/>
          <w:szCs w:val="21"/>
          <w:highlight w:val="none"/>
        </w:rPr>
        <w:t>认为竞争性</w:t>
      </w:r>
      <w:r>
        <w:rPr>
          <w:rFonts w:hint="eastAsia" w:ascii="宋体" w:hAnsi="宋体" w:eastAsia="宋体" w:cs="Times New Roman"/>
          <w:color w:val="auto"/>
          <w:szCs w:val="21"/>
          <w:highlight w:val="none"/>
          <w:lang w:val="en-US" w:eastAsia="zh-CN"/>
        </w:rPr>
        <w:t>谈判</w:t>
      </w:r>
      <w:r>
        <w:rPr>
          <w:rFonts w:hint="eastAsia" w:ascii="宋体" w:hAnsi="宋体" w:eastAsia="宋体" w:cs="Times New Roman"/>
          <w:color w:val="auto"/>
          <w:spacing w:val="0"/>
          <w:szCs w:val="21"/>
          <w:highlight w:val="none"/>
        </w:rPr>
        <w:t>文件</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采购</w:t>
      </w:r>
      <w:r>
        <w:rPr>
          <w:rFonts w:hint="eastAsia" w:ascii="宋体" w:hAnsi="宋体" w:eastAsia="宋体" w:cs="Times New Roman"/>
          <w:color w:val="auto"/>
          <w:szCs w:val="21"/>
          <w:highlight w:val="none"/>
        </w:rPr>
        <w:t>过程或</w:t>
      </w:r>
      <w:r>
        <w:rPr>
          <w:rFonts w:hint="eastAsia" w:ascii="宋体" w:hAnsi="宋体" w:eastAsia="宋体" w:cs="Times New Roman"/>
          <w:color w:val="auto"/>
          <w:szCs w:val="21"/>
          <w:highlight w:val="none"/>
          <w:lang w:eastAsia="zh-CN"/>
        </w:rPr>
        <w:t>成交</w:t>
      </w:r>
      <w:r>
        <w:rPr>
          <w:rFonts w:hint="eastAsia" w:ascii="宋体" w:hAnsi="宋体" w:eastAsia="宋体" w:cs="Times New Roman"/>
          <w:color w:val="auto"/>
          <w:szCs w:val="21"/>
          <w:highlight w:val="none"/>
        </w:rPr>
        <w:t>结果使自己的合法权益受到损害的，应当在知道或者应知其权益受到损害之日起七个工作日内，以书面形式向</w:t>
      </w:r>
      <w:r>
        <w:rPr>
          <w:rFonts w:hint="eastAsia" w:ascii="宋体" w:hAnsi="宋体" w:eastAsia="宋体" w:cs="Times New Roman"/>
          <w:b w:val="0"/>
          <w:bCs w:val="0"/>
          <w:color w:val="auto"/>
          <w:szCs w:val="21"/>
          <w:highlight w:val="none"/>
        </w:rPr>
        <w:t>采购人</w:t>
      </w:r>
      <w:r>
        <w:rPr>
          <w:rFonts w:hint="eastAsia" w:ascii="宋体" w:hAnsi="宋体" w:eastAsia="宋体" w:cs="Times New Roman"/>
          <w:color w:val="auto"/>
          <w:szCs w:val="21"/>
          <w:highlight w:val="none"/>
        </w:rPr>
        <w:t>提出质疑。具体计算时间如下：</w:t>
      </w:r>
    </w:p>
    <w:p w14:paraId="1E2355B9">
      <w:pPr>
        <w:spacing w:line="380" w:lineRule="exact"/>
        <w:ind w:firstLine="42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val="en-US" w:eastAsia="zh-CN"/>
        </w:rPr>
        <w:t>1</w:t>
      </w:r>
      <w:r>
        <w:rPr>
          <w:rFonts w:hint="eastAsia" w:ascii="宋体" w:hAnsi="宋体" w:eastAsia="宋体" w:cs="Times New Roman"/>
          <w:b/>
          <w:bCs/>
          <w:color w:val="auto"/>
          <w:szCs w:val="21"/>
          <w:highlight w:val="none"/>
        </w:rPr>
        <w:t>）对可以质疑的竞争性</w:t>
      </w:r>
      <w:r>
        <w:rPr>
          <w:rFonts w:hint="eastAsia" w:ascii="宋体" w:hAnsi="宋体" w:eastAsia="宋体" w:cs="Times New Roman"/>
          <w:b/>
          <w:bCs/>
          <w:color w:val="auto"/>
          <w:szCs w:val="21"/>
          <w:highlight w:val="none"/>
          <w:lang w:val="en-US" w:eastAsia="zh-CN"/>
        </w:rPr>
        <w:t>谈判</w:t>
      </w:r>
      <w:r>
        <w:rPr>
          <w:rFonts w:hint="eastAsia" w:ascii="宋体" w:hAnsi="宋体" w:eastAsia="宋体" w:cs="Times New Roman"/>
          <w:b/>
          <w:bCs/>
          <w:color w:val="auto"/>
          <w:spacing w:val="0"/>
          <w:szCs w:val="21"/>
          <w:highlight w:val="none"/>
        </w:rPr>
        <w:t>文件</w:t>
      </w:r>
      <w:r>
        <w:rPr>
          <w:rFonts w:hint="eastAsia" w:ascii="宋体" w:hAnsi="宋体" w:eastAsia="宋体" w:cs="Times New Roman"/>
          <w:b/>
          <w:bCs/>
          <w:color w:val="auto"/>
          <w:szCs w:val="21"/>
          <w:highlight w:val="none"/>
        </w:rPr>
        <w:t>提出质疑的，为收到竞争性</w:t>
      </w:r>
      <w:r>
        <w:rPr>
          <w:rFonts w:hint="eastAsia" w:ascii="宋体" w:hAnsi="宋体" w:eastAsia="宋体" w:cs="Times New Roman"/>
          <w:b/>
          <w:bCs/>
          <w:color w:val="auto"/>
          <w:szCs w:val="21"/>
          <w:highlight w:val="none"/>
          <w:lang w:val="en-US" w:eastAsia="zh-CN"/>
        </w:rPr>
        <w:t>谈判</w:t>
      </w:r>
      <w:r>
        <w:rPr>
          <w:rFonts w:hint="eastAsia" w:ascii="宋体" w:hAnsi="宋体" w:eastAsia="宋体" w:cs="Times New Roman"/>
          <w:b/>
          <w:bCs/>
          <w:color w:val="auto"/>
          <w:spacing w:val="0"/>
          <w:szCs w:val="21"/>
          <w:highlight w:val="none"/>
        </w:rPr>
        <w:t>文件</w:t>
      </w:r>
      <w:r>
        <w:rPr>
          <w:rFonts w:hint="eastAsia" w:ascii="宋体" w:hAnsi="宋体" w:eastAsia="宋体" w:cs="Times New Roman"/>
          <w:b/>
          <w:bCs/>
          <w:color w:val="auto"/>
          <w:szCs w:val="21"/>
          <w:highlight w:val="none"/>
        </w:rPr>
        <w:t>之日；</w:t>
      </w:r>
    </w:p>
    <w:p w14:paraId="78819359">
      <w:pPr>
        <w:widowControl/>
        <w:spacing w:line="380" w:lineRule="exact"/>
        <w:ind w:firstLine="42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val="en-US" w:eastAsia="zh-CN"/>
        </w:rPr>
        <w:t>2</w:t>
      </w:r>
      <w:r>
        <w:rPr>
          <w:rFonts w:hint="eastAsia" w:ascii="宋体" w:hAnsi="宋体" w:eastAsia="宋体" w:cs="Times New Roman"/>
          <w:b/>
          <w:bCs/>
          <w:color w:val="auto"/>
          <w:szCs w:val="21"/>
          <w:highlight w:val="none"/>
        </w:rPr>
        <w:t>）对采购过程提出质疑的，为各采购程序环节结束之日；</w:t>
      </w:r>
    </w:p>
    <w:p w14:paraId="51EC75CB">
      <w:pPr>
        <w:widowControl/>
        <w:spacing w:line="380" w:lineRule="exact"/>
        <w:ind w:firstLine="420" w:firstLineChars="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val="en-US" w:eastAsia="zh-CN"/>
        </w:rPr>
        <w:t>3</w:t>
      </w:r>
      <w:r>
        <w:rPr>
          <w:rFonts w:hint="eastAsia" w:ascii="宋体" w:hAnsi="宋体" w:eastAsia="宋体" w:cs="Times New Roman"/>
          <w:b/>
          <w:bCs/>
          <w:color w:val="auto"/>
          <w:szCs w:val="21"/>
          <w:highlight w:val="none"/>
        </w:rPr>
        <w:t>）对</w:t>
      </w:r>
      <w:r>
        <w:rPr>
          <w:rFonts w:hint="eastAsia" w:ascii="宋体" w:hAnsi="宋体" w:eastAsia="宋体" w:cs="Times New Roman"/>
          <w:b/>
          <w:bCs/>
          <w:color w:val="auto"/>
          <w:szCs w:val="21"/>
          <w:highlight w:val="none"/>
          <w:lang w:eastAsia="zh-CN"/>
        </w:rPr>
        <w:t>成交</w:t>
      </w:r>
      <w:r>
        <w:rPr>
          <w:rFonts w:hint="eastAsia" w:ascii="宋体" w:hAnsi="宋体" w:eastAsia="宋体" w:cs="Times New Roman"/>
          <w:b/>
          <w:bCs/>
          <w:color w:val="auto"/>
          <w:szCs w:val="21"/>
          <w:highlight w:val="none"/>
        </w:rPr>
        <w:t>结果提出质疑的，为</w:t>
      </w:r>
      <w:r>
        <w:rPr>
          <w:rFonts w:hint="eastAsia" w:ascii="宋体" w:hAnsi="宋体" w:eastAsia="宋体" w:cs="Times New Roman"/>
          <w:b/>
          <w:bCs/>
          <w:color w:val="auto"/>
          <w:szCs w:val="21"/>
          <w:highlight w:val="none"/>
          <w:lang w:eastAsia="zh-CN"/>
        </w:rPr>
        <w:t>成交</w:t>
      </w:r>
      <w:r>
        <w:rPr>
          <w:rFonts w:hint="eastAsia" w:ascii="宋体" w:hAnsi="宋体" w:eastAsia="宋体" w:cs="Times New Roman"/>
          <w:b/>
          <w:bCs/>
          <w:color w:val="auto"/>
          <w:szCs w:val="21"/>
          <w:highlight w:val="none"/>
        </w:rPr>
        <w:t>结果公告期限届满之日。</w:t>
      </w:r>
      <w:r>
        <w:rPr>
          <w:rFonts w:hint="eastAsia" w:ascii="宋体" w:hAnsi="宋体" w:eastAsia="宋体" w:cs="Times New Roman"/>
          <w:b/>
          <w:bCs/>
          <w:color w:val="auto"/>
          <w:szCs w:val="21"/>
          <w:highlight w:val="none"/>
          <w:lang w:eastAsia="zh-CN"/>
        </w:rPr>
        <w:t>供应商</w:t>
      </w:r>
      <w:r>
        <w:rPr>
          <w:rFonts w:hint="eastAsia" w:ascii="宋体" w:hAnsi="宋体" w:eastAsia="宋体" w:cs="Times New Roman"/>
          <w:b/>
          <w:bCs/>
          <w:color w:val="auto"/>
          <w:szCs w:val="21"/>
          <w:highlight w:val="none"/>
        </w:rPr>
        <w:t>对采购</w:t>
      </w:r>
      <w:r>
        <w:rPr>
          <w:rFonts w:hint="eastAsia" w:ascii="宋体" w:hAnsi="宋体" w:eastAsia="宋体" w:cs="Times New Roman"/>
          <w:b/>
          <w:bCs/>
          <w:color w:val="auto"/>
          <w:szCs w:val="21"/>
          <w:highlight w:val="none"/>
          <w:lang w:eastAsia="zh-CN"/>
        </w:rPr>
        <w:t>人</w:t>
      </w:r>
      <w:r>
        <w:rPr>
          <w:rFonts w:hint="eastAsia" w:ascii="宋体" w:hAnsi="宋体" w:eastAsia="宋体" w:cs="Times New Roman"/>
          <w:b/>
          <w:bCs/>
          <w:color w:val="auto"/>
          <w:szCs w:val="21"/>
          <w:highlight w:val="none"/>
        </w:rPr>
        <w:t>的质疑答复不满意或者采购人未在规定时间内作出答复的，可以在答复期满后十五个工作日内向同级</w:t>
      </w:r>
      <w:r>
        <w:rPr>
          <w:rFonts w:hint="eastAsia" w:ascii="宋体" w:hAnsi="宋体" w:eastAsia="宋体" w:cs="Times New Roman"/>
          <w:b/>
          <w:bCs/>
          <w:color w:val="auto"/>
          <w:szCs w:val="21"/>
          <w:highlight w:val="none"/>
          <w:lang w:val="en-US" w:eastAsia="zh-CN"/>
        </w:rPr>
        <w:t>政府</w:t>
      </w:r>
      <w:r>
        <w:rPr>
          <w:rFonts w:hint="eastAsia" w:ascii="宋体" w:hAnsi="宋体" w:eastAsia="宋体" w:cs="Times New Roman"/>
          <w:b/>
          <w:bCs/>
          <w:color w:val="auto"/>
          <w:szCs w:val="21"/>
          <w:highlight w:val="none"/>
        </w:rPr>
        <w:t>采购监</w:t>
      </w:r>
      <w:r>
        <w:rPr>
          <w:rFonts w:hint="eastAsia" w:ascii="宋体" w:hAnsi="宋体" w:eastAsia="宋体" w:cs="Times New Roman"/>
          <w:b/>
          <w:bCs/>
          <w:color w:val="auto"/>
          <w:szCs w:val="21"/>
          <w:highlight w:val="none"/>
          <w:lang w:val="en-US" w:eastAsia="zh-CN"/>
        </w:rPr>
        <w:t>督</w:t>
      </w:r>
      <w:r>
        <w:rPr>
          <w:rFonts w:hint="eastAsia" w:ascii="宋体" w:hAnsi="宋体" w:eastAsia="宋体" w:cs="Times New Roman"/>
          <w:b/>
          <w:bCs/>
          <w:color w:val="auto"/>
          <w:szCs w:val="21"/>
          <w:highlight w:val="none"/>
        </w:rPr>
        <w:t>管</w:t>
      </w:r>
      <w:r>
        <w:rPr>
          <w:rFonts w:hint="eastAsia" w:ascii="宋体" w:hAnsi="宋体" w:eastAsia="宋体" w:cs="Times New Roman"/>
          <w:b/>
          <w:bCs/>
          <w:color w:val="auto"/>
          <w:szCs w:val="21"/>
          <w:highlight w:val="none"/>
          <w:lang w:val="en-US" w:eastAsia="zh-CN"/>
        </w:rPr>
        <w:t>理</w:t>
      </w:r>
      <w:r>
        <w:rPr>
          <w:rFonts w:hint="eastAsia" w:ascii="宋体" w:hAnsi="宋体" w:eastAsia="宋体" w:cs="Times New Roman"/>
          <w:b/>
          <w:bCs/>
          <w:color w:val="auto"/>
          <w:szCs w:val="21"/>
          <w:highlight w:val="none"/>
        </w:rPr>
        <w:t>部门投诉。</w:t>
      </w:r>
    </w:p>
    <w:p w14:paraId="43360740">
      <w:pPr>
        <w:widowControl/>
        <w:spacing w:line="380" w:lineRule="exact"/>
        <w:ind w:firstLine="420"/>
        <w:jc w:val="left"/>
        <w:rPr>
          <w:rFonts w:hint="eastAsia" w:ascii="宋体" w:hAnsi="宋体" w:eastAsia="宋体" w:cs="Times New Roman"/>
          <w:bCs w:val="0"/>
          <w:color w:val="auto"/>
          <w:szCs w:val="21"/>
          <w:highlight w:val="none"/>
        </w:rPr>
      </w:pPr>
      <w:r>
        <w:rPr>
          <w:rFonts w:hint="eastAsia" w:ascii="宋体" w:hAnsi="宋体" w:eastAsia="宋体" w:cs="Times New Roman"/>
          <w:bCs w:val="0"/>
          <w:color w:val="auto"/>
          <w:szCs w:val="21"/>
          <w:highlight w:val="none"/>
          <w:lang w:val="en-US" w:eastAsia="zh-CN"/>
        </w:rPr>
        <w:t>15.</w:t>
      </w:r>
      <w:r>
        <w:rPr>
          <w:rFonts w:hint="eastAsia" w:ascii="宋体" w:hAnsi="宋体" w:eastAsia="宋体" w:cs="Times New Roman"/>
          <w:bCs w:val="0"/>
          <w:color w:val="auto"/>
          <w:szCs w:val="21"/>
          <w:highlight w:val="none"/>
        </w:rPr>
        <w:t>3</w:t>
      </w:r>
      <w:r>
        <w:rPr>
          <w:rFonts w:hint="eastAsia" w:ascii="宋体" w:hAnsi="宋体" w:eastAsia="宋体" w:cs="Times New Roman"/>
          <w:bCs w:val="0"/>
          <w:color w:val="auto"/>
          <w:szCs w:val="21"/>
          <w:highlight w:val="none"/>
          <w:lang w:val="en-US" w:eastAsia="zh-CN"/>
        </w:rPr>
        <w:t xml:space="preserve"> </w:t>
      </w:r>
      <w:r>
        <w:rPr>
          <w:rFonts w:hint="eastAsia" w:ascii="宋体" w:hAnsi="宋体" w:eastAsia="宋体" w:cs="Times New Roman"/>
          <w:bCs w:val="0"/>
          <w:color w:val="auto"/>
          <w:szCs w:val="21"/>
          <w:highlight w:val="none"/>
        </w:rPr>
        <w:t>质疑、投诉应当采用书面形式，</w:t>
      </w:r>
      <w:r>
        <w:rPr>
          <w:rFonts w:hint="eastAsia" w:ascii="宋体" w:hAnsi="宋体" w:eastAsia="宋体" w:cs="Times New Roman"/>
          <w:bCs w:val="0"/>
          <w:color w:val="auto"/>
          <w:szCs w:val="21"/>
          <w:highlight w:val="none"/>
          <w:lang w:eastAsia="zh-CN"/>
        </w:rPr>
        <w:t>质疑函</w:t>
      </w:r>
      <w:r>
        <w:rPr>
          <w:rFonts w:hint="eastAsia" w:ascii="宋体" w:hAnsi="宋体" w:eastAsia="宋体" w:cs="Times New Roman"/>
          <w:bCs w:val="0"/>
          <w:color w:val="auto"/>
          <w:szCs w:val="21"/>
          <w:highlight w:val="none"/>
        </w:rPr>
        <w:t>、投诉书均应明确阐述</w:t>
      </w:r>
      <w:r>
        <w:rPr>
          <w:rFonts w:hint="eastAsia" w:ascii="宋体" w:hAnsi="宋体" w:eastAsia="宋体" w:cs="Times New Roman"/>
          <w:color w:val="auto"/>
          <w:szCs w:val="21"/>
          <w:highlight w:val="none"/>
        </w:rPr>
        <w:t>竞争性</w:t>
      </w:r>
      <w:r>
        <w:rPr>
          <w:rFonts w:hint="eastAsia" w:ascii="宋体" w:hAnsi="宋体" w:eastAsia="宋体" w:cs="Times New Roman"/>
          <w:color w:val="auto"/>
          <w:szCs w:val="21"/>
          <w:highlight w:val="none"/>
          <w:lang w:val="en-US" w:eastAsia="zh-CN"/>
        </w:rPr>
        <w:t>谈判</w:t>
      </w:r>
      <w:r>
        <w:rPr>
          <w:rFonts w:hint="eastAsia" w:ascii="宋体" w:hAnsi="宋体" w:eastAsia="宋体" w:cs="Times New Roman"/>
          <w:color w:val="auto"/>
          <w:spacing w:val="0"/>
          <w:szCs w:val="21"/>
          <w:highlight w:val="none"/>
        </w:rPr>
        <w:t>文件</w:t>
      </w:r>
      <w:r>
        <w:rPr>
          <w:rFonts w:hint="eastAsia" w:ascii="宋体" w:hAnsi="宋体" w:eastAsia="宋体" w:cs="Times New Roman"/>
          <w:bCs w:val="0"/>
          <w:color w:val="auto"/>
          <w:szCs w:val="21"/>
          <w:highlight w:val="none"/>
        </w:rPr>
        <w:t>、采购过程、</w:t>
      </w:r>
      <w:r>
        <w:rPr>
          <w:rFonts w:hint="eastAsia" w:ascii="宋体" w:hAnsi="宋体" w:eastAsia="宋体" w:cs="Times New Roman"/>
          <w:bCs w:val="0"/>
          <w:color w:val="auto"/>
          <w:szCs w:val="21"/>
          <w:highlight w:val="none"/>
          <w:lang w:eastAsia="zh-CN"/>
        </w:rPr>
        <w:t>成交</w:t>
      </w:r>
      <w:r>
        <w:rPr>
          <w:rFonts w:hint="eastAsia" w:ascii="宋体" w:hAnsi="宋体" w:eastAsia="宋体" w:cs="Times New Roman"/>
          <w:bCs w:val="0"/>
          <w:color w:val="auto"/>
          <w:szCs w:val="21"/>
          <w:highlight w:val="none"/>
        </w:rPr>
        <w:t>结果中使自己合法权益受到损害的实质性内容，提供相关事实、明确的请求、必要的证明材料，便于有关单位调查、答复和处理。</w:t>
      </w:r>
    </w:p>
    <w:p w14:paraId="2F362BED">
      <w:pPr>
        <w:widowControl/>
        <w:spacing w:line="380" w:lineRule="exact"/>
        <w:ind w:firstLine="420"/>
        <w:jc w:val="left"/>
        <w:rPr>
          <w:rFonts w:hint="eastAsia" w:ascii="宋体" w:hAnsi="宋体" w:eastAsia="宋体" w:cs="Times New Roman"/>
          <w:bCs w:val="0"/>
          <w:color w:val="auto"/>
          <w:szCs w:val="21"/>
          <w:highlight w:val="none"/>
          <w:lang w:val="en-US" w:eastAsia="zh-CN"/>
        </w:rPr>
      </w:pPr>
      <w:r>
        <w:rPr>
          <w:rFonts w:hint="eastAsia" w:ascii="宋体" w:hAnsi="宋体" w:eastAsia="宋体" w:cs="Times New Roman"/>
          <w:bCs w:val="0"/>
          <w:color w:val="auto"/>
          <w:szCs w:val="21"/>
          <w:highlight w:val="none"/>
          <w:lang w:val="en-US" w:eastAsia="zh-CN"/>
        </w:rPr>
        <w:t>15.4采购人、采购代理机构接收质疑函的方式、联系部门、联系电话和地址等信息详见“供应商须知前附表”。</w:t>
      </w:r>
    </w:p>
    <w:p w14:paraId="36F8EAD9">
      <w:pPr>
        <w:spacing w:line="380" w:lineRule="exact"/>
        <w:ind w:left="420" w:firstLine="105"/>
        <w:rPr>
          <w:rFonts w:ascii="宋体" w:hAnsi="宋体"/>
          <w:b/>
          <w:color w:val="auto"/>
          <w:szCs w:val="21"/>
          <w:highlight w:val="none"/>
        </w:rPr>
      </w:pPr>
      <w:r>
        <w:rPr>
          <w:rFonts w:hint="eastAsia" w:ascii="宋体" w:hAnsi="宋体"/>
          <w:b/>
          <w:color w:val="auto"/>
          <w:szCs w:val="21"/>
          <w:highlight w:val="none"/>
        </w:rPr>
        <w:t>十、适用法律</w:t>
      </w:r>
    </w:p>
    <w:p w14:paraId="5F0D2EFE">
      <w:pPr>
        <w:widowControl/>
        <w:spacing w:line="380" w:lineRule="exact"/>
        <w:ind w:firstLine="420"/>
        <w:jc w:val="left"/>
        <w:rPr>
          <w:rFonts w:hint="eastAsia" w:ascii="宋体" w:hAnsi="宋体" w:eastAsia="宋体" w:cs="Times New Roman"/>
          <w:bCs w:val="0"/>
          <w:color w:val="auto"/>
          <w:spacing w:val="0"/>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.采购当事人的一切活动均适用于《中华人民共和国政府采购法》及相关规定。最终</w:t>
      </w:r>
      <w:r>
        <w:rPr>
          <w:rFonts w:hint="eastAsia" w:ascii="宋体" w:hAnsi="宋体" w:eastAsia="宋体" w:cs="Times New Roman"/>
          <w:color w:val="auto"/>
          <w:szCs w:val="21"/>
          <w:highlight w:val="none"/>
          <w:lang w:val="en-US" w:eastAsia="zh-CN"/>
        </w:rPr>
        <w:t>谈判</w:t>
      </w:r>
      <w:r>
        <w:rPr>
          <w:rFonts w:hint="eastAsia" w:ascii="宋体" w:hAnsi="宋体" w:eastAsia="宋体" w:cs="Times New Roman"/>
          <w:color w:val="auto"/>
          <w:szCs w:val="21"/>
          <w:highlight w:val="none"/>
        </w:rPr>
        <w:t>结束后，</w:t>
      </w:r>
      <w:r>
        <w:rPr>
          <w:rFonts w:hint="eastAsia" w:ascii="宋体" w:hAnsi="宋体" w:eastAsia="宋体" w:cs="Times New Roman"/>
          <w:color w:val="auto"/>
          <w:szCs w:val="21"/>
          <w:highlight w:val="none"/>
          <w:lang w:val="en-US" w:eastAsia="zh-CN"/>
        </w:rPr>
        <w:t>谈判</w:t>
      </w:r>
      <w:r>
        <w:rPr>
          <w:rFonts w:hint="eastAsia" w:ascii="宋体" w:hAnsi="宋体" w:eastAsia="宋体" w:cs="Times New Roman"/>
          <w:color w:val="auto"/>
          <w:szCs w:val="21"/>
          <w:highlight w:val="none"/>
        </w:rPr>
        <w:t>小组不得再与供应商进行任何形式的</w:t>
      </w:r>
      <w:r>
        <w:rPr>
          <w:rFonts w:hint="eastAsia" w:ascii="宋体" w:hAnsi="宋体" w:eastAsia="宋体" w:cs="Times New Roman"/>
          <w:color w:val="auto"/>
          <w:szCs w:val="21"/>
          <w:highlight w:val="none"/>
          <w:lang w:eastAsia="zh-CN"/>
        </w:rPr>
        <w:t>谈判</w:t>
      </w:r>
      <w:r>
        <w:rPr>
          <w:rFonts w:hint="eastAsia" w:ascii="宋体" w:hAnsi="宋体" w:eastAsia="宋体" w:cs="Times New Roman"/>
          <w:color w:val="auto"/>
          <w:szCs w:val="21"/>
          <w:highlight w:val="none"/>
        </w:rPr>
        <w:t>。</w:t>
      </w:r>
    </w:p>
    <w:p w14:paraId="76D7F664">
      <w:pPr>
        <w:spacing w:line="380" w:lineRule="exact"/>
        <w:ind w:left="420" w:firstLine="105" w:firstLineChars="0"/>
        <w:rPr>
          <w:rFonts w:hint="eastAsia" w:ascii="宋体" w:hAnsi="宋体" w:eastAsia="宋体" w:cs="Times New Roman"/>
          <w:b/>
          <w:bCs w:val="0"/>
          <w:color w:val="auto"/>
          <w:kern w:val="1"/>
          <w:sz w:val="21"/>
          <w:szCs w:val="21"/>
          <w:highlight w:val="none"/>
          <w:lang w:val="en-US" w:eastAsia="zh-CN" w:bidi="ar-SA"/>
        </w:rPr>
      </w:pPr>
      <w:r>
        <w:rPr>
          <w:rFonts w:hint="eastAsia" w:ascii="宋体" w:hAnsi="宋体" w:eastAsia="宋体" w:cs="Times New Roman"/>
          <w:b/>
          <w:bCs w:val="0"/>
          <w:color w:val="auto"/>
          <w:kern w:val="1"/>
          <w:sz w:val="21"/>
          <w:szCs w:val="21"/>
          <w:highlight w:val="none"/>
          <w:lang w:val="en-US" w:eastAsia="zh-CN" w:bidi="ar-SA"/>
        </w:rPr>
        <w:t>十一、其他事项</w:t>
      </w:r>
    </w:p>
    <w:p w14:paraId="0089E3F1">
      <w:pPr>
        <w:widowControl/>
        <w:spacing w:line="380" w:lineRule="exact"/>
        <w:ind w:firstLine="420" w:firstLineChars="0"/>
        <w:jc w:val="left"/>
        <w:rPr>
          <w:rFonts w:hint="eastAsia" w:ascii="宋体" w:hAnsi="宋体" w:eastAsia="宋体" w:cs="Times New Roman"/>
          <w:b w:val="0"/>
          <w:bCs w:val="0"/>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.1</w:t>
      </w:r>
      <w:r>
        <w:rPr>
          <w:rFonts w:hint="eastAsia" w:ascii="宋体" w:hAnsi="宋体" w:eastAsia="宋体" w:cs="Times New Roman"/>
          <w:b w:val="0"/>
          <w:bCs w:val="0"/>
          <w:color w:val="auto"/>
          <w:szCs w:val="21"/>
          <w:highlight w:val="none"/>
        </w:rPr>
        <w:t>解释权</w:t>
      </w:r>
    </w:p>
    <w:p w14:paraId="5DBA1076">
      <w:pPr>
        <w:widowControl/>
        <w:spacing w:line="380" w:lineRule="exact"/>
        <w:ind w:firstLine="420"/>
        <w:jc w:val="left"/>
        <w:rPr>
          <w:rFonts w:hint="eastAsia" w:ascii="宋体" w:hAnsi="宋体" w:eastAsia="宋体" w:cs="Times New Roman"/>
          <w:color w:val="auto"/>
          <w:spacing w:val="0"/>
          <w:szCs w:val="21"/>
          <w:highlight w:val="none"/>
        </w:rPr>
      </w:pPr>
      <w:r>
        <w:rPr>
          <w:rFonts w:hint="eastAsia" w:ascii="宋体" w:hAnsi="宋体" w:eastAsia="宋体" w:cs="Times New Roman"/>
          <w:color w:val="auto"/>
          <w:spacing w:val="0"/>
          <w:szCs w:val="21"/>
          <w:highlight w:val="none"/>
        </w:rPr>
        <w:t>本</w:t>
      </w:r>
      <w:r>
        <w:rPr>
          <w:rFonts w:hint="eastAsia" w:ascii="宋体" w:hAnsi="宋体" w:eastAsia="宋体" w:cs="Times New Roman"/>
          <w:color w:val="auto"/>
          <w:szCs w:val="21"/>
          <w:highlight w:val="none"/>
        </w:rPr>
        <w:t>竞争性</w:t>
      </w:r>
      <w:r>
        <w:rPr>
          <w:rFonts w:hint="eastAsia" w:ascii="宋体" w:hAnsi="宋体" w:eastAsia="宋体" w:cs="Times New Roman"/>
          <w:color w:val="auto"/>
          <w:szCs w:val="21"/>
          <w:highlight w:val="none"/>
          <w:lang w:val="en-US" w:eastAsia="zh-CN"/>
        </w:rPr>
        <w:t>谈判</w:t>
      </w:r>
      <w:r>
        <w:rPr>
          <w:rFonts w:hint="eastAsia" w:ascii="宋体" w:hAnsi="宋体" w:eastAsia="宋体" w:cs="Times New Roman"/>
          <w:color w:val="auto"/>
          <w:spacing w:val="0"/>
          <w:szCs w:val="21"/>
          <w:highlight w:val="none"/>
        </w:rPr>
        <w:t>文件解释权属本中心。</w:t>
      </w:r>
    </w:p>
    <w:p w14:paraId="6917473F">
      <w:pPr>
        <w:widowControl/>
        <w:spacing w:line="380" w:lineRule="exact"/>
        <w:ind w:firstLine="420"/>
        <w:jc w:val="left"/>
        <w:rPr>
          <w:rFonts w:hint="eastAsia" w:ascii="宋体" w:hAnsi="宋体" w:eastAsia="宋体" w:cs="Times New Roman"/>
          <w:bCs w:val="0"/>
          <w:color w:val="auto"/>
          <w:szCs w:val="21"/>
          <w:highlight w:val="none"/>
        </w:rPr>
      </w:pPr>
      <w:r>
        <w:rPr>
          <w:rFonts w:hint="eastAsia" w:ascii="宋体" w:hAnsi="宋体" w:eastAsia="宋体" w:cs="Times New Roman"/>
          <w:b w:val="0"/>
          <w:bCs w:val="0"/>
          <w:color w:val="auto"/>
          <w:szCs w:val="21"/>
          <w:highlight w:val="none"/>
        </w:rPr>
        <w:t>1</w:t>
      </w:r>
      <w:r>
        <w:rPr>
          <w:rFonts w:hint="eastAsia" w:ascii="宋体" w:hAnsi="宋体" w:eastAsia="宋体" w:cs="Times New Roman"/>
          <w:b w:val="0"/>
          <w:bCs w:val="0"/>
          <w:color w:val="auto"/>
          <w:szCs w:val="21"/>
          <w:highlight w:val="none"/>
          <w:lang w:val="en-US" w:eastAsia="zh-CN"/>
        </w:rPr>
        <w:t>7</w:t>
      </w:r>
      <w:r>
        <w:rPr>
          <w:rFonts w:hint="eastAsia" w:ascii="宋体" w:hAnsi="宋体" w:eastAsia="宋体" w:cs="Times New Roman"/>
          <w:b w:val="0"/>
          <w:bCs w:val="0"/>
          <w:color w:val="auto"/>
          <w:szCs w:val="21"/>
          <w:highlight w:val="none"/>
        </w:rPr>
        <w:t>.2 有关事宜</w:t>
      </w:r>
    </w:p>
    <w:p w14:paraId="486BD432">
      <w:pPr>
        <w:widowControl/>
        <w:spacing w:line="38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所有与本竞争性谈判文件有关的函件请按下列通讯地址联系：</w:t>
      </w:r>
    </w:p>
    <w:p w14:paraId="0ED7AF1B">
      <w:pPr>
        <w:widowControl/>
        <w:spacing w:line="38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广西壮族自治区政府采购中心</w:t>
      </w:r>
    </w:p>
    <w:p w14:paraId="1532ED6C">
      <w:pPr>
        <w:widowControl/>
        <w:spacing w:line="380" w:lineRule="exact"/>
        <w:ind w:firstLine="420"/>
        <w:jc w:val="left"/>
        <w:rPr>
          <w:rFonts w:hint="eastAsia" w:ascii="宋体" w:hAnsi="宋体" w:eastAsia="宋体" w:cs="Times New Roman"/>
          <w:color w:val="auto"/>
          <w:szCs w:val="21"/>
          <w:highlight w:val="none"/>
          <w:u w:val="none"/>
        </w:rPr>
      </w:pP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邮政编码：530011</w:t>
      </w:r>
    </w:p>
    <w:p w14:paraId="314053B2">
      <w:pPr>
        <w:widowControl/>
        <w:spacing w:line="380" w:lineRule="exact"/>
        <w:ind w:firstLine="420"/>
        <w:jc w:val="left"/>
        <w:rPr>
          <w:rFonts w:hint="eastAsia" w:ascii="宋体" w:hAnsi="宋体" w:eastAsia="宋体" w:cs="Times New Roman"/>
          <w:color w:val="auto"/>
          <w:spacing w:val="0"/>
          <w:szCs w:val="21"/>
          <w:highlight w:val="none"/>
        </w:rPr>
      </w:pP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通讯地址：</w:t>
      </w:r>
      <w:r>
        <w:rPr>
          <w:rFonts w:hint="eastAsia" w:ascii="宋体" w:hAnsi="宋体" w:eastAsia="宋体" w:cs="Times New Roman"/>
          <w:color w:val="auto"/>
          <w:spacing w:val="0"/>
          <w:szCs w:val="21"/>
          <w:highlight w:val="none"/>
        </w:rPr>
        <w:t>广西南宁市</w:t>
      </w:r>
      <w:r>
        <w:rPr>
          <w:rFonts w:hint="eastAsia" w:ascii="宋体" w:hAnsi="宋体" w:eastAsia="宋体" w:cs="Times New Roman"/>
          <w:color w:val="auto"/>
          <w:spacing w:val="0"/>
          <w:szCs w:val="21"/>
          <w:highlight w:val="none"/>
          <w:lang w:eastAsia="zh-CN"/>
        </w:rPr>
        <w:t>星湖路</w:t>
      </w:r>
      <w:r>
        <w:rPr>
          <w:rFonts w:hint="eastAsia" w:ascii="宋体" w:hAnsi="宋体" w:eastAsia="宋体" w:cs="Times New Roman"/>
          <w:color w:val="auto"/>
          <w:spacing w:val="0"/>
          <w:szCs w:val="21"/>
          <w:highlight w:val="none"/>
          <w:lang w:val="en-US" w:eastAsia="zh-CN"/>
        </w:rPr>
        <w:t>22</w:t>
      </w:r>
      <w:r>
        <w:rPr>
          <w:rFonts w:hint="eastAsia" w:ascii="宋体" w:hAnsi="宋体" w:eastAsia="宋体" w:cs="Times New Roman"/>
          <w:color w:val="auto"/>
          <w:spacing w:val="0"/>
          <w:szCs w:val="21"/>
          <w:highlight w:val="none"/>
        </w:rPr>
        <w:t>号</w:t>
      </w:r>
    </w:p>
    <w:p w14:paraId="5E3ACB1C">
      <w:pPr>
        <w:widowControl/>
        <w:spacing w:line="380" w:lineRule="exact"/>
        <w:ind w:firstLine="420"/>
        <w:jc w:val="lef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电    话：</w:t>
      </w:r>
      <w:r>
        <w:rPr>
          <w:rFonts w:hint="eastAsia" w:ascii="宋体" w:hAnsi="宋体" w:eastAsia="宋体" w:cs="Times New Roman"/>
          <w:color w:val="auto"/>
          <w:spacing w:val="0"/>
          <w:szCs w:val="21"/>
          <w:highlight w:val="none"/>
          <w:lang w:val="en"/>
        </w:rPr>
        <w:t>0771-8600</w:t>
      </w:r>
      <w:r>
        <w:rPr>
          <w:rFonts w:hint="eastAsia" w:ascii="宋体" w:hAnsi="宋体" w:eastAsia="宋体" w:cs="Times New Roman"/>
          <w:color w:val="auto"/>
          <w:spacing w:val="0"/>
          <w:szCs w:val="21"/>
          <w:highlight w:val="none"/>
          <w:lang w:val="en-US" w:eastAsia="zh-CN"/>
        </w:rPr>
        <w:t>433</w:t>
      </w:r>
    </w:p>
    <w:p w14:paraId="1B55E67D">
      <w:pPr>
        <w:pStyle w:val="8"/>
        <w:tabs>
          <w:tab w:val="left" w:pos="1990"/>
        </w:tabs>
        <w:spacing w:line="340" w:lineRule="exact"/>
        <w:ind w:firstLine="525"/>
        <w:rPr>
          <w:color w:val="auto"/>
          <w:highlight w:val="none"/>
        </w:rPr>
      </w:pPr>
    </w:p>
    <w:p w14:paraId="62E6BAFD">
      <w:pPr>
        <w:spacing w:line="400" w:lineRule="exact"/>
        <w:jc w:val="center"/>
        <w:rPr>
          <w:rFonts w:ascii="仿宋_GB2312" w:hAnsi="仿宋_GB2312" w:eastAsia="仿宋_GB2312"/>
          <w:b/>
          <w:color w:val="auto"/>
          <w:sz w:val="32"/>
          <w:szCs w:val="32"/>
          <w:highlight w:val="none"/>
        </w:rPr>
      </w:pPr>
    </w:p>
    <w:p w14:paraId="672D6D4C">
      <w:pPr>
        <w:pageBreakBefore/>
        <w:spacing w:line="400" w:lineRule="exact"/>
        <w:jc w:val="center"/>
        <w:rPr>
          <w:rFonts w:ascii="仿宋_GB2312" w:hAnsi="仿宋_GB2312" w:eastAsia="仿宋_GB2312"/>
          <w:b/>
          <w:color w:val="auto"/>
          <w:sz w:val="32"/>
          <w:szCs w:val="32"/>
          <w:highlight w:val="none"/>
        </w:rPr>
      </w:pPr>
    </w:p>
    <w:p w14:paraId="4C84472E">
      <w:pPr>
        <w:spacing w:line="400" w:lineRule="exact"/>
        <w:jc w:val="center"/>
        <w:rPr>
          <w:rFonts w:ascii="仿宋_GB2312" w:hAnsi="仿宋_GB2312" w:eastAsia="仿宋_GB2312"/>
          <w:b/>
          <w:color w:val="auto"/>
          <w:sz w:val="32"/>
          <w:szCs w:val="32"/>
          <w:highlight w:val="none"/>
        </w:rPr>
      </w:pPr>
    </w:p>
    <w:p w14:paraId="026254B4">
      <w:pPr>
        <w:spacing w:line="400" w:lineRule="exact"/>
        <w:jc w:val="center"/>
        <w:rPr>
          <w:rFonts w:ascii="仿宋_GB2312" w:hAnsi="仿宋_GB2312" w:eastAsia="仿宋_GB2312"/>
          <w:b/>
          <w:color w:val="auto"/>
          <w:sz w:val="32"/>
          <w:szCs w:val="32"/>
          <w:highlight w:val="none"/>
        </w:rPr>
      </w:pPr>
    </w:p>
    <w:p w14:paraId="7B654D7F">
      <w:pPr>
        <w:spacing w:line="620" w:lineRule="exact"/>
        <w:jc w:val="center"/>
        <w:rPr>
          <w:rFonts w:ascii="仿宋_GB2312" w:hAnsi="仿宋_GB2312" w:eastAsia="仿宋_GB2312"/>
          <w:b/>
          <w:color w:val="auto"/>
          <w:sz w:val="44"/>
          <w:szCs w:val="44"/>
          <w:highlight w:val="none"/>
        </w:rPr>
      </w:pPr>
    </w:p>
    <w:p w14:paraId="62A412D6">
      <w:pPr>
        <w:spacing w:line="620" w:lineRule="exact"/>
        <w:jc w:val="center"/>
        <w:rPr>
          <w:rFonts w:ascii="仿宋_GB2312" w:hAnsi="仿宋_GB2312" w:eastAsia="仿宋_GB2312"/>
          <w:b/>
          <w:color w:val="auto"/>
          <w:sz w:val="44"/>
          <w:szCs w:val="44"/>
          <w:highlight w:val="none"/>
        </w:rPr>
      </w:pPr>
    </w:p>
    <w:p w14:paraId="231A6E16">
      <w:pPr>
        <w:spacing w:line="620" w:lineRule="exact"/>
        <w:jc w:val="center"/>
        <w:rPr>
          <w:rFonts w:ascii="仿宋_GB2312" w:hAnsi="仿宋_GB2312" w:eastAsia="仿宋_GB2312"/>
          <w:b/>
          <w:color w:val="auto"/>
          <w:sz w:val="44"/>
          <w:szCs w:val="44"/>
          <w:highlight w:val="none"/>
        </w:rPr>
      </w:pPr>
    </w:p>
    <w:p w14:paraId="7E51D435">
      <w:pPr>
        <w:spacing w:line="620" w:lineRule="exact"/>
        <w:jc w:val="center"/>
        <w:rPr>
          <w:rFonts w:ascii="仿宋_GB2312" w:hAnsi="仿宋_GB2312" w:eastAsia="仿宋_GB2312"/>
          <w:b/>
          <w:color w:val="auto"/>
          <w:sz w:val="44"/>
          <w:szCs w:val="44"/>
          <w:highlight w:val="none"/>
        </w:rPr>
      </w:pPr>
    </w:p>
    <w:p w14:paraId="54DE37BD">
      <w:pPr>
        <w:spacing w:line="620" w:lineRule="exact"/>
        <w:jc w:val="center"/>
        <w:rPr>
          <w:rFonts w:ascii="仿宋_GB2312" w:hAnsi="仿宋_GB2312" w:eastAsia="仿宋_GB2312"/>
          <w:b/>
          <w:color w:val="auto"/>
          <w:sz w:val="44"/>
          <w:szCs w:val="44"/>
          <w:highlight w:val="none"/>
        </w:rPr>
      </w:pPr>
    </w:p>
    <w:p w14:paraId="53C7790A">
      <w:pPr>
        <w:spacing w:line="620" w:lineRule="exact"/>
        <w:jc w:val="center"/>
        <w:rPr>
          <w:rFonts w:ascii="仿宋_GB2312" w:hAnsi="仿宋_GB2312" w:eastAsia="仿宋_GB2312"/>
          <w:b/>
          <w:color w:val="auto"/>
          <w:sz w:val="44"/>
          <w:szCs w:val="44"/>
          <w:highlight w:val="none"/>
        </w:rPr>
      </w:pPr>
    </w:p>
    <w:p w14:paraId="5C0C938E">
      <w:pPr>
        <w:spacing w:line="620" w:lineRule="exact"/>
        <w:jc w:val="center"/>
        <w:rPr>
          <w:rFonts w:ascii="仿宋_GB2312" w:hAnsi="仿宋_GB2312" w:eastAsia="仿宋_GB2312"/>
          <w:b/>
          <w:color w:val="auto"/>
          <w:sz w:val="44"/>
          <w:szCs w:val="44"/>
          <w:highlight w:val="none"/>
        </w:rPr>
      </w:pPr>
    </w:p>
    <w:p w14:paraId="479A6A02">
      <w:pPr>
        <w:pStyle w:val="3"/>
        <w:jc w:val="center"/>
        <w:rPr>
          <w:color w:val="auto"/>
          <w:highlight w:val="none"/>
        </w:rPr>
      </w:pPr>
      <w:bookmarkStart w:id="10" w:name="_Toc46136758"/>
      <w:r>
        <w:rPr>
          <w:rFonts w:hint="eastAsia"/>
          <w:color w:val="auto"/>
          <w:highlight w:val="none"/>
        </w:rPr>
        <w:t>第三章  采购需求</w:t>
      </w:r>
      <w:bookmarkEnd w:id="10"/>
    </w:p>
    <w:p w14:paraId="1A55602C">
      <w:pPr>
        <w:spacing w:line="500" w:lineRule="exact"/>
        <w:jc w:val="center"/>
        <w:rPr>
          <w:rFonts w:ascii="宋体" w:hAnsi="宋体"/>
          <w:b/>
          <w:color w:val="auto"/>
          <w:szCs w:val="21"/>
          <w:highlight w:val="none"/>
        </w:rPr>
      </w:pPr>
    </w:p>
    <w:p w14:paraId="170423A2">
      <w:pPr>
        <w:spacing w:line="500" w:lineRule="exact"/>
        <w:jc w:val="center"/>
        <w:rPr>
          <w:rFonts w:ascii="宋体" w:hAnsi="宋体"/>
          <w:b/>
          <w:color w:val="auto"/>
          <w:szCs w:val="21"/>
          <w:highlight w:val="none"/>
        </w:rPr>
      </w:pPr>
    </w:p>
    <w:p w14:paraId="2F40E09D">
      <w:pPr>
        <w:spacing w:line="500" w:lineRule="exact"/>
        <w:jc w:val="center"/>
        <w:rPr>
          <w:rFonts w:ascii="宋体" w:hAnsi="宋体"/>
          <w:b/>
          <w:color w:val="auto"/>
          <w:szCs w:val="21"/>
          <w:highlight w:val="none"/>
        </w:rPr>
      </w:pPr>
    </w:p>
    <w:p w14:paraId="19A602CE">
      <w:pPr>
        <w:spacing w:line="500" w:lineRule="exact"/>
        <w:jc w:val="center"/>
        <w:rPr>
          <w:rFonts w:ascii="宋体" w:hAnsi="宋体"/>
          <w:b/>
          <w:color w:val="auto"/>
          <w:szCs w:val="21"/>
          <w:highlight w:val="none"/>
        </w:rPr>
      </w:pPr>
    </w:p>
    <w:p w14:paraId="7990E0EB">
      <w:pPr>
        <w:spacing w:line="500" w:lineRule="exact"/>
        <w:jc w:val="center"/>
        <w:rPr>
          <w:rFonts w:ascii="宋体" w:hAnsi="宋体"/>
          <w:b/>
          <w:color w:val="auto"/>
          <w:szCs w:val="21"/>
          <w:highlight w:val="none"/>
        </w:rPr>
      </w:pPr>
    </w:p>
    <w:p w14:paraId="360DCCCD">
      <w:pPr>
        <w:spacing w:line="500" w:lineRule="exact"/>
        <w:jc w:val="center"/>
        <w:rPr>
          <w:rFonts w:ascii="宋体" w:hAnsi="宋体"/>
          <w:b/>
          <w:color w:val="auto"/>
          <w:szCs w:val="21"/>
          <w:highlight w:val="none"/>
        </w:rPr>
      </w:pPr>
    </w:p>
    <w:p w14:paraId="795B80CA">
      <w:pPr>
        <w:spacing w:line="500" w:lineRule="exact"/>
        <w:jc w:val="center"/>
        <w:rPr>
          <w:rFonts w:ascii="宋体" w:hAnsi="宋体"/>
          <w:b/>
          <w:color w:val="auto"/>
          <w:szCs w:val="21"/>
          <w:highlight w:val="none"/>
        </w:rPr>
      </w:pPr>
    </w:p>
    <w:p w14:paraId="3B207BC3">
      <w:pPr>
        <w:spacing w:line="500" w:lineRule="exact"/>
        <w:jc w:val="center"/>
        <w:rPr>
          <w:rFonts w:ascii="宋体" w:hAnsi="宋体"/>
          <w:b/>
          <w:color w:val="auto"/>
          <w:szCs w:val="21"/>
          <w:highlight w:val="none"/>
        </w:rPr>
      </w:pPr>
    </w:p>
    <w:p w14:paraId="60C369F6">
      <w:pPr>
        <w:spacing w:line="500" w:lineRule="exact"/>
        <w:jc w:val="center"/>
        <w:rPr>
          <w:rFonts w:ascii="宋体" w:hAnsi="宋体"/>
          <w:b/>
          <w:color w:val="auto"/>
          <w:szCs w:val="21"/>
          <w:highlight w:val="none"/>
        </w:rPr>
      </w:pPr>
    </w:p>
    <w:p w14:paraId="2DE98DA1">
      <w:pPr>
        <w:spacing w:line="500" w:lineRule="exact"/>
        <w:jc w:val="center"/>
        <w:rPr>
          <w:rFonts w:ascii="宋体" w:hAnsi="宋体"/>
          <w:b/>
          <w:color w:val="auto"/>
          <w:szCs w:val="21"/>
          <w:highlight w:val="none"/>
        </w:rPr>
      </w:pPr>
    </w:p>
    <w:p w14:paraId="659B95A9">
      <w:pPr>
        <w:spacing w:line="500" w:lineRule="exact"/>
        <w:jc w:val="center"/>
        <w:rPr>
          <w:rFonts w:ascii="宋体" w:hAnsi="宋体"/>
          <w:b/>
          <w:color w:val="auto"/>
          <w:szCs w:val="21"/>
          <w:highlight w:val="none"/>
        </w:rPr>
      </w:pPr>
    </w:p>
    <w:p w14:paraId="3184636C">
      <w:pPr>
        <w:spacing w:line="500" w:lineRule="exact"/>
        <w:jc w:val="center"/>
        <w:rPr>
          <w:rFonts w:ascii="宋体" w:hAnsi="宋体"/>
          <w:b/>
          <w:color w:val="auto"/>
          <w:szCs w:val="21"/>
          <w:highlight w:val="none"/>
        </w:rPr>
      </w:pPr>
    </w:p>
    <w:p w14:paraId="015765E0">
      <w:pPr>
        <w:spacing w:line="500" w:lineRule="exact"/>
        <w:jc w:val="center"/>
        <w:rPr>
          <w:rFonts w:ascii="宋体" w:hAnsi="宋体"/>
          <w:b/>
          <w:color w:val="auto"/>
          <w:szCs w:val="21"/>
          <w:highlight w:val="none"/>
        </w:rPr>
      </w:pPr>
    </w:p>
    <w:p w14:paraId="3BDA3018">
      <w:pPr>
        <w:spacing w:line="500" w:lineRule="exact"/>
        <w:jc w:val="center"/>
        <w:rPr>
          <w:rFonts w:ascii="宋体" w:hAnsi="宋体"/>
          <w:b/>
          <w:color w:val="auto"/>
          <w:szCs w:val="21"/>
          <w:highlight w:val="none"/>
        </w:rPr>
      </w:pPr>
    </w:p>
    <w:p w14:paraId="427FC09F">
      <w:pPr>
        <w:pageBreakBefore/>
        <w:spacing w:line="500" w:lineRule="exact"/>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采购项目技术规格、参数及要求</w:t>
      </w:r>
    </w:p>
    <w:p w14:paraId="4DFEED50">
      <w:pPr>
        <w:tabs>
          <w:tab w:val="left" w:pos="180"/>
          <w:tab w:val="left" w:pos="1620"/>
        </w:tabs>
        <w:spacing w:line="500" w:lineRule="exact"/>
        <w:ind w:firstLine="420"/>
        <w:rPr>
          <w:rFonts w:hint="eastAsia" w:ascii="宋体" w:hAnsi="宋体"/>
          <w:color w:val="auto"/>
          <w:szCs w:val="21"/>
          <w:highlight w:val="none"/>
        </w:rPr>
      </w:pPr>
    </w:p>
    <w:p w14:paraId="667F9AEA">
      <w:pPr>
        <w:keepNext w:val="0"/>
        <w:keepLines w:val="0"/>
        <w:pageBreakBefore w:val="0"/>
        <w:widowControl w:val="0"/>
        <w:tabs>
          <w:tab w:val="left" w:pos="180"/>
          <w:tab w:val="left" w:pos="1620"/>
        </w:tabs>
        <w:kinsoku/>
        <w:wordWrap/>
        <w:overflowPunct/>
        <w:topLinePunct w:val="0"/>
        <w:autoSpaceDE/>
        <w:autoSpaceDN/>
        <w:bidi w:val="0"/>
        <w:adjustRightInd/>
        <w:snapToGrid/>
        <w:spacing w:line="320" w:lineRule="exact"/>
        <w:ind w:firstLine="422" w:firstLineChars="200"/>
        <w:textAlignment w:val="auto"/>
        <w:rPr>
          <w:rFonts w:hint="eastAsia" w:ascii="宋体" w:hAnsi="宋体"/>
          <w:b/>
          <w:color w:val="auto"/>
          <w:szCs w:val="21"/>
          <w:highlight w:val="none"/>
          <w:u w:val="single"/>
        </w:rPr>
      </w:pPr>
      <w:r>
        <w:rPr>
          <w:rFonts w:hint="eastAsia" w:ascii="宋体" w:hAnsi="宋体"/>
          <w:b/>
          <w:color w:val="auto"/>
          <w:szCs w:val="21"/>
          <w:highlight w:val="none"/>
        </w:rPr>
        <w:t>一、项目编号：</w:t>
      </w:r>
      <w:r>
        <w:rPr>
          <w:rFonts w:hint="eastAsia" w:ascii="宋体" w:hAnsi="宋体"/>
          <w:b/>
          <w:color w:val="auto"/>
          <w:szCs w:val="21"/>
          <w:highlight w:val="none"/>
          <w:u w:val="single"/>
        </w:rPr>
        <w:t xml:space="preserve"> GXZC2025-J1-002431-CGZX  </w:t>
      </w:r>
    </w:p>
    <w:p w14:paraId="5D34D869">
      <w:pPr>
        <w:keepNext w:val="0"/>
        <w:keepLines w:val="0"/>
        <w:pageBreakBefore w:val="0"/>
        <w:widowControl w:val="0"/>
        <w:tabs>
          <w:tab w:val="left" w:pos="180"/>
          <w:tab w:val="left" w:pos="1620"/>
        </w:tabs>
        <w:kinsoku/>
        <w:wordWrap/>
        <w:overflowPunct/>
        <w:topLinePunct w:val="0"/>
        <w:autoSpaceDE/>
        <w:autoSpaceDN/>
        <w:bidi w:val="0"/>
        <w:adjustRightInd/>
        <w:snapToGrid/>
        <w:spacing w:line="320" w:lineRule="exact"/>
        <w:ind w:firstLine="422" w:firstLineChars="200"/>
        <w:textAlignment w:val="auto"/>
        <w:rPr>
          <w:rFonts w:hint="eastAsia" w:ascii="宋体" w:hAnsi="宋体"/>
          <w:b/>
          <w:color w:val="auto"/>
          <w:szCs w:val="21"/>
          <w:highlight w:val="none"/>
          <w:u w:val="single"/>
        </w:rPr>
      </w:pPr>
      <w:r>
        <w:rPr>
          <w:rFonts w:hint="eastAsia" w:ascii="宋体" w:hAnsi="宋体"/>
          <w:b/>
          <w:color w:val="auto"/>
          <w:szCs w:val="21"/>
          <w:highlight w:val="none"/>
        </w:rPr>
        <w:t>二、项目类别：</w:t>
      </w:r>
      <w:r>
        <w:rPr>
          <w:rFonts w:hint="eastAsia" w:ascii="宋体" w:hAnsi="宋体"/>
          <w:b/>
          <w:color w:val="auto"/>
          <w:szCs w:val="21"/>
          <w:highlight w:val="none"/>
          <w:u w:val="single"/>
        </w:rPr>
        <w:t xml:space="preserve">          货物              </w:t>
      </w:r>
    </w:p>
    <w:p w14:paraId="6AF9283E">
      <w:pPr>
        <w:keepNext w:val="0"/>
        <w:keepLines w:val="0"/>
        <w:pageBreakBefore w:val="0"/>
        <w:widowControl w:val="0"/>
        <w:tabs>
          <w:tab w:val="left" w:pos="180"/>
          <w:tab w:val="left" w:pos="1620"/>
        </w:tabs>
        <w:kinsoku/>
        <w:wordWrap/>
        <w:overflowPunct/>
        <w:topLinePunct w:val="0"/>
        <w:autoSpaceDE/>
        <w:autoSpaceDN/>
        <w:bidi w:val="0"/>
        <w:adjustRightInd/>
        <w:snapToGrid/>
        <w:spacing w:line="320" w:lineRule="exact"/>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三、</w:t>
      </w:r>
      <w:r>
        <w:rPr>
          <w:rFonts w:hint="eastAsia" w:ascii="宋体" w:hAnsi="宋体"/>
          <w:b/>
          <w:color w:val="auto"/>
          <w:szCs w:val="21"/>
          <w:highlight w:val="none"/>
          <w:lang w:eastAsia="zh-CN"/>
        </w:rPr>
        <w:t>分标</w:t>
      </w:r>
      <w:r>
        <w:rPr>
          <w:rFonts w:hint="eastAsia" w:ascii="宋体" w:hAnsi="宋体"/>
          <w:b/>
          <w:color w:val="auto"/>
          <w:szCs w:val="21"/>
          <w:highlight w:val="none"/>
          <w:lang w:val="en-US" w:eastAsia="zh-CN"/>
        </w:rPr>
        <w:t>1</w:t>
      </w:r>
      <w:r>
        <w:rPr>
          <w:rFonts w:hint="eastAsia" w:ascii="宋体" w:hAnsi="宋体"/>
          <w:b/>
          <w:color w:val="auto"/>
          <w:szCs w:val="21"/>
          <w:highlight w:val="none"/>
        </w:rPr>
        <w:t>采购预算：</w:t>
      </w:r>
      <w:r>
        <w:rPr>
          <w:rFonts w:hint="eastAsia" w:ascii="宋体" w:hAnsi="宋体"/>
          <w:b/>
          <w:color w:val="auto"/>
          <w:szCs w:val="21"/>
          <w:highlight w:val="none"/>
          <w:u w:val="single"/>
        </w:rPr>
        <w:t xml:space="preserve">  132.15   </w:t>
      </w:r>
      <w:r>
        <w:rPr>
          <w:rFonts w:hint="eastAsia" w:ascii="宋体" w:hAnsi="宋体"/>
          <w:b/>
          <w:color w:val="auto"/>
          <w:szCs w:val="21"/>
          <w:highlight w:val="none"/>
        </w:rPr>
        <w:t>万元</w:t>
      </w:r>
      <w:r>
        <w:rPr>
          <w:rFonts w:hint="eastAsia" w:ascii="宋体" w:hAnsi="宋体"/>
          <w:b/>
          <w:color w:val="auto"/>
          <w:szCs w:val="21"/>
          <w:highlight w:val="none"/>
          <w:lang w:eastAsia="zh-CN"/>
        </w:rPr>
        <w:t>；竞标人的最后报价中单价报价超过单价限价的，作竞标无效处理。</w:t>
      </w:r>
      <w:r>
        <w:rPr>
          <w:rFonts w:hint="eastAsia" w:ascii="宋体" w:hAnsi="宋体"/>
          <w:b/>
          <w:color w:val="auto"/>
          <w:szCs w:val="21"/>
          <w:highlight w:val="none"/>
        </w:rPr>
        <w:t xml:space="preserve">    </w:t>
      </w:r>
    </w:p>
    <w:p w14:paraId="481B341C">
      <w:pPr>
        <w:keepNext w:val="0"/>
        <w:keepLines w:val="0"/>
        <w:pageBreakBefore w:val="0"/>
        <w:widowControl w:val="0"/>
        <w:tabs>
          <w:tab w:val="left" w:pos="180"/>
          <w:tab w:val="left" w:pos="1620"/>
        </w:tabs>
        <w:kinsoku/>
        <w:wordWrap/>
        <w:overflowPunct/>
        <w:topLinePunct w:val="0"/>
        <w:autoSpaceDE/>
        <w:autoSpaceDN/>
        <w:bidi w:val="0"/>
        <w:adjustRightInd/>
        <w:snapToGrid/>
        <w:spacing w:line="320" w:lineRule="exact"/>
        <w:ind w:firstLine="422" w:firstLineChars="200"/>
        <w:textAlignment w:val="auto"/>
        <w:rPr>
          <w:rFonts w:hint="eastAsia" w:ascii="宋体" w:hAnsi="宋体"/>
          <w:b/>
          <w:color w:val="auto"/>
          <w:szCs w:val="21"/>
          <w:highlight w:val="none"/>
          <w:u w:val="single"/>
        </w:rPr>
      </w:pPr>
      <w:r>
        <w:rPr>
          <w:rFonts w:hint="eastAsia" w:ascii="宋体" w:hAnsi="宋体"/>
          <w:b/>
          <w:color w:val="auto"/>
          <w:szCs w:val="21"/>
          <w:highlight w:val="none"/>
        </w:rPr>
        <w:t>四、</w:t>
      </w:r>
      <w:r>
        <w:rPr>
          <w:rFonts w:hint="eastAsia" w:hAnsi="宋体"/>
          <w:b/>
          <w:color w:val="auto"/>
          <w:szCs w:val="21"/>
          <w:highlight w:val="none"/>
          <w:lang w:eastAsia="zh-CN"/>
        </w:rPr>
        <w:t>分标</w:t>
      </w:r>
      <w:r>
        <w:rPr>
          <w:rFonts w:hint="eastAsia" w:hAnsi="宋体"/>
          <w:b/>
          <w:color w:val="auto"/>
          <w:szCs w:val="21"/>
          <w:highlight w:val="none"/>
          <w:lang w:val="en-US" w:eastAsia="zh-CN"/>
        </w:rPr>
        <w:t>1</w:t>
      </w:r>
      <w:r>
        <w:rPr>
          <w:rFonts w:hint="eastAsia"/>
          <w:b/>
          <w:color w:val="auto"/>
          <w:szCs w:val="21"/>
          <w:highlight w:val="none"/>
        </w:rPr>
        <w:t>标的所属行业均为：</w:t>
      </w:r>
      <w:r>
        <w:rPr>
          <w:rFonts w:hint="eastAsia"/>
          <w:b/>
          <w:color w:val="auto"/>
          <w:szCs w:val="21"/>
          <w:highlight w:val="none"/>
          <w:u w:val="single"/>
        </w:rPr>
        <w:t xml:space="preserve">  工业   </w:t>
      </w:r>
      <w:r>
        <w:rPr>
          <w:rFonts w:hint="eastAsia"/>
          <w:b/>
          <w:color w:val="auto"/>
          <w:szCs w:val="21"/>
          <w:highlight w:val="none"/>
        </w:rPr>
        <w:t xml:space="preserve"> ；</w:t>
      </w:r>
      <w:r>
        <w:rPr>
          <w:rFonts w:hint="eastAsia" w:hAnsi="宋体" w:cs="宋体"/>
          <w:b/>
          <w:bCs/>
          <w:color w:val="auto"/>
          <w:szCs w:val="21"/>
          <w:highlight w:val="none"/>
        </w:rPr>
        <w:t>划分依据是</w:t>
      </w:r>
      <w:r>
        <w:rPr>
          <w:rFonts w:hint="eastAsia"/>
          <w:b/>
          <w:color w:val="auto"/>
          <w:szCs w:val="21"/>
          <w:highlight w:val="none"/>
        </w:rPr>
        <w:t>《关于印发中小企业划型标准规定的通知》（工信部联企业[2011]300号）。</w:t>
      </w:r>
    </w:p>
    <w:p w14:paraId="137F940C">
      <w:pPr>
        <w:keepNext w:val="0"/>
        <w:keepLines w:val="0"/>
        <w:pageBreakBefore w:val="0"/>
        <w:widowControl w:val="0"/>
        <w:kinsoku/>
        <w:wordWrap/>
        <w:overflowPunct/>
        <w:topLinePunct w:val="0"/>
        <w:autoSpaceDE/>
        <w:autoSpaceDN/>
        <w:bidi w:val="0"/>
        <w:adjustRightInd/>
        <w:snapToGrid/>
        <w:spacing w:line="320" w:lineRule="exact"/>
        <w:ind w:firstLine="421"/>
        <w:textAlignment w:val="auto"/>
        <w:rPr>
          <w:rFonts w:hint="eastAsia" w:ascii="宋体" w:hAnsi="宋体" w:eastAsia="宋体" w:cs="宋体"/>
          <w:b/>
          <w:bCs/>
          <w:color w:val="auto"/>
          <w:szCs w:val="21"/>
          <w:highlight w:val="none"/>
          <w:shd w:val="clear" w:color="auto" w:fill="FFFFFF"/>
          <w:lang w:bidi="ar"/>
        </w:rPr>
      </w:pPr>
      <w:r>
        <w:rPr>
          <w:rFonts w:hint="eastAsia" w:ascii="宋体" w:hAnsi="宋体"/>
          <w:b/>
          <w:color w:val="auto"/>
          <w:szCs w:val="21"/>
          <w:highlight w:val="none"/>
        </w:rPr>
        <w:t>五、采购需求一览表：</w:t>
      </w:r>
      <w:r>
        <w:rPr>
          <w:rFonts w:hint="eastAsia" w:ascii="宋体" w:hAnsi="宋体" w:eastAsia="宋体" w:cs="宋体"/>
          <w:b/>
          <w:bCs/>
          <w:color w:val="auto"/>
          <w:szCs w:val="21"/>
          <w:highlight w:val="none"/>
          <w:shd w:val="clear" w:color="auto" w:fill="FFFFFF"/>
          <w:lang w:bidi="ar"/>
        </w:rPr>
        <w:t>采购需求中标明“▲”号的参数为必须响应的实质性技术参数，要求竞标产品必须满足，否则作竞标无效处理。</w:t>
      </w:r>
    </w:p>
    <w:p w14:paraId="7C3BA6C8">
      <w:pPr>
        <w:keepNext w:val="0"/>
        <w:keepLines w:val="0"/>
        <w:pageBreakBefore w:val="0"/>
        <w:widowControl w:val="0"/>
        <w:kinsoku/>
        <w:wordWrap/>
        <w:overflowPunct/>
        <w:topLinePunct w:val="0"/>
        <w:autoSpaceDE/>
        <w:autoSpaceDN/>
        <w:bidi w:val="0"/>
        <w:adjustRightInd/>
        <w:snapToGrid/>
        <w:spacing w:line="320" w:lineRule="exact"/>
        <w:ind w:firstLine="421"/>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eastAsia="zh-CN"/>
        </w:rPr>
        <w:t>六、“</w:t>
      </w:r>
      <w:r>
        <w:rPr>
          <w:rFonts w:hint="eastAsia" w:ascii="宋体" w:hAnsi="宋体" w:eastAsia="宋体" w:cs="宋体"/>
          <w:b/>
          <w:bCs/>
          <w:color w:val="auto"/>
          <w:highlight w:val="none"/>
        </w:rPr>
        <w:t>主要技术参数及性能（配置）要求</w:t>
      </w:r>
      <w:r>
        <w:rPr>
          <w:rFonts w:hint="eastAsia" w:ascii="宋体" w:hAnsi="宋体" w:eastAsia="宋体" w:cs="宋体"/>
          <w:b/>
          <w:bCs/>
          <w:color w:val="auto"/>
          <w:highlight w:val="none"/>
          <w:lang w:eastAsia="zh-CN"/>
        </w:rPr>
        <w:t>”中</w:t>
      </w:r>
      <w:r>
        <w:rPr>
          <w:rFonts w:hint="eastAsia" w:ascii="宋体" w:hAnsi="宋体" w:eastAsia="宋体" w:cs="宋体"/>
          <w:b/>
          <w:bCs/>
          <w:color w:val="auto"/>
          <w:szCs w:val="24"/>
          <w:highlight w:val="none"/>
        </w:rPr>
        <w:t>的“≥”和“≤”偏离说明，“≥”：“=”为无偏离，“＞”为正偏离；“＜”为负偏离，“≤”：“=”为无偏离，“＜”为正偏离，“＞”为负偏离。</w:t>
      </w:r>
      <w:r>
        <w:rPr>
          <w:rFonts w:hint="eastAsia" w:ascii="宋体" w:hAnsi="宋体" w:eastAsia="宋体" w:cs="宋体"/>
          <w:b/>
          <w:bCs/>
          <w:color w:val="auto"/>
          <w:szCs w:val="24"/>
          <w:highlight w:val="none"/>
          <w:lang w:val="en-US" w:eastAsia="zh-CN"/>
        </w:rPr>
        <w:t>响应时必须明确</w:t>
      </w:r>
      <w:r>
        <w:rPr>
          <w:rFonts w:hint="eastAsia" w:ascii="宋体" w:hAnsi="宋体" w:eastAsia="宋体" w:cs="宋体"/>
          <w:b/>
          <w:bCs/>
          <w:color w:val="auto"/>
          <w:highlight w:val="none"/>
          <w:lang w:eastAsia="zh-CN"/>
        </w:rPr>
        <w:t>具体响应数值，</w:t>
      </w:r>
      <w:r>
        <w:rPr>
          <w:rFonts w:hint="eastAsia" w:ascii="宋体" w:hAnsi="宋体" w:eastAsia="宋体" w:cs="宋体"/>
          <w:b/>
          <w:bCs/>
          <w:color w:val="auto"/>
          <w:highlight w:val="none"/>
        </w:rPr>
        <w:t>仅复制竞争性谈判文件要求的，将导致谈判被拒绝，</w:t>
      </w:r>
      <w:r>
        <w:rPr>
          <w:rFonts w:hint="eastAsia" w:ascii="宋体" w:hAnsi="宋体" w:eastAsia="宋体" w:cs="宋体"/>
          <w:b/>
          <w:bCs/>
          <w:color w:val="auto"/>
          <w:highlight w:val="none"/>
          <w:lang w:eastAsia="zh-CN"/>
        </w:rPr>
        <w:t>响应文件作</w:t>
      </w:r>
      <w:r>
        <w:rPr>
          <w:rFonts w:hint="eastAsia" w:ascii="宋体" w:hAnsi="宋体" w:eastAsia="宋体" w:cs="宋体"/>
          <w:b/>
          <w:bCs/>
          <w:color w:val="auto"/>
          <w:highlight w:val="none"/>
        </w:rPr>
        <w:t>无效</w:t>
      </w:r>
      <w:r>
        <w:rPr>
          <w:rFonts w:hint="eastAsia" w:ascii="宋体" w:hAnsi="宋体" w:eastAsia="宋体" w:cs="宋体"/>
          <w:b/>
          <w:bCs/>
          <w:color w:val="auto"/>
          <w:spacing w:val="0"/>
          <w:szCs w:val="24"/>
          <w:highlight w:val="none"/>
        </w:rPr>
        <w:t>处理</w:t>
      </w:r>
      <w:r>
        <w:rPr>
          <w:rFonts w:hint="eastAsia" w:ascii="宋体" w:hAnsi="宋体" w:eastAsia="宋体" w:cs="宋体"/>
          <w:b/>
          <w:bCs/>
          <w:color w:val="auto"/>
          <w:highlight w:val="none"/>
        </w:rPr>
        <w:t>。</w:t>
      </w:r>
    </w:p>
    <w:p w14:paraId="0759A219">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Style w:val="28"/>
          <w:rFonts w:hint="eastAsia" w:ascii="宋体"/>
          <w:b/>
          <w:bCs/>
          <w:color w:val="auto"/>
          <w:highlight w:val="none"/>
        </w:rPr>
      </w:pPr>
      <w:r>
        <w:rPr>
          <w:rFonts w:hint="eastAsia" w:ascii="宋体" w:hAnsi="宋体" w:cs="宋体"/>
          <w:b/>
          <w:bCs/>
          <w:color w:val="auto"/>
          <w:highlight w:val="none"/>
          <w:lang w:eastAsia="zh-CN"/>
        </w:rPr>
        <w:t>七、提供</w:t>
      </w:r>
      <w:r>
        <w:rPr>
          <w:rFonts w:hint="eastAsia" w:ascii="宋体" w:hAnsi="宋体" w:eastAsia="宋体" w:cs="宋体"/>
          <w:b/>
          <w:bCs/>
          <w:color w:val="auto"/>
          <w:highlight w:val="none"/>
        </w:rPr>
        <w:t>“</w:t>
      </w:r>
      <w:r>
        <w:rPr>
          <w:rStyle w:val="28"/>
          <w:rFonts w:hint="eastAsia" w:ascii="宋体" w:hAnsi="宋体" w:eastAsia="宋体" w:cs="宋体"/>
          <w:b/>
          <w:bCs/>
          <w:color w:val="auto"/>
          <w:highlight w:val="none"/>
        </w:rPr>
        <w:t>商务、技术响应、偏离情况说明表</w:t>
      </w:r>
      <w:r>
        <w:rPr>
          <w:rFonts w:hint="eastAsia" w:ascii="宋体" w:hAnsi="宋体" w:eastAsia="宋体" w:cs="宋体"/>
          <w:b/>
          <w:bCs/>
          <w:color w:val="auto"/>
          <w:highlight w:val="none"/>
        </w:rPr>
        <w:t>”</w:t>
      </w:r>
      <w:r>
        <w:rPr>
          <w:rFonts w:hint="eastAsia" w:ascii="宋体" w:hAnsi="宋体" w:eastAsia="宋体" w:cs="宋体"/>
          <w:b/>
          <w:bCs/>
          <w:color w:val="auto"/>
          <w:highlight w:val="none"/>
          <w:lang w:eastAsia="zh-CN"/>
        </w:rPr>
        <w:t>时，必须</w:t>
      </w:r>
      <w:r>
        <w:rPr>
          <w:rStyle w:val="28"/>
          <w:rFonts w:hint="eastAsia" w:ascii="宋体" w:hAnsi="宋体" w:eastAsia="宋体" w:cs="宋体"/>
          <w:b/>
          <w:bCs/>
          <w:color w:val="auto"/>
          <w:highlight w:val="none"/>
        </w:rPr>
        <w:t>对照竞争性谈判文件“第三章采购项目技术规格、参数及要求”，逐条列明</w:t>
      </w:r>
      <w:r>
        <w:rPr>
          <w:rStyle w:val="28"/>
          <w:rFonts w:hint="eastAsia" w:ascii="宋体"/>
          <w:b/>
          <w:bCs/>
          <w:color w:val="auto"/>
          <w:highlight w:val="none"/>
          <w:lang w:eastAsia="zh-CN"/>
        </w:rPr>
        <w:t>（不允许缺项）</w:t>
      </w:r>
      <w:r>
        <w:rPr>
          <w:rStyle w:val="28"/>
          <w:rFonts w:hint="eastAsia" w:ascii="宋体" w:hAnsi="宋体" w:eastAsia="宋体" w:cs="宋体"/>
          <w:b/>
          <w:bCs/>
          <w:color w:val="auto"/>
          <w:highlight w:val="none"/>
        </w:rPr>
        <w:t>所提供货物和服务对竞争性谈判文件的商务、技术做出的响应情况，并逐条</w:t>
      </w:r>
      <w:r>
        <w:rPr>
          <w:rStyle w:val="28"/>
          <w:rFonts w:hint="eastAsia" w:ascii="宋体" w:hAnsi="宋体" w:eastAsia="宋体" w:cs="宋体"/>
          <w:b/>
          <w:bCs/>
          <w:color w:val="auto"/>
          <w:highlight w:val="none"/>
          <w:lang w:eastAsia="zh-CN"/>
        </w:rPr>
        <w:t>写</w:t>
      </w:r>
      <w:r>
        <w:rPr>
          <w:rStyle w:val="28"/>
          <w:rFonts w:hint="eastAsia" w:ascii="宋体" w:hAnsi="宋体" w:eastAsia="宋体" w:cs="宋体"/>
          <w:b/>
          <w:bCs/>
          <w:color w:val="auto"/>
          <w:highlight w:val="none"/>
        </w:rPr>
        <w:t>明对</w:t>
      </w:r>
      <w:r>
        <w:rPr>
          <w:rStyle w:val="28"/>
          <w:rFonts w:hint="eastAsia" w:ascii="宋体" w:hAnsi="宋体" w:eastAsia="宋体" w:cs="宋体"/>
          <w:b/>
          <w:bCs/>
          <w:color w:val="auto"/>
          <w:highlight w:val="none"/>
          <w:lang w:eastAsia="zh-CN"/>
        </w:rPr>
        <w:t>“采购项目技术规格、参数及要求”</w:t>
      </w:r>
      <w:r>
        <w:rPr>
          <w:rStyle w:val="28"/>
          <w:rFonts w:hint="eastAsia" w:ascii="宋体" w:hAnsi="宋体" w:eastAsia="宋体" w:cs="宋体"/>
          <w:b/>
          <w:bCs/>
          <w:color w:val="auto"/>
          <w:highlight w:val="none"/>
        </w:rPr>
        <w:t>的</w:t>
      </w:r>
      <w:r>
        <w:rPr>
          <w:rStyle w:val="28"/>
          <w:rFonts w:hint="eastAsia" w:ascii="宋体" w:hAnsi="宋体" w:eastAsia="宋体" w:cs="宋体"/>
          <w:b/>
          <w:bCs/>
          <w:color w:val="auto"/>
          <w:highlight w:val="none"/>
          <w:lang w:eastAsia="zh-CN"/>
        </w:rPr>
        <w:t>偏离情况（如：</w:t>
      </w:r>
      <w:r>
        <w:rPr>
          <w:rStyle w:val="28"/>
          <w:rFonts w:hint="eastAsia" w:ascii="宋体" w:hAnsi="宋体" w:eastAsia="宋体" w:cs="宋体"/>
          <w:b/>
          <w:bCs/>
          <w:color w:val="auto"/>
          <w:highlight w:val="none"/>
        </w:rPr>
        <w:t>“满足”或者“负偏离”或者“正偏离”</w:t>
      </w:r>
      <w:r>
        <w:rPr>
          <w:rStyle w:val="28"/>
          <w:rFonts w:hint="eastAsia" w:ascii="宋体" w:hAnsi="宋体" w:eastAsia="宋体" w:cs="宋体"/>
          <w:b/>
          <w:bCs/>
          <w:color w:val="auto"/>
          <w:highlight w:val="none"/>
          <w:lang w:eastAsia="zh-CN"/>
        </w:rPr>
        <w:t>）</w:t>
      </w:r>
      <w:r>
        <w:rPr>
          <w:rStyle w:val="28"/>
          <w:rFonts w:hint="eastAsia" w:ascii="宋体" w:hAnsi="宋体" w:eastAsia="宋体" w:cs="宋体"/>
          <w:b/>
          <w:bCs/>
          <w:color w:val="auto"/>
          <w:highlight w:val="none"/>
        </w:rPr>
        <w:t>。谈判供应商必须提供对应的详细应答</w:t>
      </w:r>
      <w:r>
        <w:rPr>
          <w:rStyle w:val="28"/>
          <w:rFonts w:hint="eastAsia" w:ascii="宋体" w:hAnsi="宋体" w:eastAsia="宋体" w:cs="宋体"/>
          <w:b/>
          <w:bCs/>
          <w:color w:val="auto"/>
          <w:highlight w:val="none"/>
          <w:lang w:eastAsia="zh-CN"/>
        </w:rPr>
        <w:t>（如有“≥”或“≤”时，响应时必须明确具体响应数值）</w:t>
      </w:r>
      <w:r>
        <w:rPr>
          <w:rStyle w:val="28"/>
          <w:rFonts w:hint="eastAsia" w:ascii="宋体" w:hAnsi="宋体" w:eastAsia="宋体" w:cs="宋体"/>
          <w:b/>
          <w:bCs/>
          <w:color w:val="auto"/>
          <w:highlight w:val="none"/>
        </w:rPr>
        <w:t>。“商务、技术响应、偏离情况说明表”中的“竞争性谈判响应文件具体响应”一栏未逐条列明或仅注明“符合”或“满足”或仅复制竞争性谈判文件要求的，将导致谈判被拒绝，响应文件作无效处理。</w:t>
      </w:r>
    </w:p>
    <w:p w14:paraId="76BAE045">
      <w:pPr>
        <w:spacing w:line="500" w:lineRule="exact"/>
        <w:jc w:val="both"/>
        <w:rPr>
          <w:rFonts w:hint="default" w:ascii="宋体" w:hAnsi="宋体" w:eastAsia="宋体"/>
          <w:b/>
          <w:color w:val="auto"/>
          <w:szCs w:val="21"/>
          <w:highlight w:val="none"/>
          <w:lang w:val="en-US" w:eastAsia="zh-CN"/>
        </w:rPr>
      </w:pPr>
      <w:r>
        <w:rPr>
          <w:rFonts w:hint="eastAsia" w:ascii="宋体" w:hAnsi="宋体"/>
          <w:b/>
          <w:color w:val="auto"/>
          <w:szCs w:val="21"/>
          <w:highlight w:val="none"/>
          <w:lang w:val="en-US" w:eastAsia="zh-CN"/>
        </w:rPr>
        <w:t xml:space="preserve">     </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851"/>
        <w:gridCol w:w="634"/>
        <w:gridCol w:w="468"/>
        <w:gridCol w:w="1389"/>
        <w:gridCol w:w="6913"/>
      </w:tblGrid>
      <w:tr w14:paraId="14111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9" w:type="pct"/>
            <w:tcBorders>
              <w:top w:val="single" w:color="auto" w:sz="4" w:space="0"/>
              <w:left w:val="single" w:color="auto" w:sz="4" w:space="0"/>
              <w:bottom w:val="single" w:color="auto" w:sz="4" w:space="0"/>
              <w:right w:val="single" w:color="auto" w:sz="4" w:space="0"/>
            </w:tcBorders>
            <w:noWrap w:val="0"/>
            <w:vAlign w:val="center"/>
          </w:tcPr>
          <w:p w14:paraId="38545B04">
            <w:pPr>
              <w:spacing w:line="400" w:lineRule="exact"/>
              <w:jc w:val="center"/>
              <w:rPr>
                <w:rFonts w:ascii="新宋体" w:hAnsi="新宋体" w:eastAsia="新宋体"/>
                <w:b/>
                <w:color w:val="auto"/>
                <w:szCs w:val="21"/>
                <w:highlight w:val="none"/>
              </w:rPr>
            </w:pPr>
            <w:r>
              <w:rPr>
                <w:rFonts w:hint="eastAsia" w:ascii="新宋体" w:hAnsi="新宋体" w:eastAsia="新宋体"/>
                <w:b/>
                <w:color w:val="auto"/>
                <w:szCs w:val="21"/>
                <w:highlight w:val="none"/>
              </w:rPr>
              <w:t>序号</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7ABEC13A">
            <w:pPr>
              <w:spacing w:line="400" w:lineRule="exact"/>
              <w:jc w:val="center"/>
              <w:rPr>
                <w:rFonts w:ascii="新宋体" w:hAnsi="新宋体" w:eastAsia="新宋体"/>
                <w:b/>
                <w:color w:val="auto"/>
                <w:szCs w:val="21"/>
                <w:highlight w:val="none"/>
              </w:rPr>
            </w:pPr>
            <w:r>
              <w:rPr>
                <w:rFonts w:hint="eastAsia" w:ascii="新宋体" w:hAnsi="新宋体" w:eastAsia="新宋体"/>
                <w:b/>
                <w:color w:val="auto"/>
                <w:szCs w:val="21"/>
                <w:highlight w:val="none"/>
              </w:rPr>
              <w:t>货物名称</w:t>
            </w:r>
          </w:p>
        </w:tc>
        <w:tc>
          <w:tcPr>
            <w:tcW w:w="297" w:type="pct"/>
            <w:tcBorders>
              <w:top w:val="single" w:color="auto" w:sz="4" w:space="0"/>
              <w:left w:val="single" w:color="auto" w:sz="4" w:space="0"/>
              <w:bottom w:val="single" w:color="auto" w:sz="4" w:space="0"/>
              <w:right w:val="single" w:color="auto" w:sz="4" w:space="0"/>
            </w:tcBorders>
            <w:noWrap w:val="0"/>
            <w:vAlign w:val="center"/>
          </w:tcPr>
          <w:p w14:paraId="4FD4D554">
            <w:pPr>
              <w:spacing w:line="400" w:lineRule="exact"/>
              <w:jc w:val="center"/>
              <w:rPr>
                <w:rFonts w:ascii="新宋体" w:hAnsi="新宋体" w:eastAsia="新宋体"/>
                <w:b/>
                <w:color w:val="auto"/>
                <w:szCs w:val="21"/>
                <w:highlight w:val="none"/>
              </w:rPr>
            </w:pPr>
            <w:r>
              <w:rPr>
                <w:rFonts w:hint="eastAsia" w:ascii="新宋体" w:hAnsi="新宋体" w:eastAsia="新宋体"/>
                <w:b/>
                <w:color w:val="auto"/>
                <w:szCs w:val="21"/>
                <w:highlight w:val="none"/>
              </w:rPr>
              <w:t>数量</w:t>
            </w:r>
          </w:p>
        </w:tc>
        <w:tc>
          <w:tcPr>
            <w:tcW w:w="219" w:type="pct"/>
            <w:tcBorders>
              <w:top w:val="single" w:color="auto" w:sz="4" w:space="0"/>
              <w:left w:val="single" w:color="auto" w:sz="4" w:space="0"/>
              <w:bottom w:val="single" w:color="auto" w:sz="4" w:space="0"/>
              <w:right w:val="single" w:color="auto" w:sz="4" w:space="0"/>
            </w:tcBorders>
            <w:noWrap w:val="0"/>
            <w:vAlign w:val="center"/>
          </w:tcPr>
          <w:p w14:paraId="586C09A4">
            <w:pPr>
              <w:spacing w:line="300" w:lineRule="exact"/>
              <w:jc w:val="center"/>
              <w:rPr>
                <w:rFonts w:ascii="新宋体" w:hAnsi="新宋体" w:eastAsia="新宋体"/>
                <w:b/>
                <w:color w:val="auto"/>
                <w:szCs w:val="21"/>
                <w:highlight w:val="none"/>
              </w:rPr>
            </w:pPr>
            <w:r>
              <w:rPr>
                <w:rFonts w:hint="eastAsia" w:ascii="新宋体" w:hAnsi="新宋体" w:eastAsia="新宋体"/>
                <w:b/>
                <w:color w:val="auto"/>
                <w:szCs w:val="21"/>
                <w:highlight w:val="none"/>
              </w:rPr>
              <w:t>单位</w:t>
            </w:r>
          </w:p>
        </w:tc>
        <w:tc>
          <w:tcPr>
            <w:tcW w:w="650" w:type="pct"/>
            <w:tcBorders>
              <w:top w:val="single" w:color="auto" w:sz="4" w:space="0"/>
              <w:left w:val="single" w:color="auto" w:sz="4" w:space="0"/>
              <w:bottom w:val="single" w:color="auto" w:sz="4" w:space="0"/>
              <w:right w:val="single" w:color="auto" w:sz="4" w:space="0"/>
            </w:tcBorders>
            <w:noWrap w:val="0"/>
            <w:vAlign w:val="center"/>
          </w:tcPr>
          <w:p w14:paraId="78C386B4">
            <w:pPr>
              <w:spacing w:line="300" w:lineRule="exact"/>
              <w:jc w:val="center"/>
              <w:rPr>
                <w:rFonts w:hint="eastAsia" w:ascii="新宋体" w:hAnsi="新宋体" w:eastAsia="新宋体"/>
                <w:b/>
                <w:color w:val="auto"/>
                <w:szCs w:val="21"/>
                <w:highlight w:val="none"/>
                <w:lang w:val="en-US" w:eastAsia="zh-CN"/>
              </w:rPr>
            </w:pPr>
            <w:r>
              <w:rPr>
                <w:rFonts w:hint="eastAsia" w:ascii="新宋体" w:hAnsi="新宋体" w:eastAsia="新宋体"/>
                <w:b/>
                <w:color w:val="auto"/>
                <w:szCs w:val="21"/>
                <w:highlight w:val="none"/>
                <w:lang w:val="en-US" w:eastAsia="zh-CN"/>
              </w:rPr>
              <w:t>单价</w:t>
            </w:r>
          </w:p>
          <w:p w14:paraId="4AA728A3">
            <w:pPr>
              <w:spacing w:line="300" w:lineRule="exact"/>
              <w:jc w:val="center"/>
              <w:rPr>
                <w:rFonts w:hint="eastAsia" w:ascii="新宋体" w:hAnsi="新宋体" w:eastAsia="新宋体"/>
                <w:b/>
                <w:color w:val="auto"/>
                <w:szCs w:val="21"/>
                <w:highlight w:val="none"/>
                <w:lang w:val="en-US" w:eastAsia="zh-CN"/>
              </w:rPr>
            </w:pPr>
            <w:r>
              <w:rPr>
                <w:rFonts w:hint="eastAsia" w:ascii="新宋体" w:hAnsi="新宋体" w:eastAsia="新宋体"/>
                <w:b/>
                <w:color w:val="auto"/>
                <w:szCs w:val="21"/>
                <w:highlight w:val="none"/>
                <w:lang w:val="en-US" w:eastAsia="zh-CN"/>
              </w:rPr>
              <w:t>限价</w:t>
            </w:r>
          </w:p>
          <w:p w14:paraId="57E979F3">
            <w:pPr>
              <w:spacing w:line="300" w:lineRule="exact"/>
              <w:jc w:val="center"/>
              <w:rPr>
                <w:rFonts w:hint="default" w:ascii="新宋体" w:hAnsi="新宋体" w:eastAsia="新宋体"/>
                <w:b/>
                <w:color w:val="auto"/>
                <w:szCs w:val="21"/>
                <w:highlight w:val="none"/>
                <w:lang w:val="en-US" w:eastAsia="zh-CN"/>
              </w:rPr>
            </w:pPr>
            <w:r>
              <w:rPr>
                <w:rFonts w:hint="eastAsia" w:ascii="新宋体" w:hAnsi="新宋体" w:eastAsia="新宋体"/>
                <w:b/>
                <w:color w:val="auto"/>
                <w:szCs w:val="21"/>
                <w:highlight w:val="none"/>
                <w:lang w:val="en-US" w:eastAsia="zh-CN"/>
              </w:rPr>
              <w:t>（元）</w:t>
            </w:r>
          </w:p>
        </w:tc>
        <w:tc>
          <w:tcPr>
            <w:tcW w:w="3233" w:type="pct"/>
            <w:tcBorders>
              <w:top w:val="single" w:color="auto" w:sz="4" w:space="0"/>
              <w:left w:val="single" w:color="auto" w:sz="4" w:space="0"/>
              <w:bottom w:val="single" w:color="auto" w:sz="4" w:space="0"/>
              <w:right w:val="single" w:color="auto" w:sz="4" w:space="0"/>
            </w:tcBorders>
            <w:noWrap w:val="0"/>
            <w:vAlign w:val="center"/>
          </w:tcPr>
          <w:p w14:paraId="68FDD320">
            <w:pPr>
              <w:spacing w:line="300" w:lineRule="exact"/>
              <w:jc w:val="center"/>
              <w:rPr>
                <w:rFonts w:ascii="新宋体" w:hAnsi="新宋体" w:eastAsia="新宋体"/>
                <w:b/>
                <w:color w:val="auto"/>
                <w:szCs w:val="21"/>
                <w:highlight w:val="none"/>
              </w:rPr>
            </w:pPr>
            <w:r>
              <w:rPr>
                <w:rFonts w:hint="eastAsia" w:ascii="宋体" w:hAnsi="宋体"/>
                <w:b/>
                <w:color w:val="auto"/>
                <w:szCs w:val="21"/>
                <w:highlight w:val="none"/>
              </w:rPr>
              <w:t>技术参数及性能配置要求</w:t>
            </w:r>
          </w:p>
        </w:tc>
      </w:tr>
      <w:tr w14:paraId="4CFE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4" w:hRule="atLeast"/>
          <w:jc w:val="center"/>
        </w:trPr>
        <w:tc>
          <w:tcPr>
            <w:tcW w:w="199" w:type="pct"/>
            <w:tcBorders>
              <w:top w:val="single" w:color="auto" w:sz="4" w:space="0"/>
              <w:left w:val="single" w:color="auto" w:sz="4" w:space="0"/>
              <w:bottom w:val="single" w:color="auto" w:sz="4" w:space="0"/>
              <w:right w:val="single" w:color="auto" w:sz="4" w:space="0"/>
            </w:tcBorders>
            <w:noWrap w:val="0"/>
            <w:vAlign w:val="center"/>
          </w:tcPr>
          <w:p w14:paraId="30AD9E13">
            <w:pPr>
              <w:spacing w:line="440" w:lineRule="exact"/>
              <w:jc w:val="center"/>
              <w:rPr>
                <w:color w:val="auto"/>
                <w:szCs w:val="21"/>
                <w:highlight w:val="none"/>
              </w:rPr>
            </w:pPr>
            <w:r>
              <w:rPr>
                <w:color w:val="auto"/>
                <w:szCs w:val="21"/>
                <w:highlight w:val="none"/>
              </w:rPr>
              <w:t>1</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2570CBF7">
            <w:pPr>
              <w:pStyle w:val="27"/>
              <w:spacing w:before="72" w:line="219" w:lineRule="auto"/>
              <w:jc w:val="center"/>
              <w:rPr>
                <w:b/>
                <w:bCs/>
                <w:color w:val="auto"/>
                <w:spacing w:val="-5"/>
                <w:highlight w:val="none"/>
              </w:rPr>
            </w:pPr>
            <w:r>
              <w:rPr>
                <w:b/>
                <w:bCs/>
                <w:color w:val="auto"/>
                <w:spacing w:val="-5"/>
                <w:highlight w:val="none"/>
              </w:rPr>
              <w:t>小机房</w:t>
            </w:r>
          </w:p>
          <w:p w14:paraId="16DEA84D">
            <w:pPr>
              <w:pStyle w:val="27"/>
              <w:spacing w:before="72" w:line="219" w:lineRule="auto"/>
              <w:jc w:val="center"/>
              <w:rPr>
                <w:b/>
                <w:bCs/>
                <w:color w:val="auto"/>
                <w:spacing w:val="-5"/>
                <w:highlight w:val="none"/>
              </w:rPr>
            </w:pPr>
            <w:r>
              <w:rPr>
                <w:b/>
                <w:bCs/>
                <w:color w:val="auto"/>
                <w:spacing w:val="-5"/>
                <w:highlight w:val="none"/>
              </w:rPr>
              <w:t>乘客</w:t>
            </w:r>
          </w:p>
          <w:p w14:paraId="41D5F655">
            <w:pPr>
              <w:pStyle w:val="27"/>
              <w:spacing w:before="72" w:line="219" w:lineRule="auto"/>
              <w:jc w:val="center"/>
              <w:rPr>
                <w:rFonts w:hint="default" w:hAnsi="宋体" w:eastAsia="宋体"/>
                <w:b/>
                <w:bCs/>
                <w:color w:val="auto"/>
                <w:szCs w:val="21"/>
                <w:highlight w:val="none"/>
                <w:lang w:val="en-US" w:eastAsia="zh-CN"/>
              </w:rPr>
            </w:pPr>
            <w:r>
              <w:rPr>
                <w:rFonts w:hint="eastAsia"/>
                <w:b/>
                <w:bCs/>
                <w:color w:val="auto"/>
                <w:spacing w:val="-5"/>
                <w:highlight w:val="none"/>
                <w:lang w:val="en-US" w:eastAsia="zh-CN"/>
              </w:rPr>
              <w:t>电梯</w:t>
            </w:r>
          </w:p>
        </w:tc>
        <w:tc>
          <w:tcPr>
            <w:tcW w:w="297" w:type="pct"/>
            <w:tcBorders>
              <w:top w:val="single" w:color="auto" w:sz="4" w:space="0"/>
              <w:left w:val="single" w:color="auto" w:sz="4" w:space="0"/>
              <w:bottom w:val="single" w:color="auto" w:sz="4" w:space="0"/>
              <w:right w:val="single" w:color="auto" w:sz="4" w:space="0"/>
            </w:tcBorders>
            <w:noWrap w:val="0"/>
            <w:vAlign w:val="center"/>
          </w:tcPr>
          <w:p w14:paraId="0765FD7D">
            <w:pPr>
              <w:spacing w:line="440" w:lineRule="exact"/>
              <w:jc w:val="center"/>
              <w:rPr>
                <w:rFonts w:hint="eastAsia" w:eastAsia="宋体"/>
                <w:b/>
                <w:bCs/>
                <w:color w:val="auto"/>
                <w:szCs w:val="21"/>
                <w:highlight w:val="none"/>
                <w:lang w:val="en-US" w:eastAsia="zh-CN"/>
              </w:rPr>
            </w:pPr>
            <w:r>
              <w:rPr>
                <w:rFonts w:hint="eastAsia"/>
                <w:b/>
                <w:bCs/>
                <w:color w:val="auto"/>
                <w:szCs w:val="21"/>
                <w:highlight w:val="none"/>
                <w:lang w:val="en-US" w:eastAsia="zh-CN"/>
              </w:rPr>
              <w:t>1</w:t>
            </w:r>
          </w:p>
        </w:tc>
        <w:tc>
          <w:tcPr>
            <w:tcW w:w="219" w:type="pct"/>
            <w:tcBorders>
              <w:top w:val="single" w:color="auto" w:sz="4" w:space="0"/>
              <w:left w:val="single" w:color="auto" w:sz="4" w:space="0"/>
              <w:bottom w:val="single" w:color="auto" w:sz="4" w:space="0"/>
              <w:right w:val="single" w:color="auto" w:sz="4" w:space="0"/>
            </w:tcBorders>
            <w:noWrap w:val="0"/>
            <w:vAlign w:val="center"/>
          </w:tcPr>
          <w:p w14:paraId="7FB92365">
            <w:pPr>
              <w:spacing w:line="440" w:lineRule="exact"/>
              <w:jc w:val="center"/>
              <w:rPr>
                <w:b/>
                <w:bCs/>
                <w:color w:val="auto"/>
                <w:highlight w:val="none"/>
              </w:rPr>
            </w:pPr>
            <w:r>
              <w:rPr>
                <w:b/>
                <w:bCs/>
                <w:color w:val="auto"/>
                <w:spacing w:val="11"/>
                <w:highlight w:val="none"/>
              </w:rPr>
              <w:t>台</w:t>
            </w:r>
          </w:p>
        </w:tc>
        <w:tc>
          <w:tcPr>
            <w:tcW w:w="650" w:type="pct"/>
            <w:tcBorders>
              <w:top w:val="single" w:color="auto" w:sz="4" w:space="0"/>
              <w:left w:val="single" w:color="auto" w:sz="4" w:space="0"/>
              <w:bottom w:val="single" w:color="auto" w:sz="4" w:space="0"/>
              <w:right w:val="single" w:color="auto" w:sz="4" w:space="0"/>
            </w:tcBorders>
            <w:noWrap w:val="0"/>
            <w:vAlign w:val="center"/>
          </w:tcPr>
          <w:p w14:paraId="005522CD">
            <w:pPr>
              <w:spacing w:line="440" w:lineRule="exact"/>
              <w:jc w:val="center"/>
              <w:rPr>
                <w:rFonts w:hint="default" w:eastAsia="宋体"/>
                <w:b/>
                <w:bCs/>
                <w:color w:val="auto"/>
                <w:spacing w:val="11"/>
                <w:highlight w:val="none"/>
                <w:lang w:val="en" w:eastAsia="zh-CN"/>
              </w:rPr>
            </w:pPr>
            <w:r>
              <w:rPr>
                <w:rFonts w:hint="eastAsia"/>
                <w:b/>
                <w:bCs/>
                <w:color w:val="auto"/>
                <w:spacing w:val="11"/>
                <w:highlight w:val="none"/>
                <w:lang w:val="en-US" w:eastAsia="zh-CN"/>
              </w:rPr>
              <w:t>2430</w:t>
            </w:r>
            <w:r>
              <w:rPr>
                <w:rFonts w:hint="default"/>
                <w:b/>
                <w:bCs/>
                <w:color w:val="auto"/>
                <w:spacing w:val="11"/>
                <w:highlight w:val="none"/>
                <w:lang w:val="en" w:eastAsia="zh-CN"/>
              </w:rPr>
              <w:t>00.00</w:t>
            </w:r>
          </w:p>
        </w:tc>
        <w:tc>
          <w:tcPr>
            <w:tcW w:w="3233" w:type="pct"/>
            <w:tcBorders>
              <w:top w:val="single" w:color="auto" w:sz="4" w:space="0"/>
              <w:left w:val="single" w:color="auto" w:sz="4" w:space="0"/>
              <w:bottom w:val="single" w:color="auto" w:sz="4" w:space="0"/>
              <w:right w:val="single" w:color="auto" w:sz="4" w:space="0"/>
            </w:tcBorders>
            <w:noWrap w:val="0"/>
            <w:vAlign w:val="center"/>
          </w:tcPr>
          <w:p w14:paraId="59CB7547">
            <w:pPr>
              <w:pStyle w:val="27"/>
              <w:spacing w:before="65" w:line="219" w:lineRule="auto"/>
              <w:ind w:left="28"/>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6"/>
                <w:sz w:val="21"/>
                <w:szCs w:val="21"/>
                <w:highlight w:val="none"/>
                <w:lang w:eastAsia="zh-CN"/>
              </w:rPr>
              <w:t>一、基本参数</w:t>
            </w:r>
          </w:p>
          <w:p w14:paraId="05C99101">
            <w:pPr>
              <w:pStyle w:val="27"/>
              <w:rPr>
                <w:rFonts w:hint="eastAsia" w:asciiTheme="minorEastAsia" w:hAnsiTheme="minorEastAsia" w:eastAsiaTheme="minorEastAsia" w:cstheme="minorEastAsia"/>
                <w:color w:val="auto"/>
                <w:spacing w:val="18"/>
                <w:sz w:val="21"/>
                <w:szCs w:val="21"/>
                <w:highlight w:val="none"/>
                <w:lang w:eastAsia="zh-CN"/>
              </w:rPr>
            </w:pPr>
            <w:r>
              <w:rPr>
                <w:rFonts w:hint="eastAsia" w:asciiTheme="minorEastAsia" w:hAnsiTheme="minorEastAsia" w:eastAsiaTheme="minorEastAsia" w:cstheme="minorEastAsia"/>
                <w:color w:val="auto"/>
                <w:spacing w:val="-3"/>
                <w:sz w:val="21"/>
                <w:szCs w:val="21"/>
                <w:highlight w:val="none"/>
                <w:lang w:eastAsia="zh-CN"/>
              </w:rPr>
              <w:t>1、电梯类型：DT3。</w:t>
            </w:r>
          </w:p>
          <w:p w14:paraId="170693DD">
            <w:pPr>
              <w:pStyle w:val="27"/>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4"/>
                <w:sz w:val="21"/>
                <w:szCs w:val="21"/>
                <w:highlight w:val="none"/>
                <w:lang w:val="en" w:eastAsia="zh-CN"/>
              </w:rPr>
              <w:t>▲</w:t>
            </w:r>
            <w:r>
              <w:rPr>
                <w:rFonts w:hint="eastAsia" w:asciiTheme="minorEastAsia" w:hAnsiTheme="minorEastAsia" w:eastAsiaTheme="minorEastAsia" w:cstheme="minorEastAsia"/>
                <w:color w:val="auto"/>
                <w:spacing w:val="-4"/>
                <w:sz w:val="21"/>
                <w:szCs w:val="21"/>
                <w:highlight w:val="none"/>
                <w:lang w:eastAsia="zh-CN"/>
              </w:rPr>
              <w:t>2、载重量：1000kg。</w:t>
            </w:r>
          </w:p>
          <w:p w14:paraId="1669FBB0">
            <w:pPr>
              <w:pStyle w:val="27"/>
              <w:spacing w:before="8" w:line="219"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5"/>
                <w:sz w:val="21"/>
                <w:szCs w:val="21"/>
                <w:highlight w:val="none"/>
                <w:lang w:val="en" w:eastAsia="zh-CN"/>
              </w:rPr>
              <w:t>▲</w:t>
            </w:r>
            <w:r>
              <w:rPr>
                <w:rFonts w:hint="eastAsia" w:asciiTheme="minorEastAsia" w:hAnsiTheme="minorEastAsia" w:eastAsiaTheme="minorEastAsia" w:cstheme="minorEastAsia"/>
                <w:color w:val="auto"/>
                <w:spacing w:val="5"/>
                <w:sz w:val="21"/>
                <w:szCs w:val="21"/>
                <w:highlight w:val="none"/>
                <w:lang w:eastAsia="zh-CN"/>
              </w:rPr>
              <w:t>3、速度：1.75米/秒。</w:t>
            </w:r>
          </w:p>
          <w:p w14:paraId="08D6C429">
            <w:pPr>
              <w:pStyle w:val="27"/>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2"/>
                <w:sz w:val="21"/>
                <w:szCs w:val="21"/>
                <w:highlight w:val="none"/>
                <w:lang w:val="en" w:eastAsia="zh-CN"/>
              </w:rPr>
              <w:t>▲</w:t>
            </w:r>
            <w:r>
              <w:rPr>
                <w:rFonts w:hint="eastAsia" w:asciiTheme="minorEastAsia" w:hAnsiTheme="minorEastAsia" w:eastAsiaTheme="minorEastAsia" w:cstheme="minorEastAsia"/>
                <w:color w:val="auto"/>
                <w:spacing w:val="-2"/>
                <w:sz w:val="21"/>
                <w:szCs w:val="21"/>
                <w:highlight w:val="none"/>
                <w:lang w:eastAsia="zh-CN"/>
              </w:rPr>
              <w:t>4、层/站/门：共计11层11站11门。</w:t>
            </w:r>
          </w:p>
          <w:p w14:paraId="61CFF18D">
            <w:pPr>
              <w:pStyle w:val="27"/>
              <w:numPr>
                <w:ilvl w:val="0"/>
                <w:numId w:val="1"/>
              </w:numPr>
              <w:spacing w:before="69" w:line="219" w:lineRule="auto"/>
              <w:ind w:left="28"/>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3"/>
                <w:sz w:val="21"/>
                <w:szCs w:val="21"/>
                <w:highlight w:val="none"/>
              </w:rPr>
              <w:t>提升高度：</w:t>
            </w:r>
            <w:r>
              <w:rPr>
                <w:rFonts w:hint="eastAsia" w:asciiTheme="minorEastAsia" w:hAnsiTheme="minorEastAsia" w:eastAsiaTheme="minorEastAsia" w:cstheme="minorEastAsia"/>
                <w:color w:val="auto"/>
                <w:spacing w:val="-3"/>
                <w:sz w:val="21"/>
                <w:szCs w:val="21"/>
                <w:highlight w:val="none"/>
                <w:lang w:eastAsia="zh-CN"/>
              </w:rPr>
              <w:t>35</w:t>
            </w:r>
            <w:r>
              <w:rPr>
                <w:rFonts w:hint="eastAsia" w:asciiTheme="minorEastAsia" w:hAnsiTheme="minorEastAsia" w:eastAsiaTheme="minorEastAsia" w:cstheme="minorEastAsia"/>
                <w:color w:val="auto"/>
                <w:spacing w:val="-3"/>
                <w:sz w:val="21"/>
                <w:szCs w:val="21"/>
                <w:highlight w:val="none"/>
              </w:rPr>
              <w:t>m</w:t>
            </w:r>
            <w:r>
              <w:rPr>
                <w:rFonts w:hint="eastAsia" w:asciiTheme="minorEastAsia" w:hAnsiTheme="minorEastAsia" w:eastAsiaTheme="minorEastAsia" w:cstheme="minorEastAsia"/>
                <w:color w:val="auto"/>
                <w:sz w:val="21"/>
                <w:szCs w:val="21"/>
                <w:highlight w:val="none"/>
                <w:lang w:eastAsia="zh-CN"/>
              </w:rPr>
              <w:t>。</w:t>
            </w:r>
          </w:p>
          <w:p w14:paraId="70F14D62">
            <w:pPr>
              <w:pStyle w:val="27"/>
              <w:numPr>
                <w:ilvl w:val="0"/>
                <w:numId w:val="0"/>
              </w:numPr>
              <w:spacing w:before="69" w:line="219"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2"/>
                <w:sz w:val="21"/>
                <w:szCs w:val="21"/>
                <w:highlight w:val="none"/>
                <w:lang w:val="en" w:eastAsia="zh-CN"/>
              </w:rPr>
              <w:t>▲</w:t>
            </w:r>
            <w:r>
              <w:rPr>
                <w:rFonts w:hint="eastAsia" w:asciiTheme="minorEastAsia" w:hAnsiTheme="minorEastAsia" w:eastAsiaTheme="minorEastAsia" w:cstheme="minorEastAsia"/>
                <w:color w:val="auto"/>
                <w:spacing w:val="-3"/>
                <w:sz w:val="21"/>
                <w:szCs w:val="21"/>
                <w:highlight w:val="none"/>
                <w:lang w:eastAsia="zh-CN"/>
              </w:rPr>
              <w:t>6、底坑净深：1400 mm,顶层高度3900 mm。（</w:t>
            </w:r>
            <w:r>
              <w:rPr>
                <w:rFonts w:hint="eastAsia" w:asciiTheme="minorEastAsia" w:hAnsiTheme="minorEastAsia" w:eastAsiaTheme="minorEastAsia" w:cstheme="minorEastAsia"/>
                <w:color w:val="auto"/>
                <w:spacing w:val="-3"/>
                <w:sz w:val="21"/>
                <w:szCs w:val="21"/>
                <w:highlight w:val="none"/>
                <w:lang w:val="en-US" w:eastAsia="zh-CN"/>
              </w:rPr>
              <w:t>采购人土建已完成，为了建筑结构的安全，</w:t>
            </w:r>
            <w:r>
              <w:rPr>
                <w:rFonts w:hint="eastAsia" w:asciiTheme="minorEastAsia" w:hAnsiTheme="minorEastAsia" w:eastAsiaTheme="minorEastAsia" w:cstheme="minorEastAsia"/>
                <w:color w:val="auto"/>
                <w:spacing w:val="-3"/>
                <w:sz w:val="21"/>
                <w:szCs w:val="21"/>
                <w:highlight w:val="none"/>
                <w:lang w:eastAsia="zh-CN"/>
              </w:rPr>
              <w:t>不能做结构性土建整改</w:t>
            </w:r>
            <w:r>
              <w:rPr>
                <w:rFonts w:hint="eastAsia" w:asciiTheme="minorEastAsia" w:hAnsiTheme="minorEastAsia" w:eastAsiaTheme="minorEastAsia" w:cstheme="minorEastAsia"/>
                <w:color w:val="auto"/>
                <w:spacing w:val="-3"/>
                <w:sz w:val="21"/>
                <w:szCs w:val="21"/>
                <w:highlight w:val="none"/>
                <w:lang w:val="en-US" w:eastAsia="zh-CN"/>
              </w:rPr>
              <w:t>:包括但不限于机房楼板的破坏、圈梁的浇筑等。</w:t>
            </w:r>
            <w:r>
              <w:rPr>
                <w:rFonts w:hint="eastAsia" w:asciiTheme="minorEastAsia" w:hAnsiTheme="minorEastAsia" w:eastAsiaTheme="minorEastAsia" w:cstheme="minorEastAsia"/>
                <w:color w:val="auto"/>
                <w:spacing w:val="-3"/>
                <w:sz w:val="21"/>
                <w:szCs w:val="21"/>
                <w:highlight w:val="none"/>
                <w:lang w:eastAsia="zh-CN"/>
              </w:rPr>
              <w:t>）</w:t>
            </w:r>
          </w:p>
          <w:p w14:paraId="055AF9AD">
            <w:pPr>
              <w:pStyle w:val="27"/>
              <w:spacing w:before="74" w:line="219" w:lineRule="auto"/>
              <w:ind w:left="28"/>
              <w:rPr>
                <w:rFonts w:hint="eastAsia" w:asciiTheme="minorEastAsia" w:hAnsiTheme="minorEastAsia" w:eastAsiaTheme="minorEastAsia" w:cstheme="minorEastAsia"/>
                <w:color w:val="auto"/>
                <w:spacing w:val="-3"/>
                <w:sz w:val="21"/>
                <w:szCs w:val="21"/>
                <w:highlight w:val="none"/>
                <w:lang w:eastAsia="zh-CN"/>
              </w:rPr>
            </w:pPr>
            <w:r>
              <w:rPr>
                <w:rFonts w:hint="eastAsia" w:asciiTheme="minorEastAsia" w:hAnsiTheme="minorEastAsia" w:eastAsiaTheme="minorEastAsia" w:cstheme="minorEastAsia"/>
                <w:color w:val="auto"/>
                <w:spacing w:val="-3"/>
                <w:sz w:val="21"/>
                <w:szCs w:val="21"/>
                <w:highlight w:val="none"/>
                <w:lang w:eastAsia="zh-CN"/>
              </w:rPr>
              <w:t>7、井道尺寸宽×深：现场勘察，以实际测量为准。</w:t>
            </w:r>
          </w:p>
          <w:p w14:paraId="7B2766DE">
            <w:pPr>
              <w:pStyle w:val="27"/>
              <w:spacing w:before="69" w:line="219"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2"/>
                <w:sz w:val="21"/>
                <w:szCs w:val="21"/>
                <w:highlight w:val="none"/>
                <w:lang w:val="en" w:eastAsia="zh-CN"/>
              </w:rPr>
              <w:t>▲</w:t>
            </w:r>
            <w:r>
              <w:rPr>
                <w:rFonts w:hint="eastAsia" w:asciiTheme="minorEastAsia" w:hAnsiTheme="minorEastAsia" w:eastAsiaTheme="minorEastAsia" w:cstheme="minorEastAsia"/>
                <w:color w:val="auto"/>
                <w:spacing w:val="-4"/>
                <w:sz w:val="21"/>
                <w:szCs w:val="21"/>
                <w:highlight w:val="none"/>
                <w:lang w:eastAsia="zh-CN"/>
              </w:rPr>
              <w:t>8、轿厢尺寸宽×深×高：按照井道尺寸设计最大轿厢尺寸，轿厢高2400mm。</w:t>
            </w:r>
          </w:p>
          <w:p w14:paraId="65BDD64B">
            <w:pPr>
              <w:pStyle w:val="27"/>
              <w:spacing w:before="71" w:line="220" w:lineRule="auto"/>
              <w:ind w:left="28"/>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2"/>
                <w:sz w:val="21"/>
                <w:szCs w:val="21"/>
                <w:highlight w:val="none"/>
                <w:lang w:val="en" w:eastAsia="zh-CN"/>
              </w:rPr>
              <w:t>▲</w:t>
            </w:r>
            <w:r>
              <w:rPr>
                <w:rFonts w:hint="eastAsia" w:asciiTheme="minorEastAsia" w:hAnsiTheme="minorEastAsia" w:eastAsiaTheme="minorEastAsia" w:cstheme="minorEastAsia"/>
                <w:color w:val="auto"/>
                <w:sz w:val="21"/>
                <w:szCs w:val="21"/>
                <w:highlight w:val="none"/>
                <w:lang w:eastAsia="zh-CN"/>
              </w:rPr>
              <w:t>9、开门宽度：900mm。</w:t>
            </w:r>
          </w:p>
          <w:p w14:paraId="508B9D83">
            <w:pPr>
              <w:pStyle w:val="27"/>
              <w:spacing w:before="77" w:line="219" w:lineRule="auto"/>
              <w:ind w:left="28"/>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2"/>
                <w:sz w:val="21"/>
                <w:szCs w:val="21"/>
                <w:highlight w:val="none"/>
                <w:lang w:val="en" w:eastAsia="zh-CN"/>
              </w:rPr>
              <w:t>▲</w:t>
            </w:r>
            <w:r>
              <w:rPr>
                <w:rFonts w:hint="eastAsia" w:asciiTheme="minorEastAsia" w:hAnsiTheme="minorEastAsia" w:eastAsiaTheme="minorEastAsia" w:cstheme="minorEastAsia"/>
                <w:color w:val="auto"/>
                <w:spacing w:val="-3"/>
                <w:sz w:val="21"/>
                <w:szCs w:val="21"/>
                <w:highlight w:val="none"/>
                <w:lang w:eastAsia="zh-CN"/>
              </w:rPr>
              <w:t>10、开门高度：2100mm。</w:t>
            </w:r>
          </w:p>
          <w:p w14:paraId="09BC5BC9">
            <w:pPr>
              <w:pStyle w:val="27"/>
              <w:spacing w:before="80" w:line="220" w:lineRule="auto"/>
              <w:ind w:left="28"/>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pacing w:val="5"/>
                <w:sz w:val="21"/>
                <w:szCs w:val="21"/>
                <w:highlight w:val="none"/>
                <w:lang w:eastAsia="zh-CN"/>
              </w:rPr>
              <w:t>11、开门方式：自动中分门、</w:t>
            </w:r>
            <w:r>
              <w:rPr>
                <w:rFonts w:hint="eastAsia" w:asciiTheme="minorEastAsia" w:hAnsiTheme="minorEastAsia" w:eastAsiaTheme="minorEastAsia" w:cstheme="minorEastAsia"/>
                <w:color w:val="auto"/>
                <w:spacing w:val="5"/>
                <w:sz w:val="21"/>
                <w:szCs w:val="21"/>
                <w:highlight w:val="none"/>
                <w:lang w:val="en-US" w:eastAsia="zh-CN"/>
              </w:rPr>
              <w:t>侧开门。</w:t>
            </w:r>
          </w:p>
          <w:p w14:paraId="07F49508">
            <w:pPr>
              <w:pStyle w:val="27"/>
              <w:spacing w:before="76" w:line="219" w:lineRule="auto"/>
              <w:ind w:left="28"/>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2"/>
                <w:sz w:val="21"/>
                <w:szCs w:val="21"/>
                <w:highlight w:val="none"/>
                <w:lang w:eastAsia="zh-CN"/>
              </w:rPr>
              <w:t>12、机房位置：井道顶部。</w:t>
            </w:r>
          </w:p>
          <w:p w14:paraId="3C29079A">
            <w:pPr>
              <w:pStyle w:val="27"/>
              <w:spacing w:before="47" w:line="216" w:lineRule="auto"/>
              <w:ind w:left="28"/>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2"/>
                <w:sz w:val="21"/>
                <w:szCs w:val="21"/>
                <w:highlight w:val="none"/>
                <w:lang w:eastAsia="zh-CN"/>
              </w:rPr>
              <w:t>13、动力电源范围：主电源：380V；3相；50 Hz。</w:t>
            </w:r>
          </w:p>
          <w:p w14:paraId="425DD161">
            <w:pPr>
              <w:pStyle w:val="27"/>
              <w:spacing w:before="73" w:line="216" w:lineRule="auto"/>
              <w:ind w:left="28"/>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2"/>
                <w:sz w:val="21"/>
                <w:szCs w:val="21"/>
                <w:highlight w:val="none"/>
                <w:lang w:eastAsia="zh-CN"/>
              </w:rPr>
              <w:t>14、照明电源范围：220V；单相；50 Hz。</w:t>
            </w:r>
          </w:p>
          <w:p w14:paraId="4A518305">
            <w:pPr>
              <w:pStyle w:val="27"/>
              <w:spacing w:before="95" w:line="264" w:lineRule="auto"/>
              <w:ind w:left="28" w:right="2475"/>
              <w:rPr>
                <w:rFonts w:hint="eastAsia" w:asciiTheme="minorEastAsia" w:hAnsiTheme="minorEastAsia" w:eastAsiaTheme="minorEastAsia" w:cstheme="minorEastAsia"/>
                <w:color w:val="auto"/>
                <w:spacing w:val="2"/>
                <w:sz w:val="21"/>
                <w:szCs w:val="21"/>
                <w:highlight w:val="none"/>
                <w:lang w:eastAsia="zh-CN"/>
              </w:rPr>
            </w:pPr>
            <w:r>
              <w:rPr>
                <w:rFonts w:hint="eastAsia" w:asciiTheme="minorEastAsia" w:hAnsiTheme="minorEastAsia" w:eastAsiaTheme="minorEastAsia" w:cstheme="minorEastAsia"/>
                <w:color w:val="auto"/>
                <w:spacing w:val="-3"/>
                <w:sz w:val="21"/>
                <w:szCs w:val="21"/>
                <w:highlight w:val="none"/>
                <w:lang w:eastAsia="zh-CN"/>
              </w:rPr>
              <w:t>15、供电方式：三相五线制。</w:t>
            </w:r>
            <w:r>
              <w:rPr>
                <w:rFonts w:hint="eastAsia" w:asciiTheme="minorEastAsia" w:hAnsiTheme="minorEastAsia" w:eastAsiaTheme="minorEastAsia" w:cstheme="minorEastAsia"/>
                <w:color w:val="auto"/>
                <w:spacing w:val="2"/>
                <w:sz w:val="21"/>
                <w:szCs w:val="21"/>
                <w:highlight w:val="none"/>
                <w:lang w:eastAsia="zh-CN"/>
              </w:rPr>
              <w:t xml:space="preserve"> </w:t>
            </w:r>
          </w:p>
          <w:p w14:paraId="2D43C009">
            <w:pPr>
              <w:pStyle w:val="27"/>
              <w:spacing w:before="68" w:line="273" w:lineRule="auto"/>
              <w:ind w:left="26" w:hanging="9"/>
              <w:rPr>
                <w:rFonts w:hint="eastAsia" w:asciiTheme="minorEastAsia" w:hAnsiTheme="minorEastAsia" w:eastAsiaTheme="minorEastAsia" w:cstheme="minorEastAsia"/>
                <w:color w:val="auto"/>
                <w:spacing w:val="-13"/>
                <w:sz w:val="21"/>
                <w:szCs w:val="21"/>
                <w:highlight w:val="none"/>
                <w:lang w:eastAsia="zh-CN"/>
              </w:rPr>
            </w:pPr>
            <w:r>
              <w:rPr>
                <w:rFonts w:hint="eastAsia" w:asciiTheme="minorEastAsia" w:hAnsiTheme="minorEastAsia" w:eastAsiaTheme="minorEastAsia" w:cstheme="minorEastAsia"/>
                <w:color w:val="auto"/>
                <w:spacing w:val="-3"/>
                <w:sz w:val="21"/>
                <w:szCs w:val="21"/>
                <w:highlight w:val="none"/>
                <w:lang w:val="en" w:eastAsia="zh-CN"/>
              </w:rPr>
              <w:t>▲</w:t>
            </w:r>
            <w:r>
              <w:rPr>
                <w:rFonts w:hint="eastAsia" w:asciiTheme="minorEastAsia" w:hAnsiTheme="minorEastAsia" w:eastAsiaTheme="minorEastAsia" w:cstheme="minorEastAsia"/>
                <w:color w:val="auto"/>
                <w:spacing w:val="-3"/>
                <w:sz w:val="21"/>
                <w:szCs w:val="21"/>
                <w:highlight w:val="none"/>
                <w:lang w:eastAsia="zh-CN"/>
              </w:rPr>
              <w:t>16、</w:t>
            </w:r>
            <w:r>
              <w:rPr>
                <w:rFonts w:hint="eastAsia" w:asciiTheme="minorEastAsia" w:hAnsiTheme="minorEastAsia" w:eastAsiaTheme="minorEastAsia" w:cstheme="minorEastAsia"/>
                <w:color w:val="auto"/>
                <w:spacing w:val="-13"/>
                <w:sz w:val="21"/>
                <w:szCs w:val="21"/>
                <w:highlight w:val="none"/>
                <w:lang w:eastAsia="zh-CN"/>
              </w:rPr>
              <w:t>控制方式：全微机电脑控制。</w:t>
            </w:r>
          </w:p>
          <w:p w14:paraId="6A214859">
            <w:pPr>
              <w:pStyle w:val="27"/>
              <w:spacing w:before="68" w:line="273" w:lineRule="auto"/>
              <w:ind w:left="26" w:hanging="9"/>
              <w:rPr>
                <w:rFonts w:hint="eastAsia" w:asciiTheme="minorEastAsia" w:hAnsiTheme="minorEastAsia" w:eastAsiaTheme="minorEastAsia" w:cstheme="minorEastAsia"/>
                <w:color w:val="auto"/>
                <w:spacing w:val="-13"/>
                <w:sz w:val="21"/>
                <w:szCs w:val="21"/>
                <w:highlight w:val="none"/>
                <w:lang w:eastAsia="zh-CN"/>
              </w:rPr>
            </w:pPr>
            <w:r>
              <w:rPr>
                <w:rFonts w:hint="eastAsia" w:asciiTheme="minorEastAsia" w:hAnsiTheme="minorEastAsia" w:eastAsiaTheme="minorEastAsia" w:cstheme="minorEastAsia"/>
                <w:color w:val="auto"/>
                <w:spacing w:val="-13"/>
                <w:sz w:val="21"/>
                <w:szCs w:val="21"/>
                <w:highlight w:val="none"/>
                <w:lang w:eastAsia="zh-CN"/>
              </w:rPr>
              <w:t>(以上具体安装技术参数，以实地测量尺寸为准。)</w:t>
            </w:r>
          </w:p>
          <w:p w14:paraId="1D7C13AC">
            <w:pPr>
              <w:pStyle w:val="27"/>
              <w:spacing w:before="68" w:line="273" w:lineRule="auto"/>
              <w:ind w:left="26" w:hanging="9"/>
              <w:rPr>
                <w:rFonts w:hint="eastAsia" w:asciiTheme="minorEastAsia" w:hAnsiTheme="minorEastAsia" w:eastAsiaTheme="minorEastAsia" w:cstheme="minorEastAsia"/>
                <w:color w:val="auto"/>
                <w:spacing w:val="-13"/>
                <w:sz w:val="21"/>
                <w:szCs w:val="21"/>
                <w:highlight w:val="none"/>
                <w:lang w:eastAsia="zh-CN"/>
              </w:rPr>
            </w:pPr>
            <w:r>
              <w:rPr>
                <w:rFonts w:hint="eastAsia" w:asciiTheme="minorEastAsia" w:hAnsiTheme="minorEastAsia" w:eastAsiaTheme="minorEastAsia" w:cstheme="minorEastAsia"/>
                <w:color w:val="auto"/>
                <w:spacing w:val="-17"/>
                <w:sz w:val="21"/>
                <w:szCs w:val="21"/>
                <w:highlight w:val="none"/>
                <w:lang w:val="en" w:eastAsia="zh-CN"/>
              </w:rPr>
              <w:t>▲</w:t>
            </w:r>
            <w:r>
              <w:rPr>
                <w:rFonts w:hint="eastAsia" w:asciiTheme="minorEastAsia" w:hAnsiTheme="minorEastAsia" w:eastAsiaTheme="minorEastAsia" w:cstheme="minorEastAsia"/>
                <w:color w:val="auto"/>
                <w:spacing w:val="-13"/>
                <w:sz w:val="21"/>
                <w:szCs w:val="21"/>
                <w:highlight w:val="none"/>
                <w:lang w:eastAsia="zh-CN"/>
              </w:rPr>
              <w:t>二、技术要求</w:t>
            </w:r>
          </w:p>
          <w:p w14:paraId="54CF6661">
            <w:pPr>
              <w:pStyle w:val="27"/>
              <w:spacing w:before="68" w:line="273" w:lineRule="auto"/>
              <w:ind w:left="26" w:hanging="9"/>
              <w:rPr>
                <w:rFonts w:hint="eastAsia" w:asciiTheme="minorEastAsia" w:hAnsiTheme="minorEastAsia" w:eastAsiaTheme="minorEastAsia" w:cstheme="minorEastAsia"/>
                <w:color w:val="auto"/>
                <w:spacing w:val="-13"/>
                <w:sz w:val="21"/>
                <w:szCs w:val="21"/>
                <w:highlight w:val="none"/>
                <w:lang w:eastAsia="zh-CN"/>
              </w:rPr>
            </w:pPr>
            <w:r>
              <w:rPr>
                <w:rFonts w:hint="eastAsia" w:asciiTheme="minorEastAsia" w:hAnsiTheme="minorEastAsia" w:eastAsiaTheme="minorEastAsia" w:cstheme="minorEastAsia"/>
                <w:color w:val="auto"/>
                <w:spacing w:val="-17"/>
                <w:sz w:val="21"/>
                <w:szCs w:val="21"/>
                <w:highlight w:val="none"/>
                <w:lang w:eastAsia="zh-CN"/>
              </w:rPr>
              <w:t>1、曳引系统：永磁同步无齿轮曳引机，曳引机防护等级</w:t>
            </w:r>
            <w:r>
              <w:rPr>
                <w:rFonts w:hint="eastAsia" w:asciiTheme="minorEastAsia" w:hAnsiTheme="minorEastAsia" w:eastAsiaTheme="minorEastAsia" w:cstheme="minorEastAsia"/>
                <w:color w:val="auto"/>
                <w:spacing w:val="-13"/>
                <w:sz w:val="21"/>
                <w:szCs w:val="21"/>
                <w:highlight w:val="none"/>
                <w:lang w:eastAsia="zh-CN"/>
              </w:rPr>
              <w:t>≥IP42，与</w:t>
            </w:r>
            <w:r>
              <w:rPr>
                <w:rFonts w:hint="eastAsia" w:asciiTheme="minorEastAsia" w:hAnsiTheme="minorEastAsia" w:eastAsiaTheme="minorEastAsia" w:cstheme="minorEastAsia"/>
                <w:color w:val="auto"/>
                <w:spacing w:val="-6"/>
                <w:sz w:val="21"/>
                <w:szCs w:val="21"/>
                <w:highlight w:val="none"/>
                <w:lang w:eastAsia="zh-CN"/>
              </w:rPr>
              <w:t>报价</w:t>
            </w:r>
            <w:r>
              <w:rPr>
                <w:rFonts w:hint="eastAsia" w:asciiTheme="minorEastAsia" w:hAnsiTheme="minorEastAsia" w:eastAsiaTheme="minorEastAsia" w:cstheme="minorEastAsia"/>
                <w:color w:val="auto"/>
                <w:spacing w:val="-13"/>
                <w:sz w:val="21"/>
                <w:szCs w:val="21"/>
                <w:highlight w:val="none"/>
                <w:lang w:eastAsia="zh-CN"/>
              </w:rPr>
              <w:t>电梯品牌为同一品牌，曳引机的额定制动力矩按</w:t>
            </w:r>
            <w:r>
              <w:rPr>
                <w:rFonts w:hint="eastAsia" w:asciiTheme="minorEastAsia" w:hAnsiTheme="minorEastAsia" w:eastAsiaTheme="minorEastAsia" w:cstheme="minorEastAsia"/>
                <w:color w:val="auto"/>
                <w:spacing w:val="-13"/>
                <w:sz w:val="21"/>
                <w:szCs w:val="21"/>
                <w:highlight w:val="none"/>
                <w:lang w:val="en-US" w:eastAsia="zh-CN"/>
              </w:rPr>
              <w:t>≥</w:t>
            </w:r>
            <w:r>
              <w:rPr>
                <w:rFonts w:hint="eastAsia" w:asciiTheme="minorEastAsia" w:hAnsiTheme="minorEastAsia" w:eastAsiaTheme="minorEastAsia" w:cstheme="minorEastAsia"/>
                <w:color w:val="auto"/>
                <w:spacing w:val="-13"/>
                <w:sz w:val="21"/>
                <w:szCs w:val="21"/>
                <w:highlight w:val="none"/>
                <w:lang w:eastAsia="zh-CN"/>
              </w:rPr>
              <w:t>215%设计（测试时间不低于60分钟），曳引机按主轴</w:t>
            </w:r>
            <w:r>
              <w:rPr>
                <w:rFonts w:hint="eastAsia" w:asciiTheme="minorEastAsia" w:hAnsiTheme="minorEastAsia" w:eastAsiaTheme="minorEastAsia" w:cstheme="minorEastAsia"/>
                <w:color w:val="auto"/>
                <w:spacing w:val="-13"/>
                <w:sz w:val="21"/>
                <w:szCs w:val="21"/>
                <w:highlight w:val="none"/>
                <w:lang w:val="en-US" w:eastAsia="zh-CN"/>
              </w:rPr>
              <w:t>≥</w:t>
            </w:r>
            <w:r>
              <w:rPr>
                <w:rFonts w:hint="eastAsia" w:asciiTheme="minorEastAsia" w:hAnsiTheme="minorEastAsia" w:eastAsiaTheme="minorEastAsia" w:cstheme="minorEastAsia"/>
                <w:color w:val="auto"/>
                <w:spacing w:val="-13"/>
                <w:sz w:val="21"/>
                <w:szCs w:val="21"/>
                <w:highlight w:val="none"/>
                <w:lang w:eastAsia="zh-CN"/>
              </w:rPr>
              <w:t>10倍安全系数设计，</w:t>
            </w:r>
            <w:r>
              <w:rPr>
                <w:rFonts w:hint="eastAsia" w:asciiTheme="minorEastAsia" w:hAnsiTheme="minorEastAsia" w:eastAsiaTheme="minorEastAsia" w:cstheme="minorEastAsia"/>
                <w:color w:val="auto"/>
                <w:spacing w:val="-6"/>
                <w:sz w:val="21"/>
                <w:szCs w:val="21"/>
                <w:highlight w:val="none"/>
                <w:lang w:eastAsia="zh-CN"/>
              </w:rPr>
              <w:t>竞标时须</w:t>
            </w:r>
            <w:r>
              <w:rPr>
                <w:rFonts w:hint="eastAsia" w:asciiTheme="minorEastAsia" w:hAnsiTheme="minorEastAsia" w:eastAsiaTheme="minorEastAsia" w:cstheme="minorEastAsia"/>
                <w:b/>
                <w:bCs/>
                <w:color w:val="auto"/>
                <w:spacing w:val="-13"/>
                <w:sz w:val="21"/>
                <w:szCs w:val="21"/>
                <w:highlight w:val="none"/>
                <w:lang w:eastAsia="zh-CN"/>
              </w:rPr>
              <w:t>证明材料</w:t>
            </w:r>
            <w:r>
              <w:rPr>
                <w:rFonts w:hint="eastAsia" w:asciiTheme="minorEastAsia" w:hAnsiTheme="minorEastAsia" w:eastAsiaTheme="minorEastAsia" w:cstheme="minorEastAsia"/>
                <w:color w:val="auto"/>
                <w:spacing w:val="-13"/>
                <w:sz w:val="21"/>
                <w:szCs w:val="21"/>
                <w:highlight w:val="none"/>
                <w:lang w:eastAsia="zh-CN"/>
              </w:rPr>
              <w:t>。</w:t>
            </w:r>
          </w:p>
          <w:p w14:paraId="46635A20">
            <w:pPr>
              <w:pStyle w:val="27"/>
              <w:spacing w:before="68" w:line="273" w:lineRule="auto"/>
              <w:ind w:left="26" w:hanging="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5"/>
                <w:sz w:val="21"/>
                <w:szCs w:val="21"/>
                <w:highlight w:val="none"/>
                <w:lang w:eastAsia="zh-CN"/>
              </w:rPr>
              <w:t>2、控制系统：采用32位全数字化控制CPU，必须</w:t>
            </w:r>
            <w:r>
              <w:rPr>
                <w:rFonts w:hint="eastAsia" w:asciiTheme="minorEastAsia" w:hAnsiTheme="minorEastAsia" w:eastAsiaTheme="minorEastAsia" w:cstheme="minorEastAsia"/>
                <w:color w:val="auto"/>
                <w:spacing w:val="-6"/>
                <w:sz w:val="21"/>
                <w:szCs w:val="21"/>
                <w:highlight w:val="none"/>
                <w:lang w:eastAsia="zh-CN"/>
              </w:rPr>
              <w:t>与参与报价电梯为同一品牌，控制柜防护等级IP55，竞标时须提供</w:t>
            </w:r>
            <w:r>
              <w:rPr>
                <w:rFonts w:hint="eastAsia" w:asciiTheme="minorEastAsia" w:hAnsiTheme="minorEastAsia" w:eastAsiaTheme="minorEastAsia" w:cstheme="minorEastAsia"/>
                <w:b/>
                <w:bCs/>
                <w:color w:val="auto"/>
                <w:spacing w:val="-6"/>
                <w:sz w:val="21"/>
                <w:szCs w:val="21"/>
                <w:highlight w:val="none"/>
                <w:lang w:eastAsia="zh-CN"/>
              </w:rPr>
              <w:t>证明材料</w:t>
            </w:r>
            <w:r>
              <w:rPr>
                <w:rFonts w:hint="eastAsia" w:asciiTheme="minorEastAsia" w:hAnsiTheme="minorEastAsia" w:eastAsiaTheme="minorEastAsia" w:cstheme="minorEastAsia"/>
                <w:color w:val="auto"/>
                <w:spacing w:val="-6"/>
                <w:sz w:val="21"/>
                <w:szCs w:val="21"/>
                <w:highlight w:val="none"/>
                <w:lang w:eastAsia="zh-CN"/>
              </w:rPr>
              <w:t>。</w:t>
            </w:r>
          </w:p>
          <w:p w14:paraId="7974EED2">
            <w:pPr>
              <w:pStyle w:val="27"/>
              <w:spacing w:before="68" w:line="273" w:lineRule="auto"/>
              <w:ind w:left="26" w:hanging="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3"/>
                <w:sz w:val="21"/>
                <w:szCs w:val="21"/>
                <w:highlight w:val="none"/>
                <w:lang w:eastAsia="zh-CN"/>
              </w:rPr>
              <w:t>3、操作系统：全电脑集选自动控制方式。控制柜抗雷击干扰</w:t>
            </w:r>
            <w:r>
              <w:rPr>
                <w:rFonts w:hint="eastAsia" w:asciiTheme="minorEastAsia" w:hAnsiTheme="minorEastAsia" w:eastAsiaTheme="minorEastAsia" w:cstheme="minorEastAsia"/>
                <w:color w:val="auto"/>
                <w:spacing w:val="-13"/>
                <w:sz w:val="21"/>
                <w:szCs w:val="21"/>
                <w:highlight w:val="none"/>
                <w:lang w:eastAsia="zh-CN"/>
              </w:rPr>
              <w:t>≥20kv，</w:t>
            </w:r>
            <w:r>
              <w:rPr>
                <w:rFonts w:hint="eastAsia" w:asciiTheme="minorEastAsia" w:hAnsiTheme="minorEastAsia" w:eastAsiaTheme="minorEastAsia" w:cstheme="minorEastAsia"/>
                <w:color w:val="auto"/>
                <w:spacing w:val="-6"/>
                <w:sz w:val="21"/>
                <w:szCs w:val="21"/>
                <w:highlight w:val="none"/>
                <w:lang w:eastAsia="zh-CN"/>
              </w:rPr>
              <w:t>竞标时须提供</w:t>
            </w:r>
            <w:r>
              <w:rPr>
                <w:rFonts w:hint="eastAsia" w:asciiTheme="minorEastAsia" w:hAnsiTheme="minorEastAsia" w:eastAsiaTheme="minorEastAsia" w:cstheme="minorEastAsia"/>
                <w:b/>
                <w:bCs/>
                <w:color w:val="auto"/>
                <w:spacing w:val="-6"/>
                <w:sz w:val="21"/>
                <w:szCs w:val="21"/>
                <w:highlight w:val="none"/>
                <w:lang w:eastAsia="zh-CN"/>
              </w:rPr>
              <w:t>证明材料</w:t>
            </w:r>
            <w:r>
              <w:rPr>
                <w:rFonts w:hint="eastAsia" w:asciiTheme="minorEastAsia" w:hAnsiTheme="minorEastAsia" w:eastAsiaTheme="minorEastAsia" w:cstheme="minorEastAsia"/>
                <w:color w:val="auto"/>
                <w:spacing w:val="-6"/>
                <w:sz w:val="21"/>
                <w:szCs w:val="21"/>
                <w:highlight w:val="none"/>
                <w:lang w:eastAsia="zh-CN"/>
              </w:rPr>
              <w:t>。</w:t>
            </w:r>
          </w:p>
          <w:p w14:paraId="582062E6">
            <w:pPr>
              <w:pStyle w:val="27"/>
              <w:spacing w:before="68" w:line="219" w:lineRule="auto"/>
              <w:ind w:left="28"/>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3"/>
                <w:sz w:val="21"/>
                <w:szCs w:val="21"/>
                <w:highlight w:val="none"/>
                <w:lang w:eastAsia="zh-CN"/>
              </w:rPr>
              <w:t>4、驱动系统：采用智能化大功率模块驱动系统。</w:t>
            </w:r>
          </w:p>
          <w:p w14:paraId="795A845C">
            <w:pPr>
              <w:pStyle w:val="27"/>
              <w:spacing w:before="33" w:line="264" w:lineRule="auto"/>
              <w:ind w:left="28" w:right="165"/>
              <w:rPr>
                <w:rFonts w:hint="eastAsia" w:asciiTheme="minorEastAsia" w:hAnsiTheme="minorEastAsia" w:eastAsiaTheme="minorEastAsia" w:cstheme="minorEastAsia"/>
                <w:color w:val="auto"/>
                <w:spacing w:val="-4"/>
                <w:sz w:val="21"/>
                <w:szCs w:val="21"/>
                <w:highlight w:val="none"/>
                <w:lang w:eastAsia="zh-CN"/>
              </w:rPr>
            </w:pPr>
            <w:r>
              <w:rPr>
                <w:rFonts w:hint="eastAsia" w:asciiTheme="minorEastAsia" w:hAnsiTheme="minorEastAsia" w:eastAsiaTheme="minorEastAsia" w:cstheme="minorEastAsia"/>
                <w:color w:val="auto"/>
                <w:spacing w:val="-6"/>
                <w:sz w:val="21"/>
                <w:szCs w:val="21"/>
                <w:highlight w:val="none"/>
                <w:lang w:eastAsia="zh-CN"/>
              </w:rPr>
              <w:t>5、变频器装置：必须与竞标电梯为同一品牌，竞标时须提供</w:t>
            </w:r>
            <w:r>
              <w:rPr>
                <w:rFonts w:hint="eastAsia" w:asciiTheme="minorEastAsia" w:hAnsiTheme="minorEastAsia" w:eastAsiaTheme="minorEastAsia" w:cstheme="minorEastAsia"/>
                <w:b/>
                <w:bCs/>
                <w:color w:val="auto"/>
                <w:spacing w:val="-4"/>
                <w:sz w:val="21"/>
                <w:szCs w:val="21"/>
                <w:highlight w:val="none"/>
                <w:lang w:eastAsia="zh-CN"/>
              </w:rPr>
              <w:t>证明材料</w:t>
            </w:r>
            <w:r>
              <w:rPr>
                <w:rFonts w:hint="eastAsia" w:asciiTheme="minorEastAsia" w:hAnsiTheme="minorEastAsia" w:eastAsiaTheme="minorEastAsia" w:cstheme="minorEastAsia"/>
                <w:color w:val="auto"/>
                <w:spacing w:val="-4"/>
                <w:sz w:val="21"/>
                <w:szCs w:val="21"/>
                <w:highlight w:val="none"/>
                <w:lang w:eastAsia="zh-CN"/>
              </w:rPr>
              <w:t>。</w:t>
            </w:r>
          </w:p>
          <w:p w14:paraId="1D8522F8">
            <w:pPr>
              <w:pStyle w:val="27"/>
              <w:spacing w:before="33" w:line="264" w:lineRule="auto"/>
              <w:ind w:left="28" w:right="165"/>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3"/>
                <w:sz w:val="21"/>
                <w:szCs w:val="21"/>
                <w:highlight w:val="none"/>
                <w:lang w:eastAsia="zh-CN"/>
              </w:rPr>
              <w:t>6、门机系统：采用交流变频调压调速(VVVF)系统，与竞标电梯品牌为同一品牌，</w:t>
            </w:r>
            <w:r>
              <w:rPr>
                <w:rFonts w:hint="eastAsia" w:asciiTheme="minorEastAsia" w:hAnsiTheme="minorEastAsia" w:eastAsiaTheme="minorEastAsia" w:cstheme="minorEastAsia"/>
                <w:color w:val="auto"/>
                <w:spacing w:val="-6"/>
                <w:sz w:val="21"/>
                <w:szCs w:val="21"/>
                <w:highlight w:val="none"/>
                <w:lang w:eastAsia="zh-CN"/>
              </w:rPr>
              <w:t>竞标时须提供</w:t>
            </w:r>
            <w:r>
              <w:rPr>
                <w:rFonts w:hint="eastAsia" w:asciiTheme="minorEastAsia" w:hAnsiTheme="minorEastAsia" w:eastAsiaTheme="minorEastAsia" w:cstheme="minorEastAsia"/>
                <w:b/>
                <w:bCs/>
                <w:color w:val="auto"/>
                <w:spacing w:val="-4"/>
                <w:sz w:val="21"/>
                <w:szCs w:val="21"/>
                <w:highlight w:val="none"/>
                <w:lang w:eastAsia="zh-CN"/>
              </w:rPr>
              <w:t>证明材料</w:t>
            </w:r>
            <w:r>
              <w:rPr>
                <w:rFonts w:hint="eastAsia" w:asciiTheme="minorEastAsia" w:hAnsiTheme="minorEastAsia" w:eastAsiaTheme="minorEastAsia" w:cstheme="minorEastAsia"/>
                <w:color w:val="auto"/>
                <w:spacing w:val="-4"/>
                <w:sz w:val="21"/>
                <w:szCs w:val="21"/>
                <w:highlight w:val="none"/>
                <w:lang w:eastAsia="zh-CN"/>
              </w:rPr>
              <w:t>。</w:t>
            </w:r>
          </w:p>
          <w:p w14:paraId="6AA46791">
            <w:pPr>
              <w:pStyle w:val="27"/>
              <w:spacing w:before="70" w:line="216"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7、限速器、安全钳、缓冲器、门锁、光幕，</w:t>
            </w:r>
            <w:r>
              <w:rPr>
                <w:rFonts w:hint="eastAsia" w:asciiTheme="minorEastAsia" w:hAnsiTheme="minorEastAsia" w:eastAsiaTheme="minorEastAsia" w:cstheme="minorEastAsia"/>
                <w:color w:val="auto"/>
                <w:spacing w:val="-6"/>
                <w:sz w:val="21"/>
                <w:szCs w:val="21"/>
                <w:highlight w:val="none"/>
                <w:lang w:eastAsia="zh-CN"/>
              </w:rPr>
              <w:t>竞标时须提供</w:t>
            </w:r>
            <w:r>
              <w:rPr>
                <w:rFonts w:hint="eastAsia" w:asciiTheme="minorEastAsia" w:hAnsiTheme="minorEastAsia" w:eastAsiaTheme="minorEastAsia" w:cstheme="minorEastAsia"/>
                <w:color w:val="auto"/>
                <w:spacing w:val="-6"/>
                <w:sz w:val="21"/>
                <w:szCs w:val="21"/>
                <w:highlight w:val="none"/>
                <w:lang w:val="en-US" w:eastAsia="zh-CN"/>
              </w:rPr>
              <w:t>相应的</w:t>
            </w:r>
            <w:r>
              <w:rPr>
                <w:rFonts w:hint="eastAsia" w:asciiTheme="minorEastAsia" w:hAnsiTheme="minorEastAsia" w:eastAsiaTheme="minorEastAsia" w:cstheme="minorEastAsia"/>
                <w:b/>
                <w:bCs/>
                <w:color w:val="auto"/>
                <w:spacing w:val="-4"/>
                <w:sz w:val="21"/>
                <w:szCs w:val="21"/>
                <w:highlight w:val="none"/>
                <w:lang w:eastAsia="zh-CN"/>
              </w:rPr>
              <w:t>证明材料。</w:t>
            </w:r>
          </w:p>
          <w:p w14:paraId="4F1051CC">
            <w:pPr>
              <w:pStyle w:val="27"/>
              <w:spacing w:before="70" w:line="216"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8、电梯光幕的防护等级</w:t>
            </w:r>
            <w:r>
              <w:rPr>
                <w:rFonts w:hint="eastAsia" w:asciiTheme="minorEastAsia" w:hAnsiTheme="minorEastAsia" w:eastAsiaTheme="minorEastAsia" w:cstheme="minorEastAsia"/>
                <w:color w:val="auto"/>
                <w:sz w:val="21"/>
                <w:szCs w:val="21"/>
                <w:highlight w:val="none"/>
                <w:lang w:val="en-US" w:eastAsia="zh-CN"/>
              </w:rPr>
              <w:t>需达到</w:t>
            </w:r>
            <w:r>
              <w:rPr>
                <w:rFonts w:hint="eastAsia" w:asciiTheme="minorEastAsia" w:hAnsiTheme="minorEastAsia" w:eastAsiaTheme="minorEastAsia" w:cstheme="minorEastAsia"/>
                <w:color w:val="auto"/>
                <w:sz w:val="21"/>
                <w:szCs w:val="21"/>
                <w:highlight w:val="none"/>
                <w:lang w:eastAsia="zh-CN"/>
              </w:rPr>
              <w:t>IP65，</w:t>
            </w:r>
            <w:r>
              <w:rPr>
                <w:rFonts w:hint="eastAsia" w:asciiTheme="minorEastAsia" w:hAnsiTheme="minorEastAsia" w:eastAsiaTheme="minorEastAsia" w:cstheme="minorEastAsia"/>
                <w:color w:val="auto"/>
                <w:spacing w:val="-6"/>
                <w:sz w:val="21"/>
                <w:szCs w:val="21"/>
                <w:highlight w:val="none"/>
                <w:lang w:eastAsia="zh-CN"/>
              </w:rPr>
              <w:t>竞标时须提供</w:t>
            </w:r>
            <w:r>
              <w:rPr>
                <w:rFonts w:hint="eastAsia" w:asciiTheme="minorEastAsia" w:hAnsiTheme="minorEastAsia" w:eastAsiaTheme="minorEastAsia" w:cstheme="minorEastAsia"/>
                <w:color w:val="auto"/>
                <w:spacing w:val="-6"/>
                <w:sz w:val="21"/>
                <w:szCs w:val="21"/>
                <w:highlight w:val="none"/>
                <w:lang w:val="en-US" w:eastAsia="zh-CN"/>
              </w:rPr>
              <w:t>相应的</w:t>
            </w:r>
            <w:r>
              <w:rPr>
                <w:rFonts w:hint="eastAsia" w:asciiTheme="minorEastAsia" w:hAnsiTheme="minorEastAsia" w:eastAsiaTheme="minorEastAsia" w:cstheme="minorEastAsia"/>
                <w:b/>
                <w:bCs/>
                <w:color w:val="auto"/>
                <w:spacing w:val="-4"/>
                <w:sz w:val="21"/>
                <w:szCs w:val="21"/>
                <w:highlight w:val="none"/>
                <w:lang w:eastAsia="zh-CN"/>
              </w:rPr>
              <w:t>证明材料</w:t>
            </w:r>
            <w:r>
              <w:rPr>
                <w:rFonts w:hint="eastAsia" w:asciiTheme="minorEastAsia" w:hAnsiTheme="minorEastAsia" w:eastAsiaTheme="minorEastAsia" w:cstheme="minorEastAsia"/>
                <w:color w:val="auto"/>
                <w:spacing w:val="-4"/>
                <w:sz w:val="21"/>
                <w:szCs w:val="21"/>
                <w:highlight w:val="none"/>
                <w:lang w:eastAsia="zh-CN"/>
              </w:rPr>
              <w:t>。</w:t>
            </w:r>
          </w:p>
          <w:p w14:paraId="6F557C03">
            <w:pPr>
              <w:pStyle w:val="27"/>
              <w:spacing w:before="81" w:line="220" w:lineRule="auto"/>
              <w:ind w:left="35"/>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pacing w:val="-2"/>
                <w:sz w:val="21"/>
                <w:szCs w:val="21"/>
                <w:highlight w:val="none"/>
                <w:lang w:eastAsia="zh-CN"/>
              </w:rPr>
              <w:t>三、电梯装饰</w:t>
            </w:r>
          </w:p>
          <w:p w14:paraId="08B6065D">
            <w:pPr>
              <w:spacing w:line="360" w:lineRule="exac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pacing w:val="-1"/>
                <w:sz w:val="21"/>
                <w:szCs w:val="21"/>
                <w:highlight w:val="none"/>
                <w:lang w:val="en"/>
              </w:rPr>
              <w:t>▲</w:t>
            </w:r>
            <w:r>
              <w:rPr>
                <w:rFonts w:hint="eastAsia" w:asciiTheme="minorEastAsia" w:hAnsiTheme="minorEastAsia" w:eastAsiaTheme="minorEastAsia" w:cstheme="minorEastAsia"/>
                <w:color w:val="auto"/>
                <w:spacing w:val="-1"/>
                <w:sz w:val="21"/>
                <w:szCs w:val="21"/>
                <w:highlight w:val="none"/>
              </w:rPr>
              <w:t>(1)轿厢材质：全部采用发纹不锈钢（不接受钢板贴不锈钢工艺），</w:t>
            </w:r>
          </w:p>
          <w:p w14:paraId="38036A62">
            <w:pPr>
              <w:pStyle w:val="27"/>
              <w:spacing w:before="98" w:line="219"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厚度≥1.5mm。</w:t>
            </w:r>
          </w:p>
          <w:p w14:paraId="59D9E354">
            <w:pPr>
              <w:pStyle w:val="27"/>
              <w:spacing w:before="71" w:line="219"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val="en" w:eastAsia="zh-CN"/>
              </w:rPr>
              <w:t>▲</w:t>
            </w:r>
            <w:r>
              <w:rPr>
                <w:rFonts w:hint="eastAsia" w:asciiTheme="minorEastAsia" w:hAnsiTheme="minorEastAsia" w:eastAsiaTheme="minorEastAsia" w:cstheme="minorEastAsia"/>
                <w:color w:val="auto"/>
                <w:spacing w:val="-1"/>
                <w:sz w:val="21"/>
                <w:szCs w:val="21"/>
                <w:highlight w:val="none"/>
                <w:lang w:eastAsia="zh-CN"/>
              </w:rPr>
              <w:t>(2)轿顶材质：标准型吊顶，带照明。</w:t>
            </w:r>
          </w:p>
          <w:p w14:paraId="434AD170">
            <w:pPr>
              <w:pStyle w:val="27"/>
              <w:spacing w:before="80" w:line="219"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val="en" w:eastAsia="zh-CN"/>
              </w:rPr>
              <w:t>▲</w:t>
            </w:r>
            <w:r>
              <w:rPr>
                <w:rFonts w:hint="eastAsia" w:asciiTheme="minorEastAsia" w:hAnsiTheme="minorEastAsia" w:eastAsiaTheme="minorEastAsia" w:cstheme="minorEastAsia"/>
                <w:color w:val="auto"/>
                <w:spacing w:val="-1"/>
                <w:sz w:val="21"/>
                <w:szCs w:val="21"/>
                <w:highlight w:val="none"/>
                <w:lang w:eastAsia="zh-CN"/>
              </w:rPr>
              <w:t>(3)厅门：全部采用发纹不锈钢，厚度≥1.5mm。</w:t>
            </w:r>
          </w:p>
          <w:p w14:paraId="1E3C9C87">
            <w:pPr>
              <w:pStyle w:val="27"/>
              <w:spacing w:before="83" w:line="22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val="en" w:eastAsia="zh-CN"/>
              </w:rPr>
              <w:t>▲</w:t>
            </w:r>
            <w:r>
              <w:rPr>
                <w:rFonts w:hint="eastAsia" w:asciiTheme="minorEastAsia" w:hAnsiTheme="minorEastAsia" w:eastAsiaTheme="minorEastAsia" w:cstheme="minorEastAsia"/>
                <w:color w:val="auto"/>
                <w:spacing w:val="-1"/>
                <w:sz w:val="21"/>
                <w:szCs w:val="21"/>
                <w:highlight w:val="none"/>
                <w:lang w:eastAsia="zh-CN"/>
              </w:rPr>
              <w:t>(4)门套：全部发纹不锈钢大门套。</w:t>
            </w:r>
          </w:p>
          <w:p w14:paraId="04DFD706">
            <w:pPr>
              <w:pStyle w:val="27"/>
              <w:spacing w:before="80" w:line="258" w:lineRule="auto"/>
              <w:ind w:right="72"/>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val="en" w:eastAsia="zh-CN"/>
              </w:rPr>
              <w:t>▲</w:t>
            </w:r>
            <w:r>
              <w:rPr>
                <w:rFonts w:hint="eastAsia" w:asciiTheme="minorEastAsia" w:hAnsiTheme="minorEastAsia" w:eastAsiaTheme="minorEastAsia" w:cstheme="minorEastAsia"/>
                <w:color w:val="auto"/>
                <w:sz w:val="21"/>
                <w:szCs w:val="21"/>
                <w:highlight w:val="none"/>
                <w:lang w:eastAsia="zh-CN"/>
              </w:rPr>
              <w:t>(5)轿厢操纵箱：轿厢一侧配置一体式操纵箱，白色段码显示，可显示电梯运行楼层、方向等信息；另一侧配残疾人操纵盘，盲文按钮；面板采用304发纹不锈钢。</w:t>
            </w:r>
          </w:p>
          <w:p w14:paraId="0704DE84">
            <w:pPr>
              <w:pStyle w:val="27"/>
              <w:spacing w:before="83" w:line="219"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val="en" w:eastAsia="zh-CN"/>
              </w:rPr>
              <w:t>▲</w:t>
            </w:r>
            <w:r>
              <w:rPr>
                <w:rFonts w:hint="eastAsia" w:asciiTheme="minorEastAsia" w:hAnsiTheme="minorEastAsia" w:eastAsiaTheme="minorEastAsia" w:cstheme="minorEastAsia"/>
                <w:color w:val="auto"/>
                <w:sz w:val="21"/>
                <w:szCs w:val="21"/>
                <w:highlight w:val="none"/>
                <w:lang w:eastAsia="zh-CN"/>
              </w:rPr>
              <w:t>(6)厅外呼梯装置：LED显示，可显示电梯运行楼层，超薄外壳，不带底盒工艺。</w:t>
            </w:r>
          </w:p>
          <w:p w14:paraId="2E7BA7E2">
            <w:pPr>
              <w:pStyle w:val="27"/>
              <w:spacing w:before="90" w:line="219" w:lineRule="auto"/>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(7)轿厢通风系统：有手动可开关的风扇。</w:t>
            </w:r>
          </w:p>
          <w:p w14:paraId="39B3A129">
            <w:pPr>
              <w:pStyle w:val="27"/>
              <w:spacing w:before="90" w:line="219"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(8)轿厢地面：PVC耐磨防滑地板。</w:t>
            </w:r>
          </w:p>
          <w:p w14:paraId="5B1ED030">
            <w:pPr>
              <w:pStyle w:val="27"/>
              <w:spacing w:before="78" w:line="219" w:lineRule="auto"/>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b/>
                <w:bCs/>
                <w:color w:val="auto"/>
                <w:spacing w:val="-3"/>
                <w:sz w:val="21"/>
                <w:szCs w:val="21"/>
                <w:highlight w:val="none"/>
                <w:lang w:eastAsia="zh-CN"/>
              </w:rPr>
              <w:t>(</w:t>
            </w:r>
            <w:r>
              <w:rPr>
                <w:rFonts w:hint="eastAsia" w:asciiTheme="minorEastAsia" w:hAnsiTheme="minorEastAsia" w:eastAsiaTheme="minorEastAsia" w:cstheme="minorEastAsia"/>
                <w:color w:val="auto"/>
                <w:spacing w:val="-1"/>
                <w:sz w:val="21"/>
                <w:szCs w:val="21"/>
                <w:highlight w:val="none"/>
                <w:lang w:eastAsia="zh-CN"/>
              </w:rPr>
              <w:t>9)门坎：硬质铝合金型材。</w:t>
            </w:r>
          </w:p>
          <w:p w14:paraId="38DEACF4">
            <w:pPr>
              <w:pStyle w:val="27"/>
              <w:spacing w:before="85" w:line="219"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val="en" w:eastAsia="zh-CN"/>
              </w:rPr>
              <w:t>▲</w:t>
            </w:r>
            <w:r>
              <w:rPr>
                <w:rFonts w:hint="eastAsia" w:asciiTheme="minorEastAsia" w:hAnsiTheme="minorEastAsia" w:eastAsiaTheme="minorEastAsia" w:cstheme="minorEastAsia"/>
                <w:color w:val="auto"/>
                <w:sz w:val="21"/>
                <w:szCs w:val="21"/>
                <w:highlight w:val="none"/>
                <w:lang w:eastAsia="zh-CN"/>
              </w:rPr>
              <w:t>(10)无障碍功能要求：语音报站、轿厢后侧配置一根不锈钢扶手、盲文按钮。</w:t>
            </w:r>
          </w:p>
          <w:p w14:paraId="65DF85E2">
            <w:pPr>
              <w:pStyle w:val="27"/>
              <w:spacing w:before="73" w:line="220" w:lineRule="auto"/>
              <w:ind w:left="35"/>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val="en" w:eastAsia="zh-CN"/>
              </w:rPr>
              <w:t>▲</w:t>
            </w:r>
            <w:r>
              <w:rPr>
                <w:rFonts w:hint="eastAsia" w:asciiTheme="minorEastAsia" w:hAnsiTheme="minorEastAsia" w:eastAsiaTheme="minorEastAsia" w:cstheme="minorEastAsia"/>
                <w:b/>
                <w:bCs/>
                <w:color w:val="auto"/>
                <w:spacing w:val="-1"/>
                <w:sz w:val="21"/>
                <w:szCs w:val="21"/>
                <w:highlight w:val="none"/>
                <w:lang w:eastAsia="zh-CN"/>
              </w:rPr>
              <w:t>四、电梯功能，包括但不限于以下功能。</w:t>
            </w:r>
          </w:p>
          <w:p w14:paraId="79148640">
            <w:pPr>
              <w:pStyle w:val="27"/>
              <w:spacing w:before="98" w:line="219" w:lineRule="auto"/>
              <w:jc w:val="both"/>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1.上行超速保护 2.缓冲器检测3.电阻制动 4.轿门检测 5.轿门限位</w:t>
            </w:r>
          </w:p>
          <w:p w14:paraId="4EF69485">
            <w:pPr>
              <w:pStyle w:val="27"/>
              <w:spacing w:before="98" w:line="219" w:lineRule="auto"/>
              <w:jc w:val="both"/>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6.轿厢照明开关 7.修正运行8.门锁检测 9.禁止开门</w:t>
            </w:r>
          </w:p>
          <w:p w14:paraId="30498DBF">
            <w:pPr>
              <w:pStyle w:val="27"/>
              <w:spacing w:before="98" w:line="219" w:lineRule="auto"/>
              <w:jc w:val="both"/>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10.下行超速保护</w:t>
            </w:r>
            <w:r>
              <w:rPr>
                <w:rFonts w:hint="eastAsia" w:asciiTheme="minorEastAsia" w:hAnsiTheme="minorEastAsia" w:eastAsiaTheme="minorEastAsia" w:cstheme="minorEastAsia"/>
                <w:color w:val="auto"/>
                <w:spacing w:val="-1"/>
                <w:sz w:val="21"/>
                <w:szCs w:val="21"/>
                <w:highlight w:val="none"/>
                <w:lang w:val="en-US" w:eastAsia="zh-CN"/>
              </w:rPr>
              <w:t xml:space="preserve"> </w:t>
            </w:r>
            <w:r>
              <w:rPr>
                <w:rFonts w:hint="eastAsia" w:asciiTheme="minorEastAsia" w:hAnsiTheme="minorEastAsia" w:eastAsiaTheme="minorEastAsia" w:cstheme="minorEastAsia"/>
                <w:color w:val="auto"/>
                <w:spacing w:val="-1"/>
                <w:sz w:val="21"/>
                <w:szCs w:val="21"/>
                <w:highlight w:val="none"/>
                <w:lang w:eastAsia="zh-CN"/>
              </w:rPr>
              <w:t>11.运行时间检测</w:t>
            </w:r>
            <w:r>
              <w:rPr>
                <w:rFonts w:hint="eastAsia" w:asciiTheme="minorEastAsia" w:hAnsiTheme="minorEastAsia" w:eastAsiaTheme="minorEastAsia" w:cstheme="minorEastAsia"/>
                <w:color w:val="auto"/>
                <w:spacing w:val="-1"/>
                <w:sz w:val="21"/>
                <w:szCs w:val="21"/>
                <w:highlight w:val="none"/>
                <w:lang w:val="en-US" w:eastAsia="zh-CN"/>
              </w:rPr>
              <w:t xml:space="preserve"> </w:t>
            </w:r>
            <w:r>
              <w:rPr>
                <w:rFonts w:hint="eastAsia" w:asciiTheme="minorEastAsia" w:hAnsiTheme="minorEastAsia" w:eastAsiaTheme="minorEastAsia" w:cstheme="minorEastAsia"/>
                <w:color w:val="auto"/>
                <w:spacing w:val="-1"/>
                <w:sz w:val="21"/>
                <w:szCs w:val="21"/>
                <w:highlight w:val="none"/>
                <w:lang w:eastAsia="zh-CN"/>
              </w:rPr>
              <w:t xml:space="preserve">12.底坑急停 13.通讯评价 </w:t>
            </w:r>
          </w:p>
          <w:p w14:paraId="3D977A10">
            <w:pPr>
              <w:pStyle w:val="27"/>
              <w:spacing w:before="98" w:line="219" w:lineRule="auto"/>
              <w:jc w:val="both"/>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14.换站停靠 15.过热保护 16.行程保护</w:t>
            </w:r>
            <w:r>
              <w:rPr>
                <w:rFonts w:hint="eastAsia" w:asciiTheme="minorEastAsia" w:hAnsiTheme="minorEastAsia" w:eastAsiaTheme="minorEastAsia" w:cstheme="minorEastAsia"/>
                <w:color w:val="auto"/>
                <w:spacing w:val="-1"/>
                <w:sz w:val="21"/>
                <w:szCs w:val="21"/>
                <w:highlight w:val="none"/>
                <w:lang w:val="en-US" w:eastAsia="zh-CN"/>
              </w:rPr>
              <w:t xml:space="preserve"> </w:t>
            </w:r>
            <w:r>
              <w:rPr>
                <w:rFonts w:hint="eastAsia" w:asciiTheme="minorEastAsia" w:hAnsiTheme="minorEastAsia" w:eastAsiaTheme="minorEastAsia" w:cstheme="minorEastAsia"/>
                <w:color w:val="auto"/>
                <w:spacing w:val="-1"/>
                <w:sz w:val="21"/>
                <w:szCs w:val="21"/>
                <w:highlight w:val="none"/>
                <w:lang w:eastAsia="zh-CN"/>
              </w:rPr>
              <w:t>17.限速器安全开关</w:t>
            </w:r>
          </w:p>
          <w:p w14:paraId="4DAC061A">
            <w:pPr>
              <w:pStyle w:val="27"/>
              <w:spacing w:before="98" w:line="219" w:lineRule="auto"/>
              <w:jc w:val="both"/>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18.相位检测</w:t>
            </w:r>
            <w:r>
              <w:rPr>
                <w:rFonts w:hint="eastAsia" w:asciiTheme="minorEastAsia" w:hAnsiTheme="minorEastAsia" w:eastAsiaTheme="minorEastAsia" w:cstheme="minorEastAsia"/>
                <w:color w:val="auto"/>
                <w:spacing w:val="-1"/>
                <w:sz w:val="21"/>
                <w:szCs w:val="21"/>
                <w:highlight w:val="none"/>
                <w:lang w:val="en-US" w:eastAsia="zh-CN"/>
              </w:rPr>
              <w:t xml:space="preserve"> </w:t>
            </w:r>
            <w:r>
              <w:rPr>
                <w:rFonts w:hint="eastAsia" w:asciiTheme="minorEastAsia" w:hAnsiTheme="minorEastAsia" w:eastAsiaTheme="minorEastAsia" w:cstheme="minorEastAsia"/>
                <w:color w:val="auto"/>
                <w:spacing w:val="-1"/>
                <w:sz w:val="21"/>
                <w:szCs w:val="21"/>
                <w:highlight w:val="none"/>
                <w:lang w:eastAsia="zh-CN"/>
              </w:rPr>
              <w:t>19.重复开关门 20.救援运行</w:t>
            </w:r>
            <w:r>
              <w:rPr>
                <w:rFonts w:hint="eastAsia" w:asciiTheme="minorEastAsia" w:hAnsiTheme="minorEastAsia" w:eastAsiaTheme="minorEastAsia" w:cstheme="minorEastAsia"/>
                <w:color w:val="auto"/>
                <w:spacing w:val="-1"/>
                <w:sz w:val="21"/>
                <w:szCs w:val="21"/>
                <w:highlight w:val="none"/>
                <w:lang w:val="en-US" w:eastAsia="zh-CN"/>
              </w:rPr>
              <w:t xml:space="preserve"> </w:t>
            </w:r>
            <w:r>
              <w:rPr>
                <w:rFonts w:hint="eastAsia" w:asciiTheme="minorEastAsia" w:hAnsiTheme="minorEastAsia" w:eastAsiaTheme="minorEastAsia" w:cstheme="minorEastAsia"/>
                <w:color w:val="auto"/>
                <w:spacing w:val="-1"/>
                <w:sz w:val="21"/>
                <w:szCs w:val="21"/>
                <w:highlight w:val="none"/>
                <w:lang w:eastAsia="zh-CN"/>
              </w:rPr>
              <w:t>21.安全钳安全开关</w:t>
            </w:r>
          </w:p>
          <w:p w14:paraId="6B7F98A3">
            <w:pPr>
              <w:pStyle w:val="27"/>
              <w:spacing w:before="98" w:line="219" w:lineRule="auto"/>
              <w:jc w:val="both"/>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22.轿厢限速器绳涨紧安全开关 23.轿厢意外移动防护</w:t>
            </w:r>
          </w:p>
          <w:p w14:paraId="71B24F2D">
            <w:pPr>
              <w:pStyle w:val="27"/>
              <w:spacing w:before="98" w:line="219" w:lineRule="auto"/>
              <w:jc w:val="both"/>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24.应急照明 25.应急电源 26.五方通话 27.检修运行 28.满载直驶</w:t>
            </w:r>
          </w:p>
          <w:p w14:paraId="27EBC31C">
            <w:pPr>
              <w:pStyle w:val="27"/>
              <w:spacing w:before="98" w:line="219" w:lineRule="auto"/>
              <w:jc w:val="both"/>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29.轿厢位置，七段码 30.运行方向显，31.外呼登记显示</w:t>
            </w:r>
          </w:p>
          <w:p w14:paraId="739747BB">
            <w:pPr>
              <w:pStyle w:val="27"/>
              <w:spacing w:before="98" w:line="219" w:lineRule="auto"/>
              <w:jc w:val="both"/>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 xml:space="preserve">32.内呼显示，33.超载提醒，34.位置指示，35.精确再平层 </w:t>
            </w:r>
          </w:p>
          <w:p w14:paraId="2C12BC48">
            <w:pPr>
              <w:pStyle w:val="27"/>
              <w:spacing w:before="98" w:line="219" w:lineRule="auto"/>
              <w:jc w:val="both"/>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 xml:space="preserve">36.外呼重开门 37.光幕检测，38.反向内呼，39.外呼互锁 </w:t>
            </w:r>
          </w:p>
          <w:p w14:paraId="581E126D">
            <w:pPr>
              <w:spacing w:line="360" w:lineRule="exact"/>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rPr>
              <w:t>40.指令消除 41.停电再平层（应急救援装置）4</w:t>
            </w:r>
            <w:r>
              <w:rPr>
                <w:rFonts w:hint="eastAsia" w:asciiTheme="minorEastAsia" w:hAnsiTheme="minorEastAsia" w:eastAsiaTheme="minorEastAsia" w:cstheme="minorEastAsia"/>
                <w:color w:val="auto"/>
                <w:spacing w:val="-1"/>
                <w:sz w:val="21"/>
                <w:szCs w:val="21"/>
                <w:highlight w:val="none"/>
                <w:lang w:val="en-US" w:eastAsia="zh-CN"/>
              </w:rPr>
              <w:t>2</w:t>
            </w:r>
            <w:r>
              <w:rPr>
                <w:rFonts w:hint="eastAsia" w:asciiTheme="minorEastAsia" w:hAnsiTheme="minorEastAsia" w:eastAsiaTheme="minorEastAsia" w:cstheme="minorEastAsia"/>
                <w:color w:val="auto"/>
                <w:spacing w:val="-1"/>
                <w:sz w:val="21"/>
                <w:szCs w:val="21"/>
                <w:highlight w:val="none"/>
              </w:rPr>
              <w:t>.语音报站（中文）</w:t>
            </w:r>
            <w:r>
              <w:rPr>
                <w:rFonts w:hint="eastAsia" w:asciiTheme="minorEastAsia" w:hAnsiTheme="minorEastAsia" w:eastAsiaTheme="minorEastAsia" w:cstheme="minorEastAsia"/>
                <w:color w:val="auto"/>
                <w:spacing w:val="-1"/>
                <w:sz w:val="21"/>
                <w:szCs w:val="21"/>
                <w:highlight w:val="none"/>
                <w:lang w:eastAsia="zh-CN"/>
              </w:rPr>
              <w:t>。</w:t>
            </w:r>
          </w:p>
        </w:tc>
      </w:tr>
      <w:tr w14:paraId="661C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9" w:type="pct"/>
            <w:tcBorders>
              <w:top w:val="single" w:color="auto" w:sz="4" w:space="0"/>
              <w:left w:val="single" w:color="auto" w:sz="4" w:space="0"/>
              <w:bottom w:val="single" w:color="auto" w:sz="4" w:space="0"/>
              <w:right w:val="single" w:color="auto" w:sz="4" w:space="0"/>
            </w:tcBorders>
            <w:noWrap w:val="0"/>
            <w:vAlign w:val="center"/>
          </w:tcPr>
          <w:p w14:paraId="0FDF0885">
            <w:pPr>
              <w:spacing w:line="440" w:lineRule="exact"/>
              <w:jc w:val="center"/>
              <w:rPr>
                <w:rFonts w:hint="eastAsia" w:eastAsia="宋体"/>
                <w:color w:val="auto"/>
                <w:szCs w:val="21"/>
                <w:highlight w:val="none"/>
                <w:lang w:val="en-US" w:eastAsia="zh-CN"/>
              </w:rPr>
            </w:pPr>
            <w:r>
              <w:rPr>
                <w:rFonts w:hint="eastAsia"/>
                <w:color w:val="auto"/>
                <w:szCs w:val="21"/>
                <w:highlight w:val="none"/>
                <w:lang w:val="en-US" w:eastAsia="zh-CN"/>
              </w:rPr>
              <w:t>2</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5088654E">
            <w:pPr>
              <w:pStyle w:val="27"/>
              <w:spacing w:before="72" w:line="219" w:lineRule="auto"/>
              <w:jc w:val="center"/>
              <w:rPr>
                <w:b/>
                <w:bCs/>
                <w:color w:val="auto"/>
                <w:spacing w:val="-5"/>
                <w:highlight w:val="none"/>
              </w:rPr>
            </w:pPr>
            <w:r>
              <w:rPr>
                <w:b/>
                <w:bCs/>
                <w:color w:val="auto"/>
                <w:spacing w:val="-5"/>
                <w:highlight w:val="none"/>
              </w:rPr>
              <w:t>小机房</w:t>
            </w:r>
          </w:p>
          <w:p w14:paraId="70016475">
            <w:pPr>
              <w:pStyle w:val="27"/>
              <w:spacing w:before="72" w:line="219" w:lineRule="auto"/>
              <w:jc w:val="center"/>
              <w:rPr>
                <w:b/>
                <w:bCs/>
                <w:color w:val="auto"/>
                <w:spacing w:val="-5"/>
                <w:highlight w:val="none"/>
              </w:rPr>
            </w:pPr>
            <w:r>
              <w:rPr>
                <w:b/>
                <w:bCs/>
                <w:color w:val="auto"/>
                <w:spacing w:val="-5"/>
                <w:highlight w:val="none"/>
              </w:rPr>
              <w:t>乘客</w:t>
            </w:r>
          </w:p>
          <w:p w14:paraId="0C737FC7">
            <w:pPr>
              <w:pStyle w:val="27"/>
              <w:spacing w:before="72" w:line="219" w:lineRule="auto"/>
              <w:jc w:val="center"/>
              <w:rPr>
                <w:rFonts w:hint="default"/>
                <w:b/>
                <w:bCs/>
                <w:color w:val="auto"/>
                <w:spacing w:val="-5"/>
                <w:highlight w:val="none"/>
                <w:lang w:val="en-US"/>
              </w:rPr>
            </w:pPr>
            <w:r>
              <w:rPr>
                <w:rFonts w:hint="eastAsia"/>
                <w:b/>
                <w:bCs/>
                <w:color w:val="auto"/>
                <w:spacing w:val="-5"/>
                <w:highlight w:val="none"/>
                <w:lang w:val="en-US" w:eastAsia="zh-CN"/>
              </w:rPr>
              <w:t>电梯</w:t>
            </w:r>
          </w:p>
        </w:tc>
        <w:tc>
          <w:tcPr>
            <w:tcW w:w="297" w:type="pct"/>
            <w:tcBorders>
              <w:top w:val="single" w:color="auto" w:sz="4" w:space="0"/>
              <w:left w:val="single" w:color="auto" w:sz="4" w:space="0"/>
              <w:bottom w:val="single" w:color="auto" w:sz="4" w:space="0"/>
              <w:right w:val="single" w:color="auto" w:sz="4" w:space="0"/>
            </w:tcBorders>
            <w:noWrap w:val="0"/>
            <w:vAlign w:val="center"/>
          </w:tcPr>
          <w:p w14:paraId="35ED348E">
            <w:pPr>
              <w:spacing w:line="440" w:lineRule="exact"/>
              <w:jc w:val="center"/>
              <w:rPr>
                <w:rFonts w:hint="default" w:eastAsia="宋体"/>
                <w:b/>
                <w:bCs/>
                <w:color w:val="auto"/>
                <w:spacing w:val="11"/>
                <w:highlight w:val="none"/>
                <w:lang w:val="en-US" w:eastAsia="zh-CN"/>
              </w:rPr>
            </w:pPr>
            <w:r>
              <w:rPr>
                <w:rFonts w:hint="eastAsia"/>
                <w:b/>
                <w:bCs/>
                <w:color w:val="auto"/>
                <w:spacing w:val="11"/>
                <w:highlight w:val="none"/>
                <w:lang w:val="en-US" w:eastAsia="zh-CN"/>
              </w:rPr>
              <w:t>1</w:t>
            </w:r>
          </w:p>
        </w:tc>
        <w:tc>
          <w:tcPr>
            <w:tcW w:w="219" w:type="pct"/>
            <w:tcBorders>
              <w:top w:val="single" w:color="auto" w:sz="4" w:space="0"/>
              <w:left w:val="single" w:color="auto" w:sz="4" w:space="0"/>
              <w:bottom w:val="single" w:color="auto" w:sz="4" w:space="0"/>
              <w:right w:val="single" w:color="auto" w:sz="4" w:space="0"/>
            </w:tcBorders>
            <w:noWrap w:val="0"/>
            <w:vAlign w:val="center"/>
          </w:tcPr>
          <w:p w14:paraId="5BCE25C1">
            <w:pPr>
              <w:spacing w:line="440" w:lineRule="exact"/>
              <w:jc w:val="center"/>
              <w:rPr>
                <w:rFonts w:hint="eastAsia" w:eastAsia="宋体"/>
                <w:b/>
                <w:bCs/>
                <w:color w:val="auto"/>
                <w:spacing w:val="11"/>
                <w:highlight w:val="none"/>
                <w:lang w:val="en-US" w:eastAsia="zh-CN"/>
              </w:rPr>
            </w:pPr>
            <w:r>
              <w:rPr>
                <w:rFonts w:hint="eastAsia"/>
                <w:b/>
                <w:bCs/>
                <w:color w:val="auto"/>
                <w:spacing w:val="11"/>
                <w:highlight w:val="none"/>
                <w:lang w:val="en-US" w:eastAsia="zh-CN"/>
              </w:rPr>
              <w:t>台</w:t>
            </w:r>
          </w:p>
        </w:tc>
        <w:tc>
          <w:tcPr>
            <w:tcW w:w="650" w:type="pct"/>
            <w:tcBorders>
              <w:top w:val="single" w:color="auto" w:sz="4" w:space="0"/>
              <w:left w:val="single" w:color="auto" w:sz="4" w:space="0"/>
              <w:bottom w:val="single" w:color="auto" w:sz="4" w:space="0"/>
              <w:right w:val="single" w:color="auto" w:sz="4" w:space="0"/>
            </w:tcBorders>
            <w:noWrap w:val="0"/>
            <w:vAlign w:val="center"/>
          </w:tcPr>
          <w:p w14:paraId="35D22532">
            <w:pPr>
              <w:spacing w:line="440" w:lineRule="exact"/>
              <w:jc w:val="center"/>
              <w:rPr>
                <w:rFonts w:hint="default" w:eastAsia="宋体"/>
                <w:b/>
                <w:bCs/>
                <w:color w:val="auto"/>
                <w:spacing w:val="11"/>
                <w:highlight w:val="none"/>
                <w:lang w:val="en" w:eastAsia="zh-CN"/>
              </w:rPr>
            </w:pPr>
            <w:r>
              <w:rPr>
                <w:rFonts w:hint="eastAsia"/>
                <w:b/>
                <w:bCs/>
                <w:color w:val="auto"/>
                <w:spacing w:val="11"/>
                <w:highlight w:val="none"/>
                <w:lang w:val="en-US" w:eastAsia="zh-CN"/>
              </w:rPr>
              <w:t>2430</w:t>
            </w:r>
            <w:r>
              <w:rPr>
                <w:rFonts w:hint="default"/>
                <w:b/>
                <w:bCs/>
                <w:color w:val="auto"/>
                <w:spacing w:val="11"/>
                <w:highlight w:val="none"/>
                <w:lang w:val="en" w:eastAsia="zh-CN"/>
              </w:rPr>
              <w:t>00.00</w:t>
            </w:r>
          </w:p>
        </w:tc>
        <w:tc>
          <w:tcPr>
            <w:tcW w:w="3233" w:type="pct"/>
            <w:tcBorders>
              <w:top w:val="single" w:color="auto" w:sz="4" w:space="0"/>
              <w:left w:val="single" w:color="auto" w:sz="4" w:space="0"/>
              <w:bottom w:val="single" w:color="auto" w:sz="4" w:space="0"/>
              <w:right w:val="single" w:color="auto" w:sz="4" w:space="0"/>
            </w:tcBorders>
            <w:noWrap w:val="0"/>
            <w:vAlign w:val="center"/>
          </w:tcPr>
          <w:p w14:paraId="56F2EEBF">
            <w:pPr>
              <w:pStyle w:val="27"/>
              <w:spacing w:before="65" w:line="219" w:lineRule="auto"/>
              <w:ind w:left="28"/>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6"/>
                <w:sz w:val="21"/>
                <w:szCs w:val="21"/>
                <w:highlight w:val="none"/>
                <w:lang w:eastAsia="zh-CN"/>
              </w:rPr>
              <w:t>一、基本参数</w:t>
            </w:r>
          </w:p>
          <w:p w14:paraId="0C7F2A3E">
            <w:pPr>
              <w:pStyle w:val="27"/>
              <w:rPr>
                <w:rFonts w:hint="eastAsia" w:asciiTheme="minorEastAsia" w:hAnsiTheme="minorEastAsia" w:eastAsiaTheme="minorEastAsia" w:cstheme="minorEastAsia"/>
                <w:color w:val="auto"/>
                <w:spacing w:val="18"/>
                <w:sz w:val="21"/>
                <w:szCs w:val="21"/>
                <w:highlight w:val="none"/>
                <w:lang w:eastAsia="zh-CN"/>
              </w:rPr>
            </w:pPr>
            <w:r>
              <w:rPr>
                <w:rFonts w:hint="eastAsia" w:asciiTheme="minorEastAsia" w:hAnsiTheme="minorEastAsia" w:eastAsiaTheme="minorEastAsia" w:cstheme="minorEastAsia"/>
                <w:color w:val="auto"/>
                <w:spacing w:val="-3"/>
                <w:sz w:val="21"/>
                <w:szCs w:val="21"/>
                <w:highlight w:val="none"/>
                <w:lang w:eastAsia="zh-CN"/>
              </w:rPr>
              <w:t>1、电梯类型：DT4。</w:t>
            </w:r>
          </w:p>
          <w:p w14:paraId="06FB8900">
            <w:pPr>
              <w:pStyle w:val="27"/>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4"/>
                <w:sz w:val="21"/>
                <w:szCs w:val="21"/>
                <w:highlight w:val="none"/>
                <w:lang w:val="en" w:eastAsia="zh-CN"/>
              </w:rPr>
              <w:t>▲</w:t>
            </w:r>
            <w:r>
              <w:rPr>
                <w:rFonts w:hint="eastAsia" w:asciiTheme="minorEastAsia" w:hAnsiTheme="minorEastAsia" w:eastAsiaTheme="minorEastAsia" w:cstheme="minorEastAsia"/>
                <w:color w:val="auto"/>
                <w:spacing w:val="-4"/>
                <w:sz w:val="21"/>
                <w:szCs w:val="21"/>
                <w:highlight w:val="none"/>
                <w:lang w:eastAsia="zh-CN"/>
              </w:rPr>
              <w:t>2、载重量：1000kg</w:t>
            </w:r>
          </w:p>
          <w:p w14:paraId="46B824DF">
            <w:pPr>
              <w:pStyle w:val="27"/>
              <w:spacing w:before="8" w:line="219"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5"/>
                <w:sz w:val="21"/>
                <w:szCs w:val="21"/>
                <w:highlight w:val="none"/>
                <w:lang w:val="en" w:eastAsia="zh-CN"/>
              </w:rPr>
              <w:t>▲</w:t>
            </w:r>
            <w:r>
              <w:rPr>
                <w:rFonts w:hint="eastAsia" w:asciiTheme="minorEastAsia" w:hAnsiTheme="minorEastAsia" w:eastAsiaTheme="minorEastAsia" w:cstheme="minorEastAsia"/>
                <w:color w:val="auto"/>
                <w:spacing w:val="5"/>
                <w:sz w:val="21"/>
                <w:szCs w:val="21"/>
                <w:highlight w:val="none"/>
                <w:lang w:eastAsia="zh-CN"/>
              </w:rPr>
              <w:t>3、速度：1.75米/秒。</w:t>
            </w:r>
          </w:p>
          <w:p w14:paraId="4C129372">
            <w:pPr>
              <w:pStyle w:val="27"/>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2"/>
                <w:sz w:val="21"/>
                <w:szCs w:val="21"/>
                <w:highlight w:val="none"/>
                <w:lang w:val="en" w:eastAsia="zh-CN"/>
              </w:rPr>
              <w:t>▲</w:t>
            </w:r>
            <w:r>
              <w:rPr>
                <w:rFonts w:hint="eastAsia" w:asciiTheme="minorEastAsia" w:hAnsiTheme="minorEastAsia" w:eastAsiaTheme="minorEastAsia" w:cstheme="minorEastAsia"/>
                <w:color w:val="auto"/>
                <w:spacing w:val="-2"/>
                <w:sz w:val="21"/>
                <w:szCs w:val="21"/>
                <w:highlight w:val="none"/>
                <w:lang w:eastAsia="zh-CN"/>
              </w:rPr>
              <w:t>4、层/站/门：DT4共计10层/10站/10门。</w:t>
            </w:r>
          </w:p>
          <w:p w14:paraId="7E9B5AC1">
            <w:pPr>
              <w:pStyle w:val="27"/>
              <w:numPr>
                <w:ilvl w:val="0"/>
                <w:numId w:val="1"/>
              </w:numPr>
              <w:spacing w:before="69" w:line="219" w:lineRule="auto"/>
              <w:ind w:left="28"/>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3"/>
                <w:sz w:val="21"/>
                <w:szCs w:val="21"/>
                <w:highlight w:val="none"/>
              </w:rPr>
              <w:t>提升高度：</w:t>
            </w:r>
            <w:r>
              <w:rPr>
                <w:rFonts w:hint="eastAsia" w:asciiTheme="minorEastAsia" w:hAnsiTheme="minorEastAsia" w:eastAsiaTheme="minorEastAsia" w:cstheme="minorEastAsia"/>
                <w:color w:val="auto"/>
                <w:spacing w:val="-3"/>
                <w:sz w:val="21"/>
                <w:szCs w:val="21"/>
                <w:highlight w:val="none"/>
                <w:lang w:eastAsia="zh-CN"/>
              </w:rPr>
              <w:t>35</w:t>
            </w:r>
            <w:r>
              <w:rPr>
                <w:rFonts w:hint="eastAsia" w:asciiTheme="minorEastAsia" w:hAnsiTheme="minorEastAsia" w:eastAsiaTheme="minorEastAsia" w:cstheme="minorEastAsia"/>
                <w:color w:val="auto"/>
                <w:spacing w:val="-3"/>
                <w:sz w:val="21"/>
                <w:szCs w:val="21"/>
                <w:highlight w:val="none"/>
              </w:rPr>
              <w:t>m</w:t>
            </w:r>
            <w:r>
              <w:rPr>
                <w:rFonts w:hint="eastAsia" w:asciiTheme="minorEastAsia" w:hAnsiTheme="minorEastAsia" w:eastAsiaTheme="minorEastAsia" w:cstheme="minorEastAsia"/>
                <w:color w:val="auto"/>
                <w:sz w:val="21"/>
                <w:szCs w:val="21"/>
                <w:highlight w:val="none"/>
                <w:lang w:eastAsia="zh-CN"/>
              </w:rPr>
              <w:t>。</w:t>
            </w:r>
          </w:p>
          <w:p w14:paraId="42D4E9FA">
            <w:pPr>
              <w:pStyle w:val="27"/>
              <w:numPr>
                <w:ilvl w:val="0"/>
                <w:numId w:val="0"/>
              </w:numPr>
              <w:spacing w:before="69" w:line="219"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2"/>
                <w:sz w:val="21"/>
                <w:szCs w:val="21"/>
                <w:highlight w:val="none"/>
                <w:lang w:val="en" w:eastAsia="zh-CN"/>
              </w:rPr>
              <w:t>▲</w:t>
            </w:r>
            <w:r>
              <w:rPr>
                <w:rFonts w:hint="eastAsia" w:asciiTheme="minorEastAsia" w:hAnsiTheme="minorEastAsia" w:eastAsiaTheme="minorEastAsia" w:cstheme="minorEastAsia"/>
                <w:color w:val="auto"/>
                <w:spacing w:val="-3"/>
                <w:sz w:val="21"/>
                <w:szCs w:val="21"/>
                <w:highlight w:val="none"/>
                <w:lang w:eastAsia="zh-CN"/>
              </w:rPr>
              <w:t>6、底坑净深：1400 mm,顶层高度3900 mm。（</w:t>
            </w:r>
            <w:r>
              <w:rPr>
                <w:rFonts w:hint="eastAsia" w:asciiTheme="minorEastAsia" w:hAnsiTheme="minorEastAsia" w:eastAsiaTheme="minorEastAsia" w:cstheme="minorEastAsia"/>
                <w:color w:val="auto"/>
                <w:spacing w:val="-3"/>
                <w:sz w:val="21"/>
                <w:szCs w:val="21"/>
                <w:highlight w:val="none"/>
                <w:lang w:val="en-US" w:eastAsia="zh-CN"/>
              </w:rPr>
              <w:t>采购人土建已完成，为了建筑结构的安全，</w:t>
            </w:r>
            <w:r>
              <w:rPr>
                <w:rFonts w:hint="eastAsia" w:asciiTheme="minorEastAsia" w:hAnsiTheme="minorEastAsia" w:eastAsiaTheme="minorEastAsia" w:cstheme="minorEastAsia"/>
                <w:color w:val="auto"/>
                <w:spacing w:val="-3"/>
                <w:sz w:val="21"/>
                <w:szCs w:val="21"/>
                <w:highlight w:val="none"/>
                <w:lang w:eastAsia="zh-CN"/>
              </w:rPr>
              <w:t>不能做结构性土建整改</w:t>
            </w:r>
            <w:r>
              <w:rPr>
                <w:rFonts w:hint="eastAsia" w:asciiTheme="minorEastAsia" w:hAnsiTheme="minorEastAsia" w:eastAsiaTheme="minorEastAsia" w:cstheme="minorEastAsia"/>
                <w:color w:val="auto"/>
                <w:spacing w:val="-3"/>
                <w:sz w:val="21"/>
                <w:szCs w:val="21"/>
                <w:highlight w:val="none"/>
                <w:lang w:val="en-US" w:eastAsia="zh-CN"/>
              </w:rPr>
              <w:t>:包括但不限于机房楼板的破坏、圈梁的浇筑等。</w:t>
            </w:r>
            <w:r>
              <w:rPr>
                <w:rFonts w:hint="eastAsia" w:asciiTheme="minorEastAsia" w:hAnsiTheme="minorEastAsia" w:eastAsiaTheme="minorEastAsia" w:cstheme="minorEastAsia"/>
                <w:color w:val="auto"/>
                <w:spacing w:val="-3"/>
                <w:sz w:val="21"/>
                <w:szCs w:val="21"/>
                <w:highlight w:val="none"/>
                <w:lang w:eastAsia="zh-CN"/>
              </w:rPr>
              <w:t>）</w:t>
            </w:r>
          </w:p>
          <w:p w14:paraId="2F6C41F4">
            <w:pPr>
              <w:pStyle w:val="27"/>
              <w:spacing w:before="74" w:line="219" w:lineRule="auto"/>
              <w:ind w:left="28"/>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3"/>
                <w:sz w:val="21"/>
                <w:szCs w:val="21"/>
                <w:highlight w:val="none"/>
                <w:lang w:eastAsia="zh-CN"/>
              </w:rPr>
              <w:t>7、井道尺寸宽×深：现场勘察，以实际测量为准。</w:t>
            </w:r>
          </w:p>
          <w:p w14:paraId="1723885A">
            <w:pPr>
              <w:pStyle w:val="27"/>
              <w:spacing w:before="69" w:line="219"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2"/>
                <w:sz w:val="21"/>
                <w:szCs w:val="21"/>
                <w:highlight w:val="none"/>
                <w:lang w:val="en" w:eastAsia="zh-CN"/>
              </w:rPr>
              <w:t>▲</w:t>
            </w:r>
            <w:r>
              <w:rPr>
                <w:rFonts w:hint="eastAsia" w:asciiTheme="minorEastAsia" w:hAnsiTheme="minorEastAsia" w:eastAsiaTheme="minorEastAsia" w:cstheme="minorEastAsia"/>
                <w:color w:val="auto"/>
                <w:spacing w:val="-4"/>
                <w:sz w:val="21"/>
                <w:szCs w:val="21"/>
                <w:highlight w:val="none"/>
                <w:lang w:eastAsia="zh-CN"/>
              </w:rPr>
              <w:t>8、轿厢尺寸宽×深×高：按照井道尺寸设计最大轿厢尺寸，轿厢高2400mm。</w:t>
            </w:r>
          </w:p>
          <w:p w14:paraId="20B95F5B">
            <w:pPr>
              <w:pStyle w:val="27"/>
              <w:spacing w:before="71" w:line="220" w:lineRule="auto"/>
              <w:ind w:left="28"/>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2"/>
                <w:sz w:val="21"/>
                <w:szCs w:val="21"/>
                <w:highlight w:val="none"/>
                <w:lang w:val="en" w:eastAsia="zh-CN"/>
              </w:rPr>
              <w:t>▲</w:t>
            </w:r>
            <w:r>
              <w:rPr>
                <w:rFonts w:hint="eastAsia" w:asciiTheme="minorEastAsia" w:hAnsiTheme="minorEastAsia" w:eastAsiaTheme="minorEastAsia" w:cstheme="minorEastAsia"/>
                <w:color w:val="auto"/>
                <w:sz w:val="21"/>
                <w:szCs w:val="21"/>
                <w:highlight w:val="none"/>
                <w:lang w:eastAsia="zh-CN"/>
              </w:rPr>
              <w:t>9、开门宽度：900mm</w:t>
            </w:r>
            <w:r>
              <w:rPr>
                <w:rFonts w:hint="eastAsia" w:asciiTheme="minorEastAsia" w:hAnsiTheme="minorEastAsia" w:eastAsiaTheme="minorEastAsia" w:cstheme="minorEastAsia"/>
                <w:color w:val="auto"/>
                <w:spacing w:val="-4"/>
                <w:sz w:val="21"/>
                <w:szCs w:val="21"/>
                <w:highlight w:val="none"/>
                <w:lang w:eastAsia="zh-CN"/>
              </w:rPr>
              <w:t>。</w:t>
            </w:r>
          </w:p>
          <w:p w14:paraId="07F6D996">
            <w:pPr>
              <w:pStyle w:val="27"/>
              <w:spacing w:before="77" w:line="219" w:lineRule="auto"/>
              <w:ind w:left="28"/>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2"/>
                <w:sz w:val="21"/>
                <w:szCs w:val="21"/>
                <w:highlight w:val="none"/>
                <w:lang w:val="en" w:eastAsia="zh-CN"/>
              </w:rPr>
              <w:t>▲</w:t>
            </w:r>
            <w:r>
              <w:rPr>
                <w:rFonts w:hint="eastAsia" w:asciiTheme="minorEastAsia" w:hAnsiTheme="minorEastAsia" w:eastAsiaTheme="minorEastAsia" w:cstheme="minorEastAsia"/>
                <w:color w:val="auto"/>
                <w:spacing w:val="-3"/>
                <w:sz w:val="21"/>
                <w:szCs w:val="21"/>
                <w:highlight w:val="none"/>
                <w:lang w:eastAsia="zh-CN"/>
              </w:rPr>
              <w:t>10、开门高度：2100mm。</w:t>
            </w:r>
          </w:p>
          <w:p w14:paraId="3593B3F9">
            <w:pPr>
              <w:pStyle w:val="27"/>
              <w:spacing w:before="80" w:line="220" w:lineRule="auto"/>
              <w:ind w:left="28"/>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pacing w:val="5"/>
                <w:sz w:val="21"/>
                <w:szCs w:val="21"/>
                <w:highlight w:val="none"/>
                <w:lang w:eastAsia="zh-CN"/>
              </w:rPr>
              <w:t>11、开门方式：自动中分门、</w:t>
            </w:r>
            <w:r>
              <w:rPr>
                <w:rFonts w:hint="eastAsia" w:asciiTheme="minorEastAsia" w:hAnsiTheme="minorEastAsia" w:eastAsiaTheme="minorEastAsia" w:cstheme="minorEastAsia"/>
                <w:color w:val="auto"/>
                <w:spacing w:val="5"/>
                <w:sz w:val="21"/>
                <w:szCs w:val="21"/>
                <w:highlight w:val="none"/>
                <w:lang w:val="en-US" w:eastAsia="zh-CN"/>
              </w:rPr>
              <w:t>侧开门。</w:t>
            </w:r>
          </w:p>
          <w:p w14:paraId="6748C3CD">
            <w:pPr>
              <w:pStyle w:val="27"/>
              <w:spacing w:before="76" w:line="219" w:lineRule="auto"/>
              <w:ind w:left="28"/>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2"/>
                <w:sz w:val="21"/>
                <w:szCs w:val="21"/>
                <w:highlight w:val="none"/>
                <w:lang w:eastAsia="zh-CN"/>
              </w:rPr>
              <w:t>12、机房位置：井道顶部。</w:t>
            </w:r>
          </w:p>
          <w:p w14:paraId="2F973B3D">
            <w:pPr>
              <w:pStyle w:val="27"/>
              <w:spacing w:before="47" w:line="216" w:lineRule="auto"/>
              <w:ind w:left="28"/>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2"/>
                <w:sz w:val="21"/>
                <w:szCs w:val="21"/>
                <w:highlight w:val="none"/>
                <w:lang w:eastAsia="zh-CN"/>
              </w:rPr>
              <w:t>13、动力电源范围：主电源：380V；3相；50 Hz。</w:t>
            </w:r>
          </w:p>
          <w:p w14:paraId="74481F25">
            <w:pPr>
              <w:pStyle w:val="27"/>
              <w:spacing w:before="73" w:line="216" w:lineRule="auto"/>
              <w:ind w:left="28"/>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2"/>
                <w:sz w:val="21"/>
                <w:szCs w:val="21"/>
                <w:highlight w:val="none"/>
                <w:lang w:eastAsia="zh-CN"/>
              </w:rPr>
              <w:t>14、照明电源范围：220V；单相；50 Hz。</w:t>
            </w:r>
          </w:p>
          <w:p w14:paraId="523D3AA8">
            <w:pPr>
              <w:pStyle w:val="27"/>
              <w:spacing w:before="95" w:line="264" w:lineRule="auto"/>
              <w:ind w:left="28" w:right="2475"/>
              <w:rPr>
                <w:rFonts w:hint="eastAsia" w:asciiTheme="minorEastAsia" w:hAnsiTheme="minorEastAsia" w:eastAsiaTheme="minorEastAsia" w:cstheme="minorEastAsia"/>
                <w:color w:val="auto"/>
                <w:spacing w:val="2"/>
                <w:sz w:val="21"/>
                <w:szCs w:val="21"/>
                <w:highlight w:val="none"/>
                <w:lang w:eastAsia="zh-CN"/>
              </w:rPr>
            </w:pPr>
            <w:r>
              <w:rPr>
                <w:rFonts w:hint="eastAsia" w:asciiTheme="minorEastAsia" w:hAnsiTheme="minorEastAsia" w:eastAsiaTheme="minorEastAsia" w:cstheme="minorEastAsia"/>
                <w:color w:val="auto"/>
                <w:spacing w:val="-3"/>
                <w:sz w:val="21"/>
                <w:szCs w:val="21"/>
                <w:highlight w:val="none"/>
                <w:lang w:eastAsia="zh-CN"/>
              </w:rPr>
              <w:t>15、供电方式：三相五线制。</w:t>
            </w:r>
            <w:r>
              <w:rPr>
                <w:rFonts w:hint="eastAsia" w:asciiTheme="minorEastAsia" w:hAnsiTheme="minorEastAsia" w:eastAsiaTheme="minorEastAsia" w:cstheme="minorEastAsia"/>
                <w:color w:val="auto"/>
                <w:spacing w:val="2"/>
                <w:sz w:val="21"/>
                <w:szCs w:val="21"/>
                <w:highlight w:val="none"/>
                <w:lang w:eastAsia="zh-CN"/>
              </w:rPr>
              <w:t xml:space="preserve"> </w:t>
            </w:r>
          </w:p>
          <w:p w14:paraId="4A979DB3">
            <w:pPr>
              <w:rPr>
                <w:color w:val="auto"/>
                <w:highlight w:val="none"/>
              </w:rPr>
            </w:pPr>
            <w:r>
              <w:rPr>
                <w:rFonts w:hint="eastAsia" w:asciiTheme="minorEastAsia" w:hAnsiTheme="minorEastAsia" w:eastAsiaTheme="minorEastAsia" w:cstheme="minorEastAsia"/>
                <w:color w:val="auto"/>
                <w:spacing w:val="-3"/>
                <w:sz w:val="21"/>
                <w:szCs w:val="21"/>
                <w:highlight w:val="none"/>
                <w:lang w:val="en" w:eastAsia="zh-CN"/>
              </w:rPr>
              <w:t>▲</w:t>
            </w:r>
            <w:r>
              <w:rPr>
                <w:rFonts w:hint="eastAsia" w:asciiTheme="minorEastAsia" w:hAnsiTheme="minorEastAsia" w:eastAsiaTheme="minorEastAsia" w:cstheme="minorEastAsia"/>
                <w:color w:val="auto"/>
                <w:spacing w:val="-3"/>
                <w:sz w:val="21"/>
                <w:szCs w:val="21"/>
                <w:highlight w:val="none"/>
                <w:lang w:eastAsia="zh-CN"/>
              </w:rPr>
              <w:t>16、</w:t>
            </w:r>
            <w:r>
              <w:rPr>
                <w:rFonts w:hint="eastAsia" w:asciiTheme="minorEastAsia" w:hAnsiTheme="minorEastAsia" w:eastAsiaTheme="minorEastAsia" w:cstheme="minorEastAsia"/>
                <w:color w:val="auto"/>
                <w:spacing w:val="-13"/>
                <w:sz w:val="21"/>
                <w:szCs w:val="21"/>
                <w:highlight w:val="none"/>
                <w:lang w:eastAsia="zh-CN"/>
              </w:rPr>
              <w:t>控制方式：全微机电脑控制。</w:t>
            </w:r>
          </w:p>
          <w:p w14:paraId="0AA31191">
            <w:pPr>
              <w:pStyle w:val="27"/>
              <w:spacing w:before="68" w:line="273" w:lineRule="auto"/>
              <w:ind w:left="26" w:hanging="9"/>
              <w:rPr>
                <w:rFonts w:hint="eastAsia" w:asciiTheme="minorEastAsia" w:hAnsiTheme="minorEastAsia" w:eastAsiaTheme="minorEastAsia" w:cstheme="minorEastAsia"/>
                <w:color w:val="auto"/>
                <w:spacing w:val="-13"/>
                <w:sz w:val="21"/>
                <w:szCs w:val="21"/>
                <w:highlight w:val="none"/>
                <w:lang w:eastAsia="zh-CN"/>
              </w:rPr>
            </w:pPr>
            <w:r>
              <w:rPr>
                <w:rFonts w:hint="eastAsia" w:asciiTheme="minorEastAsia" w:hAnsiTheme="minorEastAsia" w:eastAsiaTheme="minorEastAsia" w:cstheme="minorEastAsia"/>
                <w:color w:val="auto"/>
                <w:spacing w:val="-13"/>
                <w:sz w:val="21"/>
                <w:szCs w:val="21"/>
                <w:highlight w:val="none"/>
                <w:lang w:eastAsia="zh-CN"/>
              </w:rPr>
              <w:t>(以上具体安装技术参数，以实地测量尺寸为准。)</w:t>
            </w:r>
          </w:p>
          <w:p w14:paraId="7FF3E8EC">
            <w:pPr>
              <w:pStyle w:val="27"/>
              <w:spacing w:before="68" w:line="273" w:lineRule="auto"/>
              <w:ind w:left="26" w:hanging="9"/>
              <w:rPr>
                <w:rFonts w:hint="eastAsia" w:asciiTheme="minorEastAsia" w:hAnsiTheme="minorEastAsia" w:eastAsiaTheme="minorEastAsia" w:cstheme="minorEastAsia"/>
                <w:color w:val="auto"/>
                <w:spacing w:val="-13"/>
                <w:sz w:val="21"/>
                <w:szCs w:val="21"/>
                <w:highlight w:val="none"/>
                <w:lang w:eastAsia="zh-CN"/>
              </w:rPr>
            </w:pPr>
            <w:r>
              <w:rPr>
                <w:rFonts w:hint="eastAsia" w:asciiTheme="minorEastAsia" w:hAnsiTheme="minorEastAsia" w:eastAsiaTheme="minorEastAsia" w:cstheme="minorEastAsia"/>
                <w:color w:val="auto"/>
                <w:spacing w:val="-17"/>
                <w:sz w:val="21"/>
                <w:szCs w:val="21"/>
                <w:highlight w:val="none"/>
                <w:lang w:val="en" w:eastAsia="zh-CN"/>
              </w:rPr>
              <w:t>▲</w:t>
            </w:r>
            <w:r>
              <w:rPr>
                <w:rFonts w:hint="eastAsia" w:asciiTheme="minorEastAsia" w:hAnsiTheme="minorEastAsia" w:eastAsiaTheme="minorEastAsia" w:cstheme="minorEastAsia"/>
                <w:color w:val="auto"/>
                <w:spacing w:val="-13"/>
                <w:sz w:val="21"/>
                <w:szCs w:val="21"/>
                <w:highlight w:val="none"/>
                <w:lang w:eastAsia="zh-CN"/>
              </w:rPr>
              <w:t>二、技术要求</w:t>
            </w:r>
          </w:p>
          <w:p w14:paraId="36528998">
            <w:pPr>
              <w:pStyle w:val="27"/>
              <w:spacing w:before="68" w:line="273" w:lineRule="auto"/>
              <w:ind w:left="26" w:hanging="9"/>
              <w:rPr>
                <w:rFonts w:hint="eastAsia" w:asciiTheme="minorEastAsia" w:hAnsiTheme="minorEastAsia" w:eastAsiaTheme="minorEastAsia" w:cstheme="minorEastAsia"/>
                <w:color w:val="auto"/>
                <w:spacing w:val="-13"/>
                <w:sz w:val="21"/>
                <w:szCs w:val="21"/>
                <w:highlight w:val="none"/>
                <w:lang w:eastAsia="zh-CN"/>
              </w:rPr>
            </w:pPr>
            <w:r>
              <w:rPr>
                <w:rFonts w:hint="eastAsia" w:asciiTheme="minorEastAsia" w:hAnsiTheme="minorEastAsia" w:eastAsiaTheme="minorEastAsia" w:cstheme="minorEastAsia"/>
                <w:color w:val="auto"/>
                <w:spacing w:val="-17"/>
                <w:sz w:val="21"/>
                <w:szCs w:val="21"/>
                <w:highlight w:val="none"/>
                <w:lang w:eastAsia="zh-CN"/>
              </w:rPr>
              <w:t>1、曳引系统：永磁同步无齿轮曳引机，曳引机防护等级</w:t>
            </w:r>
            <w:r>
              <w:rPr>
                <w:rFonts w:hint="eastAsia" w:asciiTheme="minorEastAsia" w:hAnsiTheme="minorEastAsia" w:eastAsiaTheme="minorEastAsia" w:cstheme="minorEastAsia"/>
                <w:color w:val="auto"/>
                <w:spacing w:val="-13"/>
                <w:sz w:val="21"/>
                <w:szCs w:val="21"/>
                <w:highlight w:val="none"/>
                <w:lang w:eastAsia="zh-CN"/>
              </w:rPr>
              <w:t>≥IP42，与</w:t>
            </w:r>
            <w:r>
              <w:rPr>
                <w:rFonts w:hint="eastAsia" w:asciiTheme="minorEastAsia" w:hAnsiTheme="minorEastAsia" w:eastAsiaTheme="minorEastAsia" w:cstheme="minorEastAsia"/>
                <w:color w:val="auto"/>
                <w:spacing w:val="-6"/>
                <w:sz w:val="21"/>
                <w:szCs w:val="21"/>
                <w:highlight w:val="none"/>
                <w:lang w:eastAsia="zh-CN"/>
              </w:rPr>
              <w:t>报价</w:t>
            </w:r>
            <w:r>
              <w:rPr>
                <w:rFonts w:hint="eastAsia" w:asciiTheme="minorEastAsia" w:hAnsiTheme="minorEastAsia" w:eastAsiaTheme="minorEastAsia" w:cstheme="minorEastAsia"/>
                <w:color w:val="auto"/>
                <w:spacing w:val="-13"/>
                <w:sz w:val="21"/>
                <w:szCs w:val="21"/>
                <w:highlight w:val="none"/>
                <w:lang w:eastAsia="zh-CN"/>
              </w:rPr>
              <w:t>电梯品牌为同一品牌，曳引机的额定制动力矩按</w:t>
            </w:r>
            <w:r>
              <w:rPr>
                <w:rFonts w:hint="eastAsia" w:asciiTheme="minorEastAsia" w:hAnsiTheme="minorEastAsia" w:eastAsiaTheme="minorEastAsia" w:cstheme="minorEastAsia"/>
                <w:color w:val="auto"/>
                <w:spacing w:val="-13"/>
                <w:sz w:val="21"/>
                <w:szCs w:val="21"/>
                <w:highlight w:val="none"/>
                <w:lang w:val="en-US" w:eastAsia="zh-CN"/>
              </w:rPr>
              <w:t>≥</w:t>
            </w:r>
            <w:r>
              <w:rPr>
                <w:rFonts w:hint="eastAsia" w:asciiTheme="minorEastAsia" w:hAnsiTheme="minorEastAsia" w:eastAsiaTheme="minorEastAsia" w:cstheme="minorEastAsia"/>
                <w:color w:val="auto"/>
                <w:spacing w:val="-13"/>
                <w:sz w:val="21"/>
                <w:szCs w:val="21"/>
                <w:highlight w:val="none"/>
                <w:lang w:eastAsia="zh-CN"/>
              </w:rPr>
              <w:t>215%设计（测试时间不低于60分钟），曳引机按主轴</w:t>
            </w:r>
            <w:r>
              <w:rPr>
                <w:rFonts w:hint="eastAsia" w:asciiTheme="minorEastAsia" w:hAnsiTheme="minorEastAsia" w:eastAsiaTheme="minorEastAsia" w:cstheme="minorEastAsia"/>
                <w:color w:val="auto"/>
                <w:spacing w:val="-13"/>
                <w:sz w:val="21"/>
                <w:szCs w:val="21"/>
                <w:highlight w:val="none"/>
                <w:lang w:val="en-US" w:eastAsia="zh-CN"/>
              </w:rPr>
              <w:t>≥</w:t>
            </w:r>
            <w:r>
              <w:rPr>
                <w:rFonts w:hint="eastAsia" w:asciiTheme="minorEastAsia" w:hAnsiTheme="minorEastAsia" w:eastAsiaTheme="minorEastAsia" w:cstheme="minorEastAsia"/>
                <w:color w:val="auto"/>
                <w:spacing w:val="-13"/>
                <w:sz w:val="21"/>
                <w:szCs w:val="21"/>
                <w:highlight w:val="none"/>
                <w:lang w:eastAsia="zh-CN"/>
              </w:rPr>
              <w:t>10倍安全系数设计，</w:t>
            </w:r>
            <w:r>
              <w:rPr>
                <w:rFonts w:hint="eastAsia" w:asciiTheme="minorEastAsia" w:hAnsiTheme="minorEastAsia" w:eastAsiaTheme="minorEastAsia" w:cstheme="minorEastAsia"/>
                <w:color w:val="auto"/>
                <w:spacing w:val="-6"/>
                <w:sz w:val="21"/>
                <w:szCs w:val="21"/>
                <w:highlight w:val="none"/>
                <w:lang w:eastAsia="zh-CN"/>
              </w:rPr>
              <w:t>竞标时须</w:t>
            </w:r>
            <w:r>
              <w:rPr>
                <w:rFonts w:hint="eastAsia" w:asciiTheme="minorEastAsia" w:hAnsiTheme="minorEastAsia" w:eastAsiaTheme="minorEastAsia" w:cstheme="minorEastAsia"/>
                <w:color w:val="auto"/>
                <w:spacing w:val="-13"/>
                <w:sz w:val="21"/>
                <w:szCs w:val="21"/>
                <w:highlight w:val="none"/>
                <w:lang w:eastAsia="zh-CN"/>
              </w:rPr>
              <w:t>提供证明材料。</w:t>
            </w:r>
          </w:p>
          <w:p w14:paraId="116740FF">
            <w:pPr>
              <w:pStyle w:val="27"/>
              <w:spacing w:before="68" w:line="273" w:lineRule="auto"/>
              <w:ind w:left="26" w:hanging="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5"/>
                <w:sz w:val="21"/>
                <w:szCs w:val="21"/>
                <w:highlight w:val="none"/>
                <w:lang w:eastAsia="zh-CN"/>
              </w:rPr>
              <w:t>2、控制系统：采用32位全数字化控制CPU，必须</w:t>
            </w:r>
            <w:r>
              <w:rPr>
                <w:rFonts w:hint="eastAsia" w:asciiTheme="minorEastAsia" w:hAnsiTheme="minorEastAsia" w:eastAsiaTheme="minorEastAsia" w:cstheme="minorEastAsia"/>
                <w:color w:val="auto"/>
                <w:spacing w:val="-6"/>
                <w:sz w:val="21"/>
                <w:szCs w:val="21"/>
                <w:highlight w:val="none"/>
                <w:lang w:eastAsia="zh-CN"/>
              </w:rPr>
              <w:t>与参与报价电梯为同一品牌，控制柜防护等级IP55，竞标时须提供证明材料。</w:t>
            </w:r>
          </w:p>
          <w:p w14:paraId="2B243F96">
            <w:pPr>
              <w:pStyle w:val="27"/>
              <w:spacing w:before="68" w:line="273" w:lineRule="auto"/>
              <w:ind w:left="26" w:hanging="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3"/>
                <w:sz w:val="21"/>
                <w:szCs w:val="21"/>
                <w:highlight w:val="none"/>
                <w:lang w:eastAsia="zh-CN"/>
              </w:rPr>
              <w:t>3、操作系统：全电脑集选自动控制方式。控制柜抗雷击干扰</w:t>
            </w:r>
            <w:r>
              <w:rPr>
                <w:rFonts w:hint="eastAsia" w:asciiTheme="minorEastAsia" w:hAnsiTheme="minorEastAsia" w:eastAsiaTheme="minorEastAsia" w:cstheme="minorEastAsia"/>
                <w:color w:val="auto"/>
                <w:spacing w:val="-13"/>
                <w:sz w:val="21"/>
                <w:szCs w:val="21"/>
                <w:highlight w:val="none"/>
                <w:lang w:eastAsia="zh-CN"/>
              </w:rPr>
              <w:t>≥20kv，</w:t>
            </w:r>
            <w:r>
              <w:rPr>
                <w:rFonts w:hint="eastAsia" w:asciiTheme="minorEastAsia" w:hAnsiTheme="minorEastAsia" w:eastAsiaTheme="minorEastAsia" w:cstheme="minorEastAsia"/>
                <w:color w:val="auto"/>
                <w:spacing w:val="-6"/>
                <w:sz w:val="21"/>
                <w:szCs w:val="21"/>
                <w:highlight w:val="none"/>
                <w:lang w:eastAsia="zh-CN"/>
              </w:rPr>
              <w:t>竞标时须提供证明材料。</w:t>
            </w:r>
          </w:p>
          <w:p w14:paraId="31311059">
            <w:pPr>
              <w:pStyle w:val="27"/>
              <w:spacing w:before="68" w:line="219" w:lineRule="auto"/>
              <w:ind w:left="28"/>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3"/>
                <w:sz w:val="21"/>
                <w:szCs w:val="21"/>
                <w:highlight w:val="none"/>
                <w:lang w:eastAsia="zh-CN"/>
              </w:rPr>
              <w:t>4、驱动系统：采用智能化大功率模块驱动系统。</w:t>
            </w:r>
          </w:p>
          <w:p w14:paraId="4ED4E718">
            <w:pPr>
              <w:pStyle w:val="27"/>
              <w:spacing w:before="33" w:line="264" w:lineRule="auto"/>
              <w:ind w:left="28" w:right="165"/>
              <w:rPr>
                <w:rFonts w:hint="eastAsia" w:asciiTheme="minorEastAsia" w:hAnsiTheme="minorEastAsia" w:eastAsiaTheme="minorEastAsia" w:cstheme="minorEastAsia"/>
                <w:color w:val="auto"/>
                <w:spacing w:val="-4"/>
                <w:sz w:val="21"/>
                <w:szCs w:val="21"/>
                <w:highlight w:val="none"/>
                <w:lang w:eastAsia="zh-CN"/>
              </w:rPr>
            </w:pPr>
            <w:r>
              <w:rPr>
                <w:rFonts w:hint="eastAsia" w:asciiTheme="minorEastAsia" w:hAnsiTheme="minorEastAsia" w:eastAsiaTheme="minorEastAsia" w:cstheme="minorEastAsia"/>
                <w:color w:val="auto"/>
                <w:spacing w:val="-6"/>
                <w:sz w:val="21"/>
                <w:szCs w:val="21"/>
                <w:highlight w:val="none"/>
                <w:lang w:eastAsia="zh-CN"/>
              </w:rPr>
              <w:t>5、变频器装置：必须与竞标电梯为同一品牌，竞标时须提供</w:t>
            </w:r>
            <w:r>
              <w:rPr>
                <w:rFonts w:hint="eastAsia" w:asciiTheme="minorEastAsia" w:hAnsiTheme="minorEastAsia" w:eastAsiaTheme="minorEastAsia" w:cstheme="minorEastAsia"/>
                <w:color w:val="auto"/>
                <w:spacing w:val="-4"/>
                <w:sz w:val="21"/>
                <w:szCs w:val="21"/>
                <w:highlight w:val="none"/>
                <w:lang w:eastAsia="zh-CN"/>
              </w:rPr>
              <w:t>证明材料。</w:t>
            </w:r>
          </w:p>
          <w:p w14:paraId="138B8436">
            <w:pPr>
              <w:pStyle w:val="27"/>
              <w:spacing w:before="33" w:line="264" w:lineRule="auto"/>
              <w:ind w:left="28" w:right="165"/>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3"/>
                <w:sz w:val="21"/>
                <w:szCs w:val="21"/>
                <w:highlight w:val="none"/>
                <w:lang w:eastAsia="zh-CN"/>
              </w:rPr>
              <w:t>6、门机系统：采用交流变频调压调速(VVVF)系统，与竞标电梯品牌为同一品牌，</w:t>
            </w:r>
            <w:r>
              <w:rPr>
                <w:rFonts w:hint="eastAsia" w:asciiTheme="minorEastAsia" w:hAnsiTheme="minorEastAsia" w:eastAsiaTheme="minorEastAsia" w:cstheme="minorEastAsia"/>
                <w:color w:val="auto"/>
                <w:spacing w:val="-6"/>
                <w:sz w:val="21"/>
                <w:szCs w:val="21"/>
                <w:highlight w:val="none"/>
                <w:lang w:eastAsia="zh-CN"/>
              </w:rPr>
              <w:t>竞标时须提供</w:t>
            </w:r>
            <w:r>
              <w:rPr>
                <w:rFonts w:hint="eastAsia" w:asciiTheme="minorEastAsia" w:hAnsiTheme="minorEastAsia" w:eastAsiaTheme="minorEastAsia" w:cstheme="minorEastAsia"/>
                <w:color w:val="auto"/>
                <w:spacing w:val="-4"/>
                <w:sz w:val="21"/>
                <w:szCs w:val="21"/>
                <w:highlight w:val="none"/>
                <w:lang w:eastAsia="zh-CN"/>
              </w:rPr>
              <w:t>证明材料。</w:t>
            </w:r>
          </w:p>
          <w:p w14:paraId="621107CD">
            <w:pPr>
              <w:pStyle w:val="27"/>
              <w:spacing w:before="70" w:line="216"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7、限速器、安全钳、缓冲器、门锁、光幕，</w:t>
            </w:r>
            <w:r>
              <w:rPr>
                <w:rFonts w:hint="eastAsia" w:asciiTheme="minorEastAsia" w:hAnsiTheme="minorEastAsia" w:eastAsiaTheme="minorEastAsia" w:cstheme="minorEastAsia"/>
                <w:color w:val="auto"/>
                <w:spacing w:val="-6"/>
                <w:sz w:val="21"/>
                <w:szCs w:val="21"/>
                <w:highlight w:val="none"/>
                <w:lang w:eastAsia="zh-CN"/>
              </w:rPr>
              <w:t>竞标时须提供</w:t>
            </w:r>
            <w:r>
              <w:rPr>
                <w:rFonts w:hint="eastAsia" w:asciiTheme="minorEastAsia" w:hAnsiTheme="minorEastAsia" w:eastAsiaTheme="minorEastAsia" w:cstheme="minorEastAsia"/>
                <w:color w:val="auto"/>
                <w:spacing w:val="-6"/>
                <w:sz w:val="21"/>
                <w:szCs w:val="21"/>
                <w:highlight w:val="none"/>
                <w:lang w:val="en-US" w:eastAsia="zh-CN"/>
              </w:rPr>
              <w:t>相应的</w:t>
            </w:r>
            <w:r>
              <w:rPr>
                <w:rFonts w:hint="eastAsia" w:asciiTheme="minorEastAsia" w:hAnsiTheme="minorEastAsia" w:eastAsiaTheme="minorEastAsia" w:cstheme="minorEastAsia"/>
                <w:color w:val="auto"/>
                <w:spacing w:val="-4"/>
                <w:sz w:val="21"/>
                <w:szCs w:val="21"/>
                <w:highlight w:val="none"/>
                <w:lang w:eastAsia="zh-CN"/>
              </w:rPr>
              <w:t>证明材料。</w:t>
            </w:r>
          </w:p>
          <w:p w14:paraId="3237ACED">
            <w:pPr>
              <w:pStyle w:val="27"/>
              <w:spacing w:before="70" w:line="216"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8、电梯光幕的防护等级</w:t>
            </w:r>
            <w:r>
              <w:rPr>
                <w:rFonts w:hint="eastAsia" w:asciiTheme="minorEastAsia" w:hAnsiTheme="minorEastAsia" w:eastAsiaTheme="minorEastAsia" w:cstheme="minorEastAsia"/>
                <w:color w:val="auto"/>
                <w:sz w:val="21"/>
                <w:szCs w:val="21"/>
                <w:highlight w:val="none"/>
                <w:lang w:val="en-US" w:eastAsia="zh-CN"/>
              </w:rPr>
              <w:t>需达到</w:t>
            </w:r>
            <w:r>
              <w:rPr>
                <w:rFonts w:hint="eastAsia" w:asciiTheme="minorEastAsia" w:hAnsiTheme="minorEastAsia" w:eastAsiaTheme="minorEastAsia" w:cstheme="minorEastAsia"/>
                <w:color w:val="auto"/>
                <w:sz w:val="21"/>
                <w:szCs w:val="21"/>
                <w:highlight w:val="none"/>
                <w:lang w:eastAsia="zh-CN"/>
              </w:rPr>
              <w:t>IP65，</w:t>
            </w:r>
            <w:r>
              <w:rPr>
                <w:rFonts w:hint="eastAsia" w:asciiTheme="minorEastAsia" w:hAnsiTheme="minorEastAsia" w:eastAsiaTheme="minorEastAsia" w:cstheme="minorEastAsia"/>
                <w:color w:val="auto"/>
                <w:spacing w:val="-6"/>
                <w:sz w:val="21"/>
                <w:szCs w:val="21"/>
                <w:highlight w:val="none"/>
                <w:lang w:eastAsia="zh-CN"/>
              </w:rPr>
              <w:t>竞标时须提供</w:t>
            </w:r>
            <w:r>
              <w:rPr>
                <w:rFonts w:hint="eastAsia" w:asciiTheme="minorEastAsia" w:hAnsiTheme="minorEastAsia" w:eastAsiaTheme="minorEastAsia" w:cstheme="minorEastAsia"/>
                <w:color w:val="auto"/>
                <w:spacing w:val="-6"/>
                <w:sz w:val="21"/>
                <w:szCs w:val="21"/>
                <w:highlight w:val="none"/>
                <w:lang w:val="en-US" w:eastAsia="zh-CN"/>
              </w:rPr>
              <w:t>相应的</w:t>
            </w:r>
            <w:r>
              <w:rPr>
                <w:rFonts w:hint="eastAsia" w:asciiTheme="minorEastAsia" w:hAnsiTheme="minorEastAsia" w:eastAsiaTheme="minorEastAsia" w:cstheme="minorEastAsia"/>
                <w:color w:val="auto"/>
                <w:spacing w:val="-4"/>
                <w:sz w:val="21"/>
                <w:szCs w:val="21"/>
                <w:highlight w:val="none"/>
                <w:lang w:eastAsia="zh-CN"/>
              </w:rPr>
              <w:t>证明材料。</w:t>
            </w:r>
          </w:p>
          <w:p w14:paraId="2EC045AF">
            <w:pPr>
              <w:pStyle w:val="27"/>
              <w:spacing w:before="81" w:line="220" w:lineRule="auto"/>
              <w:ind w:left="35"/>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pacing w:val="-2"/>
                <w:sz w:val="21"/>
                <w:szCs w:val="21"/>
                <w:highlight w:val="none"/>
                <w:lang w:eastAsia="zh-CN"/>
              </w:rPr>
              <w:t>三、电梯装饰</w:t>
            </w:r>
          </w:p>
          <w:p w14:paraId="6994D283">
            <w:pPr>
              <w:spacing w:line="360" w:lineRule="exac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pacing w:val="-1"/>
                <w:sz w:val="21"/>
                <w:szCs w:val="21"/>
                <w:highlight w:val="none"/>
                <w:lang w:val="en"/>
              </w:rPr>
              <w:t>▲</w:t>
            </w:r>
            <w:r>
              <w:rPr>
                <w:rFonts w:hint="eastAsia" w:asciiTheme="minorEastAsia" w:hAnsiTheme="minorEastAsia" w:eastAsiaTheme="minorEastAsia" w:cstheme="minorEastAsia"/>
                <w:color w:val="auto"/>
                <w:spacing w:val="-1"/>
                <w:sz w:val="21"/>
                <w:szCs w:val="21"/>
                <w:highlight w:val="none"/>
              </w:rPr>
              <w:t>(1)轿厢材质：全部采用发纹不锈钢（不接受钢板贴不锈钢工艺），</w:t>
            </w:r>
          </w:p>
          <w:p w14:paraId="3D91D3CB">
            <w:pPr>
              <w:pStyle w:val="27"/>
              <w:spacing w:before="98" w:line="219"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厚度≥1.5mm。</w:t>
            </w:r>
          </w:p>
          <w:p w14:paraId="63BED29D">
            <w:pPr>
              <w:pStyle w:val="27"/>
              <w:spacing w:before="71" w:line="219"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val="en" w:eastAsia="zh-CN"/>
              </w:rPr>
              <w:t>▲</w:t>
            </w:r>
            <w:r>
              <w:rPr>
                <w:rFonts w:hint="eastAsia" w:asciiTheme="minorEastAsia" w:hAnsiTheme="minorEastAsia" w:eastAsiaTheme="minorEastAsia" w:cstheme="minorEastAsia"/>
                <w:color w:val="auto"/>
                <w:spacing w:val="-1"/>
                <w:sz w:val="21"/>
                <w:szCs w:val="21"/>
                <w:highlight w:val="none"/>
                <w:lang w:eastAsia="zh-CN"/>
              </w:rPr>
              <w:t>(2)轿顶材质：标准型吊顶，带照明。</w:t>
            </w:r>
          </w:p>
          <w:p w14:paraId="1F017405">
            <w:pPr>
              <w:pStyle w:val="27"/>
              <w:spacing w:before="80" w:line="219"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val="en" w:eastAsia="zh-CN"/>
              </w:rPr>
              <w:t>▲</w:t>
            </w:r>
            <w:r>
              <w:rPr>
                <w:rFonts w:hint="eastAsia" w:asciiTheme="minorEastAsia" w:hAnsiTheme="minorEastAsia" w:eastAsiaTheme="minorEastAsia" w:cstheme="minorEastAsia"/>
                <w:color w:val="auto"/>
                <w:spacing w:val="-1"/>
                <w:sz w:val="21"/>
                <w:szCs w:val="21"/>
                <w:highlight w:val="none"/>
                <w:lang w:eastAsia="zh-CN"/>
              </w:rPr>
              <w:t>(3)厅门：全部采用发纹不锈钢，厚度≥1.5mm。</w:t>
            </w:r>
          </w:p>
          <w:p w14:paraId="2EA66B1A">
            <w:pPr>
              <w:pStyle w:val="27"/>
              <w:spacing w:before="83" w:line="22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val="en" w:eastAsia="zh-CN"/>
              </w:rPr>
              <w:t>▲</w:t>
            </w:r>
            <w:r>
              <w:rPr>
                <w:rFonts w:hint="eastAsia" w:asciiTheme="minorEastAsia" w:hAnsiTheme="minorEastAsia" w:eastAsiaTheme="minorEastAsia" w:cstheme="minorEastAsia"/>
                <w:color w:val="auto"/>
                <w:spacing w:val="-1"/>
                <w:sz w:val="21"/>
                <w:szCs w:val="21"/>
                <w:highlight w:val="none"/>
                <w:lang w:eastAsia="zh-CN"/>
              </w:rPr>
              <w:t>(4)门套：全部发纹不锈钢大门套。</w:t>
            </w:r>
          </w:p>
          <w:p w14:paraId="764ECACE">
            <w:pPr>
              <w:pStyle w:val="27"/>
              <w:spacing w:before="80" w:line="258" w:lineRule="auto"/>
              <w:ind w:right="72"/>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val="en" w:eastAsia="zh-CN"/>
              </w:rPr>
              <w:t>▲</w:t>
            </w:r>
            <w:r>
              <w:rPr>
                <w:rFonts w:hint="eastAsia" w:asciiTheme="minorEastAsia" w:hAnsiTheme="minorEastAsia" w:eastAsiaTheme="minorEastAsia" w:cstheme="minorEastAsia"/>
                <w:color w:val="auto"/>
                <w:sz w:val="21"/>
                <w:szCs w:val="21"/>
                <w:highlight w:val="none"/>
                <w:lang w:eastAsia="zh-CN"/>
              </w:rPr>
              <w:t>(5)轿厢操纵箱：轿厢一侧配置一体式操纵箱，白色段码显示，可显示电梯运行楼层、方向等信息；另一侧配残疾人操纵盘，盲文按钮；面板采用304发纹不锈钢。</w:t>
            </w:r>
          </w:p>
          <w:p w14:paraId="788B7142">
            <w:pPr>
              <w:pStyle w:val="27"/>
              <w:spacing w:before="83" w:line="219"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val="en" w:eastAsia="zh-CN"/>
              </w:rPr>
              <w:t>▲</w:t>
            </w:r>
            <w:r>
              <w:rPr>
                <w:rFonts w:hint="eastAsia" w:asciiTheme="minorEastAsia" w:hAnsiTheme="minorEastAsia" w:eastAsiaTheme="minorEastAsia" w:cstheme="minorEastAsia"/>
                <w:color w:val="auto"/>
                <w:sz w:val="21"/>
                <w:szCs w:val="21"/>
                <w:highlight w:val="none"/>
                <w:lang w:eastAsia="zh-CN"/>
              </w:rPr>
              <w:t>(6)厅外呼梯装置：LED显示，可显示电梯运行楼层，超薄外壳，不带底盒工艺。</w:t>
            </w:r>
          </w:p>
          <w:p w14:paraId="3B9D9462">
            <w:pPr>
              <w:pStyle w:val="27"/>
              <w:spacing w:before="90" w:line="219" w:lineRule="auto"/>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(7)轿厢通风系统：有手动可开关的风扇。</w:t>
            </w:r>
          </w:p>
          <w:p w14:paraId="3B07C4E4">
            <w:pPr>
              <w:pStyle w:val="27"/>
              <w:spacing w:before="90" w:line="219"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(8)轿厢地面：PVC耐磨防滑地板。</w:t>
            </w:r>
          </w:p>
          <w:p w14:paraId="6889E68F">
            <w:pPr>
              <w:pStyle w:val="27"/>
              <w:spacing w:before="78" w:line="219" w:lineRule="auto"/>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b/>
                <w:bCs/>
                <w:color w:val="auto"/>
                <w:spacing w:val="-3"/>
                <w:sz w:val="21"/>
                <w:szCs w:val="21"/>
                <w:highlight w:val="none"/>
                <w:lang w:eastAsia="zh-CN"/>
              </w:rPr>
              <w:t>(</w:t>
            </w:r>
            <w:r>
              <w:rPr>
                <w:rFonts w:hint="eastAsia" w:asciiTheme="minorEastAsia" w:hAnsiTheme="minorEastAsia" w:eastAsiaTheme="minorEastAsia" w:cstheme="minorEastAsia"/>
                <w:color w:val="auto"/>
                <w:spacing w:val="-1"/>
                <w:sz w:val="21"/>
                <w:szCs w:val="21"/>
                <w:highlight w:val="none"/>
                <w:lang w:eastAsia="zh-CN"/>
              </w:rPr>
              <w:t>9)门坎：硬质铝合金型材。</w:t>
            </w:r>
          </w:p>
          <w:p w14:paraId="1F09B01E">
            <w:pPr>
              <w:pStyle w:val="27"/>
              <w:spacing w:before="85" w:line="219"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val="en" w:eastAsia="zh-CN"/>
              </w:rPr>
              <w:t>▲</w:t>
            </w:r>
            <w:r>
              <w:rPr>
                <w:rFonts w:hint="eastAsia" w:asciiTheme="minorEastAsia" w:hAnsiTheme="minorEastAsia" w:eastAsiaTheme="minorEastAsia" w:cstheme="minorEastAsia"/>
                <w:color w:val="auto"/>
                <w:sz w:val="21"/>
                <w:szCs w:val="21"/>
                <w:highlight w:val="none"/>
                <w:lang w:eastAsia="zh-CN"/>
              </w:rPr>
              <w:t>(10)无障碍功能要求：语音报站、轿厢后侧配置一根不锈钢扶手、盲文按钮。</w:t>
            </w:r>
          </w:p>
          <w:p w14:paraId="177151BC">
            <w:pPr>
              <w:pStyle w:val="27"/>
              <w:spacing w:before="73" w:line="220" w:lineRule="auto"/>
              <w:ind w:left="35"/>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val="en" w:eastAsia="zh-CN"/>
              </w:rPr>
              <w:t>▲</w:t>
            </w:r>
            <w:r>
              <w:rPr>
                <w:rFonts w:hint="eastAsia" w:asciiTheme="minorEastAsia" w:hAnsiTheme="minorEastAsia" w:eastAsiaTheme="minorEastAsia" w:cstheme="minorEastAsia"/>
                <w:b/>
                <w:bCs/>
                <w:color w:val="auto"/>
                <w:spacing w:val="-1"/>
                <w:sz w:val="21"/>
                <w:szCs w:val="21"/>
                <w:highlight w:val="none"/>
                <w:lang w:eastAsia="zh-CN"/>
              </w:rPr>
              <w:t>四、电梯功能，包括但不限于以下功能。</w:t>
            </w:r>
          </w:p>
          <w:p w14:paraId="5D117280">
            <w:pPr>
              <w:pStyle w:val="27"/>
              <w:spacing w:before="98" w:line="219" w:lineRule="auto"/>
              <w:jc w:val="both"/>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1.上行超速保护 2.缓冲器检测3.电阻制动 4.轿门检测 5.轿门限位</w:t>
            </w:r>
          </w:p>
          <w:p w14:paraId="57AE64DB">
            <w:pPr>
              <w:pStyle w:val="27"/>
              <w:spacing w:before="98" w:line="219" w:lineRule="auto"/>
              <w:jc w:val="both"/>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6.轿厢照明开关 7.修正运行8.门锁检测 9.禁止开门</w:t>
            </w:r>
          </w:p>
          <w:p w14:paraId="5AD23949">
            <w:pPr>
              <w:pStyle w:val="27"/>
              <w:spacing w:before="98" w:line="219" w:lineRule="auto"/>
              <w:jc w:val="both"/>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10.下行超速保护</w:t>
            </w:r>
            <w:r>
              <w:rPr>
                <w:rFonts w:hint="eastAsia" w:asciiTheme="minorEastAsia" w:hAnsiTheme="minorEastAsia" w:eastAsiaTheme="minorEastAsia" w:cstheme="minorEastAsia"/>
                <w:color w:val="auto"/>
                <w:spacing w:val="-1"/>
                <w:sz w:val="21"/>
                <w:szCs w:val="21"/>
                <w:highlight w:val="none"/>
                <w:lang w:val="en-US" w:eastAsia="zh-CN"/>
              </w:rPr>
              <w:t xml:space="preserve"> </w:t>
            </w:r>
            <w:r>
              <w:rPr>
                <w:rFonts w:hint="eastAsia" w:asciiTheme="minorEastAsia" w:hAnsiTheme="minorEastAsia" w:eastAsiaTheme="minorEastAsia" w:cstheme="minorEastAsia"/>
                <w:color w:val="auto"/>
                <w:spacing w:val="-1"/>
                <w:sz w:val="21"/>
                <w:szCs w:val="21"/>
                <w:highlight w:val="none"/>
                <w:lang w:eastAsia="zh-CN"/>
              </w:rPr>
              <w:t>11.运行时间检测</w:t>
            </w:r>
            <w:r>
              <w:rPr>
                <w:rFonts w:hint="eastAsia" w:asciiTheme="minorEastAsia" w:hAnsiTheme="minorEastAsia" w:eastAsiaTheme="minorEastAsia" w:cstheme="minorEastAsia"/>
                <w:color w:val="auto"/>
                <w:spacing w:val="-1"/>
                <w:sz w:val="21"/>
                <w:szCs w:val="21"/>
                <w:highlight w:val="none"/>
                <w:lang w:val="en-US" w:eastAsia="zh-CN"/>
              </w:rPr>
              <w:t xml:space="preserve"> </w:t>
            </w:r>
            <w:r>
              <w:rPr>
                <w:rFonts w:hint="eastAsia" w:asciiTheme="minorEastAsia" w:hAnsiTheme="minorEastAsia" w:eastAsiaTheme="minorEastAsia" w:cstheme="minorEastAsia"/>
                <w:color w:val="auto"/>
                <w:spacing w:val="-1"/>
                <w:sz w:val="21"/>
                <w:szCs w:val="21"/>
                <w:highlight w:val="none"/>
                <w:lang w:eastAsia="zh-CN"/>
              </w:rPr>
              <w:t xml:space="preserve">12.底坑急停 13.通讯评价 </w:t>
            </w:r>
          </w:p>
          <w:p w14:paraId="23302AEF">
            <w:pPr>
              <w:pStyle w:val="27"/>
              <w:spacing w:before="98" w:line="219" w:lineRule="auto"/>
              <w:jc w:val="both"/>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14.换站停靠 15.过热保护 16.行程保护</w:t>
            </w:r>
            <w:r>
              <w:rPr>
                <w:rFonts w:hint="eastAsia" w:asciiTheme="minorEastAsia" w:hAnsiTheme="minorEastAsia" w:eastAsiaTheme="minorEastAsia" w:cstheme="minorEastAsia"/>
                <w:color w:val="auto"/>
                <w:spacing w:val="-1"/>
                <w:sz w:val="21"/>
                <w:szCs w:val="21"/>
                <w:highlight w:val="none"/>
                <w:lang w:val="en-US" w:eastAsia="zh-CN"/>
              </w:rPr>
              <w:t xml:space="preserve"> </w:t>
            </w:r>
            <w:r>
              <w:rPr>
                <w:rFonts w:hint="eastAsia" w:asciiTheme="minorEastAsia" w:hAnsiTheme="minorEastAsia" w:eastAsiaTheme="minorEastAsia" w:cstheme="minorEastAsia"/>
                <w:color w:val="auto"/>
                <w:spacing w:val="-1"/>
                <w:sz w:val="21"/>
                <w:szCs w:val="21"/>
                <w:highlight w:val="none"/>
                <w:lang w:eastAsia="zh-CN"/>
              </w:rPr>
              <w:t>17.限速器安全开关</w:t>
            </w:r>
          </w:p>
          <w:p w14:paraId="022CB0D1">
            <w:pPr>
              <w:pStyle w:val="27"/>
              <w:spacing w:before="98" w:line="219" w:lineRule="auto"/>
              <w:jc w:val="both"/>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18.相位检测</w:t>
            </w:r>
            <w:r>
              <w:rPr>
                <w:rFonts w:hint="eastAsia" w:asciiTheme="minorEastAsia" w:hAnsiTheme="minorEastAsia" w:eastAsiaTheme="minorEastAsia" w:cstheme="minorEastAsia"/>
                <w:color w:val="auto"/>
                <w:spacing w:val="-1"/>
                <w:sz w:val="21"/>
                <w:szCs w:val="21"/>
                <w:highlight w:val="none"/>
                <w:lang w:val="en-US" w:eastAsia="zh-CN"/>
              </w:rPr>
              <w:t xml:space="preserve"> </w:t>
            </w:r>
            <w:r>
              <w:rPr>
                <w:rFonts w:hint="eastAsia" w:asciiTheme="minorEastAsia" w:hAnsiTheme="minorEastAsia" w:eastAsiaTheme="minorEastAsia" w:cstheme="minorEastAsia"/>
                <w:color w:val="auto"/>
                <w:spacing w:val="-1"/>
                <w:sz w:val="21"/>
                <w:szCs w:val="21"/>
                <w:highlight w:val="none"/>
                <w:lang w:eastAsia="zh-CN"/>
              </w:rPr>
              <w:t>19.重复开关门 20.救援运行</w:t>
            </w:r>
            <w:r>
              <w:rPr>
                <w:rFonts w:hint="eastAsia" w:asciiTheme="minorEastAsia" w:hAnsiTheme="minorEastAsia" w:eastAsiaTheme="minorEastAsia" w:cstheme="minorEastAsia"/>
                <w:color w:val="auto"/>
                <w:spacing w:val="-1"/>
                <w:sz w:val="21"/>
                <w:szCs w:val="21"/>
                <w:highlight w:val="none"/>
                <w:lang w:val="en-US" w:eastAsia="zh-CN"/>
              </w:rPr>
              <w:t xml:space="preserve"> </w:t>
            </w:r>
            <w:r>
              <w:rPr>
                <w:rFonts w:hint="eastAsia" w:asciiTheme="minorEastAsia" w:hAnsiTheme="minorEastAsia" w:eastAsiaTheme="minorEastAsia" w:cstheme="minorEastAsia"/>
                <w:color w:val="auto"/>
                <w:spacing w:val="-1"/>
                <w:sz w:val="21"/>
                <w:szCs w:val="21"/>
                <w:highlight w:val="none"/>
                <w:lang w:eastAsia="zh-CN"/>
              </w:rPr>
              <w:t>21.安全钳安全开关</w:t>
            </w:r>
          </w:p>
          <w:p w14:paraId="17D9C077">
            <w:pPr>
              <w:pStyle w:val="27"/>
              <w:spacing w:before="98" w:line="219" w:lineRule="auto"/>
              <w:jc w:val="both"/>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22.轿厢限速器绳涨紧安全开关 23.轿厢意外移动防护</w:t>
            </w:r>
          </w:p>
          <w:p w14:paraId="6BB8B009">
            <w:pPr>
              <w:pStyle w:val="27"/>
              <w:spacing w:before="98" w:line="219" w:lineRule="auto"/>
              <w:jc w:val="both"/>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24.应急照明 25.应急电源 26.五方通话 27.检修运行 28.满载直驶</w:t>
            </w:r>
          </w:p>
          <w:p w14:paraId="40DC02B1">
            <w:pPr>
              <w:pStyle w:val="27"/>
              <w:spacing w:before="98" w:line="219" w:lineRule="auto"/>
              <w:jc w:val="both"/>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29.轿厢位置，七段码 30.运行方向显，31.外呼登记显示</w:t>
            </w:r>
          </w:p>
          <w:p w14:paraId="06CCC0D5">
            <w:pPr>
              <w:pStyle w:val="27"/>
              <w:spacing w:before="98" w:line="219" w:lineRule="auto"/>
              <w:jc w:val="both"/>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 xml:space="preserve">32.内呼显示，33.超载提醒，34.位置指示，35.精确再平层 </w:t>
            </w:r>
          </w:p>
          <w:p w14:paraId="638D4EC5">
            <w:pPr>
              <w:pStyle w:val="27"/>
              <w:spacing w:before="98" w:line="219" w:lineRule="auto"/>
              <w:jc w:val="both"/>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 xml:space="preserve">36.外呼重开门 37.光幕检测，38.反向内呼，39.外呼互锁 </w:t>
            </w:r>
          </w:p>
          <w:p w14:paraId="5BF8A91A">
            <w:pPr>
              <w:spacing w:line="360" w:lineRule="exac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40.指令消除 41.停电再平层（应急救援装置）4</w:t>
            </w:r>
            <w:r>
              <w:rPr>
                <w:rFonts w:hint="eastAsia" w:asciiTheme="minorEastAsia" w:hAnsiTheme="minorEastAsia" w:eastAsiaTheme="minorEastAsia" w:cstheme="minorEastAsia"/>
                <w:color w:val="auto"/>
                <w:spacing w:val="-1"/>
                <w:sz w:val="21"/>
                <w:szCs w:val="21"/>
                <w:highlight w:val="none"/>
                <w:lang w:val="en-US" w:eastAsia="zh-CN"/>
              </w:rPr>
              <w:t>2</w:t>
            </w:r>
            <w:r>
              <w:rPr>
                <w:rFonts w:hint="eastAsia" w:asciiTheme="minorEastAsia" w:hAnsiTheme="minorEastAsia" w:eastAsiaTheme="minorEastAsia" w:cstheme="minorEastAsia"/>
                <w:color w:val="auto"/>
                <w:spacing w:val="-1"/>
                <w:sz w:val="21"/>
                <w:szCs w:val="21"/>
                <w:highlight w:val="none"/>
              </w:rPr>
              <w:t>.语音报站（中文）</w:t>
            </w:r>
            <w:r>
              <w:rPr>
                <w:rFonts w:hint="eastAsia" w:asciiTheme="minorEastAsia" w:hAnsiTheme="minorEastAsia" w:eastAsiaTheme="minorEastAsia" w:cstheme="minorEastAsia"/>
                <w:color w:val="auto"/>
                <w:spacing w:val="-1"/>
                <w:sz w:val="21"/>
                <w:szCs w:val="21"/>
                <w:highlight w:val="none"/>
                <w:lang w:eastAsia="zh-CN"/>
              </w:rPr>
              <w:t>。</w:t>
            </w:r>
          </w:p>
        </w:tc>
      </w:tr>
      <w:tr w14:paraId="577B5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5" w:hRule="atLeast"/>
          <w:jc w:val="center"/>
        </w:trPr>
        <w:tc>
          <w:tcPr>
            <w:tcW w:w="199" w:type="pct"/>
            <w:tcBorders>
              <w:top w:val="single" w:color="auto" w:sz="4" w:space="0"/>
              <w:left w:val="single" w:color="auto" w:sz="4" w:space="0"/>
              <w:bottom w:val="single" w:color="auto" w:sz="4" w:space="0"/>
              <w:right w:val="single" w:color="auto" w:sz="4" w:space="0"/>
            </w:tcBorders>
            <w:noWrap w:val="0"/>
            <w:vAlign w:val="center"/>
          </w:tcPr>
          <w:p w14:paraId="28972ACC">
            <w:pPr>
              <w:spacing w:line="440" w:lineRule="exact"/>
              <w:jc w:val="center"/>
              <w:rPr>
                <w:rFonts w:hint="eastAsia" w:eastAsia="宋体"/>
                <w:color w:val="auto"/>
                <w:szCs w:val="21"/>
                <w:highlight w:val="none"/>
                <w:lang w:val="en-US" w:eastAsia="zh-CN"/>
              </w:rPr>
            </w:pPr>
            <w:r>
              <w:rPr>
                <w:rFonts w:hint="eastAsia"/>
                <w:color w:val="auto"/>
                <w:szCs w:val="21"/>
                <w:highlight w:val="none"/>
                <w:lang w:val="en-US" w:eastAsia="zh-CN"/>
              </w:rPr>
              <w:t>3</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4A35BF04">
            <w:pPr>
              <w:pStyle w:val="27"/>
              <w:spacing w:before="72" w:line="219" w:lineRule="auto"/>
              <w:jc w:val="center"/>
              <w:rPr>
                <w:b/>
                <w:bCs/>
                <w:color w:val="auto"/>
                <w:spacing w:val="-5"/>
                <w:highlight w:val="none"/>
              </w:rPr>
            </w:pPr>
            <w:r>
              <w:rPr>
                <w:b/>
                <w:bCs/>
                <w:color w:val="auto"/>
                <w:spacing w:val="-5"/>
                <w:highlight w:val="none"/>
              </w:rPr>
              <w:t>小机房</w:t>
            </w:r>
          </w:p>
          <w:p w14:paraId="7D28A986">
            <w:pPr>
              <w:pStyle w:val="27"/>
              <w:spacing w:before="72" w:line="219" w:lineRule="auto"/>
              <w:jc w:val="center"/>
              <w:rPr>
                <w:b/>
                <w:bCs/>
                <w:color w:val="auto"/>
                <w:spacing w:val="-5"/>
                <w:highlight w:val="none"/>
              </w:rPr>
            </w:pPr>
            <w:r>
              <w:rPr>
                <w:b/>
                <w:bCs/>
                <w:color w:val="auto"/>
                <w:spacing w:val="-5"/>
                <w:highlight w:val="none"/>
              </w:rPr>
              <w:t>乘客</w:t>
            </w:r>
          </w:p>
          <w:p w14:paraId="7DAC62CD">
            <w:pPr>
              <w:pStyle w:val="27"/>
              <w:spacing w:before="72" w:line="219" w:lineRule="auto"/>
              <w:jc w:val="center"/>
              <w:rPr>
                <w:rFonts w:hint="default"/>
                <w:b/>
                <w:bCs/>
                <w:color w:val="auto"/>
                <w:spacing w:val="-5"/>
                <w:highlight w:val="none"/>
                <w:lang w:val="en-US"/>
              </w:rPr>
            </w:pPr>
            <w:r>
              <w:rPr>
                <w:rFonts w:hint="eastAsia"/>
                <w:b/>
                <w:bCs/>
                <w:color w:val="auto"/>
                <w:spacing w:val="-5"/>
                <w:highlight w:val="none"/>
                <w:lang w:val="en-US" w:eastAsia="zh-CN"/>
              </w:rPr>
              <w:t>电梯</w:t>
            </w:r>
          </w:p>
        </w:tc>
        <w:tc>
          <w:tcPr>
            <w:tcW w:w="297" w:type="pct"/>
            <w:tcBorders>
              <w:top w:val="single" w:color="auto" w:sz="4" w:space="0"/>
              <w:left w:val="single" w:color="auto" w:sz="4" w:space="0"/>
              <w:bottom w:val="single" w:color="auto" w:sz="4" w:space="0"/>
              <w:right w:val="single" w:color="auto" w:sz="4" w:space="0"/>
            </w:tcBorders>
            <w:noWrap w:val="0"/>
            <w:vAlign w:val="center"/>
          </w:tcPr>
          <w:p w14:paraId="10EBE3F7">
            <w:pPr>
              <w:spacing w:line="440" w:lineRule="exact"/>
              <w:jc w:val="center"/>
              <w:rPr>
                <w:rFonts w:hint="eastAsia" w:eastAsia="宋体"/>
                <w:b/>
                <w:bCs/>
                <w:color w:val="auto"/>
                <w:spacing w:val="11"/>
                <w:highlight w:val="none"/>
                <w:lang w:val="en-US" w:eastAsia="zh-CN"/>
              </w:rPr>
            </w:pPr>
            <w:r>
              <w:rPr>
                <w:rFonts w:hint="eastAsia"/>
                <w:b/>
                <w:bCs/>
                <w:color w:val="auto"/>
                <w:spacing w:val="11"/>
                <w:highlight w:val="none"/>
                <w:lang w:val="en-US" w:eastAsia="zh-CN"/>
              </w:rPr>
              <w:t>1</w:t>
            </w:r>
          </w:p>
        </w:tc>
        <w:tc>
          <w:tcPr>
            <w:tcW w:w="219" w:type="pct"/>
            <w:tcBorders>
              <w:top w:val="single" w:color="auto" w:sz="4" w:space="0"/>
              <w:left w:val="single" w:color="auto" w:sz="4" w:space="0"/>
              <w:bottom w:val="single" w:color="auto" w:sz="4" w:space="0"/>
              <w:right w:val="single" w:color="auto" w:sz="4" w:space="0"/>
            </w:tcBorders>
            <w:noWrap w:val="0"/>
            <w:vAlign w:val="center"/>
          </w:tcPr>
          <w:p w14:paraId="1BD6AE78">
            <w:pPr>
              <w:spacing w:line="440" w:lineRule="exact"/>
              <w:jc w:val="center"/>
              <w:rPr>
                <w:rFonts w:hint="eastAsia" w:eastAsia="宋体"/>
                <w:b/>
                <w:bCs/>
                <w:color w:val="auto"/>
                <w:spacing w:val="11"/>
                <w:highlight w:val="none"/>
                <w:lang w:val="en-US" w:eastAsia="zh-CN"/>
              </w:rPr>
            </w:pPr>
            <w:r>
              <w:rPr>
                <w:rFonts w:hint="eastAsia"/>
                <w:b/>
                <w:bCs/>
                <w:color w:val="auto"/>
                <w:spacing w:val="11"/>
                <w:highlight w:val="none"/>
                <w:lang w:val="en-US" w:eastAsia="zh-CN"/>
              </w:rPr>
              <w:t>台</w:t>
            </w:r>
          </w:p>
        </w:tc>
        <w:tc>
          <w:tcPr>
            <w:tcW w:w="650" w:type="pct"/>
            <w:tcBorders>
              <w:top w:val="single" w:color="auto" w:sz="4" w:space="0"/>
              <w:left w:val="single" w:color="auto" w:sz="4" w:space="0"/>
              <w:bottom w:val="single" w:color="auto" w:sz="4" w:space="0"/>
              <w:right w:val="single" w:color="auto" w:sz="4" w:space="0"/>
            </w:tcBorders>
            <w:noWrap w:val="0"/>
            <w:vAlign w:val="center"/>
          </w:tcPr>
          <w:p w14:paraId="0682D5E6">
            <w:pPr>
              <w:spacing w:line="440" w:lineRule="exact"/>
              <w:jc w:val="center"/>
              <w:rPr>
                <w:rFonts w:hint="default" w:eastAsia="宋体"/>
                <w:b/>
                <w:bCs/>
                <w:color w:val="auto"/>
                <w:spacing w:val="11"/>
                <w:highlight w:val="none"/>
                <w:lang w:val="en" w:eastAsia="zh-CN"/>
              </w:rPr>
            </w:pPr>
            <w:r>
              <w:rPr>
                <w:rFonts w:hint="eastAsia"/>
                <w:b/>
                <w:bCs/>
                <w:color w:val="auto"/>
                <w:spacing w:val="11"/>
                <w:highlight w:val="none"/>
                <w:lang w:val="en-US" w:eastAsia="zh-CN"/>
              </w:rPr>
              <w:t>2415</w:t>
            </w:r>
            <w:r>
              <w:rPr>
                <w:rFonts w:hint="default"/>
                <w:b/>
                <w:bCs/>
                <w:color w:val="auto"/>
                <w:spacing w:val="11"/>
                <w:highlight w:val="none"/>
                <w:lang w:val="en" w:eastAsia="zh-CN"/>
              </w:rPr>
              <w:t>00.00</w:t>
            </w:r>
          </w:p>
        </w:tc>
        <w:tc>
          <w:tcPr>
            <w:tcW w:w="3233" w:type="pct"/>
            <w:tcBorders>
              <w:top w:val="single" w:color="auto" w:sz="4" w:space="0"/>
              <w:left w:val="single" w:color="auto" w:sz="4" w:space="0"/>
              <w:bottom w:val="single" w:color="auto" w:sz="4" w:space="0"/>
              <w:right w:val="single" w:color="auto" w:sz="4" w:space="0"/>
            </w:tcBorders>
            <w:noWrap w:val="0"/>
            <w:vAlign w:val="center"/>
          </w:tcPr>
          <w:p w14:paraId="0C652B0E">
            <w:pPr>
              <w:pStyle w:val="27"/>
              <w:spacing w:before="65" w:line="219" w:lineRule="auto"/>
              <w:ind w:left="28"/>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6"/>
                <w:sz w:val="21"/>
                <w:szCs w:val="21"/>
                <w:highlight w:val="none"/>
                <w:lang w:eastAsia="zh-CN"/>
              </w:rPr>
              <w:t>一、基本参数</w:t>
            </w:r>
          </w:p>
          <w:p w14:paraId="3A865BCE">
            <w:pPr>
              <w:pStyle w:val="27"/>
              <w:rPr>
                <w:rFonts w:hint="eastAsia" w:asciiTheme="minorEastAsia" w:hAnsiTheme="minorEastAsia" w:eastAsiaTheme="minorEastAsia" w:cstheme="minorEastAsia"/>
                <w:color w:val="auto"/>
                <w:spacing w:val="18"/>
                <w:sz w:val="21"/>
                <w:szCs w:val="21"/>
                <w:highlight w:val="none"/>
                <w:lang w:eastAsia="zh-CN"/>
              </w:rPr>
            </w:pPr>
            <w:r>
              <w:rPr>
                <w:rFonts w:hint="eastAsia" w:asciiTheme="minorEastAsia" w:hAnsiTheme="minorEastAsia" w:eastAsiaTheme="minorEastAsia" w:cstheme="minorEastAsia"/>
                <w:color w:val="auto"/>
                <w:spacing w:val="-3"/>
                <w:sz w:val="21"/>
                <w:szCs w:val="21"/>
                <w:highlight w:val="none"/>
                <w:lang w:eastAsia="zh-CN"/>
              </w:rPr>
              <w:t>1、电梯类型：DT6。</w:t>
            </w:r>
          </w:p>
          <w:p w14:paraId="4F002558">
            <w:pPr>
              <w:pStyle w:val="27"/>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4"/>
                <w:sz w:val="21"/>
                <w:szCs w:val="21"/>
                <w:highlight w:val="none"/>
                <w:lang w:val="en" w:eastAsia="zh-CN"/>
              </w:rPr>
              <w:t>▲</w:t>
            </w:r>
            <w:r>
              <w:rPr>
                <w:rFonts w:hint="eastAsia" w:asciiTheme="minorEastAsia" w:hAnsiTheme="minorEastAsia" w:eastAsiaTheme="minorEastAsia" w:cstheme="minorEastAsia"/>
                <w:color w:val="auto"/>
                <w:spacing w:val="-4"/>
                <w:sz w:val="21"/>
                <w:szCs w:val="21"/>
                <w:highlight w:val="none"/>
                <w:lang w:eastAsia="zh-CN"/>
              </w:rPr>
              <w:t>2、载重量：1000kg。</w:t>
            </w:r>
          </w:p>
          <w:p w14:paraId="77DFE49F">
            <w:pPr>
              <w:pStyle w:val="27"/>
              <w:spacing w:before="8" w:line="219"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5"/>
                <w:sz w:val="21"/>
                <w:szCs w:val="21"/>
                <w:highlight w:val="none"/>
                <w:lang w:val="en" w:eastAsia="zh-CN"/>
              </w:rPr>
              <w:t>▲</w:t>
            </w:r>
            <w:r>
              <w:rPr>
                <w:rFonts w:hint="eastAsia" w:asciiTheme="minorEastAsia" w:hAnsiTheme="minorEastAsia" w:eastAsiaTheme="minorEastAsia" w:cstheme="minorEastAsia"/>
                <w:color w:val="auto"/>
                <w:spacing w:val="5"/>
                <w:sz w:val="21"/>
                <w:szCs w:val="21"/>
                <w:highlight w:val="none"/>
                <w:lang w:eastAsia="zh-CN"/>
              </w:rPr>
              <w:t>3、速度：1.75米/秒。</w:t>
            </w:r>
          </w:p>
          <w:p w14:paraId="5C90CA9B">
            <w:pPr>
              <w:pStyle w:val="27"/>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2"/>
                <w:sz w:val="21"/>
                <w:szCs w:val="21"/>
                <w:highlight w:val="none"/>
                <w:lang w:val="en" w:eastAsia="zh-CN"/>
              </w:rPr>
              <w:t>▲</w:t>
            </w:r>
            <w:r>
              <w:rPr>
                <w:rFonts w:hint="eastAsia" w:asciiTheme="minorEastAsia" w:hAnsiTheme="minorEastAsia" w:eastAsiaTheme="minorEastAsia" w:cstheme="minorEastAsia"/>
                <w:color w:val="auto"/>
                <w:spacing w:val="-2"/>
                <w:sz w:val="21"/>
                <w:szCs w:val="21"/>
                <w:highlight w:val="none"/>
                <w:lang w:eastAsia="zh-CN"/>
              </w:rPr>
              <w:t>4、层/站/门：共计10层/10站/10门。</w:t>
            </w:r>
          </w:p>
          <w:p w14:paraId="069F5CF0">
            <w:pPr>
              <w:pStyle w:val="27"/>
              <w:numPr>
                <w:ilvl w:val="0"/>
                <w:numId w:val="1"/>
              </w:numPr>
              <w:spacing w:before="69" w:line="219" w:lineRule="auto"/>
              <w:ind w:left="28"/>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3"/>
                <w:sz w:val="21"/>
                <w:szCs w:val="21"/>
                <w:highlight w:val="none"/>
              </w:rPr>
              <w:t>提升高度：</w:t>
            </w:r>
            <w:r>
              <w:rPr>
                <w:rFonts w:hint="eastAsia" w:asciiTheme="minorEastAsia" w:hAnsiTheme="minorEastAsia" w:eastAsiaTheme="minorEastAsia" w:cstheme="minorEastAsia"/>
                <w:color w:val="auto"/>
                <w:spacing w:val="-2"/>
                <w:sz w:val="21"/>
                <w:szCs w:val="21"/>
                <w:highlight w:val="none"/>
                <w:lang w:eastAsia="zh-CN"/>
              </w:rPr>
              <w:t>31.5m</w:t>
            </w:r>
            <w:r>
              <w:rPr>
                <w:rFonts w:hint="eastAsia" w:asciiTheme="minorEastAsia" w:hAnsiTheme="minorEastAsia" w:eastAsiaTheme="minorEastAsia" w:cstheme="minorEastAsia"/>
                <w:color w:val="auto"/>
                <w:sz w:val="21"/>
                <w:szCs w:val="21"/>
                <w:highlight w:val="none"/>
                <w:lang w:eastAsia="zh-CN"/>
              </w:rPr>
              <w:t>。</w:t>
            </w:r>
          </w:p>
          <w:p w14:paraId="7C647B7D">
            <w:pPr>
              <w:pStyle w:val="27"/>
              <w:numPr>
                <w:ilvl w:val="0"/>
                <w:numId w:val="0"/>
              </w:numPr>
              <w:spacing w:before="69" w:line="219"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2"/>
                <w:sz w:val="21"/>
                <w:szCs w:val="21"/>
                <w:highlight w:val="none"/>
                <w:lang w:val="en" w:eastAsia="zh-CN"/>
              </w:rPr>
              <w:t>▲</w:t>
            </w:r>
            <w:r>
              <w:rPr>
                <w:rFonts w:hint="eastAsia" w:asciiTheme="minorEastAsia" w:hAnsiTheme="minorEastAsia" w:eastAsiaTheme="minorEastAsia" w:cstheme="minorEastAsia"/>
                <w:color w:val="auto"/>
                <w:spacing w:val="-3"/>
                <w:sz w:val="21"/>
                <w:szCs w:val="21"/>
                <w:highlight w:val="none"/>
                <w:lang w:eastAsia="zh-CN"/>
              </w:rPr>
              <w:t>6、底坑净深：1400 mm,顶层高度3900 mm。（</w:t>
            </w:r>
            <w:r>
              <w:rPr>
                <w:rFonts w:hint="eastAsia" w:asciiTheme="minorEastAsia" w:hAnsiTheme="minorEastAsia" w:eastAsiaTheme="minorEastAsia" w:cstheme="minorEastAsia"/>
                <w:color w:val="auto"/>
                <w:spacing w:val="-3"/>
                <w:sz w:val="21"/>
                <w:szCs w:val="21"/>
                <w:highlight w:val="none"/>
                <w:lang w:val="en-US" w:eastAsia="zh-CN"/>
              </w:rPr>
              <w:t>采购人土建已完成，为了建筑结构的安全，</w:t>
            </w:r>
            <w:r>
              <w:rPr>
                <w:rFonts w:hint="eastAsia" w:asciiTheme="minorEastAsia" w:hAnsiTheme="minorEastAsia" w:eastAsiaTheme="minorEastAsia" w:cstheme="minorEastAsia"/>
                <w:color w:val="auto"/>
                <w:spacing w:val="-3"/>
                <w:sz w:val="21"/>
                <w:szCs w:val="21"/>
                <w:highlight w:val="none"/>
                <w:lang w:eastAsia="zh-CN"/>
              </w:rPr>
              <w:t>不能做结构性土建整改</w:t>
            </w:r>
            <w:r>
              <w:rPr>
                <w:rFonts w:hint="eastAsia" w:asciiTheme="minorEastAsia" w:hAnsiTheme="minorEastAsia" w:eastAsiaTheme="minorEastAsia" w:cstheme="minorEastAsia"/>
                <w:color w:val="auto"/>
                <w:spacing w:val="-3"/>
                <w:sz w:val="21"/>
                <w:szCs w:val="21"/>
                <w:highlight w:val="none"/>
                <w:lang w:val="en-US" w:eastAsia="zh-CN"/>
              </w:rPr>
              <w:t>:包括但不限于机房楼板的破坏、圈梁的浇筑等。</w:t>
            </w:r>
            <w:r>
              <w:rPr>
                <w:rFonts w:hint="eastAsia" w:asciiTheme="minorEastAsia" w:hAnsiTheme="minorEastAsia" w:eastAsiaTheme="minorEastAsia" w:cstheme="minorEastAsia"/>
                <w:color w:val="auto"/>
                <w:spacing w:val="-3"/>
                <w:sz w:val="21"/>
                <w:szCs w:val="21"/>
                <w:highlight w:val="none"/>
                <w:lang w:eastAsia="zh-CN"/>
              </w:rPr>
              <w:t>）</w:t>
            </w:r>
          </w:p>
          <w:p w14:paraId="45F5D11B">
            <w:pPr>
              <w:pStyle w:val="27"/>
              <w:spacing w:before="74" w:line="219" w:lineRule="auto"/>
              <w:ind w:left="28"/>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3"/>
                <w:sz w:val="21"/>
                <w:szCs w:val="21"/>
                <w:highlight w:val="none"/>
                <w:lang w:eastAsia="zh-CN"/>
              </w:rPr>
              <w:t>7、井道尺寸宽×深：现场勘察，以实际测量为准。</w:t>
            </w:r>
          </w:p>
          <w:p w14:paraId="1950E03A">
            <w:pPr>
              <w:pStyle w:val="27"/>
              <w:spacing w:before="69" w:line="219"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2"/>
                <w:sz w:val="21"/>
                <w:szCs w:val="21"/>
                <w:highlight w:val="none"/>
                <w:lang w:val="en" w:eastAsia="zh-CN"/>
              </w:rPr>
              <w:t>▲</w:t>
            </w:r>
            <w:r>
              <w:rPr>
                <w:rFonts w:hint="eastAsia" w:asciiTheme="minorEastAsia" w:hAnsiTheme="minorEastAsia" w:eastAsiaTheme="minorEastAsia" w:cstheme="minorEastAsia"/>
                <w:color w:val="auto"/>
                <w:spacing w:val="-4"/>
                <w:sz w:val="21"/>
                <w:szCs w:val="21"/>
                <w:highlight w:val="none"/>
                <w:lang w:eastAsia="zh-CN"/>
              </w:rPr>
              <w:t>8、轿厢尺寸宽×深×高：按照井道尺寸设计最大轿厢尺寸，轿厢高2400mm。</w:t>
            </w:r>
          </w:p>
          <w:p w14:paraId="78BE79FF">
            <w:pPr>
              <w:pStyle w:val="27"/>
              <w:spacing w:before="71" w:line="220" w:lineRule="auto"/>
              <w:ind w:left="28"/>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2"/>
                <w:sz w:val="21"/>
                <w:szCs w:val="21"/>
                <w:highlight w:val="none"/>
                <w:lang w:val="en" w:eastAsia="zh-CN"/>
              </w:rPr>
              <w:t>▲</w:t>
            </w:r>
            <w:r>
              <w:rPr>
                <w:rFonts w:hint="eastAsia" w:asciiTheme="minorEastAsia" w:hAnsiTheme="minorEastAsia" w:eastAsiaTheme="minorEastAsia" w:cstheme="minorEastAsia"/>
                <w:color w:val="auto"/>
                <w:sz w:val="21"/>
                <w:szCs w:val="21"/>
                <w:highlight w:val="none"/>
                <w:lang w:eastAsia="zh-CN"/>
              </w:rPr>
              <w:t>9、开门宽度：900mm</w:t>
            </w:r>
          </w:p>
          <w:p w14:paraId="64807304">
            <w:pPr>
              <w:pStyle w:val="27"/>
              <w:spacing w:before="77" w:line="219" w:lineRule="auto"/>
              <w:ind w:left="28"/>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2"/>
                <w:sz w:val="21"/>
                <w:szCs w:val="21"/>
                <w:highlight w:val="none"/>
                <w:lang w:val="en" w:eastAsia="zh-CN"/>
              </w:rPr>
              <w:t>▲</w:t>
            </w:r>
            <w:r>
              <w:rPr>
                <w:rFonts w:hint="eastAsia" w:asciiTheme="minorEastAsia" w:hAnsiTheme="minorEastAsia" w:eastAsiaTheme="minorEastAsia" w:cstheme="minorEastAsia"/>
                <w:color w:val="auto"/>
                <w:spacing w:val="-3"/>
                <w:sz w:val="21"/>
                <w:szCs w:val="21"/>
                <w:highlight w:val="none"/>
                <w:lang w:eastAsia="zh-CN"/>
              </w:rPr>
              <w:t>10、开门高度：2100mm。</w:t>
            </w:r>
          </w:p>
          <w:p w14:paraId="06D4F75B">
            <w:pPr>
              <w:pStyle w:val="27"/>
              <w:spacing w:before="80" w:line="220" w:lineRule="auto"/>
              <w:ind w:left="28"/>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pacing w:val="5"/>
                <w:sz w:val="21"/>
                <w:szCs w:val="21"/>
                <w:highlight w:val="none"/>
                <w:lang w:eastAsia="zh-CN"/>
              </w:rPr>
              <w:t>11、开门方式：自动中分门、</w:t>
            </w:r>
            <w:r>
              <w:rPr>
                <w:rFonts w:hint="eastAsia" w:asciiTheme="minorEastAsia" w:hAnsiTheme="minorEastAsia" w:eastAsiaTheme="minorEastAsia" w:cstheme="minorEastAsia"/>
                <w:color w:val="auto"/>
                <w:spacing w:val="5"/>
                <w:sz w:val="21"/>
                <w:szCs w:val="21"/>
                <w:highlight w:val="none"/>
                <w:lang w:val="en-US" w:eastAsia="zh-CN"/>
              </w:rPr>
              <w:t>侧开门。</w:t>
            </w:r>
          </w:p>
          <w:p w14:paraId="5CCD0EAD">
            <w:pPr>
              <w:pStyle w:val="27"/>
              <w:spacing w:before="76" w:line="219" w:lineRule="auto"/>
              <w:ind w:left="28"/>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2"/>
                <w:sz w:val="21"/>
                <w:szCs w:val="21"/>
                <w:highlight w:val="none"/>
                <w:lang w:eastAsia="zh-CN"/>
              </w:rPr>
              <w:t>12、机房位置：井道顶部。</w:t>
            </w:r>
          </w:p>
          <w:p w14:paraId="5D4D2580">
            <w:pPr>
              <w:pStyle w:val="27"/>
              <w:spacing w:before="47" w:line="216" w:lineRule="auto"/>
              <w:ind w:left="28"/>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2"/>
                <w:sz w:val="21"/>
                <w:szCs w:val="21"/>
                <w:highlight w:val="none"/>
                <w:lang w:eastAsia="zh-CN"/>
              </w:rPr>
              <w:t>13、动力电源范围：主电源：380V；3相；50 Hz。</w:t>
            </w:r>
          </w:p>
          <w:p w14:paraId="16E0848A">
            <w:pPr>
              <w:pStyle w:val="27"/>
              <w:spacing w:before="73" w:line="216" w:lineRule="auto"/>
              <w:ind w:left="28"/>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2"/>
                <w:sz w:val="21"/>
                <w:szCs w:val="21"/>
                <w:highlight w:val="none"/>
                <w:lang w:eastAsia="zh-CN"/>
              </w:rPr>
              <w:t>14、照明电源范围：220V；单相；50 Hz。</w:t>
            </w:r>
          </w:p>
          <w:p w14:paraId="42F353A4">
            <w:pPr>
              <w:pStyle w:val="27"/>
              <w:spacing w:before="95" w:line="264" w:lineRule="auto"/>
              <w:ind w:left="28" w:right="2475"/>
              <w:rPr>
                <w:rFonts w:hint="eastAsia" w:asciiTheme="minorEastAsia" w:hAnsiTheme="minorEastAsia" w:eastAsiaTheme="minorEastAsia" w:cstheme="minorEastAsia"/>
                <w:color w:val="auto"/>
                <w:spacing w:val="2"/>
                <w:sz w:val="21"/>
                <w:szCs w:val="21"/>
                <w:highlight w:val="none"/>
                <w:lang w:eastAsia="zh-CN"/>
              </w:rPr>
            </w:pPr>
            <w:r>
              <w:rPr>
                <w:rFonts w:hint="eastAsia" w:asciiTheme="minorEastAsia" w:hAnsiTheme="minorEastAsia" w:eastAsiaTheme="minorEastAsia" w:cstheme="minorEastAsia"/>
                <w:color w:val="auto"/>
                <w:spacing w:val="-3"/>
                <w:sz w:val="21"/>
                <w:szCs w:val="21"/>
                <w:highlight w:val="none"/>
                <w:lang w:eastAsia="zh-CN"/>
              </w:rPr>
              <w:t>15、供电方式：三相五线制。</w:t>
            </w:r>
            <w:r>
              <w:rPr>
                <w:rFonts w:hint="eastAsia" w:asciiTheme="minorEastAsia" w:hAnsiTheme="minorEastAsia" w:eastAsiaTheme="minorEastAsia" w:cstheme="minorEastAsia"/>
                <w:color w:val="auto"/>
                <w:spacing w:val="2"/>
                <w:sz w:val="21"/>
                <w:szCs w:val="21"/>
                <w:highlight w:val="none"/>
                <w:lang w:eastAsia="zh-CN"/>
              </w:rPr>
              <w:t xml:space="preserve"> </w:t>
            </w:r>
          </w:p>
          <w:p w14:paraId="5144DE2C">
            <w:pPr>
              <w:rPr>
                <w:color w:val="auto"/>
                <w:highlight w:val="none"/>
              </w:rPr>
            </w:pPr>
            <w:r>
              <w:rPr>
                <w:rFonts w:hint="eastAsia" w:asciiTheme="minorEastAsia" w:hAnsiTheme="minorEastAsia" w:eastAsiaTheme="minorEastAsia" w:cstheme="minorEastAsia"/>
                <w:color w:val="auto"/>
                <w:spacing w:val="-3"/>
                <w:sz w:val="21"/>
                <w:szCs w:val="21"/>
                <w:highlight w:val="none"/>
                <w:lang w:val="en" w:eastAsia="zh-CN"/>
              </w:rPr>
              <w:t>▲</w:t>
            </w:r>
            <w:r>
              <w:rPr>
                <w:rFonts w:hint="eastAsia" w:asciiTheme="minorEastAsia" w:hAnsiTheme="minorEastAsia" w:eastAsiaTheme="minorEastAsia" w:cstheme="minorEastAsia"/>
                <w:color w:val="auto"/>
                <w:spacing w:val="-3"/>
                <w:sz w:val="21"/>
                <w:szCs w:val="21"/>
                <w:highlight w:val="none"/>
                <w:lang w:eastAsia="zh-CN"/>
              </w:rPr>
              <w:t>16、</w:t>
            </w:r>
            <w:r>
              <w:rPr>
                <w:rFonts w:hint="eastAsia" w:asciiTheme="minorEastAsia" w:hAnsiTheme="minorEastAsia" w:eastAsiaTheme="minorEastAsia" w:cstheme="minorEastAsia"/>
                <w:color w:val="auto"/>
                <w:spacing w:val="-13"/>
                <w:sz w:val="21"/>
                <w:szCs w:val="21"/>
                <w:highlight w:val="none"/>
                <w:lang w:eastAsia="zh-CN"/>
              </w:rPr>
              <w:t>控制方式：全微机电脑控制。</w:t>
            </w:r>
          </w:p>
          <w:p w14:paraId="096423EE">
            <w:pPr>
              <w:pStyle w:val="27"/>
              <w:spacing w:before="68" w:line="273" w:lineRule="auto"/>
              <w:ind w:left="26" w:hanging="9"/>
              <w:rPr>
                <w:rFonts w:hint="eastAsia" w:asciiTheme="minorEastAsia" w:hAnsiTheme="minorEastAsia" w:eastAsiaTheme="minorEastAsia" w:cstheme="minorEastAsia"/>
                <w:color w:val="auto"/>
                <w:spacing w:val="-13"/>
                <w:sz w:val="21"/>
                <w:szCs w:val="21"/>
                <w:highlight w:val="none"/>
                <w:lang w:eastAsia="zh-CN"/>
              </w:rPr>
            </w:pPr>
            <w:r>
              <w:rPr>
                <w:rFonts w:hint="eastAsia" w:asciiTheme="minorEastAsia" w:hAnsiTheme="minorEastAsia" w:eastAsiaTheme="minorEastAsia" w:cstheme="minorEastAsia"/>
                <w:color w:val="auto"/>
                <w:spacing w:val="-13"/>
                <w:sz w:val="21"/>
                <w:szCs w:val="21"/>
                <w:highlight w:val="none"/>
                <w:lang w:eastAsia="zh-CN"/>
              </w:rPr>
              <w:t>(以上具体安装技术参数，以实地测量尺寸为准。)</w:t>
            </w:r>
          </w:p>
          <w:p w14:paraId="320AC89A">
            <w:pPr>
              <w:pStyle w:val="27"/>
              <w:spacing w:before="68" w:line="273" w:lineRule="auto"/>
              <w:ind w:left="26" w:hanging="9"/>
              <w:rPr>
                <w:rFonts w:hint="eastAsia" w:asciiTheme="minorEastAsia" w:hAnsiTheme="minorEastAsia" w:eastAsiaTheme="minorEastAsia" w:cstheme="minorEastAsia"/>
                <w:color w:val="auto"/>
                <w:spacing w:val="-13"/>
                <w:sz w:val="21"/>
                <w:szCs w:val="21"/>
                <w:highlight w:val="none"/>
                <w:lang w:eastAsia="zh-CN"/>
              </w:rPr>
            </w:pPr>
            <w:r>
              <w:rPr>
                <w:rFonts w:hint="eastAsia" w:asciiTheme="minorEastAsia" w:hAnsiTheme="minorEastAsia" w:eastAsiaTheme="minorEastAsia" w:cstheme="minorEastAsia"/>
                <w:color w:val="auto"/>
                <w:spacing w:val="-17"/>
                <w:sz w:val="21"/>
                <w:szCs w:val="21"/>
                <w:highlight w:val="none"/>
                <w:lang w:val="en" w:eastAsia="zh-CN"/>
              </w:rPr>
              <w:t>▲</w:t>
            </w:r>
            <w:r>
              <w:rPr>
                <w:rFonts w:hint="eastAsia" w:asciiTheme="minorEastAsia" w:hAnsiTheme="minorEastAsia" w:eastAsiaTheme="minorEastAsia" w:cstheme="minorEastAsia"/>
                <w:color w:val="auto"/>
                <w:spacing w:val="-13"/>
                <w:sz w:val="21"/>
                <w:szCs w:val="21"/>
                <w:highlight w:val="none"/>
                <w:lang w:eastAsia="zh-CN"/>
              </w:rPr>
              <w:t>二、技术要求</w:t>
            </w:r>
          </w:p>
          <w:p w14:paraId="7BB29B27">
            <w:pPr>
              <w:pStyle w:val="27"/>
              <w:spacing w:before="68" w:line="273" w:lineRule="auto"/>
              <w:ind w:left="26" w:hanging="9"/>
              <w:rPr>
                <w:rFonts w:hint="eastAsia" w:asciiTheme="minorEastAsia" w:hAnsiTheme="minorEastAsia" w:eastAsiaTheme="minorEastAsia" w:cstheme="minorEastAsia"/>
                <w:color w:val="auto"/>
                <w:spacing w:val="-13"/>
                <w:sz w:val="21"/>
                <w:szCs w:val="21"/>
                <w:highlight w:val="none"/>
                <w:lang w:eastAsia="zh-CN"/>
              </w:rPr>
            </w:pPr>
            <w:r>
              <w:rPr>
                <w:rFonts w:hint="eastAsia" w:asciiTheme="minorEastAsia" w:hAnsiTheme="minorEastAsia" w:eastAsiaTheme="minorEastAsia" w:cstheme="minorEastAsia"/>
                <w:color w:val="auto"/>
                <w:spacing w:val="-17"/>
                <w:sz w:val="21"/>
                <w:szCs w:val="21"/>
                <w:highlight w:val="none"/>
                <w:lang w:eastAsia="zh-CN"/>
              </w:rPr>
              <w:t>1、曳引系统：永磁同步无齿轮曳引机，曳引机防护等级</w:t>
            </w:r>
            <w:r>
              <w:rPr>
                <w:rFonts w:hint="eastAsia" w:asciiTheme="minorEastAsia" w:hAnsiTheme="minorEastAsia" w:eastAsiaTheme="minorEastAsia" w:cstheme="minorEastAsia"/>
                <w:color w:val="auto"/>
                <w:spacing w:val="-13"/>
                <w:sz w:val="21"/>
                <w:szCs w:val="21"/>
                <w:highlight w:val="none"/>
                <w:lang w:eastAsia="zh-CN"/>
              </w:rPr>
              <w:t>≥IP42，与</w:t>
            </w:r>
            <w:r>
              <w:rPr>
                <w:rFonts w:hint="eastAsia" w:asciiTheme="minorEastAsia" w:hAnsiTheme="minorEastAsia" w:eastAsiaTheme="minorEastAsia" w:cstheme="minorEastAsia"/>
                <w:color w:val="auto"/>
                <w:spacing w:val="-6"/>
                <w:sz w:val="21"/>
                <w:szCs w:val="21"/>
                <w:highlight w:val="none"/>
                <w:lang w:eastAsia="zh-CN"/>
              </w:rPr>
              <w:t>报价</w:t>
            </w:r>
            <w:r>
              <w:rPr>
                <w:rFonts w:hint="eastAsia" w:asciiTheme="minorEastAsia" w:hAnsiTheme="minorEastAsia" w:eastAsiaTheme="minorEastAsia" w:cstheme="minorEastAsia"/>
                <w:color w:val="auto"/>
                <w:spacing w:val="-13"/>
                <w:sz w:val="21"/>
                <w:szCs w:val="21"/>
                <w:highlight w:val="none"/>
                <w:lang w:eastAsia="zh-CN"/>
              </w:rPr>
              <w:t>电梯品牌为同一品牌，曳引机的额定制动力矩按</w:t>
            </w:r>
            <w:r>
              <w:rPr>
                <w:rFonts w:hint="eastAsia" w:asciiTheme="minorEastAsia" w:hAnsiTheme="minorEastAsia" w:eastAsiaTheme="minorEastAsia" w:cstheme="minorEastAsia"/>
                <w:color w:val="auto"/>
                <w:spacing w:val="-13"/>
                <w:sz w:val="21"/>
                <w:szCs w:val="21"/>
                <w:highlight w:val="none"/>
                <w:lang w:val="en-US" w:eastAsia="zh-CN"/>
              </w:rPr>
              <w:t>≥</w:t>
            </w:r>
            <w:r>
              <w:rPr>
                <w:rFonts w:hint="eastAsia" w:asciiTheme="minorEastAsia" w:hAnsiTheme="minorEastAsia" w:eastAsiaTheme="minorEastAsia" w:cstheme="minorEastAsia"/>
                <w:color w:val="auto"/>
                <w:spacing w:val="-13"/>
                <w:sz w:val="21"/>
                <w:szCs w:val="21"/>
                <w:highlight w:val="none"/>
                <w:lang w:eastAsia="zh-CN"/>
              </w:rPr>
              <w:t>215%设计（测试时间不低于60分钟），曳引机按主轴</w:t>
            </w:r>
            <w:r>
              <w:rPr>
                <w:rFonts w:hint="eastAsia" w:asciiTheme="minorEastAsia" w:hAnsiTheme="minorEastAsia" w:eastAsiaTheme="minorEastAsia" w:cstheme="minorEastAsia"/>
                <w:color w:val="auto"/>
                <w:spacing w:val="-13"/>
                <w:sz w:val="21"/>
                <w:szCs w:val="21"/>
                <w:highlight w:val="none"/>
                <w:lang w:val="en-US" w:eastAsia="zh-CN"/>
              </w:rPr>
              <w:t>≥</w:t>
            </w:r>
            <w:r>
              <w:rPr>
                <w:rFonts w:hint="eastAsia" w:asciiTheme="minorEastAsia" w:hAnsiTheme="minorEastAsia" w:eastAsiaTheme="minorEastAsia" w:cstheme="minorEastAsia"/>
                <w:color w:val="auto"/>
                <w:spacing w:val="-13"/>
                <w:sz w:val="21"/>
                <w:szCs w:val="21"/>
                <w:highlight w:val="none"/>
                <w:lang w:eastAsia="zh-CN"/>
              </w:rPr>
              <w:t>10倍安全系数设计，</w:t>
            </w:r>
            <w:r>
              <w:rPr>
                <w:rFonts w:hint="eastAsia" w:asciiTheme="minorEastAsia" w:hAnsiTheme="minorEastAsia" w:eastAsiaTheme="minorEastAsia" w:cstheme="minorEastAsia"/>
                <w:color w:val="auto"/>
                <w:spacing w:val="-6"/>
                <w:sz w:val="21"/>
                <w:szCs w:val="21"/>
                <w:highlight w:val="none"/>
                <w:lang w:eastAsia="zh-CN"/>
              </w:rPr>
              <w:t>竞标时须</w:t>
            </w:r>
            <w:r>
              <w:rPr>
                <w:rFonts w:hint="eastAsia" w:asciiTheme="minorEastAsia" w:hAnsiTheme="minorEastAsia" w:eastAsiaTheme="minorEastAsia" w:cstheme="minorEastAsia"/>
                <w:color w:val="auto"/>
                <w:spacing w:val="-13"/>
                <w:sz w:val="21"/>
                <w:szCs w:val="21"/>
                <w:highlight w:val="none"/>
                <w:lang w:eastAsia="zh-CN"/>
              </w:rPr>
              <w:t>提供证明材料。</w:t>
            </w:r>
          </w:p>
          <w:p w14:paraId="4CF22A29">
            <w:pPr>
              <w:pStyle w:val="27"/>
              <w:spacing w:before="68" w:line="273" w:lineRule="auto"/>
              <w:ind w:left="26" w:hanging="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5"/>
                <w:sz w:val="21"/>
                <w:szCs w:val="21"/>
                <w:highlight w:val="none"/>
                <w:lang w:eastAsia="zh-CN"/>
              </w:rPr>
              <w:t>2、控制系统：采用32位全数字化控制CPU，必须</w:t>
            </w:r>
            <w:r>
              <w:rPr>
                <w:rFonts w:hint="eastAsia" w:asciiTheme="minorEastAsia" w:hAnsiTheme="minorEastAsia" w:eastAsiaTheme="minorEastAsia" w:cstheme="minorEastAsia"/>
                <w:color w:val="auto"/>
                <w:spacing w:val="-6"/>
                <w:sz w:val="21"/>
                <w:szCs w:val="21"/>
                <w:highlight w:val="none"/>
                <w:lang w:eastAsia="zh-CN"/>
              </w:rPr>
              <w:t>与参与报价电梯为同一品牌，控制柜防护等级IP55，竞标时须提供证明材料。</w:t>
            </w:r>
          </w:p>
          <w:p w14:paraId="4C8538A3">
            <w:pPr>
              <w:pStyle w:val="27"/>
              <w:spacing w:before="68" w:line="273" w:lineRule="auto"/>
              <w:ind w:left="26" w:hanging="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3"/>
                <w:sz w:val="21"/>
                <w:szCs w:val="21"/>
                <w:highlight w:val="none"/>
                <w:lang w:eastAsia="zh-CN"/>
              </w:rPr>
              <w:t>3、操作系统：全电脑集选自动控制方式。控制柜抗雷击干扰</w:t>
            </w:r>
            <w:r>
              <w:rPr>
                <w:rFonts w:hint="eastAsia" w:asciiTheme="minorEastAsia" w:hAnsiTheme="minorEastAsia" w:eastAsiaTheme="minorEastAsia" w:cstheme="minorEastAsia"/>
                <w:color w:val="auto"/>
                <w:spacing w:val="-13"/>
                <w:sz w:val="21"/>
                <w:szCs w:val="21"/>
                <w:highlight w:val="none"/>
                <w:lang w:eastAsia="zh-CN"/>
              </w:rPr>
              <w:t>≥20kv，</w:t>
            </w:r>
            <w:r>
              <w:rPr>
                <w:rFonts w:hint="eastAsia" w:asciiTheme="minorEastAsia" w:hAnsiTheme="minorEastAsia" w:eastAsiaTheme="minorEastAsia" w:cstheme="minorEastAsia"/>
                <w:color w:val="auto"/>
                <w:spacing w:val="-6"/>
                <w:sz w:val="21"/>
                <w:szCs w:val="21"/>
                <w:highlight w:val="none"/>
                <w:lang w:eastAsia="zh-CN"/>
              </w:rPr>
              <w:t>竞标时须提供证明材料。</w:t>
            </w:r>
          </w:p>
          <w:p w14:paraId="6DD33BC9">
            <w:pPr>
              <w:pStyle w:val="27"/>
              <w:spacing w:before="68" w:line="219" w:lineRule="auto"/>
              <w:ind w:left="28"/>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3"/>
                <w:sz w:val="21"/>
                <w:szCs w:val="21"/>
                <w:highlight w:val="none"/>
                <w:lang w:eastAsia="zh-CN"/>
              </w:rPr>
              <w:t>4、驱动系统：采用智能化大功率模块驱动系统。</w:t>
            </w:r>
          </w:p>
          <w:p w14:paraId="52F259FE">
            <w:pPr>
              <w:pStyle w:val="27"/>
              <w:spacing w:before="33" w:line="264" w:lineRule="auto"/>
              <w:ind w:left="28" w:right="165"/>
              <w:rPr>
                <w:rFonts w:hint="eastAsia" w:asciiTheme="minorEastAsia" w:hAnsiTheme="minorEastAsia" w:eastAsiaTheme="minorEastAsia" w:cstheme="minorEastAsia"/>
                <w:color w:val="auto"/>
                <w:spacing w:val="-4"/>
                <w:sz w:val="21"/>
                <w:szCs w:val="21"/>
                <w:highlight w:val="none"/>
                <w:lang w:eastAsia="zh-CN"/>
              </w:rPr>
            </w:pPr>
            <w:r>
              <w:rPr>
                <w:rFonts w:hint="eastAsia" w:asciiTheme="minorEastAsia" w:hAnsiTheme="minorEastAsia" w:eastAsiaTheme="minorEastAsia" w:cstheme="minorEastAsia"/>
                <w:color w:val="auto"/>
                <w:spacing w:val="-6"/>
                <w:sz w:val="21"/>
                <w:szCs w:val="21"/>
                <w:highlight w:val="none"/>
                <w:lang w:eastAsia="zh-CN"/>
              </w:rPr>
              <w:t>5、变频器装置：必须与竞标电梯为同一品牌，竞标时须提供</w:t>
            </w:r>
            <w:r>
              <w:rPr>
                <w:rFonts w:hint="eastAsia" w:asciiTheme="minorEastAsia" w:hAnsiTheme="minorEastAsia" w:eastAsiaTheme="minorEastAsia" w:cstheme="minorEastAsia"/>
                <w:color w:val="auto"/>
                <w:spacing w:val="-4"/>
                <w:sz w:val="21"/>
                <w:szCs w:val="21"/>
                <w:highlight w:val="none"/>
                <w:lang w:eastAsia="zh-CN"/>
              </w:rPr>
              <w:t>证明材料。</w:t>
            </w:r>
          </w:p>
          <w:p w14:paraId="5604DB9E">
            <w:pPr>
              <w:pStyle w:val="27"/>
              <w:spacing w:before="33" w:line="264" w:lineRule="auto"/>
              <w:ind w:left="28" w:right="165"/>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3"/>
                <w:sz w:val="21"/>
                <w:szCs w:val="21"/>
                <w:highlight w:val="none"/>
                <w:lang w:eastAsia="zh-CN"/>
              </w:rPr>
              <w:t>6、门机系统：采用交流变频调压调速(VVVF)系统，与竞标电梯品牌为同一品牌，</w:t>
            </w:r>
            <w:r>
              <w:rPr>
                <w:rFonts w:hint="eastAsia" w:asciiTheme="minorEastAsia" w:hAnsiTheme="minorEastAsia" w:eastAsiaTheme="minorEastAsia" w:cstheme="minorEastAsia"/>
                <w:color w:val="auto"/>
                <w:spacing w:val="-6"/>
                <w:sz w:val="21"/>
                <w:szCs w:val="21"/>
                <w:highlight w:val="none"/>
                <w:lang w:eastAsia="zh-CN"/>
              </w:rPr>
              <w:t>竞标时须提供</w:t>
            </w:r>
            <w:r>
              <w:rPr>
                <w:rFonts w:hint="eastAsia" w:asciiTheme="minorEastAsia" w:hAnsiTheme="minorEastAsia" w:eastAsiaTheme="minorEastAsia" w:cstheme="minorEastAsia"/>
                <w:color w:val="auto"/>
                <w:spacing w:val="-4"/>
                <w:sz w:val="21"/>
                <w:szCs w:val="21"/>
                <w:highlight w:val="none"/>
                <w:lang w:eastAsia="zh-CN"/>
              </w:rPr>
              <w:t>证明材料。</w:t>
            </w:r>
          </w:p>
          <w:p w14:paraId="45417255">
            <w:pPr>
              <w:pStyle w:val="27"/>
              <w:spacing w:before="70" w:line="216"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7、限速器、安全钳、缓冲器、门锁、光幕与竞标电梯品牌为同一品牌，</w:t>
            </w:r>
            <w:r>
              <w:rPr>
                <w:rFonts w:hint="eastAsia" w:asciiTheme="minorEastAsia" w:hAnsiTheme="minorEastAsia" w:eastAsiaTheme="minorEastAsia" w:cstheme="minorEastAsia"/>
                <w:color w:val="auto"/>
                <w:spacing w:val="-6"/>
                <w:sz w:val="21"/>
                <w:szCs w:val="21"/>
                <w:highlight w:val="none"/>
                <w:lang w:eastAsia="zh-CN"/>
              </w:rPr>
              <w:t>竞标时须提供</w:t>
            </w:r>
            <w:r>
              <w:rPr>
                <w:rFonts w:hint="eastAsia" w:asciiTheme="minorEastAsia" w:hAnsiTheme="minorEastAsia" w:eastAsiaTheme="minorEastAsia" w:cstheme="minorEastAsia"/>
                <w:color w:val="auto"/>
                <w:spacing w:val="-6"/>
                <w:sz w:val="21"/>
                <w:szCs w:val="21"/>
                <w:highlight w:val="none"/>
                <w:lang w:val="en-US" w:eastAsia="zh-CN"/>
              </w:rPr>
              <w:t>相应的</w:t>
            </w:r>
            <w:r>
              <w:rPr>
                <w:rFonts w:hint="eastAsia" w:asciiTheme="minorEastAsia" w:hAnsiTheme="minorEastAsia" w:eastAsiaTheme="minorEastAsia" w:cstheme="minorEastAsia"/>
                <w:color w:val="auto"/>
                <w:spacing w:val="-4"/>
                <w:sz w:val="21"/>
                <w:szCs w:val="21"/>
                <w:highlight w:val="none"/>
                <w:lang w:eastAsia="zh-CN"/>
              </w:rPr>
              <w:t>证明材料。</w:t>
            </w:r>
          </w:p>
          <w:p w14:paraId="46BB8E5F">
            <w:pPr>
              <w:pStyle w:val="27"/>
              <w:spacing w:before="70" w:line="216"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8、电梯光幕的防护等级</w:t>
            </w:r>
            <w:r>
              <w:rPr>
                <w:rFonts w:hint="eastAsia" w:asciiTheme="minorEastAsia" w:hAnsiTheme="minorEastAsia" w:eastAsiaTheme="minorEastAsia" w:cstheme="minorEastAsia"/>
                <w:color w:val="auto"/>
                <w:sz w:val="21"/>
                <w:szCs w:val="21"/>
                <w:highlight w:val="none"/>
                <w:lang w:val="en-US" w:eastAsia="zh-CN"/>
              </w:rPr>
              <w:t>需达到</w:t>
            </w:r>
            <w:r>
              <w:rPr>
                <w:rFonts w:hint="eastAsia" w:asciiTheme="minorEastAsia" w:hAnsiTheme="minorEastAsia" w:eastAsiaTheme="minorEastAsia" w:cstheme="minorEastAsia"/>
                <w:color w:val="auto"/>
                <w:sz w:val="21"/>
                <w:szCs w:val="21"/>
                <w:highlight w:val="none"/>
                <w:lang w:eastAsia="zh-CN"/>
              </w:rPr>
              <w:t>IP65，</w:t>
            </w:r>
            <w:r>
              <w:rPr>
                <w:rFonts w:hint="eastAsia" w:asciiTheme="minorEastAsia" w:hAnsiTheme="minorEastAsia" w:eastAsiaTheme="minorEastAsia" w:cstheme="minorEastAsia"/>
                <w:color w:val="auto"/>
                <w:spacing w:val="-6"/>
                <w:sz w:val="21"/>
                <w:szCs w:val="21"/>
                <w:highlight w:val="none"/>
                <w:lang w:eastAsia="zh-CN"/>
              </w:rPr>
              <w:t>竞标时须提供</w:t>
            </w:r>
            <w:r>
              <w:rPr>
                <w:rFonts w:hint="eastAsia" w:asciiTheme="minorEastAsia" w:hAnsiTheme="minorEastAsia" w:eastAsiaTheme="minorEastAsia" w:cstheme="minorEastAsia"/>
                <w:color w:val="auto"/>
                <w:spacing w:val="-6"/>
                <w:sz w:val="21"/>
                <w:szCs w:val="21"/>
                <w:highlight w:val="none"/>
                <w:lang w:val="en-US" w:eastAsia="zh-CN"/>
              </w:rPr>
              <w:t>相应的</w:t>
            </w:r>
            <w:r>
              <w:rPr>
                <w:rFonts w:hint="eastAsia" w:asciiTheme="minorEastAsia" w:hAnsiTheme="minorEastAsia" w:eastAsiaTheme="minorEastAsia" w:cstheme="minorEastAsia"/>
                <w:color w:val="auto"/>
                <w:spacing w:val="-4"/>
                <w:sz w:val="21"/>
                <w:szCs w:val="21"/>
                <w:highlight w:val="none"/>
                <w:lang w:eastAsia="zh-CN"/>
              </w:rPr>
              <w:t>证明材料。</w:t>
            </w:r>
          </w:p>
          <w:p w14:paraId="11D89C11">
            <w:pPr>
              <w:pStyle w:val="27"/>
              <w:spacing w:before="81" w:line="220" w:lineRule="auto"/>
              <w:ind w:left="35"/>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pacing w:val="-2"/>
                <w:sz w:val="21"/>
                <w:szCs w:val="21"/>
                <w:highlight w:val="none"/>
                <w:lang w:eastAsia="zh-CN"/>
              </w:rPr>
              <w:t>三、电梯装饰</w:t>
            </w:r>
          </w:p>
          <w:p w14:paraId="0BB98A38">
            <w:pPr>
              <w:spacing w:line="360" w:lineRule="exac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pacing w:val="-1"/>
                <w:sz w:val="21"/>
                <w:szCs w:val="21"/>
                <w:highlight w:val="none"/>
                <w:lang w:val="en"/>
              </w:rPr>
              <w:t>▲</w:t>
            </w:r>
            <w:r>
              <w:rPr>
                <w:rFonts w:hint="eastAsia" w:asciiTheme="minorEastAsia" w:hAnsiTheme="minorEastAsia" w:eastAsiaTheme="minorEastAsia" w:cstheme="minorEastAsia"/>
                <w:color w:val="auto"/>
                <w:spacing w:val="-1"/>
                <w:sz w:val="21"/>
                <w:szCs w:val="21"/>
                <w:highlight w:val="none"/>
              </w:rPr>
              <w:t>(1)轿厢材质：全部采用发纹不锈钢（不接受钢板贴不锈钢工艺），</w:t>
            </w:r>
          </w:p>
          <w:p w14:paraId="595B242A">
            <w:pPr>
              <w:pStyle w:val="27"/>
              <w:spacing w:before="98" w:line="219"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厚度≥1.5mm。</w:t>
            </w:r>
          </w:p>
          <w:p w14:paraId="2A2EE956">
            <w:pPr>
              <w:pStyle w:val="27"/>
              <w:spacing w:before="71" w:line="219"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val="en" w:eastAsia="zh-CN"/>
              </w:rPr>
              <w:t>▲</w:t>
            </w:r>
            <w:r>
              <w:rPr>
                <w:rFonts w:hint="eastAsia" w:asciiTheme="minorEastAsia" w:hAnsiTheme="minorEastAsia" w:eastAsiaTheme="minorEastAsia" w:cstheme="minorEastAsia"/>
                <w:color w:val="auto"/>
                <w:spacing w:val="-1"/>
                <w:sz w:val="21"/>
                <w:szCs w:val="21"/>
                <w:highlight w:val="none"/>
                <w:lang w:eastAsia="zh-CN"/>
              </w:rPr>
              <w:t>(2)轿顶材质：标准型吊顶，带照明。</w:t>
            </w:r>
          </w:p>
          <w:p w14:paraId="62B57DDE">
            <w:pPr>
              <w:pStyle w:val="27"/>
              <w:spacing w:before="80" w:line="219"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val="en" w:eastAsia="zh-CN"/>
              </w:rPr>
              <w:t>▲</w:t>
            </w:r>
            <w:r>
              <w:rPr>
                <w:rFonts w:hint="eastAsia" w:asciiTheme="minorEastAsia" w:hAnsiTheme="minorEastAsia" w:eastAsiaTheme="minorEastAsia" w:cstheme="minorEastAsia"/>
                <w:color w:val="auto"/>
                <w:spacing w:val="-1"/>
                <w:sz w:val="21"/>
                <w:szCs w:val="21"/>
                <w:highlight w:val="none"/>
                <w:lang w:eastAsia="zh-CN"/>
              </w:rPr>
              <w:t>(3)厅门：全部采用发纹不锈钢，厚度≥1.5mm。</w:t>
            </w:r>
          </w:p>
          <w:p w14:paraId="2403C97B">
            <w:pPr>
              <w:pStyle w:val="27"/>
              <w:spacing w:before="83" w:line="22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val="en" w:eastAsia="zh-CN"/>
              </w:rPr>
              <w:t>▲</w:t>
            </w:r>
            <w:r>
              <w:rPr>
                <w:rFonts w:hint="eastAsia" w:asciiTheme="minorEastAsia" w:hAnsiTheme="minorEastAsia" w:eastAsiaTheme="minorEastAsia" w:cstheme="minorEastAsia"/>
                <w:color w:val="auto"/>
                <w:spacing w:val="-1"/>
                <w:sz w:val="21"/>
                <w:szCs w:val="21"/>
                <w:highlight w:val="none"/>
                <w:lang w:eastAsia="zh-CN"/>
              </w:rPr>
              <w:t>(4)门套：全部发纹不锈钢大门套。</w:t>
            </w:r>
          </w:p>
          <w:p w14:paraId="1F146BE7">
            <w:pPr>
              <w:pStyle w:val="27"/>
              <w:spacing w:before="80" w:line="258" w:lineRule="auto"/>
              <w:ind w:right="72"/>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val="en" w:eastAsia="zh-CN"/>
              </w:rPr>
              <w:t>▲</w:t>
            </w:r>
            <w:r>
              <w:rPr>
                <w:rFonts w:hint="eastAsia" w:asciiTheme="minorEastAsia" w:hAnsiTheme="minorEastAsia" w:eastAsiaTheme="minorEastAsia" w:cstheme="minorEastAsia"/>
                <w:color w:val="auto"/>
                <w:sz w:val="21"/>
                <w:szCs w:val="21"/>
                <w:highlight w:val="none"/>
                <w:lang w:eastAsia="zh-CN"/>
              </w:rPr>
              <w:t>(5)轿厢操纵箱：轿厢一侧配置一体式操纵箱，白色段码显示，可显示电梯运行楼层、方向等信息；另一侧配残疾人操纵盘，盲文按钮；面板采用304发纹不锈钢。</w:t>
            </w:r>
          </w:p>
          <w:p w14:paraId="67D266E7">
            <w:pPr>
              <w:pStyle w:val="27"/>
              <w:spacing w:before="83" w:line="219"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val="en" w:eastAsia="zh-CN"/>
              </w:rPr>
              <w:t>▲</w:t>
            </w:r>
            <w:r>
              <w:rPr>
                <w:rFonts w:hint="eastAsia" w:asciiTheme="minorEastAsia" w:hAnsiTheme="minorEastAsia" w:eastAsiaTheme="minorEastAsia" w:cstheme="minorEastAsia"/>
                <w:color w:val="auto"/>
                <w:sz w:val="21"/>
                <w:szCs w:val="21"/>
                <w:highlight w:val="none"/>
                <w:lang w:eastAsia="zh-CN"/>
              </w:rPr>
              <w:t>(6)厅外呼梯装置：LED显示，可显示电梯运行楼层，超薄外壳，不带底盒工艺。</w:t>
            </w:r>
          </w:p>
          <w:p w14:paraId="6039F249">
            <w:pPr>
              <w:pStyle w:val="27"/>
              <w:spacing w:before="90" w:line="219" w:lineRule="auto"/>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(7)轿厢通风系统：有手动可开关的风扇。</w:t>
            </w:r>
          </w:p>
          <w:p w14:paraId="1C84ABD2">
            <w:pPr>
              <w:pStyle w:val="27"/>
              <w:spacing w:before="90" w:line="219"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(8)轿厢地面：PVC耐磨防滑地板。</w:t>
            </w:r>
          </w:p>
          <w:p w14:paraId="492B69F9">
            <w:pPr>
              <w:pStyle w:val="27"/>
              <w:spacing w:before="78" w:line="219" w:lineRule="auto"/>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b/>
                <w:bCs/>
                <w:color w:val="auto"/>
                <w:spacing w:val="-3"/>
                <w:sz w:val="21"/>
                <w:szCs w:val="21"/>
                <w:highlight w:val="none"/>
                <w:lang w:eastAsia="zh-CN"/>
              </w:rPr>
              <w:t>(</w:t>
            </w:r>
            <w:r>
              <w:rPr>
                <w:rFonts w:hint="eastAsia" w:asciiTheme="minorEastAsia" w:hAnsiTheme="minorEastAsia" w:eastAsiaTheme="minorEastAsia" w:cstheme="minorEastAsia"/>
                <w:color w:val="auto"/>
                <w:spacing w:val="-1"/>
                <w:sz w:val="21"/>
                <w:szCs w:val="21"/>
                <w:highlight w:val="none"/>
                <w:lang w:eastAsia="zh-CN"/>
              </w:rPr>
              <w:t>9)门坎：硬质铝合金型材。</w:t>
            </w:r>
          </w:p>
          <w:p w14:paraId="2158BCB1">
            <w:pPr>
              <w:pStyle w:val="27"/>
              <w:spacing w:before="85" w:line="219"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val="en" w:eastAsia="zh-CN"/>
              </w:rPr>
              <w:t>▲</w:t>
            </w:r>
            <w:r>
              <w:rPr>
                <w:rFonts w:hint="eastAsia" w:asciiTheme="minorEastAsia" w:hAnsiTheme="minorEastAsia" w:eastAsiaTheme="minorEastAsia" w:cstheme="minorEastAsia"/>
                <w:color w:val="auto"/>
                <w:sz w:val="21"/>
                <w:szCs w:val="21"/>
                <w:highlight w:val="none"/>
                <w:lang w:eastAsia="zh-CN"/>
              </w:rPr>
              <w:t>(10)无障碍功能要求：语音报站、轿厢后侧配置一根不锈钢扶手、盲文按钮。</w:t>
            </w:r>
          </w:p>
          <w:p w14:paraId="4AA63AEF">
            <w:pPr>
              <w:pStyle w:val="27"/>
              <w:spacing w:before="73" w:line="220" w:lineRule="auto"/>
              <w:ind w:left="35"/>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val="en" w:eastAsia="zh-CN"/>
              </w:rPr>
              <w:t>▲</w:t>
            </w:r>
            <w:r>
              <w:rPr>
                <w:rFonts w:hint="eastAsia" w:asciiTheme="minorEastAsia" w:hAnsiTheme="minorEastAsia" w:eastAsiaTheme="minorEastAsia" w:cstheme="minorEastAsia"/>
                <w:b/>
                <w:bCs/>
                <w:color w:val="auto"/>
                <w:spacing w:val="-1"/>
                <w:sz w:val="21"/>
                <w:szCs w:val="21"/>
                <w:highlight w:val="none"/>
                <w:lang w:eastAsia="zh-CN"/>
              </w:rPr>
              <w:t>四、电梯功能，包括但不限于以下功能。</w:t>
            </w:r>
          </w:p>
          <w:p w14:paraId="49766101">
            <w:pPr>
              <w:pStyle w:val="27"/>
              <w:spacing w:before="98" w:line="219" w:lineRule="auto"/>
              <w:jc w:val="both"/>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1.上行超速保护 2.缓冲器检测3.电阻制动 4.轿门检测 5.轿门限位</w:t>
            </w:r>
          </w:p>
          <w:p w14:paraId="6FCE2871">
            <w:pPr>
              <w:pStyle w:val="27"/>
              <w:spacing w:before="98" w:line="219" w:lineRule="auto"/>
              <w:jc w:val="both"/>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6.轿厢照明开关 7.修正运行8.门锁检测 9.禁止开门</w:t>
            </w:r>
          </w:p>
          <w:p w14:paraId="2A8540C3">
            <w:pPr>
              <w:pStyle w:val="27"/>
              <w:spacing w:before="98" w:line="219" w:lineRule="auto"/>
              <w:jc w:val="both"/>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10.下行超速保护</w:t>
            </w:r>
            <w:r>
              <w:rPr>
                <w:rFonts w:hint="eastAsia" w:asciiTheme="minorEastAsia" w:hAnsiTheme="minorEastAsia" w:eastAsiaTheme="minorEastAsia" w:cstheme="minorEastAsia"/>
                <w:color w:val="auto"/>
                <w:spacing w:val="-1"/>
                <w:sz w:val="21"/>
                <w:szCs w:val="21"/>
                <w:highlight w:val="none"/>
                <w:lang w:val="en-US" w:eastAsia="zh-CN"/>
              </w:rPr>
              <w:t xml:space="preserve"> </w:t>
            </w:r>
            <w:r>
              <w:rPr>
                <w:rFonts w:hint="eastAsia" w:asciiTheme="minorEastAsia" w:hAnsiTheme="minorEastAsia" w:eastAsiaTheme="minorEastAsia" w:cstheme="minorEastAsia"/>
                <w:color w:val="auto"/>
                <w:spacing w:val="-1"/>
                <w:sz w:val="21"/>
                <w:szCs w:val="21"/>
                <w:highlight w:val="none"/>
                <w:lang w:eastAsia="zh-CN"/>
              </w:rPr>
              <w:t>11.运行时间检测</w:t>
            </w:r>
            <w:r>
              <w:rPr>
                <w:rFonts w:hint="eastAsia" w:asciiTheme="minorEastAsia" w:hAnsiTheme="minorEastAsia" w:eastAsiaTheme="minorEastAsia" w:cstheme="minorEastAsia"/>
                <w:color w:val="auto"/>
                <w:spacing w:val="-1"/>
                <w:sz w:val="21"/>
                <w:szCs w:val="21"/>
                <w:highlight w:val="none"/>
                <w:lang w:val="en-US" w:eastAsia="zh-CN"/>
              </w:rPr>
              <w:t xml:space="preserve"> </w:t>
            </w:r>
            <w:r>
              <w:rPr>
                <w:rFonts w:hint="eastAsia" w:asciiTheme="minorEastAsia" w:hAnsiTheme="minorEastAsia" w:eastAsiaTheme="minorEastAsia" w:cstheme="minorEastAsia"/>
                <w:color w:val="auto"/>
                <w:spacing w:val="-1"/>
                <w:sz w:val="21"/>
                <w:szCs w:val="21"/>
                <w:highlight w:val="none"/>
                <w:lang w:eastAsia="zh-CN"/>
              </w:rPr>
              <w:t xml:space="preserve">12.底坑急停 13.通讯评价 </w:t>
            </w:r>
          </w:p>
          <w:p w14:paraId="2097CF79">
            <w:pPr>
              <w:pStyle w:val="27"/>
              <w:spacing w:before="98" w:line="219" w:lineRule="auto"/>
              <w:jc w:val="both"/>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14.换站停靠 15.过热保护 16.行程保护</w:t>
            </w:r>
            <w:r>
              <w:rPr>
                <w:rFonts w:hint="eastAsia" w:asciiTheme="minorEastAsia" w:hAnsiTheme="minorEastAsia" w:eastAsiaTheme="minorEastAsia" w:cstheme="minorEastAsia"/>
                <w:color w:val="auto"/>
                <w:spacing w:val="-1"/>
                <w:sz w:val="21"/>
                <w:szCs w:val="21"/>
                <w:highlight w:val="none"/>
                <w:lang w:val="en-US" w:eastAsia="zh-CN"/>
              </w:rPr>
              <w:t xml:space="preserve"> </w:t>
            </w:r>
            <w:r>
              <w:rPr>
                <w:rFonts w:hint="eastAsia" w:asciiTheme="minorEastAsia" w:hAnsiTheme="minorEastAsia" w:eastAsiaTheme="minorEastAsia" w:cstheme="minorEastAsia"/>
                <w:color w:val="auto"/>
                <w:spacing w:val="-1"/>
                <w:sz w:val="21"/>
                <w:szCs w:val="21"/>
                <w:highlight w:val="none"/>
                <w:lang w:eastAsia="zh-CN"/>
              </w:rPr>
              <w:t>17.限速器安全开关</w:t>
            </w:r>
          </w:p>
          <w:p w14:paraId="4B296B9E">
            <w:pPr>
              <w:pStyle w:val="27"/>
              <w:spacing w:before="98" w:line="219" w:lineRule="auto"/>
              <w:jc w:val="both"/>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18.相位检测</w:t>
            </w:r>
            <w:r>
              <w:rPr>
                <w:rFonts w:hint="eastAsia" w:asciiTheme="minorEastAsia" w:hAnsiTheme="minorEastAsia" w:eastAsiaTheme="minorEastAsia" w:cstheme="minorEastAsia"/>
                <w:color w:val="auto"/>
                <w:spacing w:val="-1"/>
                <w:sz w:val="21"/>
                <w:szCs w:val="21"/>
                <w:highlight w:val="none"/>
                <w:lang w:val="en-US" w:eastAsia="zh-CN"/>
              </w:rPr>
              <w:t xml:space="preserve"> </w:t>
            </w:r>
            <w:r>
              <w:rPr>
                <w:rFonts w:hint="eastAsia" w:asciiTheme="minorEastAsia" w:hAnsiTheme="minorEastAsia" w:eastAsiaTheme="minorEastAsia" w:cstheme="minorEastAsia"/>
                <w:color w:val="auto"/>
                <w:spacing w:val="-1"/>
                <w:sz w:val="21"/>
                <w:szCs w:val="21"/>
                <w:highlight w:val="none"/>
                <w:lang w:eastAsia="zh-CN"/>
              </w:rPr>
              <w:t>19.重复开关门 20.救援运行</w:t>
            </w:r>
            <w:r>
              <w:rPr>
                <w:rFonts w:hint="eastAsia" w:asciiTheme="minorEastAsia" w:hAnsiTheme="minorEastAsia" w:eastAsiaTheme="minorEastAsia" w:cstheme="minorEastAsia"/>
                <w:color w:val="auto"/>
                <w:spacing w:val="-1"/>
                <w:sz w:val="21"/>
                <w:szCs w:val="21"/>
                <w:highlight w:val="none"/>
                <w:lang w:val="en-US" w:eastAsia="zh-CN"/>
              </w:rPr>
              <w:t xml:space="preserve"> </w:t>
            </w:r>
            <w:r>
              <w:rPr>
                <w:rFonts w:hint="eastAsia" w:asciiTheme="minorEastAsia" w:hAnsiTheme="minorEastAsia" w:eastAsiaTheme="minorEastAsia" w:cstheme="minorEastAsia"/>
                <w:color w:val="auto"/>
                <w:spacing w:val="-1"/>
                <w:sz w:val="21"/>
                <w:szCs w:val="21"/>
                <w:highlight w:val="none"/>
                <w:lang w:eastAsia="zh-CN"/>
              </w:rPr>
              <w:t>21.安全钳安全开关</w:t>
            </w:r>
          </w:p>
          <w:p w14:paraId="51D07C5A">
            <w:pPr>
              <w:pStyle w:val="27"/>
              <w:spacing w:before="98" w:line="219" w:lineRule="auto"/>
              <w:jc w:val="both"/>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22.轿厢限速器绳涨紧安全开关 23.轿厢意外移动防护</w:t>
            </w:r>
          </w:p>
          <w:p w14:paraId="21E45AA0">
            <w:pPr>
              <w:pStyle w:val="27"/>
              <w:spacing w:before="98" w:line="219" w:lineRule="auto"/>
              <w:jc w:val="both"/>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24.应急照明 25.应急电源 26.五方通话 27.检修运行 28.满载直驶</w:t>
            </w:r>
          </w:p>
          <w:p w14:paraId="6ACD0970">
            <w:pPr>
              <w:pStyle w:val="27"/>
              <w:spacing w:before="98" w:line="219" w:lineRule="auto"/>
              <w:jc w:val="both"/>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29.轿厢位置，七段码 30.运行方向显，31.外呼登记显示</w:t>
            </w:r>
          </w:p>
          <w:p w14:paraId="2A25F85D">
            <w:pPr>
              <w:pStyle w:val="27"/>
              <w:spacing w:before="98" w:line="219" w:lineRule="auto"/>
              <w:jc w:val="both"/>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 xml:space="preserve">32.内呼显示，33.超载提醒，34.位置指示，35.精确再平层 </w:t>
            </w:r>
          </w:p>
          <w:p w14:paraId="242DBA50">
            <w:pPr>
              <w:pStyle w:val="27"/>
              <w:spacing w:before="98" w:line="219" w:lineRule="auto"/>
              <w:jc w:val="both"/>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 xml:space="preserve">36.外呼重开门 37.光幕检测，38.反向内呼，39.外呼互锁 </w:t>
            </w:r>
          </w:p>
          <w:p w14:paraId="1EC3A3D3">
            <w:pPr>
              <w:spacing w:line="360" w:lineRule="exac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40.指令消除 41.停电再平层（应急救援装置）4</w:t>
            </w:r>
            <w:r>
              <w:rPr>
                <w:rFonts w:hint="eastAsia" w:asciiTheme="minorEastAsia" w:hAnsiTheme="minorEastAsia" w:eastAsiaTheme="minorEastAsia" w:cstheme="minorEastAsia"/>
                <w:color w:val="auto"/>
                <w:spacing w:val="-1"/>
                <w:sz w:val="21"/>
                <w:szCs w:val="21"/>
                <w:highlight w:val="none"/>
                <w:lang w:val="en-US" w:eastAsia="zh-CN"/>
              </w:rPr>
              <w:t>2</w:t>
            </w:r>
            <w:r>
              <w:rPr>
                <w:rFonts w:hint="eastAsia" w:asciiTheme="minorEastAsia" w:hAnsiTheme="minorEastAsia" w:eastAsiaTheme="minorEastAsia" w:cstheme="minorEastAsia"/>
                <w:color w:val="auto"/>
                <w:spacing w:val="-1"/>
                <w:sz w:val="21"/>
                <w:szCs w:val="21"/>
                <w:highlight w:val="none"/>
              </w:rPr>
              <w:t>.语音报站（中文）</w:t>
            </w:r>
            <w:r>
              <w:rPr>
                <w:rFonts w:hint="eastAsia" w:asciiTheme="minorEastAsia" w:hAnsiTheme="minorEastAsia" w:eastAsiaTheme="minorEastAsia" w:cstheme="minorEastAsia"/>
                <w:color w:val="auto"/>
                <w:spacing w:val="-1"/>
                <w:sz w:val="21"/>
                <w:szCs w:val="21"/>
                <w:highlight w:val="none"/>
                <w:lang w:eastAsia="zh-CN"/>
              </w:rPr>
              <w:t>。</w:t>
            </w:r>
          </w:p>
        </w:tc>
      </w:tr>
      <w:tr w14:paraId="2A7A1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9" w:type="pct"/>
            <w:tcBorders>
              <w:top w:val="single" w:color="auto" w:sz="4" w:space="0"/>
              <w:left w:val="single" w:color="auto" w:sz="4" w:space="0"/>
              <w:bottom w:val="single" w:color="auto" w:sz="4" w:space="0"/>
              <w:right w:val="single" w:color="auto" w:sz="4" w:space="0"/>
            </w:tcBorders>
            <w:noWrap w:val="0"/>
            <w:vAlign w:val="center"/>
          </w:tcPr>
          <w:p w14:paraId="6EF35C63">
            <w:pPr>
              <w:spacing w:line="440" w:lineRule="exact"/>
              <w:jc w:val="center"/>
              <w:rPr>
                <w:rFonts w:hint="eastAsia" w:eastAsia="宋体"/>
                <w:color w:val="auto"/>
                <w:szCs w:val="21"/>
                <w:highlight w:val="none"/>
                <w:lang w:val="en-US" w:eastAsia="zh-CN"/>
              </w:rPr>
            </w:pPr>
            <w:r>
              <w:rPr>
                <w:rFonts w:hint="eastAsia"/>
                <w:color w:val="auto"/>
                <w:szCs w:val="21"/>
                <w:highlight w:val="none"/>
                <w:lang w:val="en-US" w:eastAsia="zh-CN"/>
              </w:rPr>
              <w:t>4</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46A30E37">
            <w:pPr>
              <w:pStyle w:val="27"/>
              <w:spacing w:before="72" w:line="219" w:lineRule="auto"/>
              <w:jc w:val="center"/>
              <w:rPr>
                <w:rFonts w:hint="eastAsia"/>
                <w:b/>
                <w:bCs/>
                <w:color w:val="auto"/>
                <w:spacing w:val="-5"/>
                <w:highlight w:val="none"/>
                <w:lang w:val="en-US" w:eastAsia="zh-CN"/>
              </w:rPr>
            </w:pPr>
            <w:r>
              <w:rPr>
                <w:rFonts w:hint="eastAsia"/>
                <w:b/>
                <w:bCs/>
                <w:color w:val="auto"/>
                <w:spacing w:val="-5"/>
                <w:highlight w:val="none"/>
                <w:lang w:val="en-US" w:eastAsia="zh-CN"/>
              </w:rPr>
              <w:t>医用</w:t>
            </w:r>
          </w:p>
          <w:p w14:paraId="637E5D17">
            <w:pPr>
              <w:pStyle w:val="27"/>
              <w:spacing w:before="72" w:line="219" w:lineRule="auto"/>
              <w:jc w:val="center"/>
              <w:rPr>
                <w:rFonts w:hint="default"/>
                <w:b/>
                <w:bCs/>
                <w:color w:val="auto"/>
                <w:spacing w:val="-5"/>
                <w:highlight w:val="none"/>
                <w:lang w:val="en-US"/>
              </w:rPr>
            </w:pPr>
            <w:r>
              <w:rPr>
                <w:rFonts w:hint="eastAsia"/>
                <w:b/>
                <w:bCs/>
                <w:color w:val="auto"/>
                <w:spacing w:val="-5"/>
                <w:highlight w:val="none"/>
                <w:lang w:val="en-US" w:eastAsia="zh-CN"/>
              </w:rPr>
              <w:t>电梯</w:t>
            </w:r>
          </w:p>
        </w:tc>
        <w:tc>
          <w:tcPr>
            <w:tcW w:w="297" w:type="pct"/>
            <w:tcBorders>
              <w:top w:val="single" w:color="auto" w:sz="4" w:space="0"/>
              <w:left w:val="single" w:color="auto" w:sz="4" w:space="0"/>
              <w:bottom w:val="single" w:color="auto" w:sz="4" w:space="0"/>
              <w:right w:val="single" w:color="auto" w:sz="4" w:space="0"/>
            </w:tcBorders>
            <w:noWrap w:val="0"/>
            <w:vAlign w:val="center"/>
          </w:tcPr>
          <w:p w14:paraId="347C877B">
            <w:pPr>
              <w:spacing w:line="440" w:lineRule="exact"/>
              <w:jc w:val="center"/>
              <w:rPr>
                <w:rFonts w:hint="eastAsia" w:eastAsia="宋体"/>
                <w:b/>
                <w:bCs/>
                <w:color w:val="auto"/>
                <w:spacing w:val="11"/>
                <w:highlight w:val="none"/>
                <w:lang w:val="en-US" w:eastAsia="zh-CN"/>
              </w:rPr>
            </w:pPr>
            <w:r>
              <w:rPr>
                <w:rFonts w:hint="eastAsia"/>
                <w:b/>
                <w:bCs/>
                <w:color w:val="auto"/>
                <w:spacing w:val="11"/>
                <w:highlight w:val="none"/>
                <w:lang w:val="en-US" w:eastAsia="zh-CN"/>
              </w:rPr>
              <w:t>1</w:t>
            </w:r>
          </w:p>
        </w:tc>
        <w:tc>
          <w:tcPr>
            <w:tcW w:w="219" w:type="pct"/>
            <w:tcBorders>
              <w:top w:val="single" w:color="auto" w:sz="4" w:space="0"/>
              <w:left w:val="single" w:color="auto" w:sz="4" w:space="0"/>
              <w:bottom w:val="single" w:color="auto" w:sz="4" w:space="0"/>
              <w:right w:val="single" w:color="auto" w:sz="4" w:space="0"/>
            </w:tcBorders>
            <w:noWrap w:val="0"/>
            <w:vAlign w:val="center"/>
          </w:tcPr>
          <w:p w14:paraId="23FD43B4">
            <w:pPr>
              <w:spacing w:line="440" w:lineRule="exact"/>
              <w:jc w:val="center"/>
              <w:rPr>
                <w:rFonts w:hint="eastAsia" w:eastAsia="宋体"/>
                <w:b/>
                <w:bCs/>
                <w:color w:val="auto"/>
                <w:spacing w:val="11"/>
                <w:highlight w:val="none"/>
                <w:lang w:val="en-US" w:eastAsia="zh-CN"/>
              </w:rPr>
            </w:pPr>
            <w:r>
              <w:rPr>
                <w:rFonts w:hint="eastAsia"/>
                <w:b/>
                <w:bCs/>
                <w:color w:val="auto"/>
                <w:spacing w:val="11"/>
                <w:highlight w:val="none"/>
                <w:lang w:val="en-US" w:eastAsia="zh-CN"/>
              </w:rPr>
              <w:t>台</w:t>
            </w:r>
          </w:p>
        </w:tc>
        <w:tc>
          <w:tcPr>
            <w:tcW w:w="650" w:type="pct"/>
            <w:tcBorders>
              <w:top w:val="single" w:color="auto" w:sz="4" w:space="0"/>
              <w:left w:val="single" w:color="auto" w:sz="4" w:space="0"/>
              <w:bottom w:val="single" w:color="auto" w:sz="4" w:space="0"/>
              <w:right w:val="single" w:color="auto" w:sz="4" w:space="0"/>
            </w:tcBorders>
            <w:noWrap w:val="0"/>
            <w:vAlign w:val="center"/>
          </w:tcPr>
          <w:p w14:paraId="0F63CFB9">
            <w:pPr>
              <w:spacing w:line="440" w:lineRule="exact"/>
              <w:jc w:val="center"/>
              <w:rPr>
                <w:rFonts w:hint="default" w:eastAsia="宋体"/>
                <w:b/>
                <w:bCs/>
                <w:color w:val="auto"/>
                <w:spacing w:val="11"/>
                <w:highlight w:val="none"/>
                <w:lang w:val="en" w:eastAsia="zh-CN"/>
              </w:rPr>
            </w:pPr>
            <w:r>
              <w:rPr>
                <w:rFonts w:hint="eastAsia"/>
                <w:b/>
                <w:bCs/>
                <w:color w:val="auto"/>
                <w:spacing w:val="11"/>
                <w:highlight w:val="none"/>
                <w:lang w:val="en-US" w:eastAsia="zh-CN"/>
              </w:rPr>
              <w:t>2970</w:t>
            </w:r>
            <w:r>
              <w:rPr>
                <w:rFonts w:hint="default"/>
                <w:b/>
                <w:bCs/>
                <w:color w:val="auto"/>
                <w:spacing w:val="11"/>
                <w:highlight w:val="none"/>
                <w:lang w:val="en" w:eastAsia="zh-CN"/>
              </w:rPr>
              <w:t>00.00</w:t>
            </w:r>
          </w:p>
        </w:tc>
        <w:tc>
          <w:tcPr>
            <w:tcW w:w="3233" w:type="pct"/>
            <w:tcBorders>
              <w:top w:val="single" w:color="auto" w:sz="4" w:space="0"/>
              <w:left w:val="single" w:color="auto" w:sz="4" w:space="0"/>
              <w:bottom w:val="single" w:color="auto" w:sz="4" w:space="0"/>
              <w:right w:val="single" w:color="auto" w:sz="4" w:space="0"/>
            </w:tcBorders>
            <w:noWrap w:val="0"/>
            <w:vAlign w:val="center"/>
          </w:tcPr>
          <w:p w14:paraId="419D5193">
            <w:pPr>
              <w:pStyle w:val="27"/>
              <w:spacing w:before="65" w:line="219" w:lineRule="auto"/>
              <w:ind w:left="28"/>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6"/>
                <w:sz w:val="21"/>
                <w:szCs w:val="21"/>
                <w:highlight w:val="none"/>
                <w:lang w:eastAsia="zh-CN"/>
              </w:rPr>
              <w:t>一、基本参数</w:t>
            </w:r>
          </w:p>
          <w:p w14:paraId="62CD9FF5">
            <w:pPr>
              <w:pStyle w:val="27"/>
              <w:rPr>
                <w:rFonts w:hint="eastAsia" w:asciiTheme="minorEastAsia" w:hAnsiTheme="minorEastAsia" w:eastAsiaTheme="minorEastAsia" w:cstheme="minorEastAsia"/>
                <w:color w:val="auto"/>
                <w:spacing w:val="18"/>
                <w:sz w:val="21"/>
                <w:szCs w:val="21"/>
                <w:highlight w:val="none"/>
                <w:lang w:eastAsia="zh-CN"/>
              </w:rPr>
            </w:pPr>
            <w:r>
              <w:rPr>
                <w:rFonts w:hint="eastAsia" w:asciiTheme="minorEastAsia" w:hAnsiTheme="minorEastAsia" w:eastAsiaTheme="minorEastAsia" w:cstheme="minorEastAsia"/>
                <w:color w:val="auto"/>
                <w:spacing w:val="-3"/>
                <w:sz w:val="21"/>
                <w:szCs w:val="21"/>
                <w:highlight w:val="none"/>
                <w:lang w:eastAsia="zh-CN"/>
              </w:rPr>
              <w:t>1、电梯类型：DT5。</w:t>
            </w:r>
          </w:p>
          <w:p w14:paraId="29FF76D1">
            <w:pPr>
              <w:pStyle w:val="27"/>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4"/>
                <w:sz w:val="21"/>
                <w:szCs w:val="21"/>
                <w:highlight w:val="none"/>
                <w:lang w:val="en" w:eastAsia="zh-CN"/>
              </w:rPr>
              <w:t>▲</w:t>
            </w:r>
            <w:r>
              <w:rPr>
                <w:rFonts w:hint="eastAsia" w:asciiTheme="minorEastAsia" w:hAnsiTheme="minorEastAsia" w:eastAsiaTheme="minorEastAsia" w:cstheme="minorEastAsia"/>
                <w:color w:val="auto"/>
                <w:spacing w:val="-4"/>
                <w:sz w:val="21"/>
                <w:szCs w:val="21"/>
                <w:highlight w:val="none"/>
                <w:lang w:eastAsia="zh-CN"/>
              </w:rPr>
              <w:t>2、载重量：1600kg。</w:t>
            </w:r>
          </w:p>
          <w:p w14:paraId="7AD3CDAC">
            <w:pPr>
              <w:pStyle w:val="27"/>
              <w:spacing w:before="8" w:line="219"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5"/>
                <w:sz w:val="21"/>
                <w:szCs w:val="21"/>
                <w:highlight w:val="none"/>
                <w:lang w:val="en" w:eastAsia="zh-CN"/>
              </w:rPr>
              <w:t>▲</w:t>
            </w:r>
            <w:r>
              <w:rPr>
                <w:rFonts w:hint="eastAsia" w:asciiTheme="minorEastAsia" w:hAnsiTheme="minorEastAsia" w:eastAsiaTheme="minorEastAsia" w:cstheme="minorEastAsia"/>
                <w:color w:val="auto"/>
                <w:spacing w:val="5"/>
                <w:sz w:val="21"/>
                <w:szCs w:val="21"/>
                <w:highlight w:val="none"/>
                <w:lang w:eastAsia="zh-CN"/>
              </w:rPr>
              <w:t>3、速度：1.75米/秒。</w:t>
            </w:r>
          </w:p>
          <w:p w14:paraId="1FD7BE09">
            <w:pPr>
              <w:pStyle w:val="27"/>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2"/>
                <w:sz w:val="21"/>
                <w:szCs w:val="21"/>
                <w:highlight w:val="none"/>
                <w:lang w:val="en" w:eastAsia="zh-CN"/>
              </w:rPr>
              <w:t>▲</w:t>
            </w:r>
            <w:r>
              <w:rPr>
                <w:rFonts w:hint="eastAsia" w:asciiTheme="minorEastAsia" w:hAnsiTheme="minorEastAsia" w:eastAsiaTheme="minorEastAsia" w:cstheme="minorEastAsia"/>
                <w:color w:val="auto"/>
                <w:spacing w:val="-2"/>
                <w:sz w:val="21"/>
                <w:szCs w:val="21"/>
                <w:highlight w:val="none"/>
                <w:lang w:eastAsia="zh-CN"/>
              </w:rPr>
              <w:t>4、层/站/门：共计10层/10站/10门。</w:t>
            </w:r>
          </w:p>
          <w:p w14:paraId="534D1194">
            <w:pPr>
              <w:pStyle w:val="27"/>
              <w:numPr>
                <w:ilvl w:val="0"/>
                <w:numId w:val="0"/>
              </w:numPr>
              <w:spacing w:before="69" w:line="219"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3"/>
                <w:sz w:val="21"/>
                <w:szCs w:val="21"/>
                <w:highlight w:val="none"/>
                <w:lang w:val="en-US" w:eastAsia="zh-CN"/>
              </w:rPr>
              <w:t xml:space="preserve">  5、</w:t>
            </w:r>
            <w:r>
              <w:rPr>
                <w:rFonts w:hint="eastAsia" w:asciiTheme="minorEastAsia" w:hAnsiTheme="minorEastAsia" w:eastAsiaTheme="minorEastAsia" w:cstheme="minorEastAsia"/>
                <w:color w:val="auto"/>
                <w:spacing w:val="-3"/>
                <w:sz w:val="21"/>
                <w:szCs w:val="21"/>
                <w:highlight w:val="none"/>
              </w:rPr>
              <w:t>提升高度：</w:t>
            </w:r>
            <w:r>
              <w:rPr>
                <w:rFonts w:hint="eastAsia" w:asciiTheme="minorEastAsia" w:hAnsiTheme="minorEastAsia" w:eastAsiaTheme="minorEastAsia" w:cstheme="minorEastAsia"/>
                <w:color w:val="auto"/>
                <w:spacing w:val="-2"/>
                <w:sz w:val="21"/>
                <w:szCs w:val="21"/>
                <w:highlight w:val="none"/>
                <w:lang w:eastAsia="zh-CN"/>
              </w:rPr>
              <w:t>31.5m</w:t>
            </w:r>
            <w:r>
              <w:rPr>
                <w:rFonts w:hint="eastAsia" w:asciiTheme="minorEastAsia" w:hAnsiTheme="minorEastAsia" w:eastAsiaTheme="minorEastAsia" w:cstheme="minorEastAsia"/>
                <w:color w:val="auto"/>
                <w:sz w:val="21"/>
                <w:szCs w:val="21"/>
                <w:highlight w:val="none"/>
                <w:lang w:eastAsia="zh-CN"/>
              </w:rPr>
              <w:t>。</w:t>
            </w:r>
          </w:p>
          <w:p w14:paraId="017F4068">
            <w:pPr>
              <w:pStyle w:val="27"/>
              <w:numPr>
                <w:ilvl w:val="0"/>
                <w:numId w:val="0"/>
              </w:numPr>
              <w:spacing w:before="69" w:line="219"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2"/>
                <w:sz w:val="21"/>
                <w:szCs w:val="21"/>
                <w:highlight w:val="none"/>
                <w:lang w:val="en" w:eastAsia="zh-CN"/>
              </w:rPr>
              <w:t>▲</w:t>
            </w:r>
            <w:r>
              <w:rPr>
                <w:rFonts w:hint="eastAsia" w:asciiTheme="minorEastAsia" w:hAnsiTheme="minorEastAsia" w:eastAsiaTheme="minorEastAsia" w:cstheme="minorEastAsia"/>
                <w:color w:val="auto"/>
                <w:spacing w:val="-3"/>
                <w:sz w:val="21"/>
                <w:szCs w:val="21"/>
                <w:highlight w:val="none"/>
                <w:lang w:eastAsia="zh-CN"/>
              </w:rPr>
              <w:t>6、底坑净深：1400 mm,顶层高度3900 mm。（</w:t>
            </w:r>
            <w:r>
              <w:rPr>
                <w:rFonts w:hint="eastAsia" w:asciiTheme="minorEastAsia" w:hAnsiTheme="minorEastAsia" w:eastAsiaTheme="minorEastAsia" w:cstheme="minorEastAsia"/>
                <w:color w:val="auto"/>
                <w:spacing w:val="-3"/>
                <w:sz w:val="21"/>
                <w:szCs w:val="21"/>
                <w:highlight w:val="none"/>
                <w:lang w:val="en-US" w:eastAsia="zh-CN"/>
              </w:rPr>
              <w:t>采购人土建已完成，为了建筑结构的安全，</w:t>
            </w:r>
            <w:r>
              <w:rPr>
                <w:rFonts w:hint="eastAsia" w:asciiTheme="minorEastAsia" w:hAnsiTheme="minorEastAsia" w:eastAsiaTheme="minorEastAsia" w:cstheme="minorEastAsia"/>
                <w:color w:val="auto"/>
                <w:spacing w:val="-3"/>
                <w:sz w:val="21"/>
                <w:szCs w:val="21"/>
                <w:highlight w:val="none"/>
                <w:lang w:eastAsia="zh-CN"/>
              </w:rPr>
              <w:t>不能做结构性土建整改</w:t>
            </w:r>
            <w:r>
              <w:rPr>
                <w:rFonts w:hint="eastAsia" w:asciiTheme="minorEastAsia" w:hAnsiTheme="minorEastAsia" w:eastAsiaTheme="minorEastAsia" w:cstheme="minorEastAsia"/>
                <w:color w:val="auto"/>
                <w:spacing w:val="-3"/>
                <w:sz w:val="21"/>
                <w:szCs w:val="21"/>
                <w:highlight w:val="none"/>
                <w:lang w:val="en-US" w:eastAsia="zh-CN"/>
              </w:rPr>
              <w:t>:包括但不限于机房楼板的破坏、圈梁的浇筑等。</w:t>
            </w:r>
            <w:r>
              <w:rPr>
                <w:rFonts w:hint="eastAsia" w:asciiTheme="minorEastAsia" w:hAnsiTheme="minorEastAsia" w:eastAsiaTheme="minorEastAsia" w:cstheme="minorEastAsia"/>
                <w:color w:val="auto"/>
                <w:spacing w:val="-3"/>
                <w:sz w:val="21"/>
                <w:szCs w:val="21"/>
                <w:highlight w:val="none"/>
                <w:lang w:eastAsia="zh-CN"/>
              </w:rPr>
              <w:t>）</w:t>
            </w:r>
          </w:p>
          <w:p w14:paraId="407A28D0">
            <w:pPr>
              <w:pStyle w:val="27"/>
              <w:spacing w:before="74" w:line="219" w:lineRule="auto"/>
              <w:ind w:left="28"/>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3"/>
                <w:sz w:val="21"/>
                <w:szCs w:val="21"/>
                <w:highlight w:val="none"/>
                <w:lang w:eastAsia="zh-CN"/>
              </w:rPr>
              <w:t>7、井道尺寸宽×深：现场勘察，以实际测量为准。</w:t>
            </w:r>
          </w:p>
          <w:p w14:paraId="46ACF28E">
            <w:pPr>
              <w:pStyle w:val="27"/>
              <w:spacing w:before="69" w:line="219"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2"/>
                <w:sz w:val="21"/>
                <w:szCs w:val="21"/>
                <w:highlight w:val="none"/>
                <w:lang w:val="en" w:eastAsia="zh-CN"/>
              </w:rPr>
              <w:t>▲</w:t>
            </w:r>
            <w:r>
              <w:rPr>
                <w:rFonts w:hint="eastAsia" w:asciiTheme="minorEastAsia" w:hAnsiTheme="minorEastAsia" w:eastAsiaTheme="minorEastAsia" w:cstheme="minorEastAsia"/>
                <w:color w:val="auto"/>
                <w:spacing w:val="-4"/>
                <w:sz w:val="21"/>
                <w:szCs w:val="21"/>
                <w:highlight w:val="none"/>
                <w:lang w:eastAsia="zh-CN"/>
              </w:rPr>
              <w:t>8、轿厢尺寸宽×深×高：按照井道尺寸设计最大轿厢尺寸，轿厢高2400mm。</w:t>
            </w:r>
          </w:p>
          <w:p w14:paraId="4C2FFBFE">
            <w:pPr>
              <w:pStyle w:val="27"/>
              <w:spacing w:before="71" w:line="220" w:lineRule="auto"/>
              <w:ind w:left="28"/>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2"/>
                <w:sz w:val="21"/>
                <w:szCs w:val="21"/>
                <w:highlight w:val="none"/>
                <w:lang w:val="en" w:eastAsia="zh-CN"/>
              </w:rPr>
              <w:t>▲</w:t>
            </w:r>
            <w:r>
              <w:rPr>
                <w:rFonts w:hint="eastAsia" w:asciiTheme="minorEastAsia" w:hAnsiTheme="minorEastAsia" w:eastAsiaTheme="minorEastAsia" w:cstheme="minorEastAsia"/>
                <w:color w:val="auto"/>
                <w:sz w:val="21"/>
                <w:szCs w:val="21"/>
                <w:highlight w:val="none"/>
                <w:lang w:eastAsia="zh-CN"/>
              </w:rPr>
              <w:t>9、开门宽度：</w:t>
            </w:r>
            <w:r>
              <w:rPr>
                <w:rFonts w:hint="eastAsia" w:asciiTheme="minorEastAsia" w:hAnsiTheme="minorEastAsia" w:eastAsiaTheme="minorEastAsia" w:cstheme="minorEastAsia"/>
                <w:color w:val="auto"/>
                <w:spacing w:val="-4"/>
                <w:sz w:val="21"/>
                <w:szCs w:val="21"/>
                <w:highlight w:val="none"/>
                <w:lang w:eastAsia="zh-CN"/>
              </w:rPr>
              <w:t>1000mm。</w:t>
            </w:r>
          </w:p>
          <w:p w14:paraId="1D061A19">
            <w:pPr>
              <w:pStyle w:val="27"/>
              <w:spacing w:before="77" w:line="219" w:lineRule="auto"/>
              <w:ind w:left="28"/>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2"/>
                <w:sz w:val="21"/>
                <w:szCs w:val="21"/>
                <w:highlight w:val="none"/>
                <w:lang w:val="en" w:eastAsia="zh-CN"/>
              </w:rPr>
              <w:t>▲</w:t>
            </w:r>
            <w:r>
              <w:rPr>
                <w:rFonts w:hint="eastAsia" w:asciiTheme="minorEastAsia" w:hAnsiTheme="minorEastAsia" w:eastAsiaTheme="minorEastAsia" w:cstheme="minorEastAsia"/>
                <w:color w:val="auto"/>
                <w:spacing w:val="-3"/>
                <w:sz w:val="21"/>
                <w:szCs w:val="21"/>
                <w:highlight w:val="none"/>
                <w:lang w:eastAsia="zh-CN"/>
              </w:rPr>
              <w:t>10、开门高度：2100mm。</w:t>
            </w:r>
          </w:p>
          <w:p w14:paraId="671D18F7">
            <w:pPr>
              <w:pStyle w:val="27"/>
              <w:spacing w:before="80" w:line="220" w:lineRule="auto"/>
              <w:ind w:left="28"/>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pacing w:val="5"/>
                <w:sz w:val="21"/>
                <w:szCs w:val="21"/>
                <w:highlight w:val="none"/>
                <w:lang w:eastAsia="zh-CN"/>
              </w:rPr>
              <w:t>11、开门方式：自动中分门、</w:t>
            </w:r>
            <w:r>
              <w:rPr>
                <w:rFonts w:hint="eastAsia" w:asciiTheme="minorEastAsia" w:hAnsiTheme="minorEastAsia" w:eastAsiaTheme="minorEastAsia" w:cstheme="minorEastAsia"/>
                <w:color w:val="auto"/>
                <w:spacing w:val="5"/>
                <w:sz w:val="21"/>
                <w:szCs w:val="21"/>
                <w:highlight w:val="none"/>
                <w:lang w:val="en-US" w:eastAsia="zh-CN"/>
              </w:rPr>
              <w:t>侧开门。</w:t>
            </w:r>
          </w:p>
          <w:p w14:paraId="1BBAD087">
            <w:pPr>
              <w:pStyle w:val="27"/>
              <w:spacing w:before="76" w:line="219" w:lineRule="auto"/>
              <w:ind w:left="28"/>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2"/>
                <w:sz w:val="21"/>
                <w:szCs w:val="21"/>
                <w:highlight w:val="none"/>
                <w:lang w:eastAsia="zh-CN"/>
              </w:rPr>
              <w:t>12、机房位置：井道顶部。</w:t>
            </w:r>
          </w:p>
          <w:p w14:paraId="70610E2C">
            <w:pPr>
              <w:pStyle w:val="27"/>
              <w:spacing w:before="47" w:line="216" w:lineRule="auto"/>
              <w:ind w:left="28"/>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2"/>
                <w:sz w:val="21"/>
                <w:szCs w:val="21"/>
                <w:highlight w:val="none"/>
                <w:lang w:eastAsia="zh-CN"/>
              </w:rPr>
              <w:t>13、动力电源范围：主电源：380V；3相；50 Hz。</w:t>
            </w:r>
          </w:p>
          <w:p w14:paraId="0960B135">
            <w:pPr>
              <w:pStyle w:val="27"/>
              <w:spacing w:before="73" w:line="216" w:lineRule="auto"/>
              <w:ind w:left="28"/>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2"/>
                <w:sz w:val="21"/>
                <w:szCs w:val="21"/>
                <w:highlight w:val="none"/>
                <w:lang w:eastAsia="zh-CN"/>
              </w:rPr>
              <w:t>14、照明电源范围：220V；单相；50 Hz。</w:t>
            </w:r>
          </w:p>
          <w:p w14:paraId="4324765B">
            <w:pPr>
              <w:pStyle w:val="27"/>
              <w:spacing w:before="95" w:line="264" w:lineRule="auto"/>
              <w:ind w:left="28" w:right="2475"/>
              <w:rPr>
                <w:rFonts w:hint="eastAsia" w:asciiTheme="minorEastAsia" w:hAnsiTheme="minorEastAsia" w:eastAsiaTheme="minorEastAsia" w:cstheme="minorEastAsia"/>
                <w:color w:val="auto"/>
                <w:spacing w:val="2"/>
                <w:sz w:val="21"/>
                <w:szCs w:val="21"/>
                <w:highlight w:val="none"/>
                <w:lang w:eastAsia="zh-CN"/>
              </w:rPr>
            </w:pPr>
            <w:r>
              <w:rPr>
                <w:rFonts w:hint="eastAsia" w:asciiTheme="minorEastAsia" w:hAnsiTheme="minorEastAsia" w:eastAsiaTheme="minorEastAsia" w:cstheme="minorEastAsia"/>
                <w:color w:val="auto"/>
                <w:spacing w:val="-3"/>
                <w:sz w:val="21"/>
                <w:szCs w:val="21"/>
                <w:highlight w:val="none"/>
                <w:lang w:eastAsia="zh-CN"/>
              </w:rPr>
              <w:t>15、供电方式：三相五线制。</w:t>
            </w:r>
            <w:r>
              <w:rPr>
                <w:rFonts w:hint="eastAsia" w:asciiTheme="minorEastAsia" w:hAnsiTheme="minorEastAsia" w:eastAsiaTheme="minorEastAsia" w:cstheme="minorEastAsia"/>
                <w:color w:val="auto"/>
                <w:spacing w:val="2"/>
                <w:sz w:val="21"/>
                <w:szCs w:val="21"/>
                <w:highlight w:val="none"/>
                <w:lang w:eastAsia="zh-CN"/>
              </w:rPr>
              <w:t xml:space="preserve"> </w:t>
            </w:r>
          </w:p>
          <w:p w14:paraId="600DD86F">
            <w:pPr>
              <w:pStyle w:val="27"/>
              <w:spacing w:before="68" w:line="273" w:lineRule="auto"/>
              <w:ind w:left="26" w:hanging="9"/>
              <w:rPr>
                <w:rFonts w:hint="eastAsia" w:asciiTheme="minorEastAsia" w:hAnsiTheme="minorEastAsia" w:eastAsiaTheme="minorEastAsia" w:cstheme="minorEastAsia"/>
                <w:color w:val="auto"/>
                <w:spacing w:val="-13"/>
                <w:sz w:val="21"/>
                <w:szCs w:val="21"/>
                <w:highlight w:val="none"/>
                <w:lang w:eastAsia="zh-CN"/>
              </w:rPr>
            </w:pPr>
            <w:r>
              <w:rPr>
                <w:rFonts w:hint="eastAsia" w:asciiTheme="minorEastAsia" w:hAnsiTheme="minorEastAsia" w:eastAsiaTheme="minorEastAsia" w:cstheme="minorEastAsia"/>
                <w:color w:val="auto"/>
                <w:spacing w:val="-3"/>
                <w:sz w:val="21"/>
                <w:szCs w:val="21"/>
                <w:highlight w:val="none"/>
                <w:lang w:val="en" w:eastAsia="zh-CN"/>
              </w:rPr>
              <w:t>▲</w:t>
            </w:r>
            <w:r>
              <w:rPr>
                <w:rFonts w:hint="eastAsia" w:asciiTheme="minorEastAsia" w:hAnsiTheme="minorEastAsia" w:eastAsiaTheme="minorEastAsia" w:cstheme="minorEastAsia"/>
                <w:color w:val="auto"/>
                <w:spacing w:val="-3"/>
                <w:sz w:val="21"/>
                <w:szCs w:val="21"/>
                <w:highlight w:val="none"/>
                <w:lang w:eastAsia="zh-CN"/>
              </w:rPr>
              <w:t>16、</w:t>
            </w:r>
            <w:r>
              <w:rPr>
                <w:rFonts w:hint="eastAsia" w:asciiTheme="minorEastAsia" w:hAnsiTheme="minorEastAsia" w:eastAsiaTheme="minorEastAsia" w:cstheme="minorEastAsia"/>
                <w:color w:val="auto"/>
                <w:spacing w:val="-13"/>
                <w:sz w:val="21"/>
                <w:szCs w:val="21"/>
                <w:highlight w:val="none"/>
                <w:lang w:eastAsia="zh-CN"/>
              </w:rPr>
              <w:t>控制方式：全微机电脑控制。</w:t>
            </w:r>
          </w:p>
          <w:p w14:paraId="5AF94D64">
            <w:pPr>
              <w:pStyle w:val="27"/>
              <w:spacing w:before="68" w:line="273" w:lineRule="auto"/>
              <w:ind w:left="26" w:hanging="9"/>
              <w:rPr>
                <w:rFonts w:hint="eastAsia" w:asciiTheme="minorEastAsia" w:hAnsiTheme="minorEastAsia" w:eastAsiaTheme="minorEastAsia" w:cstheme="minorEastAsia"/>
                <w:color w:val="auto"/>
                <w:spacing w:val="-13"/>
                <w:sz w:val="21"/>
                <w:szCs w:val="21"/>
                <w:highlight w:val="none"/>
                <w:lang w:eastAsia="zh-CN"/>
              </w:rPr>
            </w:pPr>
            <w:r>
              <w:rPr>
                <w:rFonts w:hint="eastAsia" w:asciiTheme="minorEastAsia" w:hAnsiTheme="minorEastAsia" w:eastAsiaTheme="minorEastAsia" w:cstheme="minorEastAsia"/>
                <w:color w:val="auto"/>
                <w:spacing w:val="-13"/>
                <w:sz w:val="21"/>
                <w:szCs w:val="21"/>
                <w:highlight w:val="none"/>
                <w:lang w:eastAsia="zh-CN"/>
              </w:rPr>
              <w:t>(以上具体安装技术参数，以实地测量尺寸为准。)</w:t>
            </w:r>
          </w:p>
          <w:p w14:paraId="13F8057D">
            <w:pPr>
              <w:pStyle w:val="27"/>
              <w:spacing w:before="68" w:line="273" w:lineRule="auto"/>
              <w:ind w:left="26" w:hanging="9"/>
              <w:rPr>
                <w:rFonts w:hint="eastAsia" w:asciiTheme="minorEastAsia" w:hAnsiTheme="minorEastAsia" w:eastAsiaTheme="minorEastAsia" w:cstheme="minorEastAsia"/>
                <w:color w:val="auto"/>
                <w:spacing w:val="-13"/>
                <w:sz w:val="21"/>
                <w:szCs w:val="21"/>
                <w:highlight w:val="none"/>
                <w:lang w:eastAsia="zh-CN"/>
              </w:rPr>
            </w:pPr>
            <w:r>
              <w:rPr>
                <w:rFonts w:hint="eastAsia" w:asciiTheme="minorEastAsia" w:hAnsiTheme="minorEastAsia" w:eastAsiaTheme="minorEastAsia" w:cstheme="minorEastAsia"/>
                <w:color w:val="auto"/>
                <w:spacing w:val="-17"/>
                <w:sz w:val="21"/>
                <w:szCs w:val="21"/>
                <w:highlight w:val="none"/>
                <w:lang w:val="en" w:eastAsia="zh-CN"/>
              </w:rPr>
              <w:t>▲</w:t>
            </w:r>
            <w:r>
              <w:rPr>
                <w:rFonts w:hint="eastAsia" w:asciiTheme="minorEastAsia" w:hAnsiTheme="minorEastAsia" w:eastAsiaTheme="minorEastAsia" w:cstheme="minorEastAsia"/>
                <w:color w:val="auto"/>
                <w:spacing w:val="-13"/>
                <w:sz w:val="21"/>
                <w:szCs w:val="21"/>
                <w:highlight w:val="none"/>
                <w:lang w:eastAsia="zh-CN"/>
              </w:rPr>
              <w:t>二、技术要求</w:t>
            </w:r>
          </w:p>
          <w:p w14:paraId="12FEB914">
            <w:pPr>
              <w:pStyle w:val="27"/>
              <w:spacing w:before="68" w:line="273" w:lineRule="auto"/>
              <w:ind w:left="26" w:hanging="9"/>
              <w:rPr>
                <w:rFonts w:hint="eastAsia" w:asciiTheme="minorEastAsia" w:hAnsiTheme="minorEastAsia" w:eastAsiaTheme="minorEastAsia" w:cstheme="minorEastAsia"/>
                <w:color w:val="auto"/>
                <w:spacing w:val="-13"/>
                <w:sz w:val="21"/>
                <w:szCs w:val="21"/>
                <w:highlight w:val="none"/>
                <w:lang w:eastAsia="zh-CN"/>
              </w:rPr>
            </w:pPr>
            <w:r>
              <w:rPr>
                <w:rFonts w:hint="eastAsia" w:asciiTheme="minorEastAsia" w:hAnsiTheme="minorEastAsia" w:eastAsiaTheme="minorEastAsia" w:cstheme="minorEastAsia"/>
                <w:color w:val="auto"/>
                <w:spacing w:val="-17"/>
                <w:sz w:val="21"/>
                <w:szCs w:val="21"/>
                <w:highlight w:val="none"/>
                <w:lang w:eastAsia="zh-CN"/>
              </w:rPr>
              <w:t>1、曳引系统：永磁同步无齿轮曳引机，曳引机防护等级</w:t>
            </w:r>
            <w:r>
              <w:rPr>
                <w:rFonts w:hint="eastAsia" w:asciiTheme="minorEastAsia" w:hAnsiTheme="minorEastAsia" w:eastAsiaTheme="minorEastAsia" w:cstheme="minorEastAsia"/>
                <w:color w:val="auto"/>
                <w:spacing w:val="-13"/>
                <w:sz w:val="21"/>
                <w:szCs w:val="21"/>
                <w:highlight w:val="none"/>
                <w:lang w:eastAsia="zh-CN"/>
              </w:rPr>
              <w:t>≥IP42，与</w:t>
            </w:r>
            <w:r>
              <w:rPr>
                <w:rFonts w:hint="eastAsia" w:asciiTheme="minorEastAsia" w:hAnsiTheme="minorEastAsia" w:eastAsiaTheme="minorEastAsia" w:cstheme="minorEastAsia"/>
                <w:color w:val="auto"/>
                <w:spacing w:val="-6"/>
                <w:sz w:val="21"/>
                <w:szCs w:val="21"/>
                <w:highlight w:val="none"/>
                <w:lang w:eastAsia="zh-CN"/>
              </w:rPr>
              <w:t>报价</w:t>
            </w:r>
            <w:r>
              <w:rPr>
                <w:rFonts w:hint="eastAsia" w:asciiTheme="minorEastAsia" w:hAnsiTheme="minorEastAsia" w:eastAsiaTheme="minorEastAsia" w:cstheme="minorEastAsia"/>
                <w:color w:val="auto"/>
                <w:spacing w:val="-13"/>
                <w:sz w:val="21"/>
                <w:szCs w:val="21"/>
                <w:highlight w:val="none"/>
                <w:lang w:eastAsia="zh-CN"/>
              </w:rPr>
              <w:t>电梯品牌为同一品牌，曳引机的额定制动力矩按</w:t>
            </w:r>
            <w:r>
              <w:rPr>
                <w:rFonts w:hint="eastAsia" w:asciiTheme="minorEastAsia" w:hAnsiTheme="minorEastAsia" w:eastAsiaTheme="minorEastAsia" w:cstheme="minorEastAsia"/>
                <w:color w:val="auto"/>
                <w:spacing w:val="-13"/>
                <w:sz w:val="21"/>
                <w:szCs w:val="21"/>
                <w:highlight w:val="none"/>
                <w:lang w:val="en-US" w:eastAsia="zh-CN"/>
              </w:rPr>
              <w:t>≥</w:t>
            </w:r>
            <w:r>
              <w:rPr>
                <w:rFonts w:hint="eastAsia" w:asciiTheme="minorEastAsia" w:hAnsiTheme="minorEastAsia" w:eastAsiaTheme="minorEastAsia" w:cstheme="minorEastAsia"/>
                <w:color w:val="auto"/>
                <w:spacing w:val="-13"/>
                <w:sz w:val="21"/>
                <w:szCs w:val="21"/>
                <w:highlight w:val="none"/>
                <w:lang w:eastAsia="zh-CN"/>
              </w:rPr>
              <w:t>215%设计（测试时间不低于60分钟），曳引机按主轴</w:t>
            </w:r>
            <w:r>
              <w:rPr>
                <w:rFonts w:hint="eastAsia" w:asciiTheme="minorEastAsia" w:hAnsiTheme="minorEastAsia" w:eastAsiaTheme="minorEastAsia" w:cstheme="minorEastAsia"/>
                <w:color w:val="auto"/>
                <w:spacing w:val="-13"/>
                <w:sz w:val="21"/>
                <w:szCs w:val="21"/>
                <w:highlight w:val="none"/>
                <w:lang w:val="en-US" w:eastAsia="zh-CN"/>
              </w:rPr>
              <w:t>≥</w:t>
            </w:r>
            <w:r>
              <w:rPr>
                <w:rFonts w:hint="eastAsia" w:asciiTheme="minorEastAsia" w:hAnsiTheme="minorEastAsia" w:eastAsiaTheme="minorEastAsia" w:cstheme="minorEastAsia"/>
                <w:color w:val="auto"/>
                <w:spacing w:val="-13"/>
                <w:sz w:val="21"/>
                <w:szCs w:val="21"/>
                <w:highlight w:val="none"/>
                <w:lang w:eastAsia="zh-CN"/>
              </w:rPr>
              <w:t>10倍安全系数设计，</w:t>
            </w:r>
            <w:r>
              <w:rPr>
                <w:rFonts w:hint="eastAsia" w:asciiTheme="minorEastAsia" w:hAnsiTheme="minorEastAsia" w:eastAsiaTheme="minorEastAsia" w:cstheme="minorEastAsia"/>
                <w:color w:val="auto"/>
                <w:spacing w:val="-6"/>
                <w:sz w:val="21"/>
                <w:szCs w:val="21"/>
                <w:highlight w:val="none"/>
                <w:lang w:eastAsia="zh-CN"/>
              </w:rPr>
              <w:t>竞标时须</w:t>
            </w:r>
            <w:r>
              <w:rPr>
                <w:rFonts w:hint="eastAsia" w:asciiTheme="minorEastAsia" w:hAnsiTheme="minorEastAsia" w:eastAsiaTheme="minorEastAsia" w:cstheme="minorEastAsia"/>
                <w:b/>
                <w:bCs/>
                <w:color w:val="auto"/>
                <w:spacing w:val="-13"/>
                <w:sz w:val="21"/>
                <w:szCs w:val="21"/>
                <w:highlight w:val="none"/>
                <w:lang w:eastAsia="zh-CN"/>
              </w:rPr>
              <w:t>提供证明材料</w:t>
            </w:r>
            <w:r>
              <w:rPr>
                <w:rFonts w:hint="eastAsia" w:asciiTheme="minorEastAsia" w:hAnsiTheme="minorEastAsia" w:eastAsiaTheme="minorEastAsia" w:cstheme="minorEastAsia"/>
                <w:color w:val="auto"/>
                <w:spacing w:val="-13"/>
                <w:sz w:val="21"/>
                <w:szCs w:val="21"/>
                <w:highlight w:val="none"/>
                <w:lang w:eastAsia="zh-CN"/>
              </w:rPr>
              <w:t>。</w:t>
            </w:r>
          </w:p>
          <w:p w14:paraId="5D368C4F">
            <w:pPr>
              <w:pStyle w:val="27"/>
              <w:spacing w:before="68" w:line="273" w:lineRule="auto"/>
              <w:ind w:left="26" w:hanging="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5"/>
                <w:sz w:val="21"/>
                <w:szCs w:val="21"/>
                <w:highlight w:val="none"/>
                <w:lang w:eastAsia="zh-CN"/>
              </w:rPr>
              <w:t>2、控制系统：采用32位全数字化控制CPU，必须</w:t>
            </w:r>
            <w:r>
              <w:rPr>
                <w:rFonts w:hint="eastAsia" w:asciiTheme="minorEastAsia" w:hAnsiTheme="minorEastAsia" w:eastAsiaTheme="minorEastAsia" w:cstheme="minorEastAsia"/>
                <w:color w:val="auto"/>
                <w:spacing w:val="-6"/>
                <w:sz w:val="21"/>
                <w:szCs w:val="21"/>
                <w:highlight w:val="none"/>
                <w:lang w:eastAsia="zh-CN"/>
              </w:rPr>
              <w:t>与参与报价电梯为同一品牌，控制柜防护等级IP55，竞标时须</w:t>
            </w:r>
            <w:r>
              <w:rPr>
                <w:rFonts w:hint="eastAsia" w:asciiTheme="minorEastAsia" w:hAnsiTheme="minorEastAsia" w:eastAsiaTheme="minorEastAsia" w:cstheme="minorEastAsia"/>
                <w:b/>
                <w:bCs/>
                <w:color w:val="auto"/>
                <w:spacing w:val="-6"/>
                <w:sz w:val="21"/>
                <w:szCs w:val="21"/>
                <w:highlight w:val="none"/>
                <w:lang w:eastAsia="zh-CN"/>
              </w:rPr>
              <w:t>提供证明材料</w:t>
            </w:r>
            <w:r>
              <w:rPr>
                <w:rFonts w:hint="eastAsia" w:asciiTheme="minorEastAsia" w:hAnsiTheme="minorEastAsia" w:eastAsiaTheme="minorEastAsia" w:cstheme="minorEastAsia"/>
                <w:color w:val="auto"/>
                <w:spacing w:val="-6"/>
                <w:sz w:val="21"/>
                <w:szCs w:val="21"/>
                <w:highlight w:val="none"/>
                <w:lang w:eastAsia="zh-CN"/>
              </w:rPr>
              <w:t>。</w:t>
            </w:r>
          </w:p>
          <w:p w14:paraId="3F73526D">
            <w:pPr>
              <w:pStyle w:val="27"/>
              <w:spacing w:before="68" w:line="273" w:lineRule="auto"/>
              <w:ind w:left="26" w:hanging="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3"/>
                <w:sz w:val="21"/>
                <w:szCs w:val="21"/>
                <w:highlight w:val="none"/>
                <w:lang w:eastAsia="zh-CN"/>
              </w:rPr>
              <w:t>3、操作系统：全电脑集选自动控制方式。控制柜抗雷击干扰</w:t>
            </w:r>
            <w:r>
              <w:rPr>
                <w:rFonts w:hint="eastAsia" w:asciiTheme="minorEastAsia" w:hAnsiTheme="minorEastAsia" w:eastAsiaTheme="minorEastAsia" w:cstheme="minorEastAsia"/>
                <w:color w:val="auto"/>
                <w:spacing w:val="-13"/>
                <w:sz w:val="21"/>
                <w:szCs w:val="21"/>
                <w:highlight w:val="none"/>
                <w:lang w:eastAsia="zh-CN"/>
              </w:rPr>
              <w:t>≥20kv，</w:t>
            </w:r>
            <w:r>
              <w:rPr>
                <w:rFonts w:hint="eastAsia" w:asciiTheme="minorEastAsia" w:hAnsiTheme="minorEastAsia" w:eastAsiaTheme="minorEastAsia" w:cstheme="minorEastAsia"/>
                <w:color w:val="auto"/>
                <w:spacing w:val="-6"/>
                <w:sz w:val="21"/>
                <w:szCs w:val="21"/>
                <w:highlight w:val="none"/>
                <w:lang w:eastAsia="zh-CN"/>
              </w:rPr>
              <w:t>竞标时须</w:t>
            </w:r>
            <w:r>
              <w:rPr>
                <w:rFonts w:hint="eastAsia" w:asciiTheme="minorEastAsia" w:hAnsiTheme="minorEastAsia" w:eastAsiaTheme="minorEastAsia" w:cstheme="minorEastAsia"/>
                <w:b/>
                <w:bCs/>
                <w:color w:val="auto"/>
                <w:spacing w:val="-6"/>
                <w:sz w:val="21"/>
                <w:szCs w:val="21"/>
                <w:highlight w:val="none"/>
                <w:lang w:eastAsia="zh-CN"/>
              </w:rPr>
              <w:t>提供证明材料</w:t>
            </w:r>
            <w:r>
              <w:rPr>
                <w:rFonts w:hint="eastAsia" w:asciiTheme="minorEastAsia" w:hAnsiTheme="minorEastAsia" w:eastAsiaTheme="minorEastAsia" w:cstheme="minorEastAsia"/>
                <w:color w:val="auto"/>
                <w:spacing w:val="-6"/>
                <w:sz w:val="21"/>
                <w:szCs w:val="21"/>
                <w:highlight w:val="none"/>
                <w:lang w:eastAsia="zh-CN"/>
              </w:rPr>
              <w:t>。</w:t>
            </w:r>
          </w:p>
          <w:p w14:paraId="42AF3188">
            <w:pPr>
              <w:pStyle w:val="27"/>
              <w:spacing w:before="68" w:line="219" w:lineRule="auto"/>
              <w:ind w:left="28"/>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3"/>
                <w:sz w:val="21"/>
                <w:szCs w:val="21"/>
                <w:highlight w:val="none"/>
                <w:lang w:eastAsia="zh-CN"/>
              </w:rPr>
              <w:t>4、驱动系统：采用智能化大功率模块驱动系统。</w:t>
            </w:r>
          </w:p>
          <w:p w14:paraId="3132A50C">
            <w:pPr>
              <w:pStyle w:val="27"/>
              <w:spacing w:before="33" w:line="264" w:lineRule="auto"/>
              <w:ind w:left="28" w:right="165"/>
              <w:rPr>
                <w:rFonts w:hint="eastAsia" w:asciiTheme="minorEastAsia" w:hAnsiTheme="minorEastAsia" w:eastAsiaTheme="minorEastAsia" w:cstheme="minorEastAsia"/>
                <w:color w:val="auto"/>
                <w:spacing w:val="-4"/>
                <w:sz w:val="21"/>
                <w:szCs w:val="21"/>
                <w:highlight w:val="none"/>
                <w:lang w:eastAsia="zh-CN"/>
              </w:rPr>
            </w:pPr>
            <w:r>
              <w:rPr>
                <w:rFonts w:hint="eastAsia" w:asciiTheme="minorEastAsia" w:hAnsiTheme="minorEastAsia" w:eastAsiaTheme="minorEastAsia" w:cstheme="minorEastAsia"/>
                <w:color w:val="auto"/>
                <w:spacing w:val="-6"/>
                <w:sz w:val="21"/>
                <w:szCs w:val="21"/>
                <w:highlight w:val="none"/>
                <w:lang w:eastAsia="zh-CN"/>
              </w:rPr>
              <w:t>5、变频器装置：必须与竞标电梯为同一品牌，竞标时须</w:t>
            </w:r>
            <w:r>
              <w:rPr>
                <w:rFonts w:hint="eastAsia" w:asciiTheme="minorEastAsia" w:hAnsiTheme="minorEastAsia" w:eastAsiaTheme="minorEastAsia" w:cstheme="minorEastAsia"/>
                <w:b/>
                <w:bCs/>
                <w:color w:val="auto"/>
                <w:spacing w:val="-6"/>
                <w:sz w:val="21"/>
                <w:szCs w:val="21"/>
                <w:highlight w:val="none"/>
                <w:lang w:eastAsia="zh-CN"/>
              </w:rPr>
              <w:t>提供</w:t>
            </w:r>
            <w:r>
              <w:rPr>
                <w:rFonts w:hint="eastAsia" w:asciiTheme="minorEastAsia" w:hAnsiTheme="minorEastAsia" w:eastAsiaTheme="minorEastAsia" w:cstheme="minorEastAsia"/>
                <w:b/>
                <w:bCs/>
                <w:color w:val="auto"/>
                <w:spacing w:val="-4"/>
                <w:sz w:val="21"/>
                <w:szCs w:val="21"/>
                <w:highlight w:val="none"/>
                <w:lang w:eastAsia="zh-CN"/>
              </w:rPr>
              <w:t>证明材料</w:t>
            </w:r>
            <w:r>
              <w:rPr>
                <w:rFonts w:hint="eastAsia" w:asciiTheme="minorEastAsia" w:hAnsiTheme="minorEastAsia" w:eastAsiaTheme="minorEastAsia" w:cstheme="minorEastAsia"/>
                <w:color w:val="auto"/>
                <w:spacing w:val="-4"/>
                <w:sz w:val="21"/>
                <w:szCs w:val="21"/>
                <w:highlight w:val="none"/>
                <w:lang w:eastAsia="zh-CN"/>
              </w:rPr>
              <w:t>。</w:t>
            </w:r>
          </w:p>
          <w:p w14:paraId="1180FF29">
            <w:pPr>
              <w:pStyle w:val="27"/>
              <w:spacing w:before="33" w:line="264" w:lineRule="auto"/>
              <w:ind w:left="28" w:right="165"/>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3"/>
                <w:sz w:val="21"/>
                <w:szCs w:val="21"/>
                <w:highlight w:val="none"/>
                <w:lang w:eastAsia="zh-CN"/>
              </w:rPr>
              <w:t>6、门机系统：采用交流变频调压调速(VVVF)系统，与竞标电梯品牌为同一品牌，</w:t>
            </w:r>
            <w:r>
              <w:rPr>
                <w:rFonts w:hint="eastAsia" w:asciiTheme="minorEastAsia" w:hAnsiTheme="minorEastAsia" w:eastAsiaTheme="minorEastAsia" w:cstheme="minorEastAsia"/>
                <w:color w:val="auto"/>
                <w:spacing w:val="-6"/>
                <w:sz w:val="21"/>
                <w:szCs w:val="21"/>
                <w:highlight w:val="none"/>
                <w:lang w:eastAsia="zh-CN"/>
              </w:rPr>
              <w:t>竞标时须</w:t>
            </w:r>
            <w:r>
              <w:rPr>
                <w:rFonts w:hint="eastAsia" w:asciiTheme="minorEastAsia" w:hAnsiTheme="minorEastAsia" w:eastAsiaTheme="minorEastAsia" w:cstheme="minorEastAsia"/>
                <w:b/>
                <w:bCs/>
                <w:color w:val="auto"/>
                <w:spacing w:val="-6"/>
                <w:sz w:val="21"/>
                <w:szCs w:val="21"/>
                <w:highlight w:val="none"/>
                <w:lang w:eastAsia="zh-CN"/>
              </w:rPr>
              <w:t>提供</w:t>
            </w:r>
            <w:r>
              <w:rPr>
                <w:rFonts w:hint="eastAsia" w:asciiTheme="minorEastAsia" w:hAnsiTheme="minorEastAsia" w:eastAsiaTheme="minorEastAsia" w:cstheme="minorEastAsia"/>
                <w:b/>
                <w:bCs/>
                <w:color w:val="auto"/>
                <w:spacing w:val="-4"/>
                <w:sz w:val="21"/>
                <w:szCs w:val="21"/>
                <w:highlight w:val="none"/>
                <w:lang w:eastAsia="zh-CN"/>
              </w:rPr>
              <w:t>证明材料</w:t>
            </w:r>
            <w:r>
              <w:rPr>
                <w:rFonts w:hint="eastAsia" w:asciiTheme="minorEastAsia" w:hAnsiTheme="minorEastAsia" w:eastAsiaTheme="minorEastAsia" w:cstheme="minorEastAsia"/>
                <w:color w:val="auto"/>
                <w:spacing w:val="-4"/>
                <w:sz w:val="21"/>
                <w:szCs w:val="21"/>
                <w:highlight w:val="none"/>
                <w:lang w:eastAsia="zh-CN"/>
              </w:rPr>
              <w:t>。</w:t>
            </w:r>
          </w:p>
          <w:p w14:paraId="788C3C9D">
            <w:pPr>
              <w:pStyle w:val="27"/>
              <w:spacing w:before="70" w:line="216"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7、限速器、安全钳、缓冲器、门锁、光幕，</w:t>
            </w:r>
            <w:r>
              <w:rPr>
                <w:rFonts w:hint="eastAsia" w:asciiTheme="minorEastAsia" w:hAnsiTheme="minorEastAsia" w:eastAsiaTheme="minorEastAsia" w:cstheme="minorEastAsia"/>
                <w:color w:val="auto"/>
                <w:spacing w:val="-6"/>
                <w:sz w:val="21"/>
                <w:szCs w:val="21"/>
                <w:highlight w:val="none"/>
                <w:lang w:eastAsia="zh-CN"/>
              </w:rPr>
              <w:t>竞标时须提供</w:t>
            </w:r>
            <w:r>
              <w:rPr>
                <w:rFonts w:hint="eastAsia" w:asciiTheme="minorEastAsia" w:hAnsiTheme="minorEastAsia" w:eastAsiaTheme="minorEastAsia" w:cstheme="minorEastAsia"/>
                <w:color w:val="auto"/>
                <w:spacing w:val="-6"/>
                <w:sz w:val="21"/>
                <w:szCs w:val="21"/>
                <w:highlight w:val="none"/>
                <w:lang w:val="en-US" w:eastAsia="zh-CN"/>
              </w:rPr>
              <w:t>相应的</w:t>
            </w:r>
            <w:r>
              <w:rPr>
                <w:rFonts w:hint="eastAsia" w:asciiTheme="minorEastAsia" w:hAnsiTheme="minorEastAsia" w:eastAsiaTheme="minorEastAsia" w:cstheme="minorEastAsia"/>
                <w:b/>
                <w:bCs/>
                <w:color w:val="auto"/>
                <w:spacing w:val="-4"/>
                <w:sz w:val="21"/>
                <w:szCs w:val="21"/>
                <w:highlight w:val="none"/>
                <w:lang w:eastAsia="zh-CN"/>
              </w:rPr>
              <w:t>证明材料</w:t>
            </w:r>
            <w:r>
              <w:rPr>
                <w:rFonts w:hint="eastAsia" w:asciiTheme="minorEastAsia" w:hAnsiTheme="minorEastAsia" w:eastAsiaTheme="minorEastAsia" w:cstheme="minorEastAsia"/>
                <w:color w:val="auto"/>
                <w:spacing w:val="-4"/>
                <w:sz w:val="21"/>
                <w:szCs w:val="21"/>
                <w:highlight w:val="none"/>
                <w:lang w:eastAsia="zh-CN"/>
              </w:rPr>
              <w:t>。</w:t>
            </w:r>
          </w:p>
          <w:p w14:paraId="6BB272B4">
            <w:pPr>
              <w:pStyle w:val="27"/>
              <w:spacing w:before="70" w:line="216"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8、电梯光幕的防护等级</w:t>
            </w:r>
            <w:r>
              <w:rPr>
                <w:rFonts w:hint="eastAsia" w:asciiTheme="minorEastAsia" w:hAnsiTheme="minorEastAsia" w:eastAsiaTheme="minorEastAsia" w:cstheme="minorEastAsia"/>
                <w:color w:val="auto"/>
                <w:sz w:val="21"/>
                <w:szCs w:val="21"/>
                <w:highlight w:val="none"/>
                <w:lang w:val="en-US" w:eastAsia="zh-CN"/>
              </w:rPr>
              <w:t>需达到</w:t>
            </w:r>
            <w:r>
              <w:rPr>
                <w:rFonts w:hint="eastAsia" w:asciiTheme="minorEastAsia" w:hAnsiTheme="minorEastAsia" w:eastAsiaTheme="minorEastAsia" w:cstheme="minorEastAsia"/>
                <w:color w:val="auto"/>
                <w:sz w:val="21"/>
                <w:szCs w:val="21"/>
                <w:highlight w:val="none"/>
                <w:lang w:eastAsia="zh-CN"/>
              </w:rPr>
              <w:t>IP65，</w:t>
            </w:r>
            <w:r>
              <w:rPr>
                <w:rFonts w:hint="eastAsia" w:asciiTheme="minorEastAsia" w:hAnsiTheme="minorEastAsia" w:eastAsiaTheme="minorEastAsia" w:cstheme="minorEastAsia"/>
                <w:color w:val="auto"/>
                <w:spacing w:val="-6"/>
                <w:sz w:val="21"/>
                <w:szCs w:val="21"/>
                <w:highlight w:val="none"/>
                <w:lang w:eastAsia="zh-CN"/>
              </w:rPr>
              <w:t>竞标时须提供</w:t>
            </w:r>
            <w:r>
              <w:rPr>
                <w:rFonts w:hint="eastAsia" w:asciiTheme="minorEastAsia" w:hAnsiTheme="minorEastAsia" w:eastAsiaTheme="minorEastAsia" w:cstheme="minorEastAsia"/>
                <w:color w:val="auto"/>
                <w:spacing w:val="-6"/>
                <w:sz w:val="21"/>
                <w:szCs w:val="21"/>
                <w:highlight w:val="none"/>
                <w:lang w:val="en-US" w:eastAsia="zh-CN"/>
              </w:rPr>
              <w:t>相应的</w:t>
            </w:r>
            <w:r>
              <w:rPr>
                <w:rFonts w:hint="eastAsia" w:asciiTheme="minorEastAsia" w:hAnsiTheme="minorEastAsia" w:eastAsiaTheme="minorEastAsia" w:cstheme="minorEastAsia"/>
                <w:b/>
                <w:bCs/>
                <w:color w:val="auto"/>
                <w:spacing w:val="-4"/>
                <w:sz w:val="21"/>
                <w:szCs w:val="21"/>
                <w:highlight w:val="none"/>
                <w:lang w:eastAsia="zh-CN"/>
              </w:rPr>
              <w:t>证明材料</w:t>
            </w:r>
            <w:r>
              <w:rPr>
                <w:rFonts w:hint="eastAsia" w:asciiTheme="minorEastAsia" w:hAnsiTheme="minorEastAsia" w:eastAsiaTheme="minorEastAsia" w:cstheme="minorEastAsia"/>
                <w:color w:val="auto"/>
                <w:spacing w:val="-4"/>
                <w:sz w:val="21"/>
                <w:szCs w:val="21"/>
                <w:highlight w:val="none"/>
                <w:lang w:eastAsia="zh-CN"/>
              </w:rPr>
              <w:t>。</w:t>
            </w:r>
          </w:p>
          <w:p w14:paraId="5DD5D309">
            <w:pPr>
              <w:pStyle w:val="27"/>
              <w:spacing w:before="81" w:line="220" w:lineRule="auto"/>
              <w:ind w:left="35"/>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pacing w:val="-2"/>
                <w:sz w:val="21"/>
                <w:szCs w:val="21"/>
                <w:highlight w:val="none"/>
                <w:lang w:eastAsia="zh-CN"/>
              </w:rPr>
              <w:t>三、电梯装饰</w:t>
            </w:r>
          </w:p>
          <w:p w14:paraId="1B95C8D4">
            <w:pPr>
              <w:spacing w:line="360" w:lineRule="exac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pacing w:val="-1"/>
                <w:sz w:val="21"/>
                <w:szCs w:val="21"/>
                <w:highlight w:val="none"/>
                <w:lang w:val="en"/>
              </w:rPr>
              <w:t>▲</w:t>
            </w:r>
            <w:r>
              <w:rPr>
                <w:rFonts w:hint="eastAsia" w:asciiTheme="minorEastAsia" w:hAnsiTheme="minorEastAsia" w:eastAsiaTheme="minorEastAsia" w:cstheme="minorEastAsia"/>
                <w:color w:val="auto"/>
                <w:spacing w:val="-1"/>
                <w:sz w:val="21"/>
                <w:szCs w:val="21"/>
                <w:highlight w:val="none"/>
              </w:rPr>
              <w:t>(1)轿厢材质：全部采用发纹不锈钢（不接受钢板贴不锈钢工艺），</w:t>
            </w:r>
          </w:p>
          <w:p w14:paraId="45E837F7">
            <w:pPr>
              <w:pStyle w:val="27"/>
              <w:spacing w:before="98" w:line="219"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厚度≥1.5mm。</w:t>
            </w:r>
          </w:p>
          <w:p w14:paraId="7213E50D">
            <w:pPr>
              <w:pStyle w:val="27"/>
              <w:spacing w:before="71" w:line="219"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val="en" w:eastAsia="zh-CN"/>
              </w:rPr>
              <w:t>▲</w:t>
            </w:r>
            <w:r>
              <w:rPr>
                <w:rFonts w:hint="eastAsia" w:asciiTheme="minorEastAsia" w:hAnsiTheme="minorEastAsia" w:eastAsiaTheme="minorEastAsia" w:cstheme="minorEastAsia"/>
                <w:color w:val="auto"/>
                <w:spacing w:val="-1"/>
                <w:sz w:val="21"/>
                <w:szCs w:val="21"/>
                <w:highlight w:val="none"/>
                <w:lang w:eastAsia="zh-CN"/>
              </w:rPr>
              <w:t>(2)轿顶材质：标准型吊顶，带照明。</w:t>
            </w:r>
          </w:p>
          <w:p w14:paraId="083A2A30">
            <w:pPr>
              <w:pStyle w:val="27"/>
              <w:spacing w:before="80" w:line="219"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val="en" w:eastAsia="zh-CN"/>
              </w:rPr>
              <w:t>▲</w:t>
            </w:r>
            <w:r>
              <w:rPr>
                <w:rFonts w:hint="eastAsia" w:asciiTheme="minorEastAsia" w:hAnsiTheme="minorEastAsia" w:eastAsiaTheme="minorEastAsia" w:cstheme="minorEastAsia"/>
                <w:color w:val="auto"/>
                <w:spacing w:val="-1"/>
                <w:sz w:val="21"/>
                <w:szCs w:val="21"/>
                <w:highlight w:val="none"/>
                <w:lang w:eastAsia="zh-CN"/>
              </w:rPr>
              <w:t>(3)厅门：全部采用发纹不锈钢，厚度≥1.5mm。</w:t>
            </w:r>
          </w:p>
          <w:p w14:paraId="37555903">
            <w:pPr>
              <w:pStyle w:val="27"/>
              <w:spacing w:before="83" w:line="22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val="en" w:eastAsia="zh-CN"/>
              </w:rPr>
              <w:t>▲</w:t>
            </w:r>
            <w:r>
              <w:rPr>
                <w:rFonts w:hint="eastAsia" w:asciiTheme="minorEastAsia" w:hAnsiTheme="minorEastAsia" w:eastAsiaTheme="minorEastAsia" w:cstheme="minorEastAsia"/>
                <w:color w:val="auto"/>
                <w:spacing w:val="-1"/>
                <w:sz w:val="21"/>
                <w:szCs w:val="21"/>
                <w:highlight w:val="none"/>
                <w:lang w:eastAsia="zh-CN"/>
              </w:rPr>
              <w:t>(4)门套：全部发纹不锈钢大门套。</w:t>
            </w:r>
          </w:p>
          <w:p w14:paraId="4FEC28BA">
            <w:pPr>
              <w:pStyle w:val="27"/>
              <w:spacing w:before="80" w:line="258" w:lineRule="auto"/>
              <w:ind w:right="72"/>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val="en" w:eastAsia="zh-CN"/>
              </w:rPr>
              <w:t>▲</w:t>
            </w:r>
            <w:r>
              <w:rPr>
                <w:rFonts w:hint="eastAsia" w:asciiTheme="minorEastAsia" w:hAnsiTheme="minorEastAsia" w:eastAsiaTheme="minorEastAsia" w:cstheme="minorEastAsia"/>
                <w:color w:val="auto"/>
                <w:sz w:val="21"/>
                <w:szCs w:val="21"/>
                <w:highlight w:val="none"/>
                <w:lang w:eastAsia="zh-CN"/>
              </w:rPr>
              <w:t>(5)轿厢操纵箱：轿厢一侧配置一体式操纵箱，白色段码显示，可显示电梯运行楼层、方向等信息；另一侧配残疾人操纵盘，盲文按钮；面板采用304发纹不锈钢。</w:t>
            </w:r>
          </w:p>
          <w:p w14:paraId="38EE7A96">
            <w:pPr>
              <w:pStyle w:val="27"/>
              <w:spacing w:before="83" w:line="219"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val="en" w:eastAsia="zh-CN"/>
              </w:rPr>
              <w:t>▲</w:t>
            </w:r>
            <w:r>
              <w:rPr>
                <w:rFonts w:hint="eastAsia" w:asciiTheme="minorEastAsia" w:hAnsiTheme="minorEastAsia" w:eastAsiaTheme="minorEastAsia" w:cstheme="minorEastAsia"/>
                <w:color w:val="auto"/>
                <w:sz w:val="21"/>
                <w:szCs w:val="21"/>
                <w:highlight w:val="none"/>
                <w:lang w:eastAsia="zh-CN"/>
              </w:rPr>
              <w:t>(6)厅外呼梯装置：LED显示，可显示电梯运行楼层，超薄外壳，不带底盒工艺。</w:t>
            </w:r>
          </w:p>
          <w:p w14:paraId="1524B88A">
            <w:pPr>
              <w:pStyle w:val="27"/>
              <w:spacing w:before="90" w:line="219" w:lineRule="auto"/>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(7)轿厢通风系统：有手动可开关的风扇。</w:t>
            </w:r>
          </w:p>
          <w:p w14:paraId="21BA1348">
            <w:pPr>
              <w:pStyle w:val="27"/>
              <w:spacing w:before="90" w:line="219"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(8)轿厢地面：PVC耐磨防滑地板。</w:t>
            </w:r>
          </w:p>
          <w:p w14:paraId="0C41E4F1">
            <w:pPr>
              <w:pStyle w:val="27"/>
              <w:spacing w:before="78" w:line="219" w:lineRule="auto"/>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b/>
                <w:bCs/>
                <w:color w:val="auto"/>
                <w:spacing w:val="-3"/>
                <w:sz w:val="21"/>
                <w:szCs w:val="21"/>
                <w:highlight w:val="none"/>
                <w:lang w:eastAsia="zh-CN"/>
              </w:rPr>
              <w:t>(</w:t>
            </w:r>
            <w:r>
              <w:rPr>
                <w:rFonts w:hint="eastAsia" w:asciiTheme="minorEastAsia" w:hAnsiTheme="minorEastAsia" w:eastAsiaTheme="minorEastAsia" w:cstheme="minorEastAsia"/>
                <w:color w:val="auto"/>
                <w:spacing w:val="-1"/>
                <w:sz w:val="21"/>
                <w:szCs w:val="21"/>
                <w:highlight w:val="none"/>
                <w:lang w:eastAsia="zh-CN"/>
              </w:rPr>
              <w:t>9)门坎：硬质铝合金型材。</w:t>
            </w:r>
          </w:p>
          <w:p w14:paraId="0244569C">
            <w:pPr>
              <w:pStyle w:val="27"/>
              <w:spacing w:before="85" w:line="219"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val="en" w:eastAsia="zh-CN"/>
              </w:rPr>
              <w:t>▲</w:t>
            </w:r>
            <w:r>
              <w:rPr>
                <w:rFonts w:hint="eastAsia" w:asciiTheme="minorEastAsia" w:hAnsiTheme="minorEastAsia" w:eastAsiaTheme="minorEastAsia" w:cstheme="minorEastAsia"/>
                <w:color w:val="auto"/>
                <w:sz w:val="21"/>
                <w:szCs w:val="21"/>
                <w:highlight w:val="none"/>
                <w:lang w:eastAsia="zh-CN"/>
              </w:rPr>
              <w:t>(10)无障碍功能要求：语音报站、轿厢后侧配置一根不锈钢扶手、盲文按钮。</w:t>
            </w:r>
          </w:p>
          <w:p w14:paraId="69C566A5">
            <w:pPr>
              <w:pStyle w:val="27"/>
              <w:spacing w:before="73" w:line="220" w:lineRule="auto"/>
              <w:ind w:left="35"/>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val="en" w:eastAsia="zh-CN"/>
              </w:rPr>
              <w:t>▲</w:t>
            </w:r>
            <w:r>
              <w:rPr>
                <w:rFonts w:hint="eastAsia" w:asciiTheme="minorEastAsia" w:hAnsiTheme="minorEastAsia" w:eastAsiaTheme="minorEastAsia" w:cstheme="minorEastAsia"/>
                <w:b/>
                <w:bCs/>
                <w:color w:val="auto"/>
                <w:spacing w:val="-1"/>
                <w:sz w:val="21"/>
                <w:szCs w:val="21"/>
                <w:highlight w:val="none"/>
                <w:lang w:eastAsia="zh-CN"/>
              </w:rPr>
              <w:t>四、电梯功能，包括但不限于以下功能。</w:t>
            </w:r>
          </w:p>
          <w:p w14:paraId="7E840AE7">
            <w:pPr>
              <w:pStyle w:val="27"/>
              <w:spacing w:before="98" w:line="219" w:lineRule="auto"/>
              <w:jc w:val="both"/>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1.上行超速保护 2.缓冲器检测3.电阻制动 4.轿门检测 5.轿门限位</w:t>
            </w:r>
          </w:p>
          <w:p w14:paraId="342040B3">
            <w:pPr>
              <w:pStyle w:val="27"/>
              <w:spacing w:before="98" w:line="219" w:lineRule="auto"/>
              <w:jc w:val="both"/>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6.轿厢照明开关 7.修正运行8.门锁检测 9.禁止开门</w:t>
            </w:r>
          </w:p>
          <w:p w14:paraId="5C704F03">
            <w:pPr>
              <w:pStyle w:val="27"/>
              <w:spacing w:before="98" w:line="219" w:lineRule="auto"/>
              <w:jc w:val="both"/>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10.下行超速保护</w:t>
            </w:r>
            <w:r>
              <w:rPr>
                <w:rFonts w:hint="eastAsia" w:asciiTheme="minorEastAsia" w:hAnsiTheme="minorEastAsia" w:eastAsiaTheme="minorEastAsia" w:cstheme="minorEastAsia"/>
                <w:color w:val="auto"/>
                <w:spacing w:val="-1"/>
                <w:sz w:val="21"/>
                <w:szCs w:val="21"/>
                <w:highlight w:val="none"/>
                <w:lang w:val="en-US" w:eastAsia="zh-CN"/>
              </w:rPr>
              <w:t xml:space="preserve"> </w:t>
            </w:r>
            <w:r>
              <w:rPr>
                <w:rFonts w:hint="eastAsia" w:asciiTheme="minorEastAsia" w:hAnsiTheme="minorEastAsia" w:eastAsiaTheme="minorEastAsia" w:cstheme="minorEastAsia"/>
                <w:color w:val="auto"/>
                <w:spacing w:val="-1"/>
                <w:sz w:val="21"/>
                <w:szCs w:val="21"/>
                <w:highlight w:val="none"/>
                <w:lang w:eastAsia="zh-CN"/>
              </w:rPr>
              <w:t>11.运行时间检测</w:t>
            </w:r>
            <w:r>
              <w:rPr>
                <w:rFonts w:hint="eastAsia" w:asciiTheme="minorEastAsia" w:hAnsiTheme="minorEastAsia" w:eastAsiaTheme="minorEastAsia" w:cstheme="minorEastAsia"/>
                <w:color w:val="auto"/>
                <w:spacing w:val="-1"/>
                <w:sz w:val="21"/>
                <w:szCs w:val="21"/>
                <w:highlight w:val="none"/>
                <w:lang w:val="en-US" w:eastAsia="zh-CN"/>
              </w:rPr>
              <w:t xml:space="preserve"> </w:t>
            </w:r>
            <w:r>
              <w:rPr>
                <w:rFonts w:hint="eastAsia" w:asciiTheme="minorEastAsia" w:hAnsiTheme="minorEastAsia" w:eastAsiaTheme="minorEastAsia" w:cstheme="minorEastAsia"/>
                <w:color w:val="auto"/>
                <w:spacing w:val="-1"/>
                <w:sz w:val="21"/>
                <w:szCs w:val="21"/>
                <w:highlight w:val="none"/>
                <w:lang w:eastAsia="zh-CN"/>
              </w:rPr>
              <w:t xml:space="preserve">12.底坑急停 13.通讯评价 </w:t>
            </w:r>
          </w:p>
          <w:p w14:paraId="2E9656BC">
            <w:pPr>
              <w:pStyle w:val="27"/>
              <w:spacing w:before="98" w:line="219" w:lineRule="auto"/>
              <w:jc w:val="both"/>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14.换站停靠 15.过热保护 16.行程保护</w:t>
            </w:r>
            <w:r>
              <w:rPr>
                <w:rFonts w:hint="eastAsia" w:asciiTheme="minorEastAsia" w:hAnsiTheme="minorEastAsia" w:eastAsiaTheme="minorEastAsia" w:cstheme="minorEastAsia"/>
                <w:color w:val="auto"/>
                <w:spacing w:val="-1"/>
                <w:sz w:val="21"/>
                <w:szCs w:val="21"/>
                <w:highlight w:val="none"/>
                <w:lang w:val="en-US" w:eastAsia="zh-CN"/>
              </w:rPr>
              <w:t xml:space="preserve"> </w:t>
            </w:r>
            <w:r>
              <w:rPr>
                <w:rFonts w:hint="eastAsia" w:asciiTheme="minorEastAsia" w:hAnsiTheme="minorEastAsia" w:eastAsiaTheme="minorEastAsia" w:cstheme="minorEastAsia"/>
                <w:color w:val="auto"/>
                <w:spacing w:val="-1"/>
                <w:sz w:val="21"/>
                <w:szCs w:val="21"/>
                <w:highlight w:val="none"/>
                <w:lang w:eastAsia="zh-CN"/>
              </w:rPr>
              <w:t>17.限速器安全开关</w:t>
            </w:r>
          </w:p>
          <w:p w14:paraId="56D1F1E7">
            <w:pPr>
              <w:pStyle w:val="27"/>
              <w:spacing w:before="98" w:line="219" w:lineRule="auto"/>
              <w:jc w:val="both"/>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18.相位检测</w:t>
            </w:r>
            <w:r>
              <w:rPr>
                <w:rFonts w:hint="eastAsia" w:asciiTheme="minorEastAsia" w:hAnsiTheme="minorEastAsia" w:eastAsiaTheme="minorEastAsia" w:cstheme="minorEastAsia"/>
                <w:color w:val="auto"/>
                <w:spacing w:val="-1"/>
                <w:sz w:val="21"/>
                <w:szCs w:val="21"/>
                <w:highlight w:val="none"/>
                <w:lang w:val="en-US" w:eastAsia="zh-CN"/>
              </w:rPr>
              <w:t xml:space="preserve"> </w:t>
            </w:r>
            <w:r>
              <w:rPr>
                <w:rFonts w:hint="eastAsia" w:asciiTheme="minorEastAsia" w:hAnsiTheme="minorEastAsia" w:eastAsiaTheme="minorEastAsia" w:cstheme="minorEastAsia"/>
                <w:color w:val="auto"/>
                <w:spacing w:val="-1"/>
                <w:sz w:val="21"/>
                <w:szCs w:val="21"/>
                <w:highlight w:val="none"/>
                <w:lang w:eastAsia="zh-CN"/>
              </w:rPr>
              <w:t>19.重复开关门 20.救援运行</w:t>
            </w:r>
            <w:r>
              <w:rPr>
                <w:rFonts w:hint="eastAsia" w:asciiTheme="minorEastAsia" w:hAnsiTheme="minorEastAsia" w:eastAsiaTheme="minorEastAsia" w:cstheme="minorEastAsia"/>
                <w:color w:val="auto"/>
                <w:spacing w:val="-1"/>
                <w:sz w:val="21"/>
                <w:szCs w:val="21"/>
                <w:highlight w:val="none"/>
                <w:lang w:val="en-US" w:eastAsia="zh-CN"/>
              </w:rPr>
              <w:t xml:space="preserve"> </w:t>
            </w:r>
            <w:r>
              <w:rPr>
                <w:rFonts w:hint="eastAsia" w:asciiTheme="minorEastAsia" w:hAnsiTheme="minorEastAsia" w:eastAsiaTheme="minorEastAsia" w:cstheme="minorEastAsia"/>
                <w:color w:val="auto"/>
                <w:spacing w:val="-1"/>
                <w:sz w:val="21"/>
                <w:szCs w:val="21"/>
                <w:highlight w:val="none"/>
                <w:lang w:eastAsia="zh-CN"/>
              </w:rPr>
              <w:t>21.安全钳安全开关</w:t>
            </w:r>
          </w:p>
          <w:p w14:paraId="1215D5F5">
            <w:pPr>
              <w:pStyle w:val="27"/>
              <w:spacing w:before="98" w:line="219" w:lineRule="auto"/>
              <w:jc w:val="both"/>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22.轿厢限速器绳涨紧安全开关 23.轿厢意外移动防护</w:t>
            </w:r>
          </w:p>
          <w:p w14:paraId="69636FE0">
            <w:pPr>
              <w:pStyle w:val="27"/>
              <w:spacing w:before="98" w:line="219" w:lineRule="auto"/>
              <w:jc w:val="both"/>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24.应急照明 25.应急电源 26.五方通话 27.检修运行 28.满载直驶</w:t>
            </w:r>
          </w:p>
          <w:p w14:paraId="6EEA0435">
            <w:pPr>
              <w:pStyle w:val="27"/>
              <w:spacing w:before="98" w:line="219" w:lineRule="auto"/>
              <w:jc w:val="both"/>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29.轿厢位置，七段码 30.运行方向显，31.外呼登记显示</w:t>
            </w:r>
          </w:p>
          <w:p w14:paraId="7E0D1700">
            <w:pPr>
              <w:pStyle w:val="27"/>
              <w:spacing w:before="98" w:line="219" w:lineRule="auto"/>
              <w:jc w:val="both"/>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 xml:space="preserve">32.内呼显示，33.超载提醒，34.位置指示，35.精确再平层 </w:t>
            </w:r>
          </w:p>
          <w:p w14:paraId="48E3FC9E">
            <w:pPr>
              <w:pStyle w:val="27"/>
              <w:spacing w:before="98" w:line="219" w:lineRule="auto"/>
              <w:jc w:val="both"/>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 xml:space="preserve">36.外呼重开门 37.光幕检测，38.反向内呼，39.外呼互锁 </w:t>
            </w:r>
          </w:p>
          <w:p w14:paraId="4FF36287">
            <w:pPr>
              <w:spacing w:line="360" w:lineRule="exac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40.指令消除 41.停电再平层（应急救援装置）4</w:t>
            </w:r>
            <w:r>
              <w:rPr>
                <w:rFonts w:hint="eastAsia" w:asciiTheme="minorEastAsia" w:hAnsiTheme="minorEastAsia" w:eastAsiaTheme="minorEastAsia" w:cstheme="minorEastAsia"/>
                <w:color w:val="auto"/>
                <w:spacing w:val="-1"/>
                <w:sz w:val="21"/>
                <w:szCs w:val="21"/>
                <w:highlight w:val="none"/>
                <w:lang w:val="en-US" w:eastAsia="zh-CN"/>
              </w:rPr>
              <w:t>2</w:t>
            </w:r>
            <w:r>
              <w:rPr>
                <w:rFonts w:hint="eastAsia" w:asciiTheme="minorEastAsia" w:hAnsiTheme="minorEastAsia" w:eastAsiaTheme="minorEastAsia" w:cstheme="minorEastAsia"/>
                <w:color w:val="auto"/>
                <w:spacing w:val="-1"/>
                <w:sz w:val="21"/>
                <w:szCs w:val="21"/>
                <w:highlight w:val="none"/>
              </w:rPr>
              <w:t>.语音报站（中文）</w:t>
            </w:r>
            <w:r>
              <w:rPr>
                <w:rFonts w:hint="eastAsia" w:asciiTheme="minorEastAsia" w:hAnsiTheme="minorEastAsia" w:eastAsiaTheme="minorEastAsia" w:cstheme="minorEastAsia"/>
                <w:color w:val="auto"/>
                <w:spacing w:val="-1"/>
                <w:sz w:val="21"/>
                <w:szCs w:val="21"/>
                <w:highlight w:val="none"/>
                <w:lang w:eastAsia="zh-CN"/>
              </w:rPr>
              <w:t>。</w:t>
            </w:r>
          </w:p>
        </w:tc>
      </w:tr>
      <w:tr w14:paraId="1B42F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8" w:hRule="atLeast"/>
          <w:jc w:val="center"/>
        </w:trPr>
        <w:tc>
          <w:tcPr>
            <w:tcW w:w="199" w:type="pct"/>
            <w:tcBorders>
              <w:top w:val="single" w:color="auto" w:sz="4" w:space="0"/>
              <w:left w:val="single" w:color="auto" w:sz="4" w:space="0"/>
              <w:bottom w:val="single" w:color="auto" w:sz="4" w:space="0"/>
              <w:right w:val="single" w:color="auto" w:sz="4" w:space="0"/>
            </w:tcBorders>
            <w:noWrap w:val="0"/>
            <w:vAlign w:val="center"/>
          </w:tcPr>
          <w:p w14:paraId="11007483">
            <w:pPr>
              <w:spacing w:line="440" w:lineRule="exact"/>
              <w:jc w:val="center"/>
              <w:rPr>
                <w:rFonts w:hint="eastAsia" w:eastAsia="宋体"/>
                <w:color w:val="auto"/>
                <w:szCs w:val="21"/>
                <w:highlight w:val="none"/>
                <w:lang w:val="en-US" w:eastAsia="zh-CN"/>
              </w:rPr>
            </w:pPr>
            <w:r>
              <w:rPr>
                <w:rFonts w:hint="eastAsia"/>
                <w:color w:val="auto"/>
                <w:szCs w:val="21"/>
                <w:highlight w:val="none"/>
                <w:lang w:val="en-US" w:eastAsia="zh-CN"/>
              </w:rPr>
              <w:t>5</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6E2D8D87">
            <w:pPr>
              <w:pStyle w:val="27"/>
              <w:spacing w:before="72" w:line="219" w:lineRule="auto"/>
              <w:jc w:val="center"/>
              <w:rPr>
                <w:rFonts w:hint="eastAsia"/>
                <w:b/>
                <w:bCs/>
                <w:color w:val="auto"/>
                <w:spacing w:val="-5"/>
                <w:highlight w:val="none"/>
                <w:lang w:eastAsia="zh-CN"/>
              </w:rPr>
            </w:pPr>
            <w:r>
              <w:rPr>
                <w:rFonts w:hint="eastAsia"/>
                <w:b/>
                <w:bCs/>
                <w:color w:val="auto"/>
                <w:spacing w:val="-5"/>
                <w:highlight w:val="none"/>
                <w:lang w:eastAsia="zh-CN"/>
              </w:rPr>
              <w:t>医用</w:t>
            </w:r>
          </w:p>
          <w:p w14:paraId="2F80F3C2">
            <w:pPr>
              <w:pStyle w:val="27"/>
              <w:spacing w:before="72" w:line="219" w:lineRule="auto"/>
              <w:jc w:val="center"/>
              <w:rPr>
                <w:rFonts w:hint="default"/>
                <w:b/>
                <w:bCs/>
                <w:color w:val="auto"/>
                <w:spacing w:val="-5"/>
                <w:highlight w:val="none"/>
                <w:lang w:val="en-US"/>
              </w:rPr>
            </w:pPr>
            <w:r>
              <w:rPr>
                <w:rFonts w:hint="eastAsia"/>
                <w:b/>
                <w:bCs/>
                <w:color w:val="auto"/>
                <w:spacing w:val="-5"/>
                <w:highlight w:val="none"/>
                <w:lang w:eastAsia="zh-CN"/>
              </w:rPr>
              <w:t>电梯</w:t>
            </w:r>
          </w:p>
        </w:tc>
        <w:tc>
          <w:tcPr>
            <w:tcW w:w="297" w:type="pct"/>
            <w:tcBorders>
              <w:top w:val="single" w:color="auto" w:sz="4" w:space="0"/>
              <w:left w:val="single" w:color="auto" w:sz="4" w:space="0"/>
              <w:bottom w:val="single" w:color="auto" w:sz="4" w:space="0"/>
              <w:right w:val="single" w:color="auto" w:sz="4" w:space="0"/>
            </w:tcBorders>
            <w:noWrap w:val="0"/>
            <w:vAlign w:val="center"/>
          </w:tcPr>
          <w:p w14:paraId="550EACF6">
            <w:pPr>
              <w:spacing w:line="440" w:lineRule="exact"/>
              <w:jc w:val="center"/>
              <w:rPr>
                <w:rFonts w:hint="eastAsia" w:eastAsia="宋体"/>
                <w:b/>
                <w:bCs/>
                <w:color w:val="auto"/>
                <w:spacing w:val="11"/>
                <w:highlight w:val="none"/>
                <w:lang w:val="en-US" w:eastAsia="zh-CN"/>
              </w:rPr>
            </w:pPr>
            <w:r>
              <w:rPr>
                <w:rFonts w:hint="eastAsia"/>
                <w:b/>
                <w:bCs/>
                <w:color w:val="auto"/>
                <w:spacing w:val="11"/>
                <w:highlight w:val="none"/>
                <w:lang w:val="en-US" w:eastAsia="zh-CN"/>
              </w:rPr>
              <w:t>1</w:t>
            </w:r>
          </w:p>
        </w:tc>
        <w:tc>
          <w:tcPr>
            <w:tcW w:w="219" w:type="pct"/>
            <w:tcBorders>
              <w:top w:val="single" w:color="auto" w:sz="4" w:space="0"/>
              <w:left w:val="single" w:color="auto" w:sz="4" w:space="0"/>
              <w:bottom w:val="single" w:color="auto" w:sz="4" w:space="0"/>
              <w:right w:val="single" w:color="auto" w:sz="4" w:space="0"/>
            </w:tcBorders>
            <w:noWrap w:val="0"/>
            <w:vAlign w:val="center"/>
          </w:tcPr>
          <w:p w14:paraId="79F9ED4D">
            <w:pPr>
              <w:spacing w:line="440" w:lineRule="exact"/>
              <w:jc w:val="center"/>
              <w:rPr>
                <w:rFonts w:hint="eastAsia" w:eastAsia="宋体"/>
                <w:b/>
                <w:bCs/>
                <w:color w:val="auto"/>
                <w:spacing w:val="11"/>
                <w:highlight w:val="none"/>
                <w:lang w:val="en-US" w:eastAsia="zh-CN"/>
              </w:rPr>
            </w:pPr>
            <w:r>
              <w:rPr>
                <w:rFonts w:hint="eastAsia"/>
                <w:b/>
                <w:bCs/>
                <w:color w:val="auto"/>
                <w:spacing w:val="11"/>
                <w:highlight w:val="none"/>
                <w:lang w:val="en-US" w:eastAsia="zh-CN"/>
              </w:rPr>
              <w:t>台</w:t>
            </w:r>
          </w:p>
        </w:tc>
        <w:tc>
          <w:tcPr>
            <w:tcW w:w="650" w:type="pct"/>
            <w:tcBorders>
              <w:top w:val="single" w:color="auto" w:sz="4" w:space="0"/>
              <w:left w:val="single" w:color="auto" w:sz="4" w:space="0"/>
              <w:bottom w:val="single" w:color="auto" w:sz="4" w:space="0"/>
              <w:right w:val="single" w:color="auto" w:sz="4" w:space="0"/>
            </w:tcBorders>
            <w:noWrap w:val="0"/>
            <w:vAlign w:val="center"/>
          </w:tcPr>
          <w:p w14:paraId="73445878">
            <w:pPr>
              <w:spacing w:line="440" w:lineRule="exact"/>
              <w:jc w:val="center"/>
              <w:rPr>
                <w:rFonts w:hint="default" w:eastAsia="宋体"/>
                <w:b/>
                <w:bCs/>
                <w:color w:val="auto"/>
                <w:spacing w:val="11"/>
                <w:highlight w:val="none"/>
                <w:lang w:val="en" w:eastAsia="zh-CN"/>
              </w:rPr>
            </w:pPr>
            <w:r>
              <w:rPr>
                <w:rFonts w:hint="eastAsia"/>
                <w:b/>
                <w:bCs/>
                <w:color w:val="auto"/>
                <w:spacing w:val="11"/>
                <w:highlight w:val="none"/>
                <w:lang w:val="en-US" w:eastAsia="zh-CN"/>
              </w:rPr>
              <w:t>2970</w:t>
            </w:r>
            <w:r>
              <w:rPr>
                <w:rFonts w:hint="default"/>
                <w:b/>
                <w:bCs/>
                <w:color w:val="auto"/>
                <w:spacing w:val="11"/>
                <w:highlight w:val="none"/>
                <w:lang w:val="en" w:eastAsia="zh-CN"/>
              </w:rPr>
              <w:t>00.00</w:t>
            </w:r>
          </w:p>
        </w:tc>
        <w:tc>
          <w:tcPr>
            <w:tcW w:w="3233" w:type="pct"/>
            <w:tcBorders>
              <w:top w:val="single" w:color="auto" w:sz="4" w:space="0"/>
              <w:left w:val="single" w:color="auto" w:sz="4" w:space="0"/>
              <w:bottom w:val="single" w:color="auto" w:sz="4" w:space="0"/>
              <w:right w:val="single" w:color="auto" w:sz="4" w:space="0"/>
            </w:tcBorders>
            <w:noWrap w:val="0"/>
            <w:vAlign w:val="center"/>
          </w:tcPr>
          <w:p w14:paraId="7EDFB351">
            <w:pPr>
              <w:pStyle w:val="27"/>
              <w:spacing w:before="65" w:line="219" w:lineRule="auto"/>
              <w:ind w:left="28"/>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6"/>
                <w:sz w:val="21"/>
                <w:szCs w:val="21"/>
                <w:highlight w:val="none"/>
                <w:lang w:eastAsia="zh-CN"/>
              </w:rPr>
              <w:t>一、基本参数</w:t>
            </w:r>
          </w:p>
          <w:p w14:paraId="1B36901B">
            <w:pPr>
              <w:pStyle w:val="27"/>
              <w:rPr>
                <w:rFonts w:hint="eastAsia" w:asciiTheme="minorEastAsia" w:hAnsiTheme="minorEastAsia" w:eastAsiaTheme="minorEastAsia" w:cstheme="minorEastAsia"/>
                <w:color w:val="auto"/>
                <w:spacing w:val="18"/>
                <w:sz w:val="21"/>
                <w:szCs w:val="21"/>
                <w:highlight w:val="none"/>
                <w:lang w:eastAsia="zh-CN"/>
              </w:rPr>
            </w:pPr>
            <w:r>
              <w:rPr>
                <w:rFonts w:hint="eastAsia" w:asciiTheme="minorEastAsia" w:hAnsiTheme="minorEastAsia" w:eastAsiaTheme="minorEastAsia" w:cstheme="minorEastAsia"/>
                <w:color w:val="auto"/>
                <w:spacing w:val="-3"/>
                <w:sz w:val="21"/>
                <w:szCs w:val="21"/>
                <w:highlight w:val="none"/>
                <w:lang w:eastAsia="zh-CN"/>
              </w:rPr>
              <w:t>1、电梯类型：DT7。</w:t>
            </w:r>
          </w:p>
          <w:p w14:paraId="6E395CA3">
            <w:pPr>
              <w:pStyle w:val="27"/>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4"/>
                <w:sz w:val="21"/>
                <w:szCs w:val="21"/>
                <w:highlight w:val="none"/>
                <w:lang w:val="en" w:eastAsia="zh-CN"/>
              </w:rPr>
              <w:t>▲</w:t>
            </w:r>
            <w:r>
              <w:rPr>
                <w:rFonts w:hint="eastAsia" w:asciiTheme="minorEastAsia" w:hAnsiTheme="minorEastAsia" w:eastAsiaTheme="minorEastAsia" w:cstheme="minorEastAsia"/>
                <w:color w:val="auto"/>
                <w:spacing w:val="-4"/>
                <w:sz w:val="21"/>
                <w:szCs w:val="21"/>
                <w:highlight w:val="none"/>
                <w:lang w:eastAsia="zh-CN"/>
              </w:rPr>
              <w:t>2、载重量：载重1600kg。</w:t>
            </w:r>
          </w:p>
          <w:p w14:paraId="7A73E7A9">
            <w:pPr>
              <w:pStyle w:val="27"/>
              <w:spacing w:before="8" w:line="219"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5"/>
                <w:sz w:val="21"/>
                <w:szCs w:val="21"/>
                <w:highlight w:val="none"/>
                <w:lang w:val="en" w:eastAsia="zh-CN"/>
              </w:rPr>
              <w:t>▲</w:t>
            </w:r>
            <w:r>
              <w:rPr>
                <w:rFonts w:hint="eastAsia" w:asciiTheme="minorEastAsia" w:hAnsiTheme="minorEastAsia" w:eastAsiaTheme="minorEastAsia" w:cstheme="minorEastAsia"/>
                <w:color w:val="auto"/>
                <w:spacing w:val="5"/>
                <w:sz w:val="21"/>
                <w:szCs w:val="21"/>
                <w:highlight w:val="none"/>
                <w:lang w:eastAsia="zh-CN"/>
              </w:rPr>
              <w:t>3、速度：1.75米/秒。</w:t>
            </w:r>
          </w:p>
          <w:p w14:paraId="483FC8FA">
            <w:pPr>
              <w:pStyle w:val="27"/>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2"/>
                <w:sz w:val="21"/>
                <w:szCs w:val="21"/>
                <w:highlight w:val="none"/>
                <w:lang w:val="en" w:eastAsia="zh-CN"/>
              </w:rPr>
              <w:t>▲</w:t>
            </w:r>
            <w:r>
              <w:rPr>
                <w:rFonts w:hint="eastAsia" w:asciiTheme="minorEastAsia" w:hAnsiTheme="minorEastAsia" w:eastAsiaTheme="minorEastAsia" w:cstheme="minorEastAsia"/>
                <w:color w:val="auto"/>
                <w:spacing w:val="-2"/>
                <w:sz w:val="21"/>
                <w:szCs w:val="21"/>
                <w:highlight w:val="none"/>
                <w:lang w:eastAsia="zh-CN"/>
              </w:rPr>
              <w:t>4、层/站/门：10层/10站/10门。</w:t>
            </w:r>
          </w:p>
          <w:p w14:paraId="0247D0A8">
            <w:pPr>
              <w:pStyle w:val="27"/>
              <w:numPr>
                <w:ilvl w:val="0"/>
                <w:numId w:val="1"/>
              </w:numPr>
              <w:spacing w:before="69" w:line="219" w:lineRule="auto"/>
              <w:ind w:left="28"/>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3"/>
                <w:sz w:val="21"/>
                <w:szCs w:val="21"/>
                <w:highlight w:val="none"/>
              </w:rPr>
              <w:t>提升高度：</w:t>
            </w:r>
            <w:r>
              <w:rPr>
                <w:rFonts w:hint="eastAsia" w:asciiTheme="minorEastAsia" w:hAnsiTheme="minorEastAsia" w:eastAsiaTheme="minorEastAsia" w:cstheme="minorEastAsia"/>
                <w:color w:val="auto"/>
                <w:spacing w:val="-2"/>
                <w:sz w:val="21"/>
                <w:szCs w:val="21"/>
                <w:highlight w:val="none"/>
                <w:lang w:eastAsia="zh-CN"/>
              </w:rPr>
              <w:t>31.5m</w:t>
            </w:r>
            <w:r>
              <w:rPr>
                <w:rFonts w:hint="eastAsia" w:asciiTheme="minorEastAsia" w:hAnsiTheme="minorEastAsia" w:eastAsiaTheme="minorEastAsia" w:cstheme="minorEastAsia"/>
                <w:color w:val="auto"/>
                <w:sz w:val="21"/>
                <w:szCs w:val="21"/>
                <w:highlight w:val="none"/>
                <w:lang w:eastAsia="zh-CN"/>
              </w:rPr>
              <w:t>。</w:t>
            </w:r>
          </w:p>
          <w:p w14:paraId="7D1E9345">
            <w:pPr>
              <w:pStyle w:val="27"/>
              <w:numPr>
                <w:ilvl w:val="0"/>
                <w:numId w:val="0"/>
              </w:numPr>
              <w:spacing w:before="69" w:line="219"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2"/>
                <w:sz w:val="21"/>
                <w:szCs w:val="21"/>
                <w:highlight w:val="none"/>
                <w:lang w:val="en" w:eastAsia="zh-CN"/>
              </w:rPr>
              <w:t>▲</w:t>
            </w:r>
            <w:r>
              <w:rPr>
                <w:rFonts w:hint="eastAsia" w:asciiTheme="minorEastAsia" w:hAnsiTheme="minorEastAsia" w:eastAsiaTheme="minorEastAsia" w:cstheme="minorEastAsia"/>
                <w:color w:val="auto"/>
                <w:spacing w:val="-3"/>
                <w:sz w:val="21"/>
                <w:szCs w:val="21"/>
                <w:highlight w:val="none"/>
                <w:lang w:eastAsia="zh-CN"/>
              </w:rPr>
              <w:t>6、底坑净深：1400 mm,顶层高度3900 mm。（</w:t>
            </w:r>
            <w:r>
              <w:rPr>
                <w:rFonts w:hint="eastAsia" w:asciiTheme="minorEastAsia" w:hAnsiTheme="minorEastAsia" w:eastAsiaTheme="minorEastAsia" w:cstheme="minorEastAsia"/>
                <w:color w:val="auto"/>
                <w:spacing w:val="-3"/>
                <w:sz w:val="21"/>
                <w:szCs w:val="21"/>
                <w:highlight w:val="none"/>
                <w:lang w:val="en-US" w:eastAsia="zh-CN"/>
              </w:rPr>
              <w:t>采购人土建已完成，为了建筑结构的安全，</w:t>
            </w:r>
            <w:r>
              <w:rPr>
                <w:rFonts w:hint="eastAsia" w:asciiTheme="minorEastAsia" w:hAnsiTheme="minorEastAsia" w:eastAsiaTheme="minorEastAsia" w:cstheme="minorEastAsia"/>
                <w:color w:val="auto"/>
                <w:spacing w:val="-3"/>
                <w:sz w:val="21"/>
                <w:szCs w:val="21"/>
                <w:highlight w:val="none"/>
                <w:lang w:eastAsia="zh-CN"/>
              </w:rPr>
              <w:t>不能做结构性土建整改</w:t>
            </w:r>
            <w:r>
              <w:rPr>
                <w:rFonts w:hint="eastAsia" w:asciiTheme="minorEastAsia" w:hAnsiTheme="minorEastAsia" w:eastAsiaTheme="minorEastAsia" w:cstheme="minorEastAsia"/>
                <w:color w:val="auto"/>
                <w:spacing w:val="-3"/>
                <w:sz w:val="21"/>
                <w:szCs w:val="21"/>
                <w:highlight w:val="none"/>
                <w:lang w:val="en-US" w:eastAsia="zh-CN"/>
              </w:rPr>
              <w:t>:包括但不限于机房楼板的破坏、圈梁的浇筑等。</w:t>
            </w:r>
            <w:r>
              <w:rPr>
                <w:rFonts w:hint="eastAsia" w:asciiTheme="minorEastAsia" w:hAnsiTheme="minorEastAsia" w:eastAsiaTheme="minorEastAsia" w:cstheme="minorEastAsia"/>
                <w:color w:val="auto"/>
                <w:spacing w:val="-3"/>
                <w:sz w:val="21"/>
                <w:szCs w:val="21"/>
                <w:highlight w:val="none"/>
                <w:lang w:eastAsia="zh-CN"/>
              </w:rPr>
              <w:t>）</w:t>
            </w:r>
          </w:p>
          <w:p w14:paraId="37904A52">
            <w:pPr>
              <w:pStyle w:val="27"/>
              <w:spacing w:before="74" w:line="219" w:lineRule="auto"/>
              <w:ind w:left="28"/>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3"/>
                <w:sz w:val="21"/>
                <w:szCs w:val="21"/>
                <w:highlight w:val="none"/>
                <w:lang w:eastAsia="zh-CN"/>
              </w:rPr>
              <w:t>7、井道尺寸宽×深：现场勘察，以实际测量为准。</w:t>
            </w:r>
          </w:p>
          <w:p w14:paraId="2826198B">
            <w:pPr>
              <w:pStyle w:val="27"/>
              <w:spacing w:before="69" w:line="219"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2"/>
                <w:sz w:val="21"/>
                <w:szCs w:val="21"/>
                <w:highlight w:val="none"/>
                <w:lang w:val="en" w:eastAsia="zh-CN"/>
              </w:rPr>
              <w:t>▲</w:t>
            </w:r>
            <w:r>
              <w:rPr>
                <w:rFonts w:hint="eastAsia" w:asciiTheme="minorEastAsia" w:hAnsiTheme="minorEastAsia" w:eastAsiaTheme="minorEastAsia" w:cstheme="minorEastAsia"/>
                <w:color w:val="auto"/>
                <w:spacing w:val="-4"/>
                <w:sz w:val="21"/>
                <w:szCs w:val="21"/>
                <w:highlight w:val="none"/>
                <w:lang w:eastAsia="zh-CN"/>
              </w:rPr>
              <w:t>8、轿厢尺寸宽×深×高：按照井道尺寸设计最大轿厢尺寸，轿厢高2400mm。</w:t>
            </w:r>
          </w:p>
          <w:p w14:paraId="758EAE84">
            <w:pPr>
              <w:pStyle w:val="27"/>
              <w:spacing w:before="71" w:line="220" w:lineRule="auto"/>
              <w:ind w:left="28"/>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2"/>
                <w:sz w:val="21"/>
                <w:szCs w:val="21"/>
                <w:highlight w:val="none"/>
                <w:lang w:val="en" w:eastAsia="zh-CN"/>
              </w:rPr>
              <w:t>▲</w:t>
            </w:r>
            <w:r>
              <w:rPr>
                <w:rFonts w:hint="eastAsia" w:asciiTheme="minorEastAsia" w:hAnsiTheme="minorEastAsia" w:eastAsiaTheme="minorEastAsia" w:cstheme="minorEastAsia"/>
                <w:color w:val="auto"/>
                <w:sz w:val="21"/>
                <w:szCs w:val="21"/>
                <w:highlight w:val="none"/>
                <w:lang w:eastAsia="zh-CN"/>
              </w:rPr>
              <w:t>9、开门宽度：</w:t>
            </w:r>
            <w:r>
              <w:rPr>
                <w:rFonts w:hint="eastAsia" w:asciiTheme="minorEastAsia" w:hAnsiTheme="minorEastAsia" w:eastAsiaTheme="minorEastAsia" w:cstheme="minorEastAsia"/>
                <w:color w:val="auto"/>
                <w:spacing w:val="-4"/>
                <w:sz w:val="21"/>
                <w:szCs w:val="21"/>
                <w:highlight w:val="none"/>
                <w:lang w:eastAsia="zh-CN"/>
              </w:rPr>
              <w:t>1000mm。</w:t>
            </w:r>
          </w:p>
          <w:p w14:paraId="74D826B9">
            <w:pPr>
              <w:pStyle w:val="27"/>
              <w:spacing w:before="77" w:line="219" w:lineRule="auto"/>
              <w:ind w:left="28"/>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2"/>
                <w:sz w:val="21"/>
                <w:szCs w:val="21"/>
                <w:highlight w:val="none"/>
                <w:lang w:val="en" w:eastAsia="zh-CN"/>
              </w:rPr>
              <w:t>▲</w:t>
            </w:r>
            <w:r>
              <w:rPr>
                <w:rFonts w:hint="eastAsia" w:asciiTheme="minorEastAsia" w:hAnsiTheme="minorEastAsia" w:eastAsiaTheme="minorEastAsia" w:cstheme="minorEastAsia"/>
                <w:color w:val="auto"/>
                <w:spacing w:val="-3"/>
                <w:sz w:val="21"/>
                <w:szCs w:val="21"/>
                <w:highlight w:val="none"/>
                <w:lang w:eastAsia="zh-CN"/>
              </w:rPr>
              <w:t>10、开门高度：2100mm。</w:t>
            </w:r>
          </w:p>
          <w:p w14:paraId="2EA437A4">
            <w:pPr>
              <w:pStyle w:val="27"/>
              <w:spacing w:before="80" w:line="220" w:lineRule="auto"/>
              <w:ind w:left="28"/>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pacing w:val="5"/>
                <w:sz w:val="21"/>
                <w:szCs w:val="21"/>
                <w:highlight w:val="none"/>
                <w:lang w:eastAsia="zh-CN"/>
              </w:rPr>
              <w:t>11、开门方式：自动中分门、</w:t>
            </w:r>
            <w:r>
              <w:rPr>
                <w:rFonts w:hint="eastAsia" w:asciiTheme="minorEastAsia" w:hAnsiTheme="minorEastAsia" w:eastAsiaTheme="minorEastAsia" w:cstheme="minorEastAsia"/>
                <w:color w:val="auto"/>
                <w:spacing w:val="5"/>
                <w:sz w:val="21"/>
                <w:szCs w:val="21"/>
                <w:highlight w:val="none"/>
                <w:lang w:val="en-US" w:eastAsia="zh-CN"/>
              </w:rPr>
              <w:t>侧开门。</w:t>
            </w:r>
          </w:p>
          <w:p w14:paraId="3D58DB5E">
            <w:pPr>
              <w:pStyle w:val="27"/>
              <w:spacing w:before="76" w:line="219" w:lineRule="auto"/>
              <w:ind w:left="28"/>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2"/>
                <w:sz w:val="21"/>
                <w:szCs w:val="21"/>
                <w:highlight w:val="none"/>
                <w:lang w:eastAsia="zh-CN"/>
              </w:rPr>
              <w:t>12、机房位置：井道顶部。</w:t>
            </w:r>
          </w:p>
          <w:p w14:paraId="1E1E2A0D">
            <w:pPr>
              <w:pStyle w:val="27"/>
              <w:spacing w:before="47" w:line="216" w:lineRule="auto"/>
              <w:ind w:left="28"/>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2"/>
                <w:sz w:val="21"/>
                <w:szCs w:val="21"/>
                <w:highlight w:val="none"/>
                <w:lang w:eastAsia="zh-CN"/>
              </w:rPr>
              <w:t>13、动力电源范围：主电源：380V；3相；50 Hz。</w:t>
            </w:r>
          </w:p>
          <w:p w14:paraId="2476165A">
            <w:pPr>
              <w:pStyle w:val="27"/>
              <w:spacing w:before="73" w:line="216" w:lineRule="auto"/>
              <w:ind w:left="28"/>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2"/>
                <w:sz w:val="21"/>
                <w:szCs w:val="21"/>
                <w:highlight w:val="none"/>
                <w:lang w:eastAsia="zh-CN"/>
              </w:rPr>
              <w:t>14、照明电源范围：220V；单相；50 Hz。</w:t>
            </w:r>
          </w:p>
          <w:p w14:paraId="385D7319">
            <w:pPr>
              <w:pStyle w:val="27"/>
              <w:spacing w:before="95" w:line="264" w:lineRule="auto"/>
              <w:ind w:left="28" w:right="2475"/>
              <w:rPr>
                <w:rFonts w:hint="eastAsia" w:asciiTheme="minorEastAsia" w:hAnsiTheme="minorEastAsia" w:eastAsiaTheme="minorEastAsia" w:cstheme="minorEastAsia"/>
                <w:color w:val="auto"/>
                <w:spacing w:val="2"/>
                <w:sz w:val="21"/>
                <w:szCs w:val="21"/>
                <w:highlight w:val="none"/>
                <w:lang w:eastAsia="zh-CN"/>
              </w:rPr>
            </w:pPr>
            <w:r>
              <w:rPr>
                <w:rFonts w:hint="eastAsia" w:asciiTheme="minorEastAsia" w:hAnsiTheme="minorEastAsia" w:eastAsiaTheme="minorEastAsia" w:cstheme="minorEastAsia"/>
                <w:color w:val="auto"/>
                <w:spacing w:val="-3"/>
                <w:sz w:val="21"/>
                <w:szCs w:val="21"/>
                <w:highlight w:val="none"/>
                <w:lang w:eastAsia="zh-CN"/>
              </w:rPr>
              <w:t>15、供电方式：三相五线制。</w:t>
            </w:r>
            <w:r>
              <w:rPr>
                <w:rFonts w:hint="eastAsia" w:asciiTheme="minorEastAsia" w:hAnsiTheme="minorEastAsia" w:eastAsiaTheme="minorEastAsia" w:cstheme="minorEastAsia"/>
                <w:color w:val="auto"/>
                <w:spacing w:val="2"/>
                <w:sz w:val="21"/>
                <w:szCs w:val="21"/>
                <w:highlight w:val="none"/>
                <w:lang w:eastAsia="zh-CN"/>
              </w:rPr>
              <w:t xml:space="preserve"> </w:t>
            </w:r>
          </w:p>
          <w:p w14:paraId="4EF4829F">
            <w:pPr>
              <w:pStyle w:val="27"/>
              <w:spacing w:before="68" w:line="273" w:lineRule="auto"/>
              <w:ind w:left="26" w:hanging="9"/>
              <w:rPr>
                <w:rFonts w:hint="eastAsia" w:asciiTheme="minorEastAsia" w:hAnsiTheme="minorEastAsia" w:eastAsiaTheme="minorEastAsia" w:cstheme="minorEastAsia"/>
                <w:color w:val="auto"/>
                <w:spacing w:val="-13"/>
                <w:sz w:val="21"/>
                <w:szCs w:val="21"/>
                <w:highlight w:val="none"/>
                <w:lang w:eastAsia="zh-CN"/>
              </w:rPr>
            </w:pPr>
            <w:r>
              <w:rPr>
                <w:rFonts w:hint="eastAsia" w:asciiTheme="minorEastAsia" w:hAnsiTheme="minorEastAsia" w:eastAsiaTheme="minorEastAsia" w:cstheme="minorEastAsia"/>
                <w:color w:val="auto"/>
                <w:spacing w:val="-3"/>
                <w:sz w:val="21"/>
                <w:szCs w:val="21"/>
                <w:highlight w:val="none"/>
                <w:lang w:val="en" w:eastAsia="zh-CN"/>
              </w:rPr>
              <w:t>▲</w:t>
            </w:r>
            <w:r>
              <w:rPr>
                <w:rFonts w:hint="eastAsia" w:asciiTheme="minorEastAsia" w:hAnsiTheme="minorEastAsia" w:eastAsiaTheme="minorEastAsia" w:cstheme="minorEastAsia"/>
                <w:color w:val="auto"/>
                <w:spacing w:val="-3"/>
                <w:sz w:val="21"/>
                <w:szCs w:val="21"/>
                <w:highlight w:val="none"/>
                <w:lang w:eastAsia="zh-CN"/>
              </w:rPr>
              <w:t>16、</w:t>
            </w:r>
            <w:r>
              <w:rPr>
                <w:rFonts w:hint="eastAsia" w:asciiTheme="minorEastAsia" w:hAnsiTheme="minorEastAsia" w:eastAsiaTheme="minorEastAsia" w:cstheme="minorEastAsia"/>
                <w:color w:val="auto"/>
                <w:spacing w:val="-13"/>
                <w:sz w:val="21"/>
                <w:szCs w:val="21"/>
                <w:highlight w:val="none"/>
                <w:lang w:eastAsia="zh-CN"/>
              </w:rPr>
              <w:t>控制方式：全微机电脑控制。</w:t>
            </w:r>
          </w:p>
          <w:p w14:paraId="249596AF">
            <w:pPr>
              <w:pStyle w:val="27"/>
              <w:spacing w:before="68" w:line="273" w:lineRule="auto"/>
              <w:ind w:left="26" w:hanging="9"/>
              <w:rPr>
                <w:rFonts w:hint="eastAsia" w:asciiTheme="minorEastAsia" w:hAnsiTheme="minorEastAsia" w:eastAsiaTheme="minorEastAsia" w:cstheme="minorEastAsia"/>
                <w:color w:val="auto"/>
                <w:spacing w:val="-13"/>
                <w:sz w:val="21"/>
                <w:szCs w:val="21"/>
                <w:highlight w:val="none"/>
                <w:lang w:eastAsia="zh-CN"/>
              </w:rPr>
            </w:pPr>
            <w:r>
              <w:rPr>
                <w:rFonts w:hint="eastAsia" w:asciiTheme="minorEastAsia" w:hAnsiTheme="minorEastAsia" w:eastAsiaTheme="minorEastAsia" w:cstheme="minorEastAsia"/>
                <w:color w:val="auto"/>
                <w:spacing w:val="-13"/>
                <w:sz w:val="21"/>
                <w:szCs w:val="21"/>
                <w:highlight w:val="none"/>
                <w:lang w:eastAsia="zh-CN"/>
              </w:rPr>
              <w:t>(以上具体安装技术参数，以实地测量尺寸为准。)</w:t>
            </w:r>
          </w:p>
          <w:p w14:paraId="13073AD8">
            <w:pPr>
              <w:pStyle w:val="27"/>
              <w:spacing w:before="68" w:line="273" w:lineRule="auto"/>
              <w:ind w:left="26" w:hanging="9"/>
              <w:rPr>
                <w:rFonts w:hint="eastAsia" w:asciiTheme="minorEastAsia" w:hAnsiTheme="minorEastAsia" w:eastAsiaTheme="minorEastAsia" w:cstheme="minorEastAsia"/>
                <w:color w:val="auto"/>
                <w:spacing w:val="-13"/>
                <w:sz w:val="21"/>
                <w:szCs w:val="21"/>
                <w:highlight w:val="none"/>
                <w:lang w:eastAsia="zh-CN"/>
              </w:rPr>
            </w:pPr>
            <w:r>
              <w:rPr>
                <w:rFonts w:hint="eastAsia" w:asciiTheme="minorEastAsia" w:hAnsiTheme="minorEastAsia" w:eastAsiaTheme="minorEastAsia" w:cstheme="minorEastAsia"/>
                <w:color w:val="auto"/>
                <w:spacing w:val="-17"/>
                <w:sz w:val="21"/>
                <w:szCs w:val="21"/>
                <w:highlight w:val="none"/>
                <w:lang w:val="en" w:eastAsia="zh-CN"/>
              </w:rPr>
              <w:t>▲</w:t>
            </w:r>
            <w:r>
              <w:rPr>
                <w:rFonts w:hint="eastAsia" w:asciiTheme="minorEastAsia" w:hAnsiTheme="minorEastAsia" w:eastAsiaTheme="minorEastAsia" w:cstheme="minorEastAsia"/>
                <w:color w:val="auto"/>
                <w:spacing w:val="-13"/>
                <w:sz w:val="21"/>
                <w:szCs w:val="21"/>
                <w:highlight w:val="none"/>
                <w:lang w:eastAsia="zh-CN"/>
              </w:rPr>
              <w:t>二、技术要求</w:t>
            </w:r>
          </w:p>
          <w:p w14:paraId="0198BF6C">
            <w:pPr>
              <w:pStyle w:val="27"/>
              <w:spacing w:before="68" w:line="273" w:lineRule="auto"/>
              <w:ind w:left="26" w:hanging="9"/>
              <w:rPr>
                <w:rFonts w:hint="eastAsia" w:asciiTheme="minorEastAsia" w:hAnsiTheme="minorEastAsia" w:eastAsiaTheme="minorEastAsia" w:cstheme="minorEastAsia"/>
                <w:color w:val="auto"/>
                <w:spacing w:val="-13"/>
                <w:sz w:val="21"/>
                <w:szCs w:val="21"/>
                <w:highlight w:val="none"/>
                <w:lang w:eastAsia="zh-CN"/>
              </w:rPr>
            </w:pPr>
            <w:r>
              <w:rPr>
                <w:rFonts w:hint="eastAsia" w:asciiTheme="minorEastAsia" w:hAnsiTheme="minorEastAsia" w:eastAsiaTheme="minorEastAsia" w:cstheme="minorEastAsia"/>
                <w:color w:val="auto"/>
                <w:spacing w:val="-17"/>
                <w:sz w:val="21"/>
                <w:szCs w:val="21"/>
                <w:highlight w:val="none"/>
                <w:lang w:eastAsia="zh-CN"/>
              </w:rPr>
              <w:t>1、曳引系统：永磁同步无齿轮曳引机，曳引机防护等级</w:t>
            </w:r>
            <w:r>
              <w:rPr>
                <w:rFonts w:hint="eastAsia" w:asciiTheme="minorEastAsia" w:hAnsiTheme="minorEastAsia" w:eastAsiaTheme="minorEastAsia" w:cstheme="minorEastAsia"/>
                <w:color w:val="auto"/>
                <w:spacing w:val="-13"/>
                <w:sz w:val="21"/>
                <w:szCs w:val="21"/>
                <w:highlight w:val="none"/>
                <w:lang w:eastAsia="zh-CN"/>
              </w:rPr>
              <w:t>≥IP42，与</w:t>
            </w:r>
            <w:r>
              <w:rPr>
                <w:rFonts w:hint="eastAsia" w:asciiTheme="minorEastAsia" w:hAnsiTheme="minorEastAsia" w:eastAsiaTheme="minorEastAsia" w:cstheme="minorEastAsia"/>
                <w:color w:val="auto"/>
                <w:spacing w:val="-6"/>
                <w:sz w:val="21"/>
                <w:szCs w:val="21"/>
                <w:highlight w:val="none"/>
                <w:lang w:eastAsia="zh-CN"/>
              </w:rPr>
              <w:t>报价</w:t>
            </w:r>
            <w:r>
              <w:rPr>
                <w:rFonts w:hint="eastAsia" w:asciiTheme="minorEastAsia" w:hAnsiTheme="minorEastAsia" w:eastAsiaTheme="minorEastAsia" w:cstheme="minorEastAsia"/>
                <w:color w:val="auto"/>
                <w:spacing w:val="-13"/>
                <w:sz w:val="21"/>
                <w:szCs w:val="21"/>
                <w:highlight w:val="none"/>
                <w:lang w:eastAsia="zh-CN"/>
              </w:rPr>
              <w:t>电梯品牌为同一品牌，曳引机的额定制动力矩按</w:t>
            </w:r>
            <w:r>
              <w:rPr>
                <w:rFonts w:hint="eastAsia" w:asciiTheme="minorEastAsia" w:hAnsiTheme="minorEastAsia" w:eastAsiaTheme="minorEastAsia" w:cstheme="minorEastAsia"/>
                <w:color w:val="auto"/>
                <w:spacing w:val="-13"/>
                <w:sz w:val="21"/>
                <w:szCs w:val="21"/>
                <w:highlight w:val="none"/>
                <w:lang w:val="en-US" w:eastAsia="zh-CN"/>
              </w:rPr>
              <w:t>≥</w:t>
            </w:r>
            <w:r>
              <w:rPr>
                <w:rFonts w:hint="eastAsia" w:asciiTheme="minorEastAsia" w:hAnsiTheme="minorEastAsia" w:eastAsiaTheme="minorEastAsia" w:cstheme="minorEastAsia"/>
                <w:color w:val="auto"/>
                <w:spacing w:val="-13"/>
                <w:sz w:val="21"/>
                <w:szCs w:val="21"/>
                <w:highlight w:val="none"/>
                <w:lang w:eastAsia="zh-CN"/>
              </w:rPr>
              <w:t>215%设计（测试时间不低于60分钟），曳引机按主轴</w:t>
            </w:r>
            <w:r>
              <w:rPr>
                <w:rFonts w:hint="eastAsia" w:asciiTheme="minorEastAsia" w:hAnsiTheme="minorEastAsia" w:eastAsiaTheme="minorEastAsia" w:cstheme="minorEastAsia"/>
                <w:color w:val="auto"/>
                <w:spacing w:val="-13"/>
                <w:sz w:val="21"/>
                <w:szCs w:val="21"/>
                <w:highlight w:val="none"/>
                <w:lang w:val="en-US" w:eastAsia="zh-CN"/>
              </w:rPr>
              <w:t>≥</w:t>
            </w:r>
            <w:r>
              <w:rPr>
                <w:rFonts w:hint="eastAsia" w:asciiTheme="minorEastAsia" w:hAnsiTheme="minorEastAsia" w:eastAsiaTheme="minorEastAsia" w:cstheme="minorEastAsia"/>
                <w:color w:val="auto"/>
                <w:spacing w:val="-13"/>
                <w:sz w:val="21"/>
                <w:szCs w:val="21"/>
                <w:highlight w:val="none"/>
                <w:lang w:eastAsia="zh-CN"/>
              </w:rPr>
              <w:t>10倍安全系数设计，</w:t>
            </w:r>
            <w:r>
              <w:rPr>
                <w:rFonts w:hint="eastAsia" w:asciiTheme="minorEastAsia" w:hAnsiTheme="minorEastAsia" w:eastAsiaTheme="minorEastAsia" w:cstheme="minorEastAsia"/>
                <w:color w:val="auto"/>
                <w:spacing w:val="-6"/>
                <w:sz w:val="21"/>
                <w:szCs w:val="21"/>
                <w:highlight w:val="none"/>
                <w:lang w:eastAsia="zh-CN"/>
              </w:rPr>
              <w:t>竞标时须</w:t>
            </w:r>
            <w:r>
              <w:rPr>
                <w:rFonts w:hint="eastAsia" w:asciiTheme="minorEastAsia" w:hAnsiTheme="minorEastAsia" w:eastAsiaTheme="minorEastAsia" w:cstheme="minorEastAsia"/>
                <w:b/>
                <w:bCs/>
                <w:color w:val="auto"/>
                <w:spacing w:val="-13"/>
                <w:sz w:val="21"/>
                <w:szCs w:val="21"/>
                <w:highlight w:val="none"/>
                <w:lang w:eastAsia="zh-CN"/>
              </w:rPr>
              <w:t>提供证明材料</w:t>
            </w:r>
            <w:r>
              <w:rPr>
                <w:rFonts w:hint="eastAsia" w:asciiTheme="minorEastAsia" w:hAnsiTheme="minorEastAsia" w:eastAsiaTheme="minorEastAsia" w:cstheme="minorEastAsia"/>
                <w:color w:val="auto"/>
                <w:spacing w:val="-13"/>
                <w:sz w:val="21"/>
                <w:szCs w:val="21"/>
                <w:highlight w:val="none"/>
                <w:lang w:eastAsia="zh-CN"/>
              </w:rPr>
              <w:t>。</w:t>
            </w:r>
          </w:p>
          <w:p w14:paraId="6313156D">
            <w:pPr>
              <w:pStyle w:val="27"/>
              <w:spacing w:before="68" w:line="273" w:lineRule="auto"/>
              <w:ind w:left="26" w:hanging="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5"/>
                <w:sz w:val="21"/>
                <w:szCs w:val="21"/>
                <w:highlight w:val="none"/>
                <w:lang w:eastAsia="zh-CN"/>
              </w:rPr>
              <w:t>2、控制系统：采用32位全数字化控制CPU，必须</w:t>
            </w:r>
            <w:r>
              <w:rPr>
                <w:rFonts w:hint="eastAsia" w:asciiTheme="minorEastAsia" w:hAnsiTheme="minorEastAsia" w:eastAsiaTheme="minorEastAsia" w:cstheme="minorEastAsia"/>
                <w:color w:val="auto"/>
                <w:spacing w:val="-6"/>
                <w:sz w:val="21"/>
                <w:szCs w:val="21"/>
                <w:highlight w:val="none"/>
                <w:lang w:eastAsia="zh-CN"/>
              </w:rPr>
              <w:t>与参与报价电梯为同一品牌，控制柜防护等级IP55，竞标时须</w:t>
            </w:r>
            <w:r>
              <w:rPr>
                <w:rFonts w:hint="eastAsia" w:asciiTheme="minorEastAsia" w:hAnsiTheme="minorEastAsia" w:eastAsiaTheme="minorEastAsia" w:cstheme="minorEastAsia"/>
                <w:b/>
                <w:bCs/>
                <w:color w:val="auto"/>
                <w:spacing w:val="-6"/>
                <w:sz w:val="21"/>
                <w:szCs w:val="21"/>
                <w:highlight w:val="none"/>
                <w:lang w:eastAsia="zh-CN"/>
              </w:rPr>
              <w:t>提供证明材料</w:t>
            </w:r>
            <w:r>
              <w:rPr>
                <w:rFonts w:hint="eastAsia" w:asciiTheme="minorEastAsia" w:hAnsiTheme="minorEastAsia" w:eastAsiaTheme="minorEastAsia" w:cstheme="minorEastAsia"/>
                <w:color w:val="auto"/>
                <w:spacing w:val="-6"/>
                <w:sz w:val="21"/>
                <w:szCs w:val="21"/>
                <w:highlight w:val="none"/>
                <w:lang w:eastAsia="zh-CN"/>
              </w:rPr>
              <w:t>。</w:t>
            </w:r>
          </w:p>
          <w:p w14:paraId="7147259D">
            <w:pPr>
              <w:pStyle w:val="27"/>
              <w:spacing w:before="68" w:line="273" w:lineRule="auto"/>
              <w:ind w:left="26" w:hanging="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3"/>
                <w:sz w:val="21"/>
                <w:szCs w:val="21"/>
                <w:highlight w:val="none"/>
                <w:lang w:eastAsia="zh-CN"/>
              </w:rPr>
              <w:t>3、操作系统：全电脑集选自动控制方式。控制柜抗雷击干扰</w:t>
            </w:r>
            <w:r>
              <w:rPr>
                <w:rFonts w:hint="eastAsia" w:asciiTheme="minorEastAsia" w:hAnsiTheme="minorEastAsia" w:eastAsiaTheme="minorEastAsia" w:cstheme="minorEastAsia"/>
                <w:color w:val="auto"/>
                <w:spacing w:val="-13"/>
                <w:sz w:val="21"/>
                <w:szCs w:val="21"/>
                <w:highlight w:val="none"/>
                <w:lang w:eastAsia="zh-CN"/>
              </w:rPr>
              <w:t>≥20kv，</w:t>
            </w:r>
            <w:r>
              <w:rPr>
                <w:rFonts w:hint="eastAsia" w:asciiTheme="minorEastAsia" w:hAnsiTheme="minorEastAsia" w:eastAsiaTheme="minorEastAsia" w:cstheme="minorEastAsia"/>
                <w:color w:val="auto"/>
                <w:spacing w:val="-6"/>
                <w:sz w:val="21"/>
                <w:szCs w:val="21"/>
                <w:highlight w:val="none"/>
                <w:lang w:eastAsia="zh-CN"/>
              </w:rPr>
              <w:t>竞标时须</w:t>
            </w:r>
            <w:r>
              <w:rPr>
                <w:rFonts w:hint="eastAsia" w:asciiTheme="minorEastAsia" w:hAnsiTheme="minorEastAsia" w:eastAsiaTheme="minorEastAsia" w:cstheme="minorEastAsia"/>
                <w:b/>
                <w:bCs/>
                <w:color w:val="auto"/>
                <w:spacing w:val="-6"/>
                <w:sz w:val="21"/>
                <w:szCs w:val="21"/>
                <w:highlight w:val="none"/>
                <w:lang w:eastAsia="zh-CN"/>
              </w:rPr>
              <w:t>提供证明材料</w:t>
            </w:r>
            <w:r>
              <w:rPr>
                <w:rFonts w:hint="eastAsia" w:asciiTheme="minorEastAsia" w:hAnsiTheme="minorEastAsia" w:eastAsiaTheme="minorEastAsia" w:cstheme="minorEastAsia"/>
                <w:color w:val="auto"/>
                <w:spacing w:val="-6"/>
                <w:sz w:val="21"/>
                <w:szCs w:val="21"/>
                <w:highlight w:val="none"/>
                <w:lang w:eastAsia="zh-CN"/>
              </w:rPr>
              <w:t>。</w:t>
            </w:r>
          </w:p>
          <w:p w14:paraId="60B97792">
            <w:pPr>
              <w:pStyle w:val="27"/>
              <w:spacing w:before="68" w:line="219" w:lineRule="auto"/>
              <w:ind w:left="28"/>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3"/>
                <w:sz w:val="21"/>
                <w:szCs w:val="21"/>
                <w:highlight w:val="none"/>
                <w:lang w:eastAsia="zh-CN"/>
              </w:rPr>
              <w:t>4、驱动系统：采用智能化大功率模块驱动系统。</w:t>
            </w:r>
          </w:p>
          <w:p w14:paraId="35B604CE">
            <w:pPr>
              <w:pStyle w:val="27"/>
              <w:spacing w:before="33" w:line="264" w:lineRule="auto"/>
              <w:ind w:left="28" w:right="165"/>
              <w:rPr>
                <w:rFonts w:hint="eastAsia" w:asciiTheme="minorEastAsia" w:hAnsiTheme="minorEastAsia" w:eastAsiaTheme="minorEastAsia" w:cstheme="minorEastAsia"/>
                <w:color w:val="auto"/>
                <w:spacing w:val="-4"/>
                <w:sz w:val="21"/>
                <w:szCs w:val="21"/>
                <w:highlight w:val="none"/>
                <w:lang w:eastAsia="zh-CN"/>
              </w:rPr>
            </w:pPr>
            <w:r>
              <w:rPr>
                <w:rFonts w:hint="eastAsia" w:asciiTheme="minorEastAsia" w:hAnsiTheme="minorEastAsia" w:eastAsiaTheme="minorEastAsia" w:cstheme="minorEastAsia"/>
                <w:color w:val="auto"/>
                <w:spacing w:val="-6"/>
                <w:sz w:val="21"/>
                <w:szCs w:val="21"/>
                <w:highlight w:val="none"/>
                <w:lang w:eastAsia="zh-CN"/>
              </w:rPr>
              <w:t>5、变频器装置：必须与竞标电梯为同一品牌，竞标时须</w:t>
            </w:r>
            <w:r>
              <w:rPr>
                <w:rFonts w:hint="eastAsia" w:asciiTheme="minorEastAsia" w:hAnsiTheme="minorEastAsia" w:eastAsiaTheme="minorEastAsia" w:cstheme="minorEastAsia"/>
                <w:b/>
                <w:bCs/>
                <w:color w:val="auto"/>
                <w:spacing w:val="-6"/>
                <w:sz w:val="21"/>
                <w:szCs w:val="21"/>
                <w:highlight w:val="none"/>
                <w:lang w:eastAsia="zh-CN"/>
              </w:rPr>
              <w:t>提供</w:t>
            </w:r>
            <w:r>
              <w:rPr>
                <w:rFonts w:hint="eastAsia" w:asciiTheme="minorEastAsia" w:hAnsiTheme="minorEastAsia" w:eastAsiaTheme="minorEastAsia" w:cstheme="minorEastAsia"/>
                <w:b/>
                <w:bCs/>
                <w:color w:val="auto"/>
                <w:spacing w:val="-4"/>
                <w:sz w:val="21"/>
                <w:szCs w:val="21"/>
                <w:highlight w:val="none"/>
                <w:lang w:eastAsia="zh-CN"/>
              </w:rPr>
              <w:t>证明材料</w:t>
            </w:r>
            <w:r>
              <w:rPr>
                <w:rFonts w:hint="eastAsia" w:asciiTheme="minorEastAsia" w:hAnsiTheme="minorEastAsia" w:eastAsiaTheme="minorEastAsia" w:cstheme="minorEastAsia"/>
                <w:color w:val="auto"/>
                <w:spacing w:val="-4"/>
                <w:sz w:val="21"/>
                <w:szCs w:val="21"/>
                <w:highlight w:val="none"/>
                <w:lang w:eastAsia="zh-CN"/>
              </w:rPr>
              <w:t>。</w:t>
            </w:r>
          </w:p>
          <w:p w14:paraId="0CA7931A">
            <w:pPr>
              <w:pStyle w:val="27"/>
              <w:spacing w:before="33" w:line="264" w:lineRule="auto"/>
              <w:ind w:left="28" w:right="165"/>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3"/>
                <w:sz w:val="21"/>
                <w:szCs w:val="21"/>
                <w:highlight w:val="none"/>
                <w:lang w:eastAsia="zh-CN"/>
              </w:rPr>
              <w:t>6、门机系统：采用交流变频调压调速(VVVF)系统，与竞标电梯品牌为同一品牌，</w:t>
            </w:r>
            <w:r>
              <w:rPr>
                <w:rFonts w:hint="eastAsia" w:asciiTheme="minorEastAsia" w:hAnsiTheme="minorEastAsia" w:eastAsiaTheme="minorEastAsia" w:cstheme="minorEastAsia"/>
                <w:color w:val="auto"/>
                <w:spacing w:val="-6"/>
                <w:sz w:val="21"/>
                <w:szCs w:val="21"/>
                <w:highlight w:val="none"/>
                <w:lang w:eastAsia="zh-CN"/>
              </w:rPr>
              <w:t>竞标时须</w:t>
            </w:r>
            <w:r>
              <w:rPr>
                <w:rFonts w:hint="eastAsia" w:asciiTheme="minorEastAsia" w:hAnsiTheme="minorEastAsia" w:eastAsiaTheme="minorEastAsia" w:cstheme="minorEastAsia"/>
                <w:b/>
                <w:bCs/>
                <w:color w:val="auto"/>
                <w:spacing w:val="-6"/>
                <w:sz w:val="21"/>
                <w:szCs w:val="21"/>
                <w:highlight w:val="none"/>
                <w:lang w:eastAsia="zh-CN"/>
              </w:rPr>
              <w:t>提供</w:t>
            </w:r>
            <w:r>
              <w:rPr>
                <w:rFonts w:hint="eastAsia" w:asciiTheme="minorEastAsia" w:hAnsiTheme="minorEastAsia" w:eastAsiaTheme="minorEastAsia" w:cstheme="minorEastAsia"/>
                <w:b/>
                <w:bCs/>
                <w:color w:val="auto"/>
                <w:spacing w:val="-4"/>
                <w:sz w:val="21"/>
                <w:szCs w:val="21"/>
                <w:highlight w:val="none"/>
                <w:lang w:eastAsia="zh-CN"/>
              </w:rPr>
              <w:t>证明材料</w:t>
            </w:r>
            <w:r>
              <w:rPr>
                <w:rFonts w:hint="eastAsia" w:asciiTheme="minorEastAsia" w:hAnsiTheme="minorEastAsia" w:eastAsiaTheme="minorEastAsia" w:cstheme="minorEastAsia"/>
                <w:color w:val="auto"/>
                <w:spacing w:val="-4"/>
                <w:sz w:val="21"/>
                <w:szCs w:val="21"/>
                <w:highlight w:val="none"/>
                <w:lang w:eastAsia="zh-CN"/>
              </w:rPr>
              <w:t>。</w:t>
            </w:r>
          </w:p>
          <w:p w14:paraId="5F7D684E">
            <w:pPr>
              <w:pStyle w:val="27"/>
              <w:spacing w:before="70" w:line="216"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7、限速器、安全钳、缓冲器、门锁、光幕，</w:t>
            </w:r>
            <w:r>
              <w:rPr>
                <w:rFonts w:hint="eastAsia" w:asciiTheme="minorEastAsia" w:hAnsiTheme="minorEastAsia" w:eastAsiaTheme="minorEastAsia" w:cstheme="minorEastAsia"/>
                <w:color w:val="auto"/>
                <w:spacing w:val="-6"/>
                <w:sz w:val="21"/>
                <w:szCs w:val="21"/>
                <w:highlight w:val="none"/>
                <w:lang w:eastAsia="zh-CN"/>
              </w:rPr>
              <w:t>竞标时须提供</w:t>
            </w:r>
            <w:r>
              <w:rPr>
                <w:rFonts w:hint="eastAsia" w:asciiTheme="minorEastAsia" w:hAnsiTheme="minorEastAsia" w:eastAsiaTheme="minorEastAsia" w:cstheme="minorEastAsia"/>
                <w:color w:val="auto"/>
                <w:spacing w:val="-6"/>
                <w:sz w:val="21"/>
                <w:szCs w:val="21"/>
                <w:highlight w:val="none"/>
                <w:lang w:val="en-US" w:eastAsia="zh-CN"/>
              </w:rPr>
              <w:t>相应的</w:t>
            </w:r>
            <w:r>
              <w:rPr>
                <w:rFonts w:hint="eastAsia" w:asciiTheme="minorEastAsia" w:hAnsiTheme="minorEastAsia" w:eastAsiaTheme="minorEastAsia" w:cstheme="minorEastAsia"/>
                <w:b/>
                <w:bCs/>
                <w:color w:val="auto"/>
                <w:spacing w:val="-4"/>
                <w:sz w:val="21"/>
                <w:szCs w:val="21"/>
                <w:highlight w:val="none"/>
                <w:lang w:eastAsia="zh-CN"/>
              </w:rPr>
              <w:t>证明材料</w:t>
            </w:r>
            <w:r>
              <w:rPr>
                <w:rFonts w:hint="eastAsia" w:asciiTheme="minorEastAsia" w:hAnsiTheme="minorEastAsia" w:eastAsiaTheme="minorEastAsia" w:cstheme="minorEastAsia"/>
                <w:color w:val="auto"/>
                <w:spacing w:val="-4"/>
                <w:sz w:val="21"/>
                <w:szCs w:val="21"/>
                <w:highlight w:val="none"/>
                <w:lang w:eastAsia="zh-CN"/>
              </w:rPr>
              <w:t>。</w:t>
            </w:r>
          </w:p>
          <w:p w14:paraId="4C75DE52">
            <w:pPr>
              <w:pStyle w:val="27"/>
              <w:spacing w:before="70" w:line="216"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8、电梯光幕的防护等级</w:t>
            </w:r>
            <w:r>
              <w:rPr>
                <w:rFonts w:hint="eastAsia" w:asciiTheme="minorEastAsia" w:hAnsiTheme="minorEastAsia" w:eastAsiaTheme="minorEastAsia" w:cstheme="minorEastAsia"/>
                <w:color w:val="auto"/>
                <w:sz w:val="21"/>
                <w:szCs w:val="21"/>
                <w:highlight w:val="none"/>
                <w:lang w:val="en-US" w:eastAsia="zh-CN"/>
              </w:rPr>
              <w:t>需达到</w:t>
            </w:r>
            <w:r>
              <w:rPr>
                <w:rFonts w:hint="eastAsia" w:asciiTheme="minorEastAsia" w:hAnsiTheme="minorEastAsia" w:eastAsiaTheme="minorEastAsia" w:cstheme="minorEastAsia"/>
                <w:color w:val="auto"/>
                <w:sz w:val="21"/>
                <w:szCs w:val="21"/>
                <w:highlight w:val="none"/>
                <w:lang w:eastAsia="zh-CN"/>
              </w:rPr>
              <w:t>IP65，</w:t>
            </w:r>
            <w:r>
              <w:rPr>
                <w:rFonts w:hint="eastAsia" w:asciiTheme="minorEastAsia" w:hAnsiTheme="minorEastAsia" w:eastAsiaTheme="minorEastAsia" w:cstheme="minorEastAsia"/>
                <w:color w:val="auto"/>
                <w:spacing w:val="-6"/>
                <w:sz w:val="21"/>
                <w:szCs w:val="21"/>
                <w:highlight w:val="none"/>
                <w:lang w:eastAsia="zh-CN"/>
              </w:rPr>
              <w:t>竞标时须提供</w:t>
            </w:r>
            <w:r>
              <w:rPr>
                <w:rFonts w:hint="eastAsia" w:asciiTheme="minorEastAsia" w:hAnsiTheme="minorEastAsia" w:eastAsiaTheme="minorEastAsia" w:cstheme="minorEastAsia"/>
                <w:color w:val="auto"/>
                <w:spacing w:val="-6"/>
                <w:sz w:val="21"/>
                <w:szCs w:val="21"/>
                <w:highlight w:val="none"/>
                <w:lang w:val="en-US" w:eastAsia="zh-CN"/>
              </w:rPr>
              <w:t>相应的</w:t>
            </w:r>
            <w:r>
              <w:rPr>
                <w:rFonts w:hint="eastAsia" w:asciiTheme="minorEastAsia" w:hAnsiTheme="minorEastAsia" w:eastAsiaTheme="minorEastAsia" w:cstheme="minorEastAsia"/>
                <w:b/>
                <w:bCs/>
                <w:color w:val="auto"/>
                <w:spacing w:val="-4"/>
                <w:sz w:val="21"/>
                <w:szCs w:val="21"/>
                <w:highlight w:val="none"/>
                <w:lang w:eastAsia="zh-CN"/>
              </w:rPr>
              <w:t>证明材料</w:t>
            </w:r>
            <w:r>
              <w:rPr>
                <w:rFonts w:hint="eastAsia" w:asciiTheme="minorEastAsia" w:hAnsiTheme="minorEastAsia" w:eastAsiaTheme="minorEastAsia" w:cstheme="minorEastAsia"/>
                <w:color w:val="auto"/>
                <w:spacing w:val="-4"/>
                <w:sz w:val="21"/>
                <w:szCs w:val="21"/>
                <w:highlight w:val="none"/>
                <w:lang w:eastAsia="zh-CN"/>
              </w:rPr>
              <w:t>。</w:t>
            </w:r>
          </w:p>
          <w:p w14:paraId="3BBF61F0">
            <w:pPr>
              <w:pStyle w:val="27"/>
              <w:spacing w:before="81" w:line="220" w:lineRule="auto"/>
              <w:ind w:left="35"/>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pacing w:val="-2"/>
                <w:sz w:val="21"/>
                <w:szCs w:val="21"/>
                <w:highlight w:val="none"/>
                <w:lang w:eastAsia="zh-CN"/>
              </w:rPr>
              <w:t>三、电梯装饰</w:t>
            </w:r>
          </w:p>
          <w:p w14:paraId="68E5B47D">
            <w:pPr>
              <w:spacing w:line="360" w:lineRule="exac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pacing w:val="-1"/>
                <w:sz w:val="21"/>
                <w:szCs w:val="21"/>
                <w:highlight w:val="none"/>
                <w:lang w:val="en"/>
              </w:rPr>
              <w:t>▲</w:t>
            </w:r>
            <w:r>
              <w:rPr>
                <w:rFonts w:hint="eastAsia" w:asciiTheme="minorEastAsia" w:hAnsiTheme="minorEastAsia" w:eastAsiaTheme="minorEastAsia" w:cstheme="minorEastAsia"/>
                <w:color w:val="auto"/>
                <w:spacing w:val="-1"/>
                <w:sz w:val="21"/>
                <w:szCs w:val="21"/>
                <w:highlight w:val="none"/>
              </w:rPr>
              <w:t>(1)轿厢材质：全部采用发纹不锈钢（不接受钢板贴不锈钢工艺），</w:t>
            </w:r>
          </w:p>
          <w:p w14:paraId="778282DE">
            <w:pPr>
              <w:pStyle w:val="27"/>
              <w:spacing w:before="98" w:line="219"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厚度≥1.5mm。</w:t>
            </w:r>
          </w:p>
          <w:p w14:paraId="578EE70A">
            <w:pPr>
              <w:pStyle w:val="27"/>
              <w:spacing w:before="71" w:line="219"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val="en" w:eastAsia="zh-CN"/>
              </w:rPr>
              <w:t>▲</w:t>
            </w:r>
            <w:r>
              <w:rPr>
                <w:rFonts w:hint="eastAsia" w:asciiTheme="minorEastAsia" w:hAnsiTheme="minorEastAsia" w:eastAsiaTheme="minorEastAsia" w:cstheme="minorEastAsia"/>
                <w:color w:val="auto"/>
                <w:spacing w:val="-1"/>
                <w:sz w:val="21"/>
                <w:szCs w:val="21"/>
                <w:highlight w:val="none"/>
                <w:lang w:eastAsia="zh-CN"/>
              </w:rPr>
              <w:t>(2)轿顶材质：标准型吊顶，带照明。</w:t>
            </w:r>
          </w:p>
          <w:p w14:paraId="6E18D5E9">
            <w:pPr>
              <w:pStyle w:val="27"/>
              <w:spacing w:before="80" w:line="219"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val="en" w:eastAsia="zh-CN"/>
              </w:rPr>
              <w:t>▲</w:t>
            </w:r>
            <w:r>
              <w:rPr>
                <w:rFonts w:hint="eastAsia" w:asciiTheme="minorEastAsia" w:hAnsiTheme="minorEastAsia" w:eastAsiaTheme="minorEastAsia" w:cstheme="minorEastAsia"/>
                <w:color w:val="auto"/>
                <w:spacing w:val="-1"/>
                <w:sz w:val="21"/>
                <w:szCs w:val="21"/>
                <w:highlight w:val="none"/>
                <w:lang w:eastAsia="zh-CN"/>
              </w:rPr>
              <w:t>(3)厅门：全部采用发纹不锈钢，厚度≥1.5mm。</w:t>
            </w:r>
          </w:p>
          <w:p w14:paraId="22BFA628">
            <w:pPr>
              <w:pStyle w:val="27"/>
              <w:spacing w:before="83" w:line="22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val="en" w:eastAsia="zh-CN"/>
              </w:rPr>
              <w:t>▲</w:t>
            </w:r>
            <w:r>
              <w:rPr>
                <w:rFonts w:hint="eastAsia" w:asciiTheme="minorEastAsia" w:hAnsiTheme="minorEastAsia" w:eastAsiaTheme="minorEastAsia" w:cstheme="minorEastAsia"/>
                <w:color w:val="auto"/>
                <w:spacing w:val="-1"/>
                <w:sz w:val="21"/>
                <w:szCs w:val="21"/>
                <w:highlight w:val="none"/>
                <w:lang w:eastAsia="zh-CN"/>
              </w:rPr>
              <w:t>(4)门套：全部发纹不锈钢大门套。</w:t>
            </w:r>
          </w:p>
          <w:p w14:paraId="49E2CEE7">
            <w:pPr>
              <w:pStyle w:val="27"/>
              <w:spacing w:before="80" w:line="258" w:lineRule="auto"/>
              <w:ind w:right="72"/>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val="en" w:eastAsia="zh-CN"/>
              </w:rPr>
              <w:t>▲</w:t>
            </w:r>
            <w:r>
              <w:rPr>
                <w:rFonts w:hint="eastAsia" w:asciiTheme="minorEastAsia" w:hAnsiTheme="minorEastAsia" w:eastAsiaTheme="minorEastAsia" w:cstheme="minorEastAsia"/>
                <w:color w:val="auto"/>
                <w:sz w:val="21"/>
                <w:szCs w:val="21"/>
                <w:highlight w:val="none"/>
                <w:lang w:eastAsia="zh-CN"/>
              </w:rPr>
              <w:t>(5)轿厢操纵箱：轿厢一侧配置一体式操纵箱，白色段码显示，可显示电梯运行楼层、方向等信息；另一侧配残疾人操纵盘，盲文按钮；面板采用304发纹不锈钢。</w:t>
            </w:r>
          </w:p>
          <w:p w14:paraId="110ED244">
            <w:pPr>
              <w:pStyle w:val="27"/>
              <w:spacing w:before="83" w:line="219"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val="en" w:eastAsia="zh-CN"/>
              </w:rPr>
              <w:t>▲</w:t>
            </w:r>
            <w:r>
              <w:rPr>
                <w:rFonts w:hint="eastAsia" w:asciiTheme="minorEastAsia" w:hAnsiTheme="minorEastAsia" w:eastAsiaTheme="minorEastAsia" w:cstheme="minorEastAsia"/>
                <w:color w:val="auto"/>
                <w:sz w:val="21"/>
                <w:szCs w:val="21"/>
                <w:highlight w:val="none"/>
                <w:lang w:eastAsia="zh-CN"/>
              </w:rPr>
              <w:t>(6)厅外呼梯装置：LED显示，可显示电梯运行楼层，超薄外壳，不带底盒工艺。</w:t>
            </w:r>
          </w:p>
          <w:p w14:paraId="5F8AE543">
            <w:pPr>
              <w:pStyle w:val="27"/>
              <w:spacing w:before="90" w:line="219" w:lineRule="auto"/>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(7)轿厢通风系统：有手动可开关的风扇。</w:t>
            </w:r>
          </w:p>
          <w:p w14:paraId="41BB7E37">
            <w:pPr>
              <w:pStyle w:val="27"/>
              <w:spacing w:before="90" w:line="219"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(8)轿厢地面：PVC耐磨防滑地板。</w:t>
            </w:r>
          </w:p>
          <w:p w14:paraId="2B5194BE">
            <w:pPr>
              <w:pStyle w:val="27"/>
              <w:spacing w:before="78" w:line="219" w:lineRule="auto"/>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b/>
                <w:bCs/>
                <w:color w:val="auto"/>
                <w:spacing w:val="-3"/>
                <w:sz w:val="21"/>
                <w:szCs w:val="21"/>
                <w:highlight w:val="none"/>
                <w:lang w:eastAsia="zh-CN"/>
              </w:rPr>
              <w:t>(</w:t>
            </w:r>
            <w:r>
              <w:rPr>
                <w:rFonts w:hint="eastAsia" w:asciiTheme="minorEastAsia" w:hAnsiTheme="minorEastAsia" w:eastAsiaTheme="minorEastAsia" w:cstheme="minorEastAsia"/>
                <w:color w:val="auto"/>
                <w:spacing w:val="-1"/>
                <w:sz w:val="21"/>
                <w:szCs w:val="21"/>
                <w:highlight w:val="none"/>
                <w:lang w:eastAsia="zh-CN"/>
              </w:rPr>
              <w:t>9)门坎：硬质铝合金型材。</w:t>
            </w:r>
          </w:p>
          <w:p w14:paraId="02F23F88">
            <w:pPr>
              <w:pStyle w:val="27"/>
              <w:spacing w:before="85" w:line="219"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val="en" w:eastAsia="zh-CN"/>
              </w:rPr>
              <w:t>▲</w:t>
            </w:r>
            <w:r>
              <w:rPr>
                <w:rFonts w:hint="eastAsia" w:asciiTheme="minorEastAsia" w:hAnsiTheme="minorEastAsia" w:eastAsiaTheme="minorEastAsia" w:cstheme="minorEastAsia"/>
                <w:color w:val="auto"/>
                <w:sz w:val="21"/>
                <w:szCs w:val="21"/>
                <w:highlight w:val="none"/>
                <w:lang w:eastAsia="zh-CN"/>
              </w:rPr>
              <w:t>(10)无障碍功能要求：语音报站、轿厢后侧配置一根不锈钢扶手、盲文按钮。</w:t>
            </w:r>
          </w:p>
          <w:p w14:paraId="2735AA44">
            <w:pPr>
              <w:pStyle w:val="27"/>
              <w:spacing w:before="73" w:line="220" w:lineRule="auto"/>
              <w:ind w:left="35"/>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val="en" w:eastAsia="zh-CN"/>
              </w:rPr>
              <w:t>▲</w:t>
            </w:r>
            <w:r>
              <w:rPr>
                <w:rFonts w:hint="eastAsia" w:asciiTheme="minorEastAsia" w:hAnsiTheme="minorEastAsia" w:eastAsiaTheme="minorEastAsia" w:cstheme="minorEastAsia"/>
                <w:b/>
                <w:bCs/>
                <w:color w:val="auto"/>
                <w:spacing w:val="-1"/>
                <w:sz w:val="21"/>
                <w:szCs w:val="21"/>
                <w:highlight w:val="none"/>
                <w:lang w:eastAsia="zh-CN"/>
              </w:rPr>
              <w:t>四、电梯功能，包括但不限于以下功能。</w:t>
            </w:r>
          </w:p>
          <w:p w14:paraId="7F875642">
            <w:pPr>
              <w:pStyle w:val="27"/>
              <w:spacing w:before="98" w:line="219" w:lineRule="auto"/>
              <w:jc w:val="both"/>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1.上行超速保护 2.缓冲器检测3.电阻制动 4.轿门检测 5.轿门限位</w:t>
            </w:r>
          </w:p>
          <w:p w14:paraId="2F8A1CD3">
            <w:pPr>
              <w:pStyle w:val="27"/>
              <w:spacing w:before="98" w:line="219" w:lineRule="auto"/>
              <w:jc w:val="both"/>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6.轿厢照明开关 7.修正运行8.门锁检测 9.禁止开门</w:t>
            </w:r>
          </w:p>
          <w:p w14:paraId="4D3D4C05">
            <w:pPr>
              <w:pStyle w:val="27"/>
              <w:spacing w:before="98" w:line="219" w:lineRule="auto"/>
              <w:jc w:val="both"/>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10.下行超速保护</w:t>
            </w:r>
            <w:r>
              <w:rPr>
                <w:rFonts w:hint="eastAsia" w:asciiTheme="minorEastAsia" w:hAnsiTheme="minorEastAsia" w:eastAsiaTheme="minorEastAsia" w:cstheme="minorEastAsia"/>
                <w:color w:val="auto"/>
                <w:spacing w:val="-1"/>
                <w:sz w:val="21"/>
                <w:szCs w:val="21"/>
                <w:highlight w:val="none"/>
                <w:lang w:val="en-US" w:eastAsia="zh-CN"/>
              </w:rPr>
              <w:t xml:space="preserve"> </w:t>
            </w:r>
            <w:r>
              <w:rPr>
                <w:rFonts w:hint="eastAsia" w:asciiTheme="minorEastAsia" w:hAnsiTheme="minorEastAsia" w:eastAsiaTheme="minorEastAsia" w:cstheme="minorEastAsia"/>
                <w:color w:val="auto"/>
                <w:spacing w:val="-1"/>
                <w:sz w:val="21"/>
                <w:szCs w:val="21"/>
                <w:highlight w:val="none"/>
                <w:lang w:eastAsia="zh-CN"/>
              </w:rPr>
              <w:t>11.运行时间检测</w:t>
            </w:r>
            <w:r>
              <w:rPr>
                <w:rFonts w:hint="eastAsia" w:asciiTheme="minorEastAsia" w:hAnsiTheme="minorEastAsia" w:eastAsiaTheme="minorEastAsia" w:cstheme="minorEastAsia"/>
                <w:color w:val="auto"/>
                <w:spacing w:val="-1"/>
                <w:sz w:val="21"/>
                <w:szCs w:val="21"/>
                <w:highlight w:val="none"/>
                <w:lang w:val="en-US" w:eastAsia="zh-CN"/>
              </w:rPr>
              <w:t xml:space="preserve"> </w:t>
            </w:r>
            <w:r>
              <w:rPr>
                <w:rFonts w:hint="eastAsia" w:asciiTheme="minorEastAsia" w:hAnsiTheme="minorEastAsia" w:eastAsiaTheme="minorEastAsia" w:cstheme="minorEastAsia"/>
                <w:color w:val="auto"/>
                <w:spacing w:val="-1"/>
                <w:sz w:val="21"/>
                <w:szCs w:val="21"/>
                <w:highlight w:val="none"/>
                <w:lang w:eastAsia="zh-CN"/>
              </w:rPr>
              <w:t xml:space="preserve">12.底坑急停 13.通讯评价 </w:t>
            </w:r>
          </w:p>
          <w:p w14:paraId="618E15B5">
            <w:pPr>
              <w:pStyle w:val="27"/>
              <w:spacing w:before="98" w:line="219" w:lineRule="auto"/>
              <w:jc w:val="both"/>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14.换站停靠 15.过热保护 16.行程保护</w:t>
            </w:r>
            <w:r>
              <w:rPr>
                <w:rFonts w:hint="eastAsia" w:asciiTheme="minorEastAsia" w:hAnsiTheme="minorEastAsia" w:eastAsiaTheme="minorEastAsia" w:cstheme="minorEastAsia"/>
                <w:color w:val="auto"/>
                <w:spacing w:val="-1"/>
                <w:sz w:val="21"/>
                <w:szCs w:val="21"/>
                <w:highlight w:val="none"/>
                <w:lang w:val="en-US" w:eastAsia="zh-CN"/>
              </w:rPr>
              <w:t xml:space="preserve"> </w:t>
            </w:r>
            <w:r>
              <w:rPr>
                <w:rFonts w:hint="eastAsia" w:asciiTheme="minorEastAsia" w:hAnsiTheme="minorEastAsia" w:eastAsiaTheme="minorEastAsia" w:cstheme="minorEastAsia"/>
                <w:color w:val="auto"/>
                <w:spacing w:val="-1"/>
                <w:sz w:val="21"/>
                <w:szCs w:val="21"/>
                <w:highlight w:val="none"/>
                <w:lang w:eastAsia="zh-CN"/>
              </w:rPr>
              <w:t>17.限速器安全开关</w:t>
            </w:r>
          </w:p>
          <w:p w14:paraId="60131F20">
            <w:pPr>
              <w:pStyle w:val="27"/>
              <w:spacing w:before="98" w:line="219" w:lineRule="auto"/>
              <w:jc w:val="both"/>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18.相位检测</w:t>
            </w:r>
            <w:r>
              <w:rPr>
                <w:rFonts w:hint="eastAsia" w:asciiTheme="minorEastAsia" w:hAnsiTheme="minorEastAsia" w:eastAsiaTheme="minorEastAsia" w:cstheme="minorEastAsia"/>
                <w:color w:val="auto"/>
                <w:spacing w:val="-1"/>
                <w:sz w:val="21"/>
                <w:szCs w:val="21"/>
                <w:highlight w:val="none"/>
                <w:lang w:val="en-US" w:eastAsia="zh-CN"/>
              </w:rPr>
              <w:t xml:space="preserve"> </w:t>
            </w:r>
            <w:r>
              <w:rPr>
                <w:rFonts w:hint="eastAsia" w:asciiTheme="minorEastAsia" w:hAnsiTheme="minorEastAsia" w:eastAsiaTheme="minorEastAsia" w:cstheme="minorEastAsia"/>
                <w:color w:val="auto"/>
                <w:spacing w:val="-1"/>
                <w:sz w:val="21"/>
                <w:szCs w:val="21"/>
                <w:highlight w:val="none"/>
                <w:lang w:eastAsia="zh-CN"/>
              </w:rPr>
              <w:t>19.重复开关门 20.救援运行</w:t>
            </w:r>
            <w:r>
              <w:rPr>
                <w:rFonts w:hint="eastAsia" w:asciiTheme="minorEastAsia" w:hAnsiTheme="minorEastAsia" w:eastAsiaTheme="minorEastAsia" w:cstheme="minorEastAsia"/>
                <w:color w:val="auto"/>
                <w:spacing w:val="-1"/>
                <w:sz w:val="21"/>
                <w:szCs w:val="21"/>
                <w:highlight w:val="none"/>
                <w:lang w:val="en-US" w:eastAsia="zh-CN"/>
              </w:rPr>
              <w:t xml:space="preserve"> </w:t>
            </w:r>
            <w:r>
              <w:rPr>
                <w:rFonts w:hint="eastAsia" w:asciiTheme="minorEastAsia" w:hAnsiTheme="minorEastAsia" w:eastAsiaTheme="minorEastAsia" w:cstheme="minorEastAsia"/>
                <w:color w:val="auto"/>
                <w:spacing w:val="-1"/>
                <w:sz w:val="21"/>
                <w:szCs w:val="21"/>
                <w:highlight w:val="none"/>
                <w:lang w:eastAsia="zh-CN"/>
              </w:rPr>
              <w:t>21.安全钳安全开关</w:t>
            </w:r>
          </w:p>
          <w:p w14:paraId="52ED54AE">
            <w:pPr>
              <w:pStyle w:val="27"/>
              <w:spacing w:before="98" w:line="219" w:lineRule="auto"/>
              <w:jc w:val="both"/>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22.轿厢限速器绳涨紧安全开关 23.轿厢意外移动防护</w:t>
            </w:r>
          </w:p>
          <w:p w14:paraId="0F5FD7BC">
            <w:pPr>
              <w:pStyle w:val="27"/>
              <w:spacing w:before="98" w:line="219" w:lineRule="auto"/>
              <w:jc w:val="both"/>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24.应急照明 25.应急电源 26.五方通话 27.检修运行 28.满载直驶</w:t>
            </w:r>
          </w:p>
          <w:p w14:paraId="75767614">
            <w:pPr>
              <w:pStyle w:val="27"/>
              <w:spacing w:before="98" w:line="219" w:lineRule="auto"/>
              <w:jc w:val="both"/>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29.轿厢位置，七段码 30.运行方向显，31.外呼登记显示</w:t>
            </w:r>
          </w:p>
          <w:p w14:paraId="180B3028">
            <w:pPr>
              <w:pStyle w:val="27"/>
              <w:spacing w:before="98" w:line="219" w:lineRule="auto"/>
              <w:jc w:val="both"/>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 xml:space="preserve">32.内呼显示，33.超载提醒，34.位置指示，35.精确再平层 </w:t>
            </w:r>
          </w:p>
          <w:p w14:paraId="32233487">
            <w:pPr>
              <w:pStyle w:val="27"/>
              <w:spacing w:before="98" w:line="219" w:lineRule="auto"/>
              <w:jc w:val="both"/>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rPr>
              <w:t xml:space="preserve">36.外呼重开门 37.光幕检测，38.反向内呼，39.外呼互锁 </w:t>
            </w:r>
          </w:p>
          <w:p w14:paraId="21956788">
            <w:pPr>
              <w:spacing w:line="360" w:lineRule="exact"/>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40.指令消除 41.停电再平层（应急救援装置）4</w:t>
            </w:r>
            <w:r>
              <w:rPr>
                <w:rFonts w:hint="eastAsia" w:asciiTheme="minorEastAsia" w:hAnsiTheme="minorEastAsia" w:eastAsiaTheme="minorEastAsia" w:cstheme="minorEastAsia"/>
                <w:color w:val="auto"/>
                <w:spacing w:val="-1"/>
                <w:sz w:val="21"/>
                <w:szCs w:val="21"/>
                <w:highlight w:val="none"/>
                <w:lang w:val="en-US" w:eastAsia="zh-CN"/>
              </w:rPr>
              <w:t>2</w:t>
            </w:r>
            <w:r>
              <w:rPr>
                <w:rFonts w:hint="eastAsia" w:asciiTheme="minorEastAsia" w:hAnsiTheme="minorEastAsia" w:eastAsiaTheme="minorEastAsia" w:cstheme="minorEastAsia"/>
                <w:color w:val="auto"/>
                <w:spacing w:val="-1"/>
                <w:sz w:val="21"/>
                <w:szCs w:val="21"/>
                <w:highlight w:val="none"/>
              </w:rPr>
              <w:t>.语音报站（中文）</w:t>
            </w:r>
            <w:r>
              <w:rPr>
                <w:rFonts w:hint="eastAsia" w:asciiTheme="minorEastAsia" w:hAnsiTheme="minorEastAsia" w:eastAsiaTheme="minorEastAsia" w:cstheme="minorEastAsia"/>
                <w:color w:val="auto"/>
                <w:spacing w:val="-1"/>
                <w:sz w:val="21"/>
                <w:szCs w:val="21"/>
                <w:highlight w:val="none"/>
                <w:lang w:eastAsia="zh-CN"/>
              </w:rPr>
              <w:t>。</w:t>
            </w:r>
          </w:p>
        </w:tc>
      </w:tr>
      <w:tr w14:paraId="3794F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52C9CD80">
            <w:pPr>
              <w:rPr>
                <w:rFonts w:hint="eastAsia"/>
                <w:color w:val="auto"/>
                <w:highlight w:val="none"/>
              </w:rPr>
            </w:pPr>
            <w:r>
              <w:rPr>
                <w:rFonts w:hint="eastAsia"/>
                <w:color w:val="auto"/>
                <w:highlight w:val="none"/>
              </w:rPr>
              <w:t xml:space="preserve"> ▲</w:t>
            </w:r>
            <w:r>
              <w:rPr>
                <w:rFonts w:hint="eastAsia" w:hAnsi="宋体" w:cs="宋体"/>
                <w:b/>
                <w:bCs/>
                <w:color w:val="auto"/>
                <w:szCs w:val="21"/>
                <w:highlight w:val="none"/>
              </w:rPr>
              <w:t xml:space="preserve">商务及其他售后服务要求 </w:t>
            </w:r>
          </w:p>
        </w:tc>
      </w:tr>
      <w:tr w14:paraId="00B1F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76062A9D">
            <w:pPr>
              <w:rPr>
                <w:rFonts w:ascii="宋体" w:hAnsi="宋体"/>
                <w:b/>
                <w:color w:val="auto"/>
                <w:szCs w:val="21"/>
                <w:highlight w:val="none"/>
              </w:rPr>
            </w:pPr>
            <w:r>
              <w:rPr>
                <w:rFonts w:hint="eastAsia"/>
                <w:b/>
                <w:color w:val="auto"/>
                <w:highlight w:val="none"/>
              </w:rPr>
              <w:t>一、售后服务及其他要求：</w:t>
            </w:r>
            <w:r>
              <w:rPr>
                <w:rFonts w:hint="eastAsia" w:ascii="宋体" w:hAnsi="宋体"/>
                <w:b/>
                <w:color w:val="auto"/>
                <w:szCs w:val="21"/>
                <w:highlight w:val="none"/>
              </w:rPr>
              <w:t xml:space="preserve"> </w:t>
            </w:r>
          </w:p>
          <w:p w14:paraId="447AE042">
            <w:pPr>
              <w:keepNext w:val="0"/>
              <w:keepLines w:val="0"/>
              <w:pageBreakBefore w:val="0"/>
              <w:widowControl/>
              <w:shd w:val="clear" w:color="auto" w:fill="FFFFFF"/>
              <w:wordWrap/>
              <w:overflowPunct/>
              <w:topLinePunct w:val="0"/>
              <w:bidi w:val="0"/>
              <w:spacing w:line="320" w:lineRule="exact"/>
              <w:ind w:left="0" w:firstLine="420" w:firstLineChars="200"/>
              <w:jc w:val="left"/>
              <w:rPr>
                <w:rFonts w:hint="eastAsia" w:ascii="宋体" w:hAnsi="宋体"/>
                <w:b w:val="0"/>
                <w:bCs/>
                <w:color w:val="auto"/>
                <w:szCs w:val="21"/>
                <w:highlight w:val="none"/>
              </w:rPr>
            </w:pPr>
            <w:r>
              <w:rPr>
                <w:rFonts w:hint="eastAsia" w:ascii="宋体" w:hAnsi="宋体"/>
                <w:b w:val="0"/>
                <w:bCs/>
                <w:color w:val="auto"/>
                <w:szCs w:val="21"/>
                <w:highlight w:val="none"/>
              </w:rPr>
              <w:t xml:space="preserve">1、合同签订期：自成交通知书发出之日起 </w:t>
            </w:r>
            <w:r>
              <w:rPr>
                <w:rFonts w:hint="eastAsia" w:ascii="宋体" w:hAnsi="宋体"/>
                <w:b w:val="0"/>
                <w:bCs/>
                <w:color w:val="auto"/>
                <w:szCs w:val="21"/>
                <w:highlight w:val="none"/>
                <w:u w:val="single"/>
              </w:rPr>
              <w:t xml:space="preserve">    25    </w:t>
            </w:r>
            <w:r>
              <w:rPr>
                <w:rFonts w:hint="eastAsia" w:ascii="宋体" w:hAnsi="宋体"/>
                <w:b w:val="0"/>
                <w:bCs/>
                <w:color w:val="auto"/>
                <w:szCs w:val="21"/>
                <w:highlight w:val="none"/>
              </w:rPr>
              <w:t>个日历日内。</w:t>
            </w:r>
          </w:p>
          <w:p w14:paraId="0F12A209">
            <w:pPr>
              <w:keepNext w:val="0"/>
              <w:keepLines w:val="0"/>
              <w:pageBreakBefore w:val="0"/>
              <w:widowControl/>
              <w:shd w:val="clear" w:color="auto" w:fill="FFFFFF"/>
              <w:wordWrap/>
              <w:overflowPunct/>
              <w:topLinePunct w:val="0"/>
              <w:bidi w:val="0"/>
              <w:spacing w:line="320" w:lineRule="exact"/>
              <w:ind w:left="0" w:firstLine="420" w:firstLineChars="200"/>
              <w:jc w:val="left"/>
              <w:rPr>
                <w:rFonts w:hint="eastAsia" w:ascii="宋体" w:hAnsi="宋体"/>
                <w:b w:val="0"/>
                <w:bCs/>
                <w:color w:val="auto"/>
                <w:szCs w:val="21"/>
                <w:highlight w:val="none"/>
              </w:rPr>
            </w:pPr>
            <w:r>
              <w:rPr>
                <w:rFonts w:hint="eastAsia" w:ascii="宋体" w:hAnsi="宋体"/>
                <w:b w:val="0"/>
                <w:bCs/>
                <w:color w:val="auto"/>
                <w:szCs w:val="21"/>
                <w:highlight w:val="none"/>
              </w:rPr>
              <w:t>2、交付使用时间：自签订合同之日起</w:t>
            </w:r>
            <w:r>
              <w:rPr>
                <w:rFonts w:hint="eastAsia" w:ascii="宋体" w:hAnsi="宋体"/>
                <w:b w:val="0"/>
                <w:bCs/>
                <w:color w:val="auto"/>
                <w:szCs w:val="21"/>
                <w:highlight w:val="none"/>
                <w:u w:val="single"/>
              </w:rPr>
              <w:t xml:space="preserve">    </w:t>
            </w:r>
            <w:r>
              <w:rPr>
                <w:rFonts w:hint="eastAsia" w:ascii="宋体" w:hAnsi="宋体"/>
                <w:b w:val="0"/>
                <w:bCs/>
                <w:color w:val="auto"/>
                <w:szCs w:val="21"/>
                <w:highlight w:val="none"/>
                <w:u w:val="single"/>
                <w:lang w:val="en-US" w:eastAsia="zh-CN"/>
              </w:rPr>
              <w:t>180</w:t>
            </w:r>
            <w:r>
              <w:rPr>
                <w:rFonts w:hint="eastAsia" w:ascii="宋体" w:hAnsi="宋体"/>
                <w:b w:val="0"/>
                <w:bCs/>
                <w:color w:val="auto"/>
                <w:szCs w:val="21"/>
                <w:highlight w:val="none"/>
                <w:u w:val="single"/>
              </w:rPr>
              <w:t xml:space="preserve">   </w:t>
            </w:r>
            <w:r>
              <w:rPr>
                <w:rFonts w:hint="eastAsia" w:ascii="宋体" w:hAnsi="宋体"/>
                <w:b w:val="0"/>
                <w:bCs/>
                <w:color w:val="auto"/>
                <w:szCs w:val="21"/>
                <w:highlight w:val="none"/>
              </w:rPr>
              <w:t>日内交付并安装验收完毕。</w:t>
            </w:r>
          </w:p>
          <w:p w14:paraId="11EE5DF6">
            <w:pPr>
              <w:keepNext w:val="0"/>
              <w:keepLines w:val="0"/>
              <w:pageBreakBefore w:val="0"/>
              <w:widowControl/>
              <w:shd w:val="clear" w:color="auto" w:fill="FFFFFF"/>
              <w:wordWrap/>
              <w:overflowPunct/>
              <w:topLinePunct w:val="0"/>
              <w:bidi w:val="0"/>
              <w:spacing w:line="320" w:lineRule="exact"/>
              <w:ind w:left="0" w:firstLine="420" w:firstLineChars="200"/>
              <w:jc w:val="left"/>
              <w:rPr>
                <w:rFonts w:hint="eastAsia" w:ascii="宋体" w:hAnsi="宋体"/>
                <w:b w:val="0"/>
                <w:bCs/>
                <w:color w:val="auto"/>
                <w:szCs w:val="21"/>
                <w:highlight w:val="none"/>
                <w:u w:val="single"/>
              </w:rPr>
            </w:pPr>
            <w:r>
              <w:rPr>
                <w:rFonts w:hint="eastAsia" w:ascii="宋体" w:hAnsi="宋体"/>
                <w:b w:val="0"/>
                <w:bCs/>
                <w:color w:val="auto"/>
                <w:szCs w:val="21"/>
                <w:highlight w:val="none"/>
              </w:rPr>
              <w:t>3、交货地点：</w:t>
            </w:r>
            <w:r>
              <w:rPr>
                <w:rFonts w:hint="eastAsia" w:ascii="宋体" w:hAnsi="宋体"/>
                <w:b w:val="0"/>
                <w:bCs/>
                <w:color w:val="auto"/>
                <w:szCs w:val="21"/>
                <w:highlight w:val="none"/>
                <w:u w:val="single"/>
              </w:rPr>
              <w:t xml:space="preserve"> 广西南宁市（采购单位指定地点）。 </w:t>
            </w:r>
          </w:p>
          <w:p w14:paraId="1CD60A35">
            <w:pPr>
              <w:keepNext w:val="0"/>
              <w:keepLines w:val="0"/>
              <w:pageBreakBefore w:val="0"/>
              <w:widowControl/>
              <w:shd w:val="clear" w:color="auto" w:fill="FFFFFF"/>
              <w:wordWrap/>
              <w:overflowPunct/>
              <w:topLinePunct w:val="0"/>
              <w:bidi w:val="0"/>
              <w:spacing w:line="320" w:lineRule="exact"/>
              <w:ind w:left="0" w:firstLine="420" w:firstLineChars="200"/>
              <w:jc w:val="left"/>
              <w:rPr>
                <w:rFonts w:hint="eastAsia" w:ascii="宋体" w:hAnsi="宋体"/>
                <w:b w:val="0"/>
                <w:bCs/>
                <w:color w:val="auto"/>
                <w:szCs w:val="21"/>
                <w:highlight w:val="none"/>
              </w:rPr>
            </w:pPr>
            <w:r>
              <w:rPr>
                <w:rFonts w:hint="eastAsia" w:ascii="宋体" w:hAnsi="宋体"/>
                <w:b w:val="0"/>
                <w:bCs/>
                <w:color w:val="auto"/>
                <w:szCs w:val="21"/>
                <w:highlight w:val="none"/>
              </w:rPr>
              <w:t>4、交货方式：现场交货。</w:t>
            </w:r>
          </w:p>
          <w:p w14:paraId="08D8E542">
            <w:pPr>
              <w:keepNext w:val="0"/>
              <w:keepLines w:val="0"/>
              <w:pageBreakBefore w:val="0"/>
              <w:wordWrap/>
              <w:overflowPunct/>
              <w:topLinePunct w:val="0"/>
              <w:bidi w:val="0"/>
              <w:spacing w:line="320" w:lineRule="exact"/>
              <w:ind w:left="0" w:firstLine="420" w:firstLineChars="200"/>
              <w:jc w:val="left"/>
              <w:rPr>
                <w:rFonts w:ascii="宋体" w:hAnsi="Courier New" w:cs="Courier New"/>
                <w:b w:val="0"/>
                <w:bCs/>
                <w:color w:val="auto"/>
                <w:szCs w:val="21"/>
                <w:highlight w:val="none"/>
                <w:u w:val="single"/>
              </w:rPr>
            </w:pPr>
            <w:r>
              <w:rPr>
                <w:rFonts w:hint="eastAsia" w:ascii="宋体" w:hAnsi="宋体"/>
                <w:b w:val="0"/>
                <w:bCs/>
                <w:color w:val="auto"/>
                <w:szCs w:val="21"/>
                <w:highlight w:val="none"/>
              </w:rPr>
              <w:t>5、履约保证金：</w:t>
            </w:r>
            <w:r>
              <w:rPr>
                <w:rFonts w:hint="eastAsia" w:hAnsi="宋体"/>
                <w:b w:val="0"/>
                <w:bCs/>
                <w:color w:val="auto"/>
                <w:highlight w:val="none"/>
              </w:rPr>
              <w:t>合同签订前，成交人</w:t>
            </w:r>
            <w:r>
              <w:rPr>
                <w:rFonts w:hint="eastAsia"/>
                <w:b w:val="0"/>
                <w:bCs/>
                <w:color w:val="auto"/>
                <w:highlight w:val="none"/>
              </w:rPr>
              <w:t>按合同金额的</w:t>
            </w:r>
            <w:r>
              <w:rPr>
                <w:rFonts w:hint="eastAsia"/>
                <w:b w:val="0"/>
                <w:bCs/>
                <w:color w:val="auto"/>
                <w:highlight w:val="none"/>
                <w:u w:val="single"/>
              </w:rPr>
              <w:t xml:space="preserve">  </w:t>
            </w:r>
            <w:r>
              <w:rPr>
                <w:rFonts w:hint="eastAsia"/>
                <w:b w:val="0"/>
                <w:bCs/>
                <w:color w:val="auto"/>
                <w:highlight w:val="none"/>
                <w:u w:val="single"/>
                <w:lang w:val="en-US" w:eastAsia="zh-CN"/>
              </w:rPr>
              <w:t>2</w:t>
            </w:r>
            <w:r>
              <w:rPr>
                <w:rFonts w:hint="eastAsia"/>
                <w:b w:val="0"/>
                <w:bCs/>
                <w:color w:val="auto"/>
                <w:highlight w:val="none"/>
                <w:u w:val="single"/>
              </w:rPr>
              <w:t xml:space="preserve">  </w:t>
            </w:r>
            <w:r>
              <w:rPr>
                <w:b w:val="0"/>
                <w:bCs/>
                <w:color w:val="auto"/>
                <w:highlight w:val="none"/>
              </w:rPr>
              <w:t>%</w:t>
            </w:r>
            <w:r>
              <w:rPr>
                <w:rFonts w:hint="eastAsia"/>
                <w:b w:val="0"/>
                <w:bCs/>
                <w:color w:val="auto"/>
                <w:highlight w:val="none"/>
              </w:rPr>
              <w:t>向采购人支付履约保证金，安装完毕并通过验收后</w:t>
            </w:r>
            <w:r>
              <w:rPr>
                <w:rFonts w:hint="eastAsia" w:ascii="宋体" w:hAnsi="宋体" w:cs="宋体"/>
                <w:b w:val="0"/>
                <w:bCs/>
                <w:color w:val="auto"/>
                <w:szCs w:val="21"/>
                <w:highlight w:val="none"/>
              </w:rPr>
              <w:t>，</w:t>
            </w:r>
            <w:r>
              <w:rPr>
                <w:rFonts w:hint="eastAsia" w:ascii="宋体" w:hAnsi="宋体"/>
                <w:b w:val="0"/>
                <w:bCs/>
                <w:color w:val="auto"/>
                <w:szCs w:val="21"/>
                <w:highlight w:val="none"/>
              </w:rPr>
              <w:t>完成付款审批手续后15个工作日内免息退回履约保证金（按合同约定被</w:t>
            </w:r>
            <w:r>
              <w:rPr>
                <w:rFonts w:hint="eastAsia" w:ascii="宋体" w:hAnsi="宋体"/>
                <w:b w:val="0"/>
                <w:bCs/>
                <w:color w:val="auto"/>
                <w:szCs w:val="21"/>
                <w:highlight w:val="none"/>
                <w:lang w:val="en-US" w:eastAsia="zh-CN"/>
              </w:rPr>
              <w:t>扣除</w:t>
            </w:r>
            <w:r>
              <w:rPr>
                <w:rFonts w:hint="eastAsia" w:ascii="宋体" w:hAnsi="宋体"/>
                <w:b w:val="0"/>
                <w:bCs/>
                <w:color w:val="auto"/>
                <w:szCs w:val="21"/>
                <w:highlight w:val="none"/>
              </w:rPr>
              <w:t>的除外）</w:t>
            </w:r>
            <w:r>
              <w:rPr>
                <w:rFonts w:hint="eastAsia"/>
                <w:b w:val="0"/>
                <w:bCs/>
                <w:color w:val="auto"/>
                <w:highlight w:val="none"/>
              </w:rPr>
              <w:t>。</w:t>
            </w:r>
            <w:r>
              <w:rPr>
                <w:b w:val="0"/>
                <w:bCs/>
                <w:color w:val="auto"/>
                <w:highlight w:val="none"/>
              </w:rPr>
              <w:t xml:space="preserve">  </w:t>
            </w:r>
          </w:p>
          <w:p w14:paraId="3814DBB2">
            <w:pPr>
              <w:keepNext w:val="0"/>
              <w:keepLines w:val="0"/>
              <w:pageBreakBefore w:val="0"/>
              <w:wordWrap/>
              <w:overflowPunct/>
              <w:topLinePunct w:val="0"/>
              <w:bidi w:val="0"/>
              <w:ind w:left="0" w:firstLine="420" w:firstLineChars="200"/>
              <w:rPr>
                <w:rFonts w:hint="default" w:eastAsia="宋体" w:cs="宋体"/>
                <w:b w:val="0"/>
                <w:bCs/>
                <w:color w:val="auto"/>
                <w:highlight w:val="none"/>
                <w:lang w:val="en-US" w:eastAsia="zh-CN"/>
              </w:rPr>
            </w:pPr>
            <w:bookmarkStart w:id="11" w:name="_Toc40865738"/>
            <w:bookmarkStart w:id="12" w:name="_Toc40865604"/>
            <w:r>
              <w:rPr>
                <w:rFonts w:hint="eastAsia"/>
                <w:b w:val="0"/>
                <w:bCs/>
                <w:color w:val="auto"/>
                <w:highlight w:val="none"/>
              </w:rPr>
              <w:t>6、付款方式：</w:t>
            </w:r>
            <w:r>
              <w:rPr>
                <w:rFonts w:hint="eastAsia" w:cs="宋体"/>
                <w:b w:val="0"/>
                <w:bCs/>
                <w:color w:val="auto"/>
                <w:highlight w:val="none"/>
              </w:rPr>
              <w:t xml:space="preserve"> 合同签订生效后支付</w:t>
            </w:r>
            <w:r>
              <w:rPr>
                <w:rFonts w:hint="eastAsia" w:cs="宋体"/>
                <w:b w:val="0"/>
                <w:bCs/>
                <w:color w:val="auto"/>
                <w:highlight w:val="none"/>
                <w:lang w:val="en-US" w:eastAsia="zh-CN"/>
              </w:rPr>
              <w:t>3</w:t>
            </w:r>
            <w:r>
              <w:rPr>
                <w:rFonts w:hint="eastAsia" w:cs="宋体"/>
                <w:b w:val="0"/>
                <w:bCs/>
                <w:color w:val="auto"/>
                <w:highlight w:val="none"/>
              </w:rPr>
              <w:t>0%</w:t>
            </w:r>
            <w:r>
              <w:rPr>
                <w:rFonts w:hint="eastAsia" w:cs="宋体"/>
                <w:b w:val="0"/>
                <w:bCs/>
                <w:color w:val="auto"/>
                <w:highlight w:val="none"/>
                <w:lang w:val="en-US" w:eastAsia="zh-CN"/>
              </w:rPr>
              <w:t>合同款</w:t>
            </w:r>
            <w:r>
              <w:rPr>
                <w:rFonts w:hint="eastAsia" w:cs="宋体"/>
                <w:b w:val="0"/>
                <w:bCs/>
                <w:color w:val="auto"/>
                <w:highlight w:val="none"/>
              </w:rPr>
              <w:t>；电梯及控制柜完成安装并能试运行</w:t>
            </w:r>
            <w:r>
              <w:rPr>
                <w:rFonts w:hint="eastAsia" w:cs="宋体"/>
                <w:b w:val="0"/>
                <w:bCs/>
                <w:color w:val="auto"/>
                <w:highlight w:val="none"/>
                <w:lang w:eastAsia="zh-CN"/>
              </w:rPr>
              <w:t>，</w:t>
            </w:r>
            <w:r>
              <w:rPr>
                <w:rFonts w:hint="eastAsia" w:cs="宋体"/>
                <w:b w:val="0"/>
                <w:bCs/>
                <w:color w:val="auto"/>
                <w:highlight w:val="none"/>
              </w:rPr>
              <w:t>且经</w:t>
            </w:r>
            <w:bookmarkEnd w:id="11"/>
            <w:bookmarkEnd w:id="12"/>
            <w:r>
              <w:rPr>
                <w:rFonts w:hint="eastAsia" w:cs="宋体"/>
                <w:b w:val="0"/>
                <w:bCs/>
                <w:color w:val="auto"/>
                <w:highlight w:val="none"/>
                <w:lang w:val="en-US" w:eastAsia="zh-CN"/>
              </w:rPr>
              <w:t>特检院出具合格的《曳引电梯和载货电梯电梯监督检验报告》，支付该合同的70%合同款。</w:t>
            </w:r>
          </w:p>
          <w:p w14:paraId="74BDC787">
            <w:pPr>
              <w:pStyle w:val="27"/>
              <w:keepNext w:val="0"/>
              <w:keepLines w:val="0"/>
              <w:pageBreakBefore w:val="0"/>
              <w:wordWrap/>
              <w:overflowPunct/>
              <w:topLinePunct w:val="0"/>
              <w:bidi w:val="0"/>
              <w:spacing w:line="273" w:lineRule="auto"/>
              <w:ind w:left="0" w:firstLine="440" w:firstLineChars="200"/>
              <w:rPr>
                <w:rFonts w:hint="eastAsia"/>
                <w:b w:val="0"/>
                <w:bCs/>
                <w:color w:val="auto"/>
                <w:spacing w:val="-13"/>
                <w:sz w:val="21"/>
                <w:szCs w:val="21"/>
                <w:highlight w:val="none"/>
                <w:lang w:eastAsia="zh-CN"/>
              </w:rPr>
            </w:pPr>
            <w:r>
              <w:rPr>
                <w:rFonts w:hint="eastAsia"/>
                <w:b w:val="0"/>
                <w:bCs/>
                <w:color w:val="auto"/>
                <w:highlight w:val="none"/>
                <w:lang w:eastAsia="zh-CN"/>
              </w:rPr>
              <w:t>7、</w:t>
            </w:r>
            <w:r>
              <w:rPr>
                <w:rFonts w:hint="eastAsia"/>
                <w:b w:val="0"/>
                <w:bCs/>
                <w:color w:val="auto"/>
                <w:sz w:val="21"/>
                <w:szCs w:val="21"/>
                <w:highlight w:val="none"/>
                <w:lang w:eastAsia="zh-CN"/>
              </w:rPr>
              <w:t>到货后采购单位有权对以上主要部件聘请专家进行核查，若出现弄虚作假情况，一经查实，采购单位将予以退货或换货，并将追究供应商的法律责任并要求供应商赔偿相关损失。</w:t>
            </w:r>
          </w:p>
          <w:p w14:paraId="0A1DC03A">
            <w:pPr>
              <w:rPr>
                <w:rFonts w:ascii="宋体" w:hAnsi="宋体"/>
                <w:color w:val="auto"/>
                <w:highlight w:val="none"/>
              </w:rPr>
            </w:pPr>
            <w:r>
              <w:rPr>
                <w:rFonts w:hint="eastAsia" w:ascii="宋体" w:hAnsi="宋体" w:cs="微软雅黑"/>
                <w:b/>
                <w:bCs/>
                <w:color w:val="auto"/>
                <w:highlight w:val="none"/>
                <w:lang w:eastAsia="zh-CN"/>
              </w:rPr>
              <w:t>二</w:t>
            </w:r>
            <w:r>
              <w:rPr>
                <w:rFonts w:hint="eastAsia" w:ascii="宋体" w:hAnsi="宋体" w:cs="微软雅黑"/>
                <w:b/>
                <w:bCs/>
                <w:color w:val="auto"/>
                <w:highlight w:val="none"/>
              </w:rPr>
              <w:t>、安装、售后服务要求</w:t>
            </w:r>
          </w:p>
          <w:p w14:paraId="73E6EA3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ascii="宋体" w:hAnsi="宋体"/>
                <w:color w:val="auto"/>
                <w:highlight w:val="none"/>
              </w:rPr>
            </w:pPr>
            <w:r>
              <w:rPr>
                <w:rFonts w:ascii="宋体" w:hAnsi="宋体"/>
                <w:color w:val="auto"/>
                <w:highlight w:val="none"/>
              </w:rPr>
              <w:t>1</w:t>
            </w:r>
            <w:r>
              <w:rPr>
                <w:rFonts w:hint="eastAsia" w:ascii="宋体" w:hAnsi="宋体" w:cs="微软雅黑"/>
                <w:color w:val="auto"/>
                <w:highlight w:val="none"/>
              </w:rPr>
              <w:t>、</w:t>
            </w:r>
            <w:r>
              <w:rPr>
                <w:rFonts w:hint="eastAsia" w:ascii="宋体" w:hAnsi="宋体" w:cs="微软雅黑"/>
                <w:color w:val="auto"/>
                <w:highlight w:val="none"/>
                <w:lang w:eastAsia="zh-CN"/>
              </w:rPr>
              <w:t>竞标</w:t>
            </w:r>
            <w:r>
              <w:rPr>
                <w:rFonts w:hint="eastAsia" w:ascii="宋体" w:hAnsi="宋体" w:cs="微软雅黑"/>
                <w:color w:val="auto"/>
                <w:highlight w:val="none"/>
              </w:rPr>
              <w:t>产品须是整套全新的，满足本项目需求的技术指标的电梯设备。</w:t>
            </w:r>
          </w:p>
          <w:p w14:paraId="5C273C59">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宋体" w:hAnsi="宋体"/>
                <w:color w:val="auto"/>
                <w:highlight w:val="none"/>
              </w:rPr>
            </w:pPr>
            <w:r>
              <w:rPr>
                <w:rFonts w:ascii="宋体" w:hAnsi="宋体"/>
                <w:color w:val="auto"/>
                <w:highlight w:val="none"/>
              </w:rPr>
              <w:t>2</w:t>
            </w:r>
            <w:r>
              <w:rPr>
                <w:rFonts w:hint="eastAsia" w:ascii="宋体" w:hAnsi="宋体" w:cs="微软雅黑"/>
                <w:color w:val="auto"/>
                <w:highlight w:val="none"/>
              </w:rPr>
              <w:t>、质保期：自安装、调试验收合格并交付使用之日起不少于</w:t>
            </w:r>
            <w:r>
              <w:rPr>
                <w:rFonts w:hint="eastAsia" w:ascii="宋体" w:hAnsi="宋体"/>
                <w:color w:val="auto"/>
                <w:highlight w:val="none"/>
              </w:rPr>
              <w:t>1</w:t>
            </w:r>
            <w:r>
              <w:rPr>
                <w:rFonts w:hint="eastAsia" w:ascii="宋体" w:hAnsi="宋体" w:cs="微软雅黑"/>
                <w:color w:val="auto"/>
                <w:highlight w:val="none"/>
              </w:rPr>
              <w:t>年免费保修。</w:t>
            </w:r>
          </w:p>
          <w:p w14:paraId="7B1C4F83">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宋体" w:hAnsi="宋体"/>
                <w:color w:val="auto"/>
                <w:highlight w:val="none"/>
              </w:rPr>
            </w:pPr>
            <w:r>
              <w:rPr>
                <w:rFonts w:ascii="宋体" w:hAnsi="宋体"/>
                <w:color w:val="auto"/>
                <w:highlight w:val="none"/>
              </w:rPr>
              <w:t>3</w:t>
            </w:r>
            <w:r>
              <w:rPr>
                <w:rFonts w:hint="eastAsia" w:ascii="宋体" w:hAnsi="宋体" w:cs="微软雅黑"/>
                <w:color w:val="auto"/>
                <w:highlight w:val="none"/>
              </w:rPr>
              <w:t>、质量要求：</w:t>
            </w:r>
            <w:r>
              <w:rPr>
                <w:rFonts w:hint="eastAsia" w:ascii="宋体" w:hAnsi="宋体" w:cs="微软雅黑"/>
                <w:color w:val="auto"/>
                <w:highlight w:val="none"/>
                <w:lang w:eastAsia="zh-CN"/>
              </w:rPr>
              <w:t>竞标</w:t>
            </w:r>
            <w:r>
              <w:rPr>
                <w:rFonts w:hint="eastAsia" w:ascii="宋体" w:hAnsi="宋体" w:cs="微软雅黑"/>
                <w:color w:val="auto"/>
                <w:highlight w:val="none"/>
              </w:rPr>
              <w:t>人需提供性能安全、稳定的电梯产品。未明确要求的参数及功能符合国家对相关产品的标准规定。</w:t>
            </w:r>
          </w:p>
          <w:p w14:paraId="2FEBBFB1">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宋体" w:hAnsi="宋体"/>
                <w:color w:val="auto"/>
                <w:highlight w:val="none"/>
              </w:rPr>
            </w:pPr>
            <w:r>
              <w:rPr>
                <w:rFonts w:ascii="宋体" w:hAnsi="宋体"/>
                <w:color w:val="auto"/>
                <w:highlight w:val="none"/>
              </w:rPr>
              <w:t>4</w:t>
            </w:r>
            <w:r>
              <w:rPr>
                <w:rFonts w:hint="eastAsia" w:ascii="宋体" w:hAnsi="宋体" w:cs="微软雅黑"/>
                <w:color w:val="auto"/>
                <w:highlight w:val="none"/>
              </w:rPr>
              <w:t>、售后技术服务要求：</w:t>
            </w:r>
          </w:p>
          <w:p w14:paraId="3455D915">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宋体" w:hAnsi="宋体"/>
                <w:color w:val="auto"/>
                <w:highlight w:val="none"/>
              </w:rPr>
            </w:pPr>
            <w:r>
              <w:rPr>
                <w:rFonts w:ascii="宋体" w:hAnsi="宋体"/>
                <w:color w:val="auto"/>
                <w:highlight w:val="none"/>
              </w:rPr>
              <w:t>(1)</w:t>
            </w:r>
            <w:r>
              <w:rPr>
                <w:rFonts w:hint="eastAsia" w:ascii="宋体" w:hAnsi="宋体" w:cs="微软雅黑"/>
                <w:color w:val="auto"/>
                <w:highlight w:val="none"/>
              </w:rPr>
              <w:t>质保期最少</w:t>
            </w:r>
            <w:r>
              <w:rPr>
                <w:rFonts w:ascii="宋体" w:hAnsi="宋体"/>
                <w:color w:val="auto"/>
                <w:highlight w:val="none"/>
              </w:rPr>
              <w:t>1</w:t>
            </w:r>
            <w:r>
              <w:rPr>
                <w:rFonts w:hint="eastAsia" w:ascii="宋体" w:hAnsi="宋体" w:cs="微软雅黑"/>
                <w:color w:val="auto"/>
                <w:highlight w:val="none"/>
              </w:rPr>
              <w:t>年，质保期内每季度进行一次全面的检修，每月两次免费保养服务</w:t>
            </w:r>
            <w:r>
              <w:rPr>
                <w:rFonts w:ascii="宋体" w:hAnsi="宋体"/>
                <w:color w:val="auto"/>
                <w:highlight w:val="none"/>
              </w:rPr>
              <w:t>(</w:t>
            </w:r>
            <w:r>
              <w:rPr>
                <w:rFonts w:hint="eastAsia" w:ascii="宋体" w:hAnsi="宋体" w:cs="微软雅黑"/>
                <w:color w:val="auto"/>
                <w:highlight w:val="none"/>
              </w:rPr>
              <w:t>检测、清洁、加油、调整、校正</w:t>
            </w:r>
            <w:r>
              <w:rPr>
                <w:rFonts w:ascii="宋体" w:hAnsi="宋体"/>
                <w:color w:val="auto"/>
                <w:highlight w:val="none"/>
              </w:rPr>
              <w:t>),</w:t>
            </w:r>
            <w:r>
              <w:rPr>
                <w:rFonts w:hint="eastAsia" w:ascii="宋体" w:hAnsi="宋体" w:cs="微软雅黑"/>
                <w:color w:val="auto"/>
                <w:highlight w:val="none"/>
              </w:rPr>
              <w:t>提供</w:t>
            </w:r>
            <w:r>
              <w:rPr>
                <w:rFonts w:ascii="宋体" w:hAnsi="宋体"/>
                <w:color w:val="auto"/>
                <w:highlight w:val="none"/>
              </w:rPr>
              <w:t>24</w:t>
            </w:r>
            <w:r>
              <w:rPr>
                <w:rFonts w:hint="eastAsia" w:ascii="宋体" w:hAnsi="宋体" w:cs="微软雅黑"/>
                <w:color w:val="auto"/>
                <w:highlight w:val="none"/>
              </w:rPr>
              <w:t>小时的急修服务，一旦电梯出现故障，接到报修电话后</w:t>
            </w:r>
            <w:r>
              <w:rPr>
                <w:rFonts w:ascii="宋体" w:hAnsi="宋体"/>
                <w:color w:val="auto"/>
                <w:highlight w:val="none"/>
              </w:rPr>
              <w:t>30</w:t>
            </w:r>
            <w:r>
              <w:rPr>
                <w:rFonts w:hint="eastAsia" w:ascii="宋体" w:hAnsi="宋体" w:cs="微软雅黑"/>
                <w:color w:val="auto"/>
                <w:highlight w:val="none"/>
              </w:rPr>
              <w:t>分钟内有维修人员到达现场排除故障；一般故障修复时间不超过</w:t>
            </w:r>
            <w:r>
              <w:rPr>
                <w:rFonts w:ascii="宋体" w:hAnsi="宋体"/>
                <w:color w:val="auto"/>
                <w:highlight w:val="none"/>
              </w:rPr>
              <w:t>2</w:t>
            </w:r>
            <w:r>
              <w:rPr>
                <w:rFonts w:hint="eastAsia" w:ascii="宋体" w:hAnsi="宋体" w:cs="微软雅黑"/>
                <w:color w:val="auto"/>
                <w:highlight w:val="none"/>
              </w:rPr>
              <w:t>小时，重大故障修复时间不超过</w:t>
            </w:r>
            <w:r>
              <w:rPr>
                <w:rFonts w:ascii="宋体" w:hAnsi="宋体"/>
                <w:color w:val="auto"/>
                <w:highlight w:val="none"/>
              </w:rPr>
              <w:t>24</w:t>
            </w:r>
            <w:r>
              <w:rPr>
                <w:rFonts w:hint="eastAsia" w:ascii="宋体" w:hAnsi="宋体" w:cs="微软雅黑"/>
                <w:color w:val="auto"/>
                <w:highlight w:val="none"/>
              </w:rPr>
              <w:t>小时；质保期内发生故障需更换零配件的，必须保证零配件为原厂配件；质保期满后，需提供终身有偿维护保养服务，并承诺以优于市场价格收取维保费。</w:t>
            </w:r>
          </w:p>
          <w:p w14:paraId="4BBE706C">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宋体" w:hAnsi="宋体"/>
                <w:color w:val="auto"/>
                <w:highlight w:val="none"/>
              </w:rPr>
            </w:pPr>
            <w:r>
              <w:rPr>
                <w:rFonts w:ascii="宋体" w:hAnsi="宋体"/>
                <w:color w:val="auto"/>
                <w:highlight w:val="none"/>
              </w:rPr>
              <w:t>(2)</w:t>
            </w:r>
            <w:r>
              <w:rPr>
                <w:rFonts w:hint="eastAsia" w:ascii="宋体" w:hAnsi="宋体" w:cs="微软雅黑"/>
                <w:color w:val="auto"/>
                <w:highlight w:val="none"/>
              </w:rPr>
              <w:t>负责为</w:t>
            </w:r>
            <w:r>
              <w:rPr>
                <w:rFonts w:hint="eastAsia" w:ascii="宋体" w:hAnsi="宋体" w:cs="微软雅黑"/>
                <w:color w:val="auto"/>
                <w:highlight w:val="none"/>
                <w:lang w:val="en-US" w:eastAsia="zh-CN"/>
              </w:rPr>
              <w:t>采购</w:t>
            </w:r>
            <w:r>
              <w:rPr>
                <w:rFonts w:hint="eastAsia" w:ascii="宋体" w:hAnsi="宋体" w:cs="微软雅黑"/>
                <w:color w:val="auto"/>
                <w:highlight w:val="none"/>
              </w:rPr>
              <w:t>人免费培训电梯技术人员</w:t>
            </w:r>
            <w:r>
              <w:rPr>
                <w:rFonts w:ascii="宋体" w:hAnsi="宋体"/>
                <w:color w:val="auto"/>
                <w:highlight w:val="none"/>
              </w:rPr>
              <w:t>(2-3</w:t>
            </w:r>
            <w:r>
              <w:rPr>
                <w:rFonts w:hint="eastAsia" w:ascii="宋体" w:hAnsi="宋体" w:cs="微软雅黑"/>
                <w:color w:val="auto"/>
                <w:highlight w:val="none"/>
              </w:rPr>
              <w:t>名</w:t>
            </w:r>
            <w:r>
              <w:rPr>
                <w:rFonts w:ascii="宋体" w:hAnsi="宋体"/>
                <w:color w:val="auto"/>
                <w:highlight w:val="none"/>
              </w:rPr>
              <w:t>);</w:t>
            </w:r>
          </w:p>
          <w:p w14:paraId="47C98E2F">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宋体" w:hAnsi="宋体"/>
                <w:color w:val="auto"/>
                <w:highlight w:val="none"/>
              </w:rPr>
            </w:pPr>
            <w:r>
              <w:rPr>
                <w:rFonts w:ascii="宋体" w:hAnsi="宋体"/>
                <w:color w:val="auto"/>
                <w:highlight w:val="none"/>
              </w:rPr>
              <w:t>(3)</w:t>
            </w:r>
            <w:r>
              <w:rPr>
                <w:rFonts w:hint="eastAsia" w:ascii="宋体" w:hAnsi="宋体" w:cs="微软雅黑"/>
                <w:color w:val="auto"/>
                <w:highlight w:val="none"/>
              </w:rPr>
              <w:t>免费为用户建立电梯设备管理档案。</w:t>
            </w:r>
          </w:p>
          <w:p w14:paraId="7FAF1826">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宋体" w:hAnsi="宋体"/>
                <w:color w:val="auto"/>
                <w:highlight w:val="none"/>
              </w:rPr>
            </w:pPr>
            <w:r>
              <w:rPr>
                <w:rFonts w:ascii="宋体" w:hAnsi="宋体"/>
                <w:color w:val="auto"/>
                <w:highlight w:val="none"/>
              </w:rPr>
              <w:t>(4)</w:t>
            </w:r>
            <w:r>
              <w:rPr>
                <w:rFonts w:hint="eastAsia" w:ascii="宋体" w:hAnsi="宋体" w:cs="微软雅黑"/>
                <w:color w:val="auto"/>
                <w:highlight w:val="none"/>
              </w:rPr>
              <w:t>零部件、配件及安装材料必须是未经使用的全新的并符合国家有关质量安全标准的合格产品。</w:t>
            </w:r>
          </w:p>
          <w:p w14:paraId="768A84E4">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宋体" w:hAnsi="宋体"/>
                <w:color w:val="auto"/>
                <w:highlight w:val="none"/>
              </w:rPr>
            </w:pPr>
            <w:r>
              <w:rPr>
                <w:rFonts w:ascii="宋体" w:hAnsi="宋体"/>
                <w:color w:val="auto"/>
                <w:highlight w:val="none"/>
              </w:rPr>
              <w:t>5</w:t>
            </w:r>
            <w:r>
              <w:rPr>
                <w:rFonts w:hint="eastAsia" w:ascii="宋体" w:hAnsi="宋体" w:cs="微软雅黑"/>
                <w:color w:val="auto"/>
                <w:highlight w:val="none"/>
              </w:rPr>
              <w:t>、安装施工要求：</w:t>
            </w:r>
          </w:p>
          <w:p w14:paraId="1CF555ED">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宋体" w:hAnsi="宋体" w:cs="微软雅黑"/>
                <w:color w:val="auto"/>
                <w:highlight w:val="none"/>
              </w:rPr>
            </w:pPr>
            <w:r>
              <w:rPr>
                <w:rFonts w:ascii="宋体" w:hAnsi="宋体"/>
                <w:color w:val="auto"/>
                <w:highlight w:val="none"/>
              </w:rPr>
              <w:t>(1)</w:t>
            </w:r>
            <w:r>
              <w:rPr>
                <w:rFonts w:hint="default" w:ascii="宋体" w:hAnsi="宋体" w:cs="微软雅黑"/>
                <w:color w:val="auto"/>
                <w:highlight w:val="none"/>
                <w:lang w:val="en"/>
              </w:rPr>
              <w:t>成交人</w:t>
            </w:r>
            <w:r>
              <w:rPr>
                <w:rFonts w:hint="eastAsia" w:ascii="宋体" w:hAnsi="宋体" w:cs="微软雅黑"/>
                <w:color w:val="auto"/>
                <w:highlight w:val="none"/>
              </w:rPr>
              <w:t>负责原有</w:t>
            </w:r>
            <w:r>
              <w:rPr>
                <w:rFonts w:hint="eastAsia"/>
                <w:color w:val="auto"/>
                <w:highlight w:val="none"/>
                <w:lang w:val="en-US" w:eastAsia="zh-CN"/>
              </w:rPr>
              <w:t>的五台</w:t>
            </w:r>
            <w:r>
              <w:rPr>
                <w:rFonts w:hint="eastAsia" w:ascii="宋体" w:hAnsi="宋体" w:cs="微软雅黑"/>
                <w:color w:val="auto"/>
                <w:highlight w:val="none"/>
              </w:rPr>
              <w:t>旧电梯的拆除工作，并按要求堆放于</w:t>
            </w:r>
            <w:r>
              <w:rPr>
                <w:rFonts w:hint="eastAsia" w:ascii="宋体" w:hAnsi="宋体" w:cs="微软雅黑"/>
                <w:color w:val="auto"/>
                <w:highlight w:val="none"/>
                <w:lang w:val="en-US" w:eastAsia="zh-CN"/>
              </w:rPr>
              <w:t>采购人</w:t>
            </w:r>
            <w:r>
              <w:rPr>
                <w:rFonts w:hint="eastAsia" w:ascii="宋体" w:hAnsi="宋体" w:cs="微软雅黑"/>
                <w:color w:val="auto"/>
                <w:highlight w:val="none"/>
                <w:lang w:eastAsia="zh-CN"/>
              </w:rPr>
              <w:t>指定的</w:t>
            </w:r>
            <w:r>
              <w:rPr>
                <w:rFonts w:hint="eastAsia" w:ascii="宋体" w:hAnsi="宋体" w:cs="微软雅黑"/>
                <w:color w:val="auto"/>
                <w:highlight w:val="none"/>
              </w:rPr>
              <w:t>院内</w:t>
            </w:r>
            <w:r>
              <w:rPr>
                <w:rFonts w:hint="eastAsia" w:ascii="宋体" w:hAnsi="宋体" w:cs="微软雅黑"/>
                <w:color w:val="auto"/>
                <w:highlight w:val="none"/>
                <w:lang w:eastAsia="zh-CN"/>
              </w:rPr>
              <w:t>位置</w:t>
            </w:r>
            <w:r>
              <w:rPr>
                <w:rFonts w:hint="eastAsia" w:ascii="宋体" w:hAnsi="宋体" w:cs="微软雅黑"/>
                <w:color w:val="auto"/>
                <w:highlight w:val="none"/>
              </w:rPr>
              <w:t>。</w:t>
            </w:r>
          </w:p>
          <w:p w14:paraId="309A1247">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宋体" w:hAnsi="宋体"/>
                <w:color w:val="auto"/>
                <w:highlight w:val="none"/>
              </w:rPr>
            </w:pPr>
            <w:r>
              <w:rPr>
                <w:rFonts w:ascii="宋体" w:hAnsi="宋体"/>
                <w:color w:val="auto"/>
                <w:highlight w:val="none"/>
              </w:rPr>
              <w:t>(2)</w:t>
            </w:r>
            <w:r>
              <w:rPr>
                <w:rFonts w:hint="eastAsia" w:ascii="宋体" w:hAnsi="宋体" w:cs="微软雅黑"/>
                <w:color w:val="auto"/>
                <w:highlight w:val="none"/>
                <w:lang w:eastAsia="zh-CN"/>
              </w:rPr>
              <w:t>成交人</w:t>
            </w:r>
            <w:r>
              <w:rPr>
                <w:rFonts w:hint="eastAsia" w:ascii="宋体" w:hAnsi="宋体" w:cs="微软雅黑"/>
                <w:color w:val="auto"/>
                <w:highlight w:val="none"/>
              </w:rPr>
              <w:t>负责新电梯全套设备的安装调试，不允许转包。</w:t>
            </w:r>
          </w:p>
          <w:p w14:paraId="4FC128EE">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宋体" w:hAnsi="宋体"/>
                <w:color w:val="auto"/>
                <w:highlight w:val="none"/>
              </w:rPr>
            </w:pPr>
            <w:r>
              <w:rPr>
                <w:rFonts w:ascii="宋体" w:hAnsi="宋体"/>
                <w:color w:val="auto"/>
                <w:highlight w:val="none"/>
              </w:rPr>
              <w:t>(3)</w:t>
            </w:r>
            <w:r>
              <w:rPr>
                <w:rFonts w:hint="eastAsia" w:ascii="宋体" w:hAnsi="宋体" w:cs="微软雅黑"/>
                <w:color w:val="auto"/>
                <w:highlight w:val="none"/>
                <w:lang w:eastAsia="zh-CN"/>
              </w:rPr>
              <w:t>成交人</w:t>
            </w:r>
            <w:r>
              <w:rPr>
                <w:rFonts w:hint="eastAsia" w:ascii="宋体" w:hAnsi="宋体" w:cs="微软雅黑"/>
                <w:color w:val="auto"/>
                <w:highlight w:val="none"/>
              </w:rPr>
              <w:t>要对预埋件安装及井道整改负责施工及指导。</w:t>
            </w:r>
          </w:p>
          <w:p w14:paraId="5AD99600">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宋体" w:hAnsi="宋体" w:cs="微软雅黑"/>
                <w:color w:val="auto"/>
                <w:highlight w:val="none"/>
              </w:rPr>
            </w:pPr>
            <w:r>
              <w:rPr>
                <w:rFonts w:ascii="宋体" w:hAnsi="宋体" w:cs="微软雅黑"/>
                <w:color w:val="auto"/>
                <w:highlight w:val="none"/>
              </w:rPr>
              <w:t>(4)</w:t>
            </w:r>
            <w:r>
              <w:rPr>
                <w:rFonts w:hint="eastAsia" w:ascii="宋体" w:hAnsi="宋体" w:cs="微软雅黑"/>
                <w:color w:val="auto"/>
                <w:highlight w:val="none"/>
              </w:rPr>
              <w:t>设备安装调试必须严格执行国家有关技术标准，</w:t>
            </w:r>
            <w:r>
              <w:rPr>
                <w:rFonts w:hint="eastAsia" w:ascii="宋体" w:hAnsi="宋体" w:cs="微软雅黑"/>
                <w:color w:val="auto"/>
                <w:highlight w:val="none"/>
                <w:lang w:eastAsia="zh-CN"/>
              </w:rPr>
              <w:t>成交人</w:t>
            </w:r>
            <w:r>
              <w:rPr>
                <w:rFonts w:hint="eastAsia" w:ascii="宋体" w:hAnsi="宋体" w:cs="微软雅黑"/>
                <w:color w:val="auto"/>
                <w:highlight w:val="none"/>
              </w:rPr>
              <w:t>自负施工人身、设备安全责任。</w:t>
            </w:r>
          </w:p>
          <w:p w14:paraId="0AFB11FA">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宋体" w:hAnsi="宋体" w:cs="微软雅黑"/>
                <w:color w:val="auto"/>
                <w:highlight w:val="none"/>
              </w:rPr>
            </w:pPr>
            <w:r>
              <w:rPr>
                <w:rFonts w:ascii="宋体" w:hAnsi="宋体" w:cs="微软雅黑"/>
                <w:color w:val="auto"/>
                <w:highlight w:val="none"/>
              </w:rPr>
              <w:t>(5)</w:t>
            </w:r>
            <w:r>
              <w:rPr>
                <w:rFonts w:hint="eastAsia" w:ascii="宋体" w:hAnsi="宋体" w:cs="微软雅黑"/>
                <w:color w:val="auto"/>
                <w:highlight w:val="none"/>
              </w:rPr>
              <w:t>安装调试过程中，</w:t>
            </w:r>
            <w:r>
              <w:rPr>
                <w:rFonts w:hint="eastAsia" w:ascii="宋体" w:hAnsi="宋体" w:cs="微软雅黑"/>
                <w:color w:val="auto"/>
                <w:highlight w:val="none"/>
                <w:lang w:eastAsia="zh-CN"/>
              </w:rPr>
              <w:t>成交人</w:t>
            </w:r>
            <w:r>
              <w:rPr>
                <w:rFonts w:hint="eastAsia" w:ascii="宋体" w:hAnsi="宋体" w:cs="微软雅黑"/>
                <w:color w:val="auto"/>
                <w:highlight w:val="none"/>
              </w:rPr>
              <w:t>应派专业技术人员对施工进行同步指导，并负责全套机组的调试运行达到验收要求。</w:t>
            </w:r>
          </w:p>
          <w:p w14:paraId="774C2A63">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宋体" w:hAnsi="宋体" w:cs="微软雅黑"/>
                <w:color w:val="auto"/>
                <w:highlight w:val="none"/>
              </w:rPr>
            </w:pPr>
            <w:r>
              <w:rPr>
                <w:rFonts w:ascii="宋体" w:hAnsi="宋体" w:cs="微软雅黑"/>
                <w:color w:val="auto"/>
                <w:highlight w:val="none"/>
              </w:rPr>
              <w:t>(6)</w:t>
            </w:r>
            <w:r>
              <w:rPr>
                <w:rFonts w:hint="eastAsia" w:ascii="宋体" w:hAnsi="宋体" w:cs="微软雅黑"/>
                <w:color w:val="auto"/>
                <w:highlight w:val="none"/>
                <w:lang w:eastAsia="zh-CN"/>
              </w:rPr>
              <w:t>成交人</w:t>
            </w:r>
            <w:r>
              <w:rPr>
                <w:rFonts w:ascii="宋体" w:hAnsi="宋体" w:cs="微软雅黑"/>
                <w:color w:val="auto"/>
                <w:highlight w:val="none"/>
              </w:rPr>
              <w:t>负责办理有关电梯设备安装的开工报装和竣工报验手续。</w:t>
            </w:r>
          </w:p>
          <w:p w14:paraId="1DE8E3AC">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宋体" w:hAnsi="宋体" w:cs="微软雅黑"/>
                <w:color w:val="auto"/>
                <w:highlight w:val="none"/>
              </w:rPr>
            </w:pPr>
            <w:r>
              <w:rPr>
                <w:rFonts w:ascii="宋体" w:hAnsi="宋体" w:cs="微软雅黑"/>
                <w:color w:val="auto"/>
                <w:highlight w:val="none"/>
              </w:rPr>
              <w:t>(7)设备验收费用由</w:t>
            </w:r>
            <w:r>
              <w:rPr>
                <w:rFonts w:hint="eastAsia" w:ascii="宋体" w:hAnsi="宋体" w:cs="微软雅黑"/>
                <w:color w:val="auto"/>
                <w:highlight w:val="none"/>
                <w:lang w:eastAsia="zh-CN"/>
              </w:rPr>
              <w:t>成交人</w:t>
            </w:r>
            <w:r>
              <w:rPr>
                <w:rFonts w:ascii="宋体" w:hAnsi="宋体" w:cs="微软雅黑"/>
                <w:color w:val="auto"/>
                <w:highlight w:val="none"/>
              </w:rPr>
              <w:t>负责。</w:t>
            </w:r>
          </w:p>
          <w:p w14:paraId="00CB3D87">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宋体" w:hAnsi="宋体" w:cs="微软雅黑"/>
                <w:color w:val="auto"/>
                <w:highlight w:val="none"/>
              </w:rPr>
            </w:pPr>
            <w:r>
              <w:rPr>
                <w:rFonts w:ascii="宋体" w:hAnsi="宋体" w:cs="微软雅黑"/>
                <w:color w:val="auto"/>
                <w:highlight w:val="none"/>
              </w:rPr>
              <w:t>(8)安装验收应按以下标准与规定执行：《</w:t>
            </w:r>
            <w:r>
              <w:rPr>
                <w:rFonts w:hint="eastAsia" w:ascii="宋体" w:hAnsi="宋体" w:cs="微软雅黑"/>
                <w:color w:val="auto"/>
                <w:highlight w:val="none"/>
              </w:rPr>
              <w:t>电</w:t>
            </w:r>
            <w:r>
              <w:rPr>
                <w:rFonts w:ascii="宋体" w:hAnsi="宋体" w:cs="微软雅黑"/>
                <w:color w:val="auto"/>
                <w:highlight w:val="none"/>
              </w:rPr>
              <w:t>梯安装验收规范》;《电气装置安装工程电梯电气装置施工与验收规范》;《电梯工程施工质量验收规范》;电力、消防、安监部门的有关规定等。</w:t>
            </w:r>
          </w:p>
          <w:p w14:paraId="4DC3BDED">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宋体" w:hAnsi="宋体" w:cs="微软雅黑"/>
                <w:color w:val="auto"/>
                <w:highlight w:val="none"/>
                <w:lang w:val="en"/>
              </w:rPr>
            </w:pPr>
            <w:r>
              <w:rPr>
                <w:rFonts w:hint="eastAsia" w:ascii="宋体" w:hAnsi="宋体" w:cs="微软雅黑"/>
                <w:color w:val="auto"/>
                <w:highlight w:val="none"/>
              </w:rPr>
              <w:t>（9）</w:t>
            </w:r>
            <w:r>
              <w:rPr>
                <w:rFonts w:hint="eastAsia" w:ascii="宋体" w:hAnsi="宋体" w:cs="微软雅黑"/>
                <w:color w:val="auto"/>
                <w:highlight w:val="none"/>
                <w:lang w:eastAsia="zh-CN"/>
              </w:rPr>
              <w:t>成交人</w:t>
            </w:r>
            <w:r>
              <w:rPr>
                <w:rFonts w:hint="eastAsia" w:ascii="宋体" w:hAnsi="宋体" w:cs="微软雅黑"/>
                <w:color w:val="auto"/>
                <w:highlight w:val="none"/>
              </w:rPr>
              <w:t>负责电梯门洞的门套封堵工作（含旧门套拆除），门套材质为门套材质为发纹不锈钢</w:t>
            </w:r>
            <w:r>
              <w:rPr>
                <w:rFonts w:hint="default" w:ascii="宋体" w:hAnsi="宋体" w:cs="微软雅黑"/>
                <w:color w:val="auto"/>
                <w:highlight w:val="none"/>
                <w:lang w:val="en"/>
              </w:rPr>
              <w:t>。</w:t>
            </w:r>
          </w:p>
          <w:p w14:paraId="6C41C426">
            <w:pPr>
              <w:rPr>
                <w:rFonts w:ascii="宋体" w:hAnsi="宋体" w:cs="宋体"/>
                <w:b/>
                <w:bCs/>
                <w:color w:val="auto"/>
                <w:highlight w:val="none"/>
              </w:rPr>
            </w:pPr>
            <w:r>
              <w:rPr>
                <w:rFonts w:hint="eastAsia" w:ascii="宋体" w:hAnsi="宋体" w:cs="宋体"/>
                <w:b/>
                <w:bCs/>
                <w:color w:val="auto"/>
                <w:highlight w:val="none"/>
              </w:rPr>
              <w:t>三、其他要求：</w:t>
            </w:r>
          </w:p>
          <w:p w14:paraId="4885DA19">
            <w:pPr>
              <w:pStyle w:val="27"/>
              <w:keepNext w:val="0"/>
              <w:keepLines w:val="0"/>
              <w:pageBreakBefore w:val="0"/>
              <w:widowControl/>
              <w:kinsoku w:val="0"/>
              <w:wordWrap/>
              <w:overflowPunct/>
              <w:topLinePunct w:val="0"/>
              <w:autoSpaceDE w:val="0"/>
              <w:autoSpaceDN w:val="0"/>
              <w:bidi w:val="0"/>
              <w:adjustRightInd w:val="0"/>
              <w:snapToGrid w:val="0"/>
              <w:spacing w:line="255" w:lineRule="auto"/>
              <w:ind w:left="0" w:firstLine="412" w:firstLineChars="200"/>
              <w:textAlignment w:val="baseline"/>
              <w:rPr>
                <w:color w:val="auto"/>
                <w:sz w:val="21"/>
                <w:szCs w:val="21"/>
                <w:highlight w:val="none"/>
                <w:lang w:eastAsia="zh-CN"/>
              </w:rPr>
            </w:pPr>
            <w:r>
              <w:rPr>
                <w:color w:val="auto"/>
                <w:spacing w:val="-2"/>
                <w:sz w:val="21"/>
                <w:szCs w:val="21"/>
                <w:highlight w:val="none"/>
                <w:lang w:eastAsia="zh-CN"/>
              </w:rPr>
              <w:t>1、</w:t>
            </w:r>
            <w:r>
              <w:rPr>
                <w:rFonts w:hint="eastAsia"/>
                <w:color w:val="auto"/>
                <w:spacing w:val="-2"/>
                <w:sz w:val="21"/>
                <w:szCs w:val="21"/>
                <w:highlight w:val="none"/>
                <w:lang w:eastAsia="zh-CN"/>
              </w:rPr>
              <w:t>竞标</w:t>
            </w:r>
            <w:r>
              <w:rPr>
                <w:color w:val="auto"/>
                <w:spacing w:val="-2"/>
                <w:sz w:val="21"/>
                <w:szCs w:val="21"/>
                <w:highlight w:val="none"/>
                <w:lang w:eastAsia="zh-CN"/>
              </w:rPr>
              <w:t>人需按照现场电梯井道尺寸设计符合上述要求的电梯规格参数，采购方负责提供符</w:t>
            </w:r>
            <w:r>
              <w:rPr>
                <w:color w:val="auto"/>
                <w:spacing w:val="-3"/>
                <w:sz w:val="21"/>
                <w:szCs w:val="21"/>
                <w:highlight w:val="none"/>
                <w:lang w:eastAsia="zh-CN"/>
              </w:rPr>
              <w:t>合电梯安</w:t>
            </w:r>
            <w:r>
              <w:rPr>
                <w:color w:val="auto"/>
                <w:sz w:val="21"/>
                <w:szCs w:val="21"/>
                <w:highlight w:val="none"/>
                <w:lang w:eastAsia="zh-CN"/>
              </w:rPr>
              <w:t>装验收要求标准的井道，并负责电梯安装完</w:t>
            </w:r>
            <w:r>
              <w:rPr>
                <w:color w:val="auto"/>
                <w:spacing w:val="-1"/>
                <w:sz w:val="21"/>
                <w:szCs w:val="21"/>
                <w:highlight w:val="none"/>
                <w:lang w:eastAsia="zh-CN"/>
              </w:rPr>
              <w:t>成后土建回填及装饰工作。</w:t>
            </w:r>
          </w:p>
          <w:p w14:paraId="1C144482">
            <w:pPr>
              <w:pStyle w:val="27"/>
              <w:keepNext w:val="0"/>
              <w:keepLines w:val="0"/>
              <w:pageBreakBefore w:val="0"/>
              <w:widowControl/>
              <w:kinsoku w:val="0"/>
              <w:wordWrap/>
              <w:overflowPunct/>
              <w:topLinePunct w:val="0"/>
              <w:autoSpaceDE w:val="0"/>
              <w:autoSpaceDN w:val="0"/>
              <w:bidi w:val="0"/>
              <w:adjustRightInd w:val="0"/>
              <w:snapToGrid w:val="0"/>
              <w:spacing w:line="219" w:lineRule="auto"/>
              <w:ind w:left="0" w:firstLine="420" w:firstLineChars="200"/>
              <w:textAlignment w:val="baseline"/>
              <w:rPr>
                <w:color w:val="auto"/>
                <w:sz w:val="21"/>
                <w:szCs w:val="21"/>
                <w:highlight w:val="none"/>
                <w:lang w:eastAsia="zh-CN"/>
              </w:rPr>
            </w:pPr>
            <w:r>
              <w:rPr>
                <w:color w:val="auto"/>
                <w:sz w:val="21"/>
                <w:szCs w:val="21"/>
                <w:highlight w:val="none"/>
                <w:lang w:eastAsia="zh-CN"/>
              </w:rPr>
              <w:t>2、</w:t>
            </w:r>
            <w:r>
              <w:rPr>
                <w:rFonts w:hint="eastAsia"/>
                <w:color w:val="auto"/>
                <w:spacing w:val="-2"/>
                <w:sz w:val="21"/>
                <w:szCs w:val="21"/>
                <w:highlight w:val="none"/>
                <w:lang w:eastAsia="zh-CN"/>
              </w:rPr>
              <w:t>竞标</w:t>
            </w:r>
            <w:r>
              <w:rPr>
                <w:color w:val="auto"/>
                <w:sz w:val="21"/>
                <w:szCs w:val="21"/>
                <w:highlight w:val="none"/>
                <w:lang w:eastAsia="zh-CN"/>
              </w:rPr>
              <w:t>文件中</w:t>
            </w:r>
            <w:r>
              <w:rPr>
                <w:b/>
                <w:bCs/>
                <w:color w:val="auto"/>
                <w:sz w:val="21"/>
                <w:szCs w:val="21"/>
                <w:highlight w:val="none"/>
                <w:lang w:eastAsia="zh-CN"/>
              </w:rPr>
              <w:t>必须提供详细的售后服务承诺方案</w:t>
            </w:r>
            <w:r>
              <w:rPr>
                <w:color w:val="auto"/>
                <w:sz w:val="21"/>
                <w:szCs w:val="21"/>
                <w:highlight w:val="none"/>
                <w:lang w:eastAsia="zh-CN"/>
              </w:rPr>
              <w:t>。</w:t>
            </w:r>
          </w:p>
          <w:p w14:paraId="7ABB67F2">
            <w:pPr>
              <w:pStyle w:val="27"/>
              <w:keepNext w:val="0"/>
              <w:keepLines w:val="0"/>
              <w:pageBreakBefore w:val="0"/>
              <w:widowControl/>
              <w:kinsoku w:val="0"/>
              <w:wordWrap/>
              <w:overflowPunct/>
              <w:topLinePunct w:val="0"/>
              <w:autoSpaceDE w:val="0"/>
              <w:autoSpaceDN w:val="0"/>
              <w:bidi w:val="0"/>
              <w:adjustRightInd w:val="0"/>
              <w:snapToGrid w:val="0"/>
              <w:spacing w:line="268" w:lineRule="auto"/>
              <w:ind w:left="0" w:firstLine="424" w:firstLineChars="200"/>
              <w:textAlignment w:val="baseline"/>
              <w:rPr>
                <w:color w:val="auto"/>
                <w:sz w:val="21"/>
                <w:szCs w:val="21"/>
                <w:highlight w:val="none"/>
                <w:lang w:eastAsia="zh-CN"/>
              </w:rPr>
            </w:pPr>
            <w:r>
              <w:rPr>
                <w:color w:val="auto"/>
                <w:spacing w:val="1"/>
                <w:sz w:val="21"/>
                <w:szCs w:val="21"/>
                <w:highlight w:val="none"/>
                <w:lang w:eastAsia="zh-CN"/>
              </w:rPr>
              <w:t>3、</w:t>
            </w:r>
            <w:r>
              <w:rPr>
                <w:rFonts w:hint="eastAsia"/>
                <w:color w:val="auto"/>
                <w:spacing w:val="1"/>
                <w:sz w:val="21"/>
                <w:szCs w:val="21"/>
                <w:highlight w:val="none"/>
                <w:lang w:eastAsia="zh-CN"/>
              </w:rPr>
              <w:t>竞标</w:t>
            </w:r>
            <w:r>
              <w:rPr>
                <w:color w:val="auto"/>
                <w:spacing w:val="1"/>
                <w:sz w:val="21"/>
                <w:szCs w:val="21"/>
                <w:highlight w:val="none"/>
                <w:lang w:eastAsia="zh-CN"/>
              </w:rPr>
              <w:t>人应根据项目要求，在</w:t>
            </w:r>
            <w:r>
              <w:rPr>
                <w:rFonts w:hint="eastAsia"/>
                <w:color w:val="auto"/>
                <w:spacing w:val="1"/>
                <w:sz w:val="21"/>
                <w:szCs w:val="21"/>
                <w:highlight w:val="none"/>
                <w:lang w:eastAsia="zh-CN"/>
              </w:rPr>
              <w:t>竞标</w:t>
            </w:r>
            <w:r>
              <w:rPr>
                <w:color w:val="auto"/>
                <w:spacing w:val="1"/>
                <w:sz w:val="21"/>
                <w:szCs w:val="21"/>
                <w:highlight w:val="none"/>
                <w:lang w:eastAsia="zh-CN"/>
              </w:rPr>
              <w:t>文件中</w:t>
            </w:r>
            <w:r>
              <w:rPr>
                <w:b/>
                <w:bCs/>
                <w:color w:val="auto"/>
                <w:spacing w:val="1"/>
                <w:sz w:val="21"/>
                <w:szCs w:val="21"/>
                <w:highlight w:val="none"/>
                <w:lang w:eastAsia="zh-CN"/>
              </w:rPr>
              <w:t>做出详细</w:t>
            </w:r>
            <w:r>
              <w:rPr>
                <w:b/>
                <w:bCs/>
                <w:color w:val="auto"/>
                <w:sz w:val="21"/>
                <w:szCs w:val="21"/>
                <w:highlight w:val="none"/>
                <w:lang w:eastAsia="zh-CN"/>
              </w:rPr>
              <w:t>的项目安装实施方案</w:t>
            </w:r>
            <w:r>
              <w:rPr>
                <w:color w:val="auto"/>
                <w:sz w:val="21"/>
                <w:szCs w:val="21"/>
                <w:highlight w:val="none"/>
                <w:lang w:eastAsia="zh-CN"/>
              </w:rPr>
              <w:t>(包括</w:t>
            </w:r>
            <w:r>
              <w:rPr>
                <w:rFonts w:hint="eastAsia"/>
                <w:color w:val="auto"/>
                <w:sz w:val="21"/>
                <w:szCs w:val="21"/>
                <w:highlight w:val="none"/>
                <w:lang w:eastAsia="zh-CN"/>
              </w:rPr>
              <w:t>但不限：</w:t>
            </w:r>
            <w:r>
              <w:rPr>
                <w:color w:val="auto"/>
                <w:sz w:val="21"/>
                <w:szCs w:val="21"/>
                <w:highlight w:val="none"/>
                <w:lang w:eastAsia="zh-CN"/>
              </w:rPr>
              <w:t>施工组织机构、人员配备数量，施工机械、检测设备，施工进度计划及保证工期、质</w:t>
            </w:r>
            <w:r>
              <w:rPr>
                <w:color w:val="auto"/>
                <w:spacing w:val="-1"/>
                <w:sz w:val="21"/>
                <w:szCs w:val="21"/>
                <w:highlight w:val="none"/>
                <w:lang w:eastAsia="zh-CN"/>
              </w:rPr>
              <w:t>量的技术措施，安全、文明施工措</w:t>
            </w:r>
            <w:r>
              <w:rPr>
                <w:color w:val="auto"/>
                <w:sz w:val="21"/>
                <w:szCs w:val="21"/>
                <w:highlight w:val="none"/>
                <w:lang w:eastAsia="zh-CN"/>
              </w:rPr>
              <w:t>施、设备的安装调试等方面材料等详细内容)。</w:t>
            </w:r>
          </w:p>
          <w:p w14:paraId="1FDA4A85">
            <w:pPr>
              <w:pStyle w:val="27"/>
              <w:keepNext w:val="0"/>
              <w:keepLines w:val="0"/>
              <w:pageBreakBefore w:val="0"/>
              <w:widowControl/>
              <w:kinsoku w:val="0"/>
              <w:wordWrap/>
              <w:overflowPunct/>
              <w:topLinePunct w:val="0"/>
              <w:autoSpaceDE w:val="0"/>
              <w:autoSpaceDN w:val="0"/>
              <w:bidi w:val="0"/>
              <w:adjustRightInd w:val="0"/>
              <w:snapToGrid w:val="0"/>
              <w:spacing w:line="219" w:lineRule="auto"/>
              <w:ind w:left="0" w:firstLine="420" w:firstLineChars="200"/>
              <w:textAlignment w:val="baseline"/>
              <w:rPr>
                <w:rFonts w:hint="eastAsia"/>
                <w:color w:val="auto"/>
                <w:spacing w:val="-1"/>
                <w:sz w:val="21"/>
                <w:szCs w:val="21"/>
                <w:highlight w:val="none"/>
                <w:lang w:eastAsia="zh-CN"/>
              </w:rPr>
            </w:pPr>
            <w:r>
              <w:rPr>
                <w:color w:val="auto"/>
                <w:sz w:val="21"/>
                <w:szCs w:val="21"/>
                <w:highlight w:val="none"/>
                <w:lang w:eastAsia="zh-CN"/>
              </w:rPr>
              <w:t>4、所提供验证材料需真实有效</w:t>
            </w:r>
            <w:r>
              <w:rPr>
                <w:color w:val="auto"/>
                <w:spacing w:val="-1"/>
                <w:sz w:val="21"/>
                <w:szCs w:val="21"/>
                <w:highlight w:val="none"/>
                <w:lang w:eastAsia="zh-CN"/>
              </w:rPr>
              <w:t>。</w:t>
            </w:r>
          </w:p>
          <w:p w14:paraId="15F43E4D">
            <w:pPr>
              <w:pStyle w:val="27"/>
              <w:spacing w:before="51" w:line="218" w:lineRule="auto"/>
              <w:ind w:left="20"/>
              <w:rPr>
                <w:b/>
                <w:bCs/>
                <w:color w:val="auto"/>
                <w:spacing w:val="1"/>
                <w:sz w:val="21"/>
                <w:szCs w:val="21"/>
                <w:highlight w:val="none"/>
                <w:lang w:eastAsia="zh-CN"/>
              </w:rPr>
            </w:pPr>
            <w:r>
              <w:rPr>
                <w:rFonts w:hint="eastAsia"/>
                <w:b/>
                <w:bCs/>
                <w:color w:val="auto"/>
                <w:spacing w:val="1"/>
                <w:sz w:val="21"/>
                <w:szCs w:val="21"/>
                <w:highlight w:val="none"/>
                <w:lang w:eastAsia="zh-CN"/>
              </w:rPr>
              <w:t>四</w:t>
            </w:r>
            <w:r>
              <w:rPr>
                <w:b/>
                <w:bCs/>
                <w:color w:val="auto"/>
                <w:spacing w:val="1"/>
                <w:sz w:val="21"/>
                <w:szCs w:val="21"/>
                <w:highlight w:val="none"/>
                <w:lang w:eastAsia="zh-CN"/>
              </w:rPr>
              <w:t>、报价</w:t>
            </w:r>
            <w:r>
              <w:rPr>
                <w:rFonts w:hint="eastAsia"/>
                <w:b/>
                <w:bCs/>
                <w:color w:val="auto"/>
                <w:spacing w:val="1"/>
                <w:sz w:val="21"/>
                <w:szCs w:val="21"/>
                <w:highlight w:val="none"/>
                <w:lang w:eastAsia="zh-CN"/>
              </w:rPr>
              <w:t>及其他</w:t>
            </w:r>
          </w:p>
          <w:p w14:paraId="166A6406">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0" w:firstLine="412" w:firstLineChars="200"/>
              <w:jc w:val="both"/>
              <w:textAlignment w:val="baseline"/>
              <w:rPr>
                <w:rFonts w:hint="eastAsia"/>
                <w:color w:val="auto"/>
                <w:spacing w:val="-2"/>
                <w:sz w:val="21"/>
                <w:szCs w:val="21"/>
                <w:highlight w:val="none"/>
                <w:lang w:eastAsia="zh-CN"/>
              </w:rPr>
            </w:pPr>
            <w:r>
              <w:rPr>
                <w:color w:val="auto"/>
                <w:spacing w:val="-2"/>
                <w:sz w:val="21"/>
                <w:szCs w:val="21"/>
                <w:highlight w:val="none"/>
                <w:lang w:eastAsia="zh-CN"/>
              </w:rPr>
              <w:t>1</w:t>
            </w:r>
            <w:r>
              <w:rPr>
                <w:rFonts w:hint="eastAsia"/>
                <w:color w:val="auto"/>
                <w:spacing w:val="-2"/>
                <w:sz w:val="21"/>
                <w:szCs w:val="21"/>
                <w:highlight w:val="none"/>
                <w:lang w:eastAsia="zh-CN"/>
              </w:rPr>
              <w:t>、报价包含电梯、随配附件、备品备件、工具、运抵指定交货地点、拆除原有</w:t>
            </w:r>
            <w:r>
              <w:rPr>
                <w:rFonts w:hint="eastAsia"/>
                <w:color w:val="auto"/>
                <w:spacing w:val="-2"/>
                <w:sz w:val="21"/>
                <w:szCs w:val="21"/>
                <w:highlight w:val="none"/>
                <w:lang w:val="en-US" w:eastAsia="zh-CN"/>
              </w:rPr>
              <w:t>的五台</w:t>
            </w:r>
            <w:r>
              <w:rPr>
                <w:rFonts w:hint="eastAsia"/>
                <w:color w:val="auto"/>
                <w:spacing w:val="-2"/>
                <w:sz w:val="21"/>
                <w:szCs w:val="21"/>
                <w:highlight w:val="none"/>
                <w:lang w:eastAsia="zh-CN"/>
              </w:rPr>
              <w:t>旧电梯（</w:t>
            </w:r>
            <w:r>
              <w:rPr>
                <w:rFonts w:hint="eastAsia"/>
                <w:color w:val="auto"/>
                <w:spacing w:val="-2"/>
                <w:sz w:val="21"/>
                <w:szCs w:val="21"/>
                <w:highlight w:val="none"/>
                <w:lang w:val="en-US" w:eastAsia="zh-CN"/>
              </w:rPr>
              <w:t>拆卸下来的电梯部件按业主的要求堆放到相应的指定位置，待业主自行处理</w:t>
            </w:r>
            <w:r>
              <w:rPr>
                <w:rFonts w:hint="eastAsia"/>
                <w:color w:val="auto"/>
                <w:spacing w:val="-2"/>
                <w:sz w:val="21"/>
                <w:szCs w:val="21"/>
                <w:highlight w:val="none"/>
                <w:lang w:eastAsia="zh-CN"/>
              </w:rPr>
              <w:t xml:space="preserve">）、新电梯现场安装调试、验收的各种费用和售后服务、税金等费用的总和。                                    </w:t>
            </w:r>
          </w:p>
          <w:p w14:paraId="34626337">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0" w:firstLine="412" w:firstLineChars="200"/>
              <w:jc w:val="both"/>
              <w:textAlignment w:val="baseline"/>
              <w:rPr>
                <w:rFonts w:hint="eastAsia"/>
                <w:color w:val="auto"/>
                <w:spacing w:val="-2"/>
                <w:sz w:val="21"/>
                <w:szCs w:val="21"/>
                <w:highlight w:val="none"/>
                <w:lang w:eastAsia="zh-CN"/>
              </w:rPr>
            </w:pPr>
            <w:r>
              <w:rPr>
                <w:rFonts w:hint="eastAsia"/>
                <w:color w:val="auto"/>
                <w:spacing w:val="-2"/>
                <w:sz w:val="21"/>
                <w:szCs w:val="21"/>
                <w:highlight w:val="none"/>
                <w:lang w:val="en-US" w:eastAsia="zh-CN"/>
              </w:rPr>
              <w:t>2</w:t>
            </w:r>
            <w:r>
              <w:rPr>
                <w:rFonts w:hint="eastAsia"/>
                <w:color w:val="auto"/>
                <w:spacing w:val="-2"/>
                <w:sz w:val="21"/>
                <w:szCs w:val="21"/>
                <w:highlight w:val="none"/>
                <w:lang w:eastAsia="zh-CN"/>
              </w:rPr>
              <w:t>、</w:t>
            </w:r>
            <w:r>
              <w:rPr>
                <w:color w:val="auto"/>
                <w:spacing w:val="-2"/>
                <w:sz w:val="21"/>
                <w:szCs w:val="21"/>
                <w:highlight w:val="none"/>
                <w:lang w:eastAsia="zh-CN"/>
              </w:rPr>
              <w:t>严格执行（财库〔2019〕9号）及（财库〔2019〕19号），本次竞标产品类别属于政府强制采购产品类别的，须按照《市场监管总局关于发布参与实施政府采购节能产品、环境标志产品认证机构名录的公告》（2019年第16号）要求提供依据国家确定的认证机构出具的、处于有效期之内的节能产品认证证书复印件并加盖竞标人公章，否则竞标无效</w:t>
            </w:r>
            <w:r>
              <w:rPr>
                <w:rFonts w:hint="eastAsia"/>
                <w:color w:val="auto"/>
                <w:spacing w:val="-2"/>
                <w:sz w:val="21"/>
                <w:szCs w:val="21"/>
                <w:highlight w:val="none"/>
                <w:lang w:eastAsia="zh-CN"/>
              </w:rPr>
              <w:t>。</w:t>
            </w:r>
          </w:p>
          <w:p w14:paraId="14E85E0F">
            <w:pPr>
              <w:spacing w:line="320" w:lineRule="exact"/>
              <w:ind w:firstLine="422" w:firstLineChars="200"/>
              <w:jc w:val="left"/>
              <w:rPr>
                <w:rFonts w:hint="eastAsia" w:hAnsi="宋体"/>
                <w:b/>
                <w:color w:val="auto"/>
                <w:szCs w:val="21"/>
                <w:highlight w:val="none"/>
              </w:rPr>
            </w:pPr>
            <w:r>
              <w:rPr>
                <w:rFonts w:hint="eastAsia" w:hAnsi="宋体"/>
                <w:b/>
                <w:color w:val="auto"/>
                <w:szCs w:val="21"/>
                <w:highlight w:val="none"/>
                <w:lang w:val="en-US" w:eastAsia="zh-CN"/>
              </w:rPr>
              <w:t>3、</w:t>
            </w:r>
            <w:r>
              <w:rPr>
                <w:rFonts w:hint="eastAsia" w:hAnsi="宋体"/>
                <w:b/>
                <w:color w:val="auto"/>
                <w:szCs w:val="21"/>
                <w:highlight w:val="none"/>
              </w:rPr>
              <w:t>本项目不接受整套进口产品竞标。</w:t>
            </w:r>
          </w:p>
          <w:p w14:paraId="0CCE7521">
            <w:pPr>
              <w:widowControl/>
              <w:spacing w:line="460" w:lineRule="atLeast"/>
              <w:ind w:left="617" w:hanging="620" w:hangingChars="294"/>
              <w:jc w:val="left"/>
              <w:rPr>
                <w:rFonts w:hint="eastAsia"/>
                <w:color w:val="auto"/>
                <w:highlight w:val="none"/>
              </w:rPr>
            </w:pPr>
            <w:r>
              <w:rPr>
                <w:rFonts w:hint="eastAsia"/>
                <w:b/>
                <w:color w:val="auto"/>
                <w:highlight w:val="none"/>
                <w:lang w:eastAsia="zh-CN"/>
              </w:rPr>
              <w:t>五</w:t>
            </w:r>
            <w:r>
              <w:rPr>
                <w:rFonts w:hint="eastAsia"/>
                <w:b/>
                <w:color w:val="auto"/>
                <w:highlight w:val="none"/>
              </w:rPr>
              <w:t>、谈判内容：</w:t>
            </w:r>
            <w:r>
              <w:rPr>
                <w:b/>
                <w:color w:val="auto"/>
                <w:highlight w:val="none"/>
                <w:u w:val="single"/>
              </w:rPr>
              <w:t xml:space="preserve">  </w:t>
            </w:r>
            <w:r>
              <w:rPr>
                <w:rFonts w:hint="eastAsia"/>
                <w:b/>
                <w:color w:val="auto"/>
                <w:highlight w:val="none"/>
                <w:u w:val="single"/>
              </w:rPr>
              <w:t xml:space="preserve">    本项目第三章</w:t>
            </w:r>
            <w:r>
              <w:rPr>
                <w:rFonts w:hint="eastAsia" w:ascii="新宋体" w:hAnsi="新宋体" w:eastAsia="新宋体"/>
                <w:b/>
                <w:color w:val="auto"/>
                <w:szCs w:val="21"/>
                <w:highlight w:val="none"/>
                <w:u w:val="single"/>
              </w:rPr>
              <w:t>采购需求中未标记</w:t>
            </w:r>
            <w:r>
              <w:rPr>
                <w:rFonts w:hint="eastAsia" w:hAnsi="宋体"/>
                <w:b/>
                <w:color w:val="auto"/>
                <w:szCs w:val="21"/>
                <w:highlight w:val="none"/>
                <w:u w:val="single"/>
              </w:rPr>
              <w:t>▲符号的内容均可谈判</w:t>
            </w:r>
            <w:r>
              <w:rPr>
                <w:rFonts w:hint="eastAsia"/>
                <w:b/>
                <w:color w:val="auto"/>
                <w:highlight w:val="none"/>
                <w:u w:val="single"/>
              </w:rPr>
              <w:t xml:space="preserve">      </w:t>
            </w:r>
            <w:r>
              <w:rPr>
                <w:rFonts w:hint="eastAsia"/>
                <w:color w:val="auto"/>
                <w:highlight w:val="none"/>
              </w:rPr>
              <w:t>。</w:t>
            </w:r>
            <w:r>
              <w:rPr>
                <w:color w:val="auto"/>
                <w:highlight w:val="none"/>
              </w:rPr>
              <w:t xml:space="preserve">   </w:t>
            </w:r>
          </w:p>
          <w:p w14:paraId="375A377C">
            <w:pPr>
              <w:spacing w:line="500" w:lineRule="exact"/>
              <w:jc w:val="left"/>
              <w:rPr>
                <w:rFonts w:hint="eastAsia" w:ascii="新宋体" w:hAnsi="新宋体" w:eastAsia="新宋体"/>
                <w:b/>
                <w:color w:val="auto"/>
                <w:szCs w:val="21"/>
                <w:highlight w:val="none"/>
                <w:lang w:val="en-US" w:eastAsia="zh-CN"/>
              </w:rPr>
            </w:pPr>
            <w:r>
              <w:rPr>
                <w:rFonts w:hint="eastAsia" w:ascii="新宋体" w:hAnsi="新宋体" w:eastAsia="新宋体"/>
                <w:b/>
                <w:color w:val="auto"/>
                <w:szCs w:val="21"/>
                <w:highlight w:val="none"/>
                <w:lang w:val="en-US" w:eastAsia="zh-CN"/>
              </w:rPr>
              <w:t xml:space="preserve">   </w:t>
            </w:r>
            <w:r>
              <w:rPr>
                <w:rFonts w:hint="eastAsia" w:ascii="新宋体" w:hAnsi="新宋体" w:eastAsia="新宋体"/>
                <w:b/>
                <w:color w:val="auto"/>
                <w:szCs w:val="21"/>
                <w:highlight w:val="none"/>
              </w:rPr>
              <w:t>备注：本项目第三章采购需求中标记</w:t>
            </w:r>
            <w:r>
              <w:rPr>
                <w:rFonts w:hint="eastAsia" w:hAnsi="宋体"/>
                <w:b/>
                <w:color w:val="auto"/>
                <w:szCs w:val="21"/>
                <w:highlight w:val="none"/>
              </w:rPr>
              <w:t>▲符号的，竞标时必须满足或优于，否则，作竞标无效处理。</w:t>
            </w:r>
          </w:p>
        </w:tc>
      </w:tr>
    </w:tbl>
    <w:p w14:paraId="55A346A0">
      <w:pPr>
        <w:spacing w:line="500" w:lineRule="exact"/>
        <w:ind w:firstLine="420" w:firstLineChars="200"/>
        <w:rPr>
          <w:rFonts w:hint="eastAsia" w:ascii="宋体" w:hAnsi="宋体"/>
          <w:color w:val="auto"/>
          <w:szCs w:val="21"/>
          <w:highlight w:val="none"/>
        </w:rPr>
      </w:pPr>
    </w:p>
    <w:p w14:paraId="0FC44532">
      <w:pPr>
        <w:spacing w:line="620" w:lineRule="exact"/>
        <w:ind w:firstLine="1749"/>
        <w:rPr>
          <w:rFonts w:hint="eastAsia" w:ascii="仿宋_GB2312" w:hAnsi="仿宋_GB2312" w:eastAsia="仿宋_GB2312"/>
          <w:b/>
          <w:color w:val="auto"/>
          <w:sz w:val="44"/>
          <w:szCs w:val="44"/>
          <w:highlight w:val="none"/>
        </w:rPr>
      </w:pPr>
    </w:p>
    <w:p w14:paraId="35C72E23">
      <w:pPr>
        <w:spacing w:line="520" w:lineRule="exact"/>
        <w:ind w:firstLine="0"/>
        <w:rPr>
          <w:rFonts w:hint="eastAsia" w:ascii="Times New Roman" w:hAnsi="Times New Roman" w:eastAsia="黑体"/>
          <w:b w:val="0"/>
          <w:bCs w:val="0"/>
          <w:color w:val="auto"/>
          <w:sz w:val="21"/>
          <w:szCs w:val="21"/>
          <w:highlight w:val="none"/>
        </w:rPr>
      </w:pPr>
    </w:p>
    <w:p w14:paraId="14E85DD8">
      <w:pPr>
        <w:spacing w:line="500" w:lineRule="exact"/>
        <w:ind w:firstLine="0" w:firstLineChars="0"/>
        <w:rPr>
          <w:rFonts w:hint="eastAsia" w:ascii="宋体" w:hAnsi="宋体"/>
          <w:color w:val="auto"/>
          <w:szCs w:val="21"/>
          <w:highlight w:val="none"/>
        </w:rPr>
      </w:pPr>
    </w:p>
    <w:p w14:paraId="3D1C356D">
      <w:pPr>
        <w:rPr>
          <w:rFonts w:hint="eastAsia"/>
          <w:color w:val="auto"/>
          <w:highlight w:val="none"/>
        </w:rPr>
      </w:pPr>
      <w:bookmarkStart w:id="13" w:name="_Toc46136759"/>
    </w:p>
    <w:p w14:paraId="33F506C6">
      <w:pPr>
        <w:pStyle w:val="2"/>
        <w:rPr>
          <w:rFonts w:hint="eastAsia"/>
          <w:color w:val="auto"/>
          <w:highlight w:val="none"/>
        </w:rPr>
      </w:pPr>
    </w:p>
    <w:p w14:paraId="59D484D2">
      <w:pPr>
        <w:pStyle w:val="3"/>
        <w:jc w:val="center"/>
        <w:rPr>
          <w:rFonts w:hint="eastAsia"/>
          <w:color w:val="auto"/>
          <w:highlight w:val="none"/>
        </w:rPr>
      </w:pPr>
    </w:p>
    <w:p w14:paraId="730D0D56">
      <w:pPr>
        <w:rPr>
          <w:rFonts w:hint="eastAsia"/>
          <w:color w:val="auto"/>
          <w:highlight w:val="none"/>
        </w:rPr>
      </w:pPr>
    </w:p>
    <w:p w14:paraId="4617F865">
      <w:pPr>
        <w:pStyle w:val="2"/>
        <w:rPr>
          <w:rFonts w:hint="eastAsia"/>
          <w:color w:val="auto"/>
          <w:highlight w:val="none"/>
        </w:rPr>
      </w:pPr>
    </w:p>
    <w:p w14:paraId="788BB191">
      <w:pPr>
        <w:pStyle w:val="3"/>
        <w:jc w:val="center"/>
        <w:rPr>
          <w:rFonts w:hint="eastAsia"/>
          <w:color w:val="auto"/>
          <w:highlight w:val="none"/>
        </w:rPr>
      </w:pPr>
    </w:p>
    <w:p w14:paraId="408D876C">
      <w:pPr>
        <w:pStyle w:val="3"/>
        <w:jc w:val="center"/>
        <w:rPr>
          <w:rFonts w:hint="eastAsia"/>
          <w:color w:val="auto"/>
          <w:highlight w:val="none"/>
        </w:rPr>
      </w:pPr>
    </w:p>
    <w:p w14:paraId="29735F13">
      <w:pPr>
        <w:pStyle w:val="3"/>
        <w:jc w:val="center"/>
        <w:rPr>
          <w:color w:val="auto"/>
          <w:highlight w:val="none"/>
        </w:rPr>
      </w:pPr>
      <w:r>
        <w:rPr>
          <w:rFonts w:hint="eastAsia"/>
          <w:color w:val="auto"/>
          <w:highlight w:val="none"/>
        </w:rPr>
        <w:t>第四章  竞争性谈判响应文件格式</w:t>
      </w:r>
      <w:bookmarkEnd w:id="13"/>
    </w:p>
    <w:p w14:paraId="26AE5774">
      <w:pPr>
        <w:spacing w:line="500" w:lineRule="exact"/>
        <w:jc w:val="center"/>
        <w:rPr>
          <w:rFonts w:ascii="宋体" w:hAnsi="宋体"/>
          <w:color w:val="auto"/>
          <w:szCs w:val="21"/>
          <w:highlight w:val="none"/>
        </w:rPr>
      </w:pPr>
    </w:p>
    <w:p w14:paraId="3D406E06">
      <w:pPr>
        <w:spacing w:line="500" w:lineRule="exact"/>
        <w:jc w:val="center"/>
        <w:rPr>
          <w:rFonts w:ascii="宋体" w:hAnsi="宋体"/>
          <w:color w:val="auto"/>
          <w:szCs w:val="21"/>
          <w:highlight w:val="none"/>
        </w:rPr>
      </w:pPr>
    </w:p>
    <w:p w14:paraId="4A92D164">
      <w:pPr>
        <w:spacing w:line="500" w:lineRule="exact"/>
        <w:jc w:val="center"/>
        <w:rPr>
          <w:rFonts w:ascii="宋体" w:hAnsi="宋体"/>
          <w:color w:val="auto"/>
          <w:szCs w:val="21"/>
          <w:highlight w:val="none"/>
        </w:rPr>
      </w:pPr>
    </w:p>
    <w:p w14:paraId="11862073">
      <w:pPr>
        <w:spacing w:line="500" w:lineRule="exact"/>
        <w:jc w:val="center"/>
        <w:rPr>
          <w:rFonts w:ascii="宋体" w:hAnsi="宋体"/>
          <w:color w:val="auto"/>
          <w:szCs w:val="21"/>
          <w:highlight w:val="none"/>
        </w:rPr>
      </w:pPr>
    </w:p>
    <w:p w14:paraId="2C57ABBF">
      <w:pPr>
        <w:pageBreakBefore/>
        <w:spacing w:line="500" w:lineRule="exact"/>
        <w:jc w:val="center"/>
        <w:rPr>
          <w:rFonts w:ascii="宋体" w:hAnsi="宋体"/>
          <w:color w:val="auto"/>
          <w:szCs w:val="21"/>
          <w:highlight w:val="none"/>
        </w:rPr>
      </w:pPr>
    </w:p>
    <w:p w14:paraId="118F925F">
      <w:pPr>
        <w:pStyle w:val="21"/>
        <w:jc w:val="center"/>
        <w:rPr>
          <w:b/>
          <w:color w:val="auto"/>
          <w:sz w:val="28"/>
          <w:szCs w:val="28"/>
          <w:highlight w:val="none"/>
        </w:rPr>
      </w:pPr>
      <w:r>
        <w:rPr>
          <w:rFonts w:hint="eastAsia"/>
          <w:b/>
          <w:color w:val="auto"/>
          <w:sz w:val="28"/>
          <w:szCs w:val="28"/>
          <w:highlight w:val="none"/>
        </w:rPr>
        <w:t>一、 竞争性谈判响应文件封面格式</w:t>
      </w:r>
    </w:p>
    <w:p w14:paraId="67A86591">
      <w:pPr>
        <w:spacing w:after="50" w:line="360" w:lineRule="exact"/>
        <w:rPr>
          <w:rFonts w:ascii="宋体" w:hAnsi="宋体"/>
          <w:b/>
          <w:color w:val="auto"/>
          <w:szCs w:val="21"/>
          <w:highlight w:val="none"/>
        </w:rPr>
      </w:pPr>
    </w:p>
    <w:p w14:paraId="24042782">
      <w:pPr>
        <w:adjustRightInd w:val="0"/>
        <w:snapToGrid w:val="0"/>
        <w:spacing w:line="360" w:lineRule="auto"/>
        <w:ind w:firstLine="643" w:firstLineChars="200"/>
        <w:jc w:val="left"/>
        <w:rPr>
          <w:rFonts w:hint="eastAsia" w:ascii="宋体" w:hAnsi="宋体"/>
          <w:bCs/>
          <w:color w:val="auto"/>
          <w:sz w:val="24"/>
          <w:highlight w:val="none"/>
        </w:rPr>
      </w:pPr>
      <w:r>
        <w:rPr>
          <w:rFonts w:hint="eastAsia" w:ascii="宋体" w:hAnsi="宋体"/>
          <w:b/>
          <w:color w:val="auto"/>
          <w:sz w:val="32"/>
          <w:szCs w:val="32"/>
          <w:highlight w:val="none"/>
        </w:rPr>
        <w:t>封面</w:t>
      </w:r>
    </w:p>
    <w:p w14:paraId="61F59FB2">
      <w:pPr>
        <w:adjustRightInd w:val="0"/>
        <w:snapToGrid w:val="0"/>
        <w:spacing w:line="360" w:lineRule="auto"/>
        <w:jc w:val="center"/>
        <w:rPr>
          <w:rFonts w:hint="eastAsia" w:ascii="宋体" w:hAnsi="宋体"/>
          <w:b/>
          <w:bCs/>
          <w:color w:val="auto"/>
          <w:sz w:val="72"/>
          <w:szCs w:val="72"/>
          <w:highlight w:val="none"/>
        </w:rPr>
      </w:pPr>
      <w:r>
        <w:rPr>
          <w:rFonts w:hint="eastAsia" w:ascii="宋体" w:hAnsi="宋体"/>
          <w:b/>
          <w:bCs/>
          <w:color w:val="auto"/>
          <w:sz w:val="72"/>
          <w:szCs w:val="72"/>
          <w:highlight w:val="none"/>
        </w:rPr>
        <w:t>竞争性谈判响应文件</w:t>
      </w:r>
    </w:p>
    <w:p w14:paraId="093F9726">
      <w:pPr>
        <w:adjustRightInd w:val="0"/>
        <w:snapToGrid w:val="0"/>
        <w:spacing w:line="360" w:lineRule="auto"/>
        <w:jc w:val="center"/>
        <w:rPr>
          <w:rFonts w:hint="eastAsia" w:ascii="宋体" w:hAnsi="宋体"/>
          <w:b/>
          <w:bCs/>
          <w:color w:val="auto"/>
          <w:sz w:val="32"/>
          <w:szCs w:val="32"/>
          <w:highlight w:val="none"/>
        </w:rPr>
      </w:pPr>
    </w:p>
    <w:p w14:paraId="19A8AAA1">
      <w:pPr>
        <w:adjustRightInd w:val="0"/>
        <w:snapToGrid w:val="0"/>
        <w:spacing w:line="360" w:lineRule="auto"/>
        <w:ind w:firstLine="1911" w:firstLineChars="595"/>
        <w:rPr>
          <w:rFonts w:hint="eastAsia" w:ascii="宋体" w:hAnsi="宋体"/>
          <w:b/>
          <w:bCs/>
          <w:color w:val="auto"/>
          <w:sz w:val="32"/>
          <w:szCs w:val="32"/>
          <w:highlight w:val="none"/>
        </w:rPr>
      </w:pPr>
    </w:p>
    <w:p w14:paraId="41EFF624">
      <w:pPr>
        <w:adjustRightInd w:val="0"/>
        <w:snapToGrid w:val="0"/>
        <w:spacing w:line="360" w:lineRule="auto"/>
        <w:ind w:firstLine="1911" w:firstLineChars="595"/>
        <w:rPr>
          <w:rFonts w:hint="eastAsia" w:ascii="宋体" w:hAnsi="宋体"/>
          <w:b/>
          <w:bCs/>
          <w:color w:val="auto"/>
          <w:sz w:val="32"/>
          <w:szCs w:val="32"/>
          <w:highlight w:val="none"/>
        </w:rPr>
      </w:pPr>
      <w:r>
        <w:rPr>
          <w:rFonts w:hint="eastAsia" w:ascii="宋体" w:hAnsi="宋体"/>
          <w:b/>
          <w:bCs/>
          <w:color w:val="auto"/>
          <w:sz w:val="32"/>
          <w:szCs w:val="32"/>
          <w:highlight w:val="none"/>
        </w:rPr>
        <w:t xml:space="preserve">项目编号：  </w:t>
      </w:r>
    </w:p>
    <w:p w14:paraId="70B3819A">
      <w:pPr>
        <w:adjustRightInd w:val="0"/>
        <w:snapToGrid w:val="0"/>
        <w:spacing w:line="360" w:lineRule="auto"/>
        <w:ind w:firstLine="1911" w:firstLineChars="595"/>
        <w:rPr>
          <w:rFonts w:ascii="宋体" w:hAnsi="宋体"/>
          <w:b/>
          <w:bCs/>
          <w:color w:val="auto"/>
          <w:sz w:val="32"/>
          <w:szCs w:val="32"/>
          <w:highlight w:val="none"/>
        </w:rPr>
      </w:pPr>
      <w:r>
        <w:rPr>
          <w:rFonts w:hint="eastAsia" w:ascii="宋体" w:hAnsi="宋体"/>
          <w:b/>
          <w:bCs/>
          <w:color w:val="auto"/>
          <w:sz w:val="32"/>
          <w:szCs w:val="32"/>
          <w:highlight w:val="none"/>
        </w:rPr>
        <w:t>项目名称：</w:t>
      </w:r>
    </w:p>
    <w:p w14:paraId="0BCACE6A">
      <w:pPr>
        <w:adjustRightInd w:val="0"/>
        <w:snapToGrid w:val="0"/>
        <w:spacing w:line="360" w:lineRule="auto"/>
        <w:rPr>
          <w:rFonts w:hint="eastAsia" w:ascii="宋体" w:hAnsi="宋体"/>
          <w:b/>
          <w:bCs/>
          <w:color w:val="auto"/>
          <w:sz w:val="32"/>
          <w:szCs w:val="32"/>
          <w:highlight w:val="none"/>
        </w:rPr>
      </w:pPr>
      <w:r>
        <w:rPr>
          <w:rFonts w:ascii="宋体" w:hAnsi="宋体"/>
          <w:b/>
          <w:bCs/>
          <w:color w:val="auto"/>
          <w:sz w:val="32"/>
          <w:szCs w:val="32"/>
          <w:highlight w:val="none"/>
        </w:rPr>
        <w:t xml:space="preserve">           </w:t>
      </w:r>
    </w:p>
    <w:p w14:paraId="06F99C51">
      <w:pPr>
        <w:adjustRightInd w:val="0"/>
        <w:snapToGrid w:val="0"/>
        <w:spacing w:line="360" w:lineRule="auto"/>
        <w:ind w:firstLine="1911" w:firstLineChars="595"/>
        <w:rPr>
          <w:rFonts w:ascii="宋体" w:hAnsi="宋体"/>
          <w:b/>
          <w:bCs/>
          <w:color w:val="auto"/>
          <w:sz w:val="32"/>
          <w:szCs w:val="32"/>
          <w:highlight w:val="none"/>
        </w:rPr>
      </w:pPr>
    </w:p>
    <w:p w14:paraId="2ABA0BA8">
      <w:pPr>
        <w:spacing w:line="360" w:lineRule="auto"/>
        <w:rPr>
          <w:rFonts w:hint="eastAsia" w:ascii="宋体" w:hAnsi="宋体" w:cs="宋体"/>
          <w:color w:val="auto"/>
          <w:kern w:val="0"/>
          <w:sz w:val="24"/>
          <w:highlight w:val="none"/>
        </w:rPr>
      </w:pPr>
    </w:p>
    <w:p w14:paraId="0EEA7C79">
      <w:pPr>
        <w:spacing w:line="360" w:lineRule="auto"/>
        <w:rPr>
          <w:rFonts w:hint="eastAsia" w:ascii="宋体" w:hAnsi="宋体" w:cs="宋体"/>
          <w:color w:val="auto"/>
          <w:kern w:val="0"/>
          <w:sz w:val="24"/>
          <w:highlight w:val="none"/>
        </w:rPr>
      </w:pPr>
    </w:p>
    <w:p w14:paraId="1A01D051">
      <w:pPr>
        <w:spacing w:line="360" w:lineRule="auto"/>
        <w:rPr>
          <w:rFonts w:hint="eastAsia" w:ascii="宋体" w:hAnsi="宋体"/>
          <w:color w:val="auto"/>
          <w:sz w:val="24"/>
          <w:highlight w:val="none"/>
        </w:rPr>
      </w:pPr>
    </w:p>
    <w:p w14:paraId="545C6096">
      <w:pPr>
        <w:spacing w:line="360" w:lineRule="auto"/>
        <w:rPr>
          <w:rFonts w:hint="eastAsia" w:ascii="宋体" w:hAnsi="宋体"/>
          <w:b/>
          <w:bCs/>
          <w:color w:val="auto"/>
          <w:sz w:val="30"/>
          <w:szCs w:val="30"/>
          <w:highlight w:val="none"/>
        </w:rPr>
      </w:pPr>
      <w:r>
        <w:rPr>
          <w:rFonts w:hint="eastAsia" w:ascii="宋体" w:hAnsi="宋体"/>
          <w:b/>
          <w:bCs/>
          <w:color w:val="auto"/>
          <w:sz w:val="30"/>
          <w:szCs w:val="30"/>
          <w:highlight w:val="none"/>
        </w:rPr>
        <w:t xml:space="preserve"> </w:t>
      </w:r>
    </w:p>
    <w:p w14:paraId="746B96E4">
      <w:pPr>
        <w:spacing w:line="360" w:lineRule="auto"/>
        <w:rPr>
          <w:rFonts w:hint="eastAsia" w:ascii="宋体" w:hAnsi="宋体"/>
          <w:b/>
          <w:bCs/>
          <w:color w:val="auto"/>
          <w:sz w:val="30"/>
          <w:szCs w:val="30"/>
          <w:highlight w:val="none"/>
        </w:rPr>
      </w:pPr>
    </w:p>
    <w:p w14:paraId="3852A76D">
      <w:pPr>
        <w:spacing w:line="360" w:lineRule="auto"/>
        <w:rPr>
          <w:rFonts w:hint="eastAsia" w:ascii="宋体" w:hAnsi="宋体"/>
          <w:b/>
          <w:bCs/>
          <w:color w:val="auto"/>
          <w:sz w:val="30"/>
          <w:szCs w:val="30"/>
          <w:highlight w:val="none"/>
        </w:rPr>
      </w:pPr>
      <w:r>
        <w:rPr>
          <w:rFonts w:hint="eastAsia" w:ascii="宋体" w:hAnsi="宋体"/>
          <w:b/>
          <w:bCs/>
          <w:color w:val="auto"/>
          <w:sz w:val="30"/>
          <w:szCs w:val="30"/>
          <w:highlight w:val="none"/>
        </w:rPr>
        <w:t xml:space="preserve"> </w:t>
      </w:r>
    </w:p>
    <w:p w14:paraId="736F6D99">
      <w:pPr>
        <w:spacing w:line="360" w:lineRule="auto"/>
        <w:rPr>
          <w:rFonts w:hint="eastAsia" w:ascii="宋体" w:hAnsi="宋体"/>
          <w:b/>
          <w:bCs/>
          <w:color w:val="auto"/>
          <w:sz w:val="30"/>
          <w:szCs w:val="30"/>
          <w:highlight w:val="none"/>
        </w:rPr>
      </w:pPr>
    </w:p>
    <w:p w14:paraId="1B4F0553">
      <w:pPr>
        <w:spacing w:line="360" w:lineRule="auto"/>
        <w:rPr>
          <w:rFonts w:hint="eastAsia" w:ascii="宋体" w:hAnsi="宋体"/>
          <w:b/>
          <w:bCs/>
          <w:color w:val="auto"/>
          <w:sz w:val="30"/>
          <w:szCs w:val="30"/>
          <w:highlight w:val="none"/>
        </w:rPr>
      </w:pPr>
      <w:r>
        <w:rPr>
          <w:rFonts w:hint="eastAsia" w:ascii="宋体" w:hAnsi="宋体"/>
          <w:b/>
          <w:bCs/>
          <w:color w:val="auto"/>
          <w:sz w:val="30"/>
          <w:szCs w:val="30"/>
          <w:highlight w:val="none"/>
        </w:rPr>
        <w:t xml:space="preserve"> </w:t>
      </w:r>
    </w:p>
    <w:p w14:paraId="248635A6">
      <w:pPr>
        <w:spacing w:line="360" w:lineRule="auto"/>
        <w:ind w:firstLine="1751" w:firstLineChars="545"/>
        <w:rPr>
          <w:rFonts w:hint="eastAsia" w:ascii="宋体" w:hAnsi="宋体"/>
          <w:b/>
          <w:bCs/>
          <w:color w:val="auto"/>
          <w:sz w:val="32"/>
          <w:szCs w:val="32"/>
          <w:highlight w:val="none"/>
        </w:rPr>
      </w:pPr>
      <w:r>
        <w:rPr>
          <w:rFonts w:hint="eastAsia" w:ascii="宋体" w:hAnsi="宋体"/>
          <w:b/>
          <w:bCs/>
          <w:color w:val="auto"/>
          <w:sz w:val="32"/>
          <w:szCs w:val="32"/>
          <w:highlight w:val="none"/>
        </w:rPr>
        <w:t>供  应  商：</w:t>
      </w:r>
      <w:r>
        <w:rPr>
          <w:rFonts w:hint="eastAsia" w:ascii="宋体" w:hAnsi="宋体"/>
          <w:b/>
          <w:bCs/>
          <w:color w:val="auto"/>
          <w:sz w:val="32"/>
          <w:szCs w:val="32"/>
          <w:highlight w:val="none"/>
          <w:u w:val="single"/>
        </w:rPr>
        <w:t xml:space="preserve">                 （盖公章） </w:t>
      </w:r>
    </w:p>
    <w:p w14:paraId="5211FCF8">
      <w:pPr>
        <w:spacing w:line="360" w:lineRule="auto"/>
        <w:ind w:firstLine="1751" w:firstLineChars="545"/>
        <w:rPr>
          <w:rFonts w:hint="eastAsia" w:ascii="宋体" w:hAnsi="宋体"/>
          <w:b/>
          <w:bCs/>
          <w:color w:val="auto"/>
          <w:sz w:val="32"/>
          <w:szCs w:val="32"/>
          <w:highlight w:val="none"/>
        </w:rPr>
      </w:pPr>
      <w:r>
        <w:rPr>
          <w:rFonts w:hint="eastAsia" w:ascii="宋体" w:hAnsi="宋体"/>
          <w:b/>
          <w:bCs/>
          <w:color w:val="auto"/>
          <w:sz w:val="32"/>
          <w:szCs w:val="32"/>
          <w:highlight w:val="none"/>
        </w:rPr>
        <w:t>供应商地址：</w:t>
      </w:r>
      <w:r>
        <w:rPr>
          <w:rFonts w:hint="eastAsia" w:ascii="宋体" w:hAnsi="宋体"/>
          <w:b/>
          <w:bCs/>
          <w:color w:val="auto"/>
          <w:sz w:val="32"/>
          <w:szCs w:val="32"/>
          <w:highlight w:val="none"/>
          <w:u w:val="single"/>
        </w:rPr>
        <w:t xml:space="preserve">                          </w:t>
      </w:r>
      <w:r>
        <w:rPr>
          <w:rFonts w:hint="eastAsia" w:ascii="宋体" w:hAnsi="宋体"/>
          <w:b/>
          <w:bCs/>
          <w:color w:val="auto"/>
          <w:sz w:val="32"/>
          <w:szCs w:val="32"/>
          <w:highlight w:val="none"/>
        </w:rPr>
        <w:t xml:space="preserve">  </w:t>
      </w:r>
    </w:p>
    <w:p w14:paraId="0F20B07D">
      <w:pPr>
        <w:spacing w:line="360" w:lineRule="auto"/>
        <w:jc w:val="center"/>
        <w:rPr>
          <w:rFonts w:hint="eastAsia" w:ascii="宋体" w:hAnsi="宋体"/>
          <w:b/>
          <w:bCs/>
          <w:color w:val="auto"/>
          <w:sz w:val="32"/>
          <w:szCs w:val="32"/>
          <w:highlight w:val="none"/>
        </w:rPr>
      </w:pPr>
    </w:p>
    <w:p w14:paraId="5638F5DC">
      <w:pPr>
        <w:spacing w:line="360" w:lineRule="auto"/>
        <w:jc w:val="center"/>
        <w:rPr>
          <w:rFonts w:hint="eastAsia" w:ascii="宋体" w:hAnsi="宋体"/>
          <w:b/>
          <w:bCs/>
          <w:color w:val="auto"/>
          <w:sz w:val="32"/>
          <w:szCs w:val="32"/>
          <w:highlight w:val="none"/>
        </w:rPr>
      </w:pPr>
      <w:r>
        <w:rPr>
          <w:rFonts w:ascii="宋体" w:hAnsi="宋体"/>
          <w:b/>
          <w:bCs/>
          <w:color w:val="auto"/>
          <w:sz w:val="32"/>
          <w:szCs w:val="32"/>
          <w:highlight w:val="none"/>
        </w:rPr>
        <w:t xml:space="preserve">    </w:t>
      </w:r>
      <w:r>
        <w:rPr>
          <w:rFonts w:hint="eastAsia" w:ascii="宋体" w:hAnsi="宋体"/>
          <w:b/>
          <w:bCs/>
          <w:color w:val="auto"/>
          <w:sz w:val="32"/>
          <w:szCs w:val="32"/>
          <w:highlight w:val="none"/>
        </w:rPr>
        <w:t>年  月  日</w:t>
      </w:r>
    </w:p>
    <w:p w14:paraId="74CAAE4A">
      <w:pPr>
        <w:pageBreakBefore/>
        <w:spacing w:line="520" w:lineRule="exact"/>
        <w:ind w:firstLine="4468"/>
        <w:rPr>
          <w:rFonts w:ascii="宋体" w:hAnsi="宋体"/>
          <w:b/>
          <w:color w:val="auto"/>
          <w:sz w:val="28"/>
          <w:szCs w:val="28"/>
          <w:highlight w:val="none"/>
        </w:rPr>
      </w:pPr>
      <w:r>
        <w:rPr>
          <w:rFonts w:hint="eastAsia" w:ascii="宋体" w:hAnsi="宋体"/>
          <w:b/>
          <w:color w:val="auto"/>
          <w:sz w:val="28"/>
          <w:szCs w:val="28"/>
          <w:highlight w:val="none"/>
        </w:rPr>
        <w:t>二、附  件</w:t>
      </w:r>
    </w:p>
    <w:p w14:paraId="213A0594">
      <w:pPr>
        <w:spacing w:line="520" w:lineRule="exact"/>
        <w:rPr>
          <w:rFonts w:ascii="宋体" w:hAnsi="宋体"/>
          <w:color w:val="auto"/>
          <w:szCs w:val="21"/>
          <w:highlight w:val="none"/>
        </w:rPr>
      </w:pPr>
      <w:r>
        <w:rPr>
          <w:rFonts w:hint="eastAsia" w:ascii="宋体" w:hAnsi="宋体"/>
          <w:color w:val="auto"/>
          <w:szCs w:val="21"/>
          <w:highlight w:val="none"/>
        </w:rPr>
        <w:t xml:space="preserve">附件一 </w:t>
      </w:r>
    </w:p>
    <w:p w14:paraId="3B7CD899">
      <w:pPr>
        <w:spacing w:line="520" w:lineRule="exact"/>
        <w:jc w:val="center"/>
        <w:rPr>
          <w:rFonts w:ascii="仿宋_GB2312" w:hAnsi="仿宋_GB2312" w:eastAsia="仿宋_GB2312"/>
          <w:b/>
          <w:color w:val="auto"/>
          <w:sz w:val="32"/>
          <w:szCs w:val="32"/>
          <w:highlight w:val="none"/>
        </w:rPr>
      </w:pPr>
      <w:r>
        <w:rPr>
          <w:rFonts w:hint="eastAsia" w:ascii="仿宋_GB2312" w:hAnsi="仿宋_GB2312" w:eastAsia="仿宋_GB2312"/>
          <w:b/>
          <w:color w:val="auto"/>
          <w:sz w:val="32"/>
          <w:szCs w:val="32"/>
          <w:highlight w:val="none"/>
        </w:rPr>
        <w:t>谈 判 书</w:t>
      </w:r>
    </w:p>
    <w:p w14:paraId="5B2CF290">
      <w:pPr>
        <w:spacing w:line="520" w:lineRule="exact"/>
        <w:jc w:val="center"/>
        <w:rPr>
          <w:rFonts w:ascii="宋体" w:hAnsi="宋体"/>
          <w:b/>
          <w:color w:val="auto"/>
          <w:szCs w:val="21"/>
          <w:highlight w:val="none"/>
        </w:rPr>
      </w:pPr>
    </w:p>
    <w:p w14:paraId="07ECE4E2">
      <w:pPr>
        <w:pStyle w:val="8"/>
        <w:spacing w:line="520" w:lineRule="exact"/>
        <w:rPr>
          <w:color w:val="auto"/>
          <w:highlight w:val="none"/>
        </w:rPr>
      </w:pPr>
      <w:r>
        <w:rPr>
          <w:rFonts w:hint="eastAsia"/>
          <w:color w:val="auto"/>
          <w:highlight w:val="none"/>
          <w:u w:val="single"/>
        </w:rPr>
        <w:t>广西壮族自治区政府采购中心</w:t>
      </w:r>
      <w:r>
        <w:rPr>
          <w:rFonts w:hint="eastAsia"/>
          <w:color w:val="auto"/>
          <w:highlight w:val="none"/>
        </w:rPr>
        <w:t>：</w:t>
      </w:r>
    </w:p>
    <w:p w14:paraId="4D1CF3BC">
      <w:pPr>
        <w:spacing w:line="400" w:lineRule="exact"/>
        <w:ind w:firstLine="420" w:firstLineChars="200"/>
        <w:rPr>
          <w:color w:val="auto"/>
          <w:highlight w:val="none"/>
        </w:rPr>
      </w:pPr>
      <w:r>
        <w:rPr>
          <w:rFonts w:hint="eastAsia"/>
          <w:color w:val="auto"/>
          <w:highlight w:val="none"/>
        </w:rPr>
        <w:t>依据贵方（项目名称/项目编号）项目政府采购的谈判采购文件，我方（姓名和职务）经正式授权并代表本单位（供应商名称、地址）提交下述竞争性谈判响应文件（价格文件、商务技术文件）。</w:t>
      </w:r>
    </w:p>
    <w:p w14:paraId="4CAF576B">
      <w:pPr>
        <w:pStyle w:val="8"/>
        <w:spacing w:line="520" w:lineRule="exact"/>
        <w:ind w:firstLine="480"/>
        <w:rPr>
          <w:color w:val="auto"/>
          <w:highlight w:val="none"/>
        </w:rPr>
      </w:pPr>
      <w:r>
        <w:rPr>
          <w:rFonts w:hint="eastAsia"/>
          <w:color w:val="auto"/>
          <w:highlight w:val="none"/>
        </w:rPr>
        <w:t>1. 报价表；</w:t>
      </w:r>
    </w:p>
    <w:p w14:paraId="0254B443">
      <w:pPr>
        <w:pStyle w:val="8"/>
        <w:spacing w:line="520" w:lineRule="exact"/>
        <w:ind w:firstLine="480"/>
        <w:rPr>
          <w:color w:val="auto"/>
          <w:highlight w:val="none"/>
        </w:rPr>
      </w:pPr>
      <w:r>
        <w:rPr>
          <w:rFonts w:hint="eastAsia"/>
          <w:color w:val="auto"/>
          <w:highlight w:val="none"/>
        </w:rPr>
        <w:t>2. 商务、技术响应、偏离情况说明表；</w:t>
      </w:r>
    </w:p>
    <w:p w14:paraId="417A68ED">
      <w:pPr>
        <w:pStyle w:val="8"/>
        <w:spacing w:line="520" w:lineRule="exact"/>
        <w:ind w:firstLine="480"/>
        <w:rPr>
          <w:color w:val="auto"/>
          <w:highlight w:val="none"/>
        </w:rPr>
      </w:pPr>
      <w:r>
        <w:rPr>
          <w:rFonts w:hint="eastAsia"/>
          <w:color w:val="auto"/>
          <w:highlight w:val="none"/>
        </w:rPr>
        <w:t>3. 资格证明文件；</w:t>
      </w:r>
    </w:p>
    <w:p w14:paraId="76920C11">
      <w:pPr>
        <w:pStyle w:val="8"/>
        <w:spacing w:line="520" w:lineRule="exact"/>
        <w:ind w:firstLine="480"/>
        <w:rPr>
          <w:color w:val="auto"/>
          <w:highlight w:val="none"/>
        </w:rPr>
      </w:pPr>
      <w:r>
        <w:rPr>
          <w:rFonts w:hint="eastAsia"/>
          <w:color w:val="auto"/>
          <w:highlight w:val="none"/>
        </w:rPr>
        <w:t>4. 按竞争性谈判文件谈判供应商须知和采购需求提供的有关文件；</w:t>
      </w:r>
    </w:p>
    <w:p w14:paraId="1FE91F4D">
      <w:pPr>
        <w:pStyle w:val="8"/>
        <w:spacing w:line="520" w:lineRule="exact"/>
        <w:ind w:firstLine="315"/>
        <w:rPr>
          <w:color w:val="auto"/>
          <w:highlight w:val="none"/>
        </w:rPr>
      </w:pPr>
      <w:r>
        <w:rPr>
          <w:rFonts w:hint="eastAsia"/>
          <w:color w:val="auto"/>
          <w:highlight w:val="none"/>
        </w:rPr>
        <w:t>在此，授权代表宣布同意如下：</w:t>
      </w:r>
    </w:p>
    <w:p w14:paraId="49E0EDDB">
      <w:pPr>
        <w:pStyle w:val="8"/>
        <w:spacing w:line="520" w:lineRule="exact"/>
        <w:ind w:firstLine="525" w:firstLineChars="250"/>
        <w:rPr>
          <w:color w:val="auto"/>
          <w:highlight w:val="none"/>
        </w:rPr>
      </w:pPr>
      <w:r>
        <w:rPr>
          <w:rFonts w:hint="eastAsia"/>
          <w:color w:val="auto"/>
          <w:highlight w:val="none"/>
        </w:rPr>
        <w:t>1. 将按竞争性谈判文件的约定履行合同责任和义务；</w:t>
      </w:r>
    </w:p>
    <w:p w14:paraId="1740B6A9">
      <w:pPr>
        <w:pStyle w:val="8"/>
        <w:spacing w:line="520" w:lineRule="exact"/>
        <w:ind w:firstLine="525" w:firstLineChars="250"/>
        <w:rPr>
          <w:color w:val="auto"/>
          <w:highlight w:val="none"/>
        </w:rPr>
      </w:pPr>
      <w:r>
        <w:rPr>
          <w:rFonts w:hint="eastAsia"/>
          <w:color w:val="auto"/>
          <w:highlight w:val="none"/>
        </w:rPr>
        <w:t>2. 已详细审查全部竞争性谈判文件，包括</w:t>
      </w:r>
      <w:r>
        <w:rPr>
          <w:rFonts w:hint="eastAsia"/>
          <w:color w:val="auto"/>
          <w:highlight w:val="none"/>
          <w:u w:val="single"/>
        </w:rPr>
        <w:t>（补遗文件）（如果有的话）</w:t>
      </w:r>
      <w:r>
        <w:rPr>
          <w:rFonts w:hint="eastAsia"/>
          <w:color w:val="auto"/>
          <w:highlight w:val="none"/>
        </w:rPr>
        <w:t>；</w:t>
      </w:r>
    </w:p>
    <w:p w14:paraId="4E263B44">
      <w:pPr>
        <w:pStyle w:val="8"/>
        <w:spacing w:line="520" w:lineRule="exact"/>
        <w:ind w:firstLine="525" w:firstLineChars="250"/>
        <w:rPr>
          <w:color w:val="auto"/>
          <w:highlight w:val="none"/>
        </w:rPr>
      </w:pPr>
      <w:r>
        <w:rPr>
          <w:rFonts w:hint="eastAsia"/>
          <w:color w:val="auto"/>
          <w:highlight w:val="none"/>
        </w:rPr>
        <w:t>3. 同意提供按照贵方可能要求的与其谈判有关的一切数据或资料；</w:t>
      </w:r>
    </w:p>
    <w:p w14:paraId="40FE2AA0">
      <w:pPr>
        <w:pStyle w:val="8"/>
        <w:spacing w:line="520" w:lineRule="exact"/>
        <w:ind w:firstLine="525" w:firstLineChars="250"/>
        <w:rPr>
          <w:color w:val="auto"/>
          <w:highlight w:val="none"/>
          <w:u w:val="single"/>
        </w:rPr>
      </w:pPr>
      <w:r>
        <w:rPr>
          <w:rFonts w:hint="eastAsia"/>
          <w:color w:val="auto"/>
          <w:highlight w:val="none"/>
        </w:rPr>
        <w:t>4. 与本谈判有关的一切正式往来信函请寄：</w:t>
      </w:r>
      <w:r>
        <w:rPr>
          <w:rFonts w:hint="eastAsia"/>
          <w:color w:val="auto"/>
          <w:highlight w:val="none"/>
          <w:u w:val="single"/>
        </w:rPr>
        <w:t xml:space="preserve">                       </w:t>
      </w:r>
    </w:p>
    <w:p w14:paraId="6AA7263D">
      <w:pPr>
        <w:pStyle w:val="8"/>
        <w:spacing w:line="520" w:lineRule="exact"/>
        <w:ind w:firstLine="840"/>
        <w:rPr>
          <w:color w:val="auto"/>
          <w:highlight w:val="none"/>
          <w:u w:val="single"/>
        </w:rPr>
      </w:pPr>
      <w:r>
        <w:rPr>
          <w:rFonts w:hint="eastAsia"/>
          <w:color w:val="auto"/>
          <w:highlight w:val="none"/>
        </w:rPr>
        <w:t>开户银行：</w:t>
      </w:r>
      <w:r>
        <w:rPr>
          <w:rFonts w:hint="eastAsia"/>
          <w:color w:val="auto"/>
          <w:highlight w:val="none"/>
          <w:u w:val="single"/>
        </w:rPr>
        <w:t xml:space="preserve">                         </w:t>
      </w:r>
      <w:r>
        <w:rPr>
          <w:rFonts w:hint="eastAsia"/>
          <w:color w:val="auto"/>
          <w:highlight w:val="none"/>
        </w:rPr>
        <w:t xml:space="preserve">  账号/行号：</w:t>
      </w:r>
      <w:r>
        <w:rPr>
          <w:rFonts w:hint="eastAsia"/>
          <w:color w:val="auto"/>
          <w:highlight w:val="none"/>
          <w:u w:val="single"/>
        </w:rPr>
        <w:t xml:space="preserve">          </w:t>
      </w:r>
    </w:p>
    <w:p w14:paraId="5B68B673">
      <w:pPr>
        <w:pStyle w:val="8"/>
        <w:spacing w:line="520" w:lineRule="exact"/>
        <w:ind w:firstLine="840"/>
        <w:rPr>
          <w:color w:val="auto"/>
          <w:highlight w:val="none"/>
        </w:rPr>
      </w:pPr>
      <w:r>
        <w:rPr>
          <w:rFonts w:hint="eastAsia"/>
          <w:color w:val="auto"/>
          <w:highlight w:val="none"/>
        </w:rPr>
        <w:t>电话/传真：</w:t>
      </w:r>
      <w:r>
        <w:rPr>
          <w:rFonts w:hint="eastAsia"/>
          <w:color w:val="auto"/>
          <w:highlight w:val="none"/>
          <w:u w:val="single"/>
        </w:rPr>
        <w:t xml:space="preserve">                        </w:t>
      </w:r>
      <w:r>
        <w:rPr>
          <w:rFonts w:hint="eastAsia"/>
          <w:color w:val="auto"/>
          <w:highlight w:val="none"/>
        </w:rPr>
        <w:t xml:space="preserve"> 电子函件：</w:t>
      </w:r>
      <w:r>
        <w:rPr>
          <w:rFonts w:hint="eastAsia"/>
          <w:color w:val="auto"/>
          <w:highlight w:val="none"/>
          <w:u w:val="single"/>
        </w:rPr>
        <w:t xml:space="preserve">             </w:t>
      </w:r>
      <w:r>
        <w:rPr>
          <w:rFonts w:hint="eastAsia"/>
          <w:color w:val="auto"/>
          <w:highlight w:val="none"/>
        </w:rPr>
        <w:t xml:space="preserve">              </w:t>
      </w:r>
    </w:p>
    <w:p w14:paraId="4501FE0C">
      <w:pPr>
        <w:pStyle w:val="8"/>
        <w:spacing w:line="520" w:lineRule="exact"/>
        <w:ind w:firstLine="840"/>
        <w:rPr>
          <w:color w:val="auto"/>
          <w:highlight w:val="none"/>
          <w:u w:val="single"/>
        </w:rPr>
      </w:pPr>
      <w:r>
        <w:rPr>
          <w:rFonts w:hint="eastAsia"/>
          <w:color w:val="auto"/>
          <w:highlight w:val="none"/>
        </w:rPr>
        <w:t>日期：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4BD7916C">
      <w:pPr>
        <w:pStyle w:val="8"/>
        <w:spacing w:line="520" w:lineRule="exact"/>
        <w:ind w:firstLine="840"/>
        <w:rPr>
          <w:color w:val="auto"/>
          <w:highlight w:val="none"/>
          <w:u w:val="single"/>
        </w:rPr>
      </w:pPr>
      <w:r>
        <w:rPr>
          <w:rFonts w:hint="eastAsia"/>
          <w:color w:val="auto"/>
          <w:highlight w:val="none"/>
        </w:rPr>
        <w:t>法定代表人或委托代理人（被授权人）</w:t>
      </w:r>
      <w:r>
        <w:rPr>
          <w:rFonts w:hint="eastAsia"/>
          <w:color w:val="auto"/>
          <w:highlight w:val="none"/>
          <w:lang w:eastAsia="zh-CN"/>
        </w:rPr>
        <w:t>签字或签章</w:t>
      </w:r>
      <w:r>
        <w:rPr>
          <w:rFonts w:hint="eastAsia"/>
          <w:color w:val="auto"/>
          <w:highlight w:val="none"/>
        </w:rPr>
        <w:t>：</w:t>
      </w:r>
      <w:r>
        <w:rPr>
          <w:rFonts w:hint="eastAsia"/>
          <w:color w:val="auto"/>
          <w:highlight w:val="none"/>
          <w:u w:val="single"/>
        </w:rPr>
        <w:t xml:space="preserve">                       </w:t>
      </w:r>
    </w:p>
    <w:p w14:paraId="46B7751D">
      <w:pPr>
        <w:pStyle w:val="8"/>
        <w:spacing w:line="520" w:lineRule="exact"/>
        <w:ind w:firstLine="840"/>
        <w:rPr>
          <w:color w:val="auto"/>
          <w:highlight w:val="none"/>
        </w:rPr>
      </w:pPr>
      <w:r>
        <w:rPr>
          <w:rFonts w:hint="eastAsia"/>
          <w:color w:val="auto"/>
          <w:highlight w:val="none"/>
        </w:rPr>
        <w:t>谈判供应商名称（盖章）：</w:t>
      </w:r>
      <w:r>
        <w:rPr>
          <w:rFonts w:hint="eastAsia"/>
          <w:color w:val="auto"/>
          <w:highlight w:val="none"/>
          <w:u w:val="single"/>
        </w:rPr>
        <w:t xml:space="preserve">                                    </w:t>
      </w:r>
      <w:r>
        <w:rPr>
          <w:rFonts w:hint="eastAsia"/>
          <w:color w:val="auto"/>
          <w:highlight w:val="none"/>
        </w:rPr>
        <w:t xml:space="preserve">                           </w:t>
      </w:r>
    </w:p>
    <w:p w14:paraId="409127A3">
      <w:pPr>
        <w:pStyle w:val="8"/>
        <w:spacing w:line="520" w:lineRule="exact"/>
        <w:ind w:firstLine="840"/>
        <w:rPr>
          <w:color w:val="auto"/>
          <w:highlight w:val="none"/>
        </w:rPr>
      </w:pPr>
      <w:r>
        <w:rPr>
          <w:rFonts w:hint="eastAsia"/>
          <w:color w:val="auto"/>
          <w:highlight w:val="none"/>
        </w:rPr>
        <w:t xml:space="preserve">                     </w:t>
      </w:r>
    </w:p>
    <w:p w14:paraId="715512A8">
      <w:pPr>
        <w:spacing w:line="500" w:lineRule="exact"/>
        <w:rPr>
          <w:rFonts w:ascii="宋体" w:hAnsi="宋体"/>
          <w:color w:val="auto"/>
          <w:szCs w:val="21"/>
          <w:highlight w:val="none"/>
        </w:rPr>
      </w:pPr>
    </w:p>
    <w:p w14:paraId="6B18FCBA">
      <w:pPr>
        <w:pageBreakBefore/>
        <w:spacing w:line="500" w:lineRule="exact"/>
        <w:rPr>
          <w:rFonts w:ascii="宋体" w:hAnsi="宋体"/>
          <w:color w:val="auto"/>
          <w:szCs w:val="21"/>
          <w:highlight w:val="none"/>
        </w:rPr>
      </w:pPr>
      <w:r>
        <w:rPr>
          <w:rFonts w:hint="eastAsia" w:ascii="宋体" w:hAnsi="宋体"/>
          <w:color w:val="auto"/>
          <w:szCs w:val="21"/>
          <w:highlight w:val="none"/>
        </w:rPr>
        <w:t xml:space="preserve">附件二             </w:t>
      </w:r>
    </w:p>
    <w:p w14:paraId="1B02E601">
      <w:pPr>
        <w:spacing w:line="500" w:lineRule="exact"/>
        <w:jc w:val="center"/>
        <w:rPr>
          <w:rFonts w:ascii="仿宋_GB2312" w:hAnsi="仿宋_GB2312" w:eastAsia="仿宋_GB2312"/>
          <w:b/>
          <w:color w:val="auto"/>
          <w:sz w:val="32"/>
          <w:szCs w:val="32"/>
          <w:highlight w:val="none"/>
        </w:rPr>
      </w:pPr>
    </w:p>
    <w:p w14:paraId="6FEB217E">
      <w:pPr>
        <w:spacing w:line="500" w:lineRule="exact"/>
        <w:jc w:val="center"/>
        <w:rPr>
          <w:rFonts w:ascii="仿宋_GB2312" w:hAnsi="仿宋_GB2312" w:eastAsia="仿宋_GB2312"/>
          <w:b/>
          <w:color w:val="auto"/>
          <w:sz w:val="32"/>
          <w:szCs w:val="32"/>
          <w:highlight w:val="none"/>
        </w:rPr>
      </w:pPr>
      <w:r>
        <w:rPr>
          <w:rFonts w:hint="eastAsia" w:ascii="仿宋_GB2312" w:hAnsi="仿宋_GB2312" w:eastAsia="仿宋_GB2312"/>
          <w:b/>
          <w:color w:val="auto"/>
          <w:sz w:val="32"/>
          <w:szCs w:val="32"/>
          <w:highlight w:val="none"/>
        </w:rPr>
        <w:t>报  价  表</w:t>
      </w:r>
    </w:p>
    <w:p w14:paraId="1920AB9B">
      <w:pPr>
        <w:spacing w:line="500" w:lineRule="exact"/>
        <w:rPr>
          <w:rFonts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p>
    <w:p w14:paraId="3A283A9E">
      <w:pPr>
        <w:spacing w:line="500" w:lineRule="exact"/>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6FC5B1A3">
      <w:pPr>
        <w:spacing w:line="500" w:lineRule="exact"/>
        <w:rPr>
          <w:rFonts w:hint="eastAsia" w:ascii="宋体" w:hAnsi="宋体"/>
          <w:b/>
          <w:color w:val="auto"/>
          <w:szCs w:val="21"/>
          <w:highlight w:val="none"/>
        </w:rPr>
      </w:pPr>
    </w:p>
    <w:tbl>
      <w:tblPr>
        <w:tblStyle w:val="14"/>
        <w:tblW w:w="0" w:type="auto"/>
        <w:tblInd w:w="0" w:type="dxa"/>
        <w:tblLayout w:type="fixed"/>
        <w:tblCellMar>
          <w:top w:w="0" w:type="dxa"/>
          <w:left w:w="108" w:type="dxa"/>
          <w:bottom w:w="0" w:type="dxa"/>
          <w:right w:w="108" w:type="dxa"/>
        </w:tblCellMar>
      </w:tblPr>
      <w:tblGrid>
        <w:gridCol w:w="456"/>
        <w:gridCol w:w="1010"/>
        <w:gridCol w:w="1266"/>
        <w:gridCol w:w="712"/>
        <w:gridCol w:w="899"/>
        <w:gridCol w:w="2711"/>
        <w:gridCol w:w="697"/>
        <w:gridCol w:w="1418"/>
        <w:gridCol w:w="995"/>
      </w:tblGrid>
      <w:tr w14:paraId="449129D9">
        <w:tblPrEx>
          <w:tblCellMar>
            <w:top w:w="0" w:type="dxa"/>
            <w:left w:w="108" w:type="dxa"/>
            <w:bottom w:w="0" w:type="dxa"/>
            <w:right w:w="108" w:type="dxa"/>
          </w:tblCellMar>
        </w:tblPrEx>
        <w:trPr>
          <w:cantSplit/>
          <w:trHeight w:val="1688"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55BA16FB">
            <w:pPr>
              <w:pStyle w:val="8"/>
              <w:jc w:val="center"/>
              <w:rPr>
                <w:color w:val="auto"/>
                <w:spacing w:val="-29"/>
                <w:highlight w:val="none"/>
              </w:rPr>
            </w:pPr>
            <w:r>
              <w:rPr>
                <w:rFonts w:hint="eastAsia"/>
                <w:color w:val="auto"/>
                <w:spacing w:val="-29"/>
                <w:highlight w:val="none"/>
              </w:rPr>
              <w:t>序号</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342E0F68">
            <w:pPr>
              <w:tabs>
                <w:tab w:val="left" w:pos="180"/>
                <w:tab w:val="left" w:pos="1620"/>
              </w:tabs>
              <w:spacing w:line="500" w:lineRule="exact"/>
              <w:jc w:val="center"/>
              <w:rPr>
                <w:rFonts w:hint="eastAsia" w:ascii="宋体" w:hAnsi="宋体"/>
                <w:color w:val="auto"/>
                <w:szCs w:val="21"/>
                <w:highlight w:val="none"/>
              </w:rPr>
            </w:pPr>
            <w:r>
              <w:rPr>
                <w:rFonts w:hint="eastAsia" w:ascii="宋体" w:hAnsi="宋体"/>
                <w:color w:val="auto"/>
                <w:szCs w:val="21"/>
                <w:highlight w:val="none"/>
              </w:rPr>
              <w:t>货物</w:t>
            </w:r>
          </w:p>
          <w:p w14:paraId="538A9274">
            <w:pPr>
              <w:tabs>
                <w:tab w:val="left" w:pos="180"/>
                <w:tab w:val="left" w:pos="1620"/>
              </w:tabs>
              <w:spacing w:line="500" w:lineRule="exact"/>
              <w:jc w:val="center"/>
              <w:rPr>
                <w:rFonts w:ascii="宋体" w:hAnsi="宋体"/>
                <w:color w:val="auto"/>
                <w:szCs w:val="21"/>
                <w:highlight w:val="none"/>
              </w:rPr>
            </w:pPr>
            <w:r>
              <w:rPr>
                <w:rFonts w:hint="eastAsia" w:ascii="宋体" w:hAnsi="宋体"/>
                <w:color w:val="auto"/>
                <w:szCs w:val="21"/>
                <w:highlight w:val="none"/>
              </w:rPr>
              <w:t>名称</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082CACA">
            <w:pPr>
              <w:tabs>
                <w:tab w:val="left" w:pos="180"/>
                <w:tab w:val="left" w:pos="1620"/>
              </w:tabs>
              <w:spacing w:line="500" w:lineRule="exact"/>
              <w:jc w:val="center"/>
              <w:rPr>
                <w:rFonts w:ascii="宋体" w:hAnsi="宋体"/>
                <w:color w:val="auto"/>
                <w:szCs w:val="21"/>
                <w:highlight w:val="none"/>
              </w:rPr>
            </w:pPr>
            <w:r>
              <w:rPr>
                <w:rFonts w:hint="eastAsia" w:ascii="宋体" w:hAnsi="宋体"/>
                <w:color w:val="auto"/>
                <w:szCs w:val="21"/>
                <w:highlight w:val="none"/>
              </w:rPr>
              <w:t>品牌、型号规格、生产厂家</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4BE37FE6">
            <w:pPr>
              <w:tabs>
                <w:tab w:val="left" w:pos="180"/>
                <w:tab w:val="left" w:pos="1620"/>
              </w:tabs>
              <w:spacing w:line="500" w:lineRule="exact"/>
              <w:jc w:val="center"/>
              <w:rPr>
                <w:rFonts w:ascii="宋体" w:hAnsi="宋体"/>
                <w:color w:val="auto"/>
                <w:szCs w:val="21"/>
                <w:highlight w:val="none"/>
              </w:rPr>
            </w:pPr>
            <w:r>
              <w:rPr>
                <w:rFonts w:hint="eastAsia" w:ascii="宋体" w:hAnsi="宋体"/>
                <w:color w:val="auto"/>
                <w:szCs w:val="21"/>
                <w:highlight w:val="none"/>
              </w:rPr>
              <w:t>数量①</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4F6C379E">
            <w:pPr>
              <w:tabs>
                <w:tab w:val="left" w:pos="180"/>
                <w:tab w:val="left" w:pos="1620"/>
              </w:tabs>
              <w:spacing w:line="500" w:lineRule="exact"/>
              <w:jc w:val="center"/>
              <w:rPr>
                <w:rFonts w:ascii="宋体" w:hAnsi="宋体"/>
                <w:color w:val="auto"/>
                <w:szCs w:val="21"/>
                <w:highlight w:val="none"/>
              </w:rPr>
            </w:pPr>
            <w:r>
              <w:rPr>
                <w:rFonts w:hint="eastAsia" w:ascii="宋体" w:hAnsi="宋体"/>
                <w:color w:val="auto"/>
                <w:szCs w:val="21"/>
                <w:highlight w:val="none"/>
              </w:rPr>
              <w:t>单位</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70D01B11">
            <w:pPr>
              <w:tabs>
                <w:tab w:val="left" w:pos="180"/>
                <w:tab w:val="left" w:pos="1620"/>
              </w:tabs>
              <w:spacing w:line="500" w:lineRule="exact"/>
              <w:ind w:left="210" w:hanging="210" w:hangingChars="100"/>
              <w:rPr>
                <w:rFonts w:ascii="宋体" w:hAnsi="宋体"/>
                <w:color w:val="auto"/>
                <w:szCs w:val="21"/>
                <w:highlight w:val="none"/>
              </w:rPr>
            </w:pPr>
            <w:r>
              <w:rPr>
                <w:rFonts w:hint="eastAsia" w:ascii="宋体" w:hAnsi="宋体"/>
                <w:color w:val="auto"/>
                <w:szCs w:val="21"/>
                <w:highlight w:val="none"/>
              </w:rPr>
              <w:t>技术参数及性能配置要求（材质工艺要求说明）</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1B8D2559">
            <w:pPr>
              <w:tabs>
                <w:tab w:val="left" w:pos="180"/>
                <w:tab w:val="left" w:pos="1620"/>
              </w:tabs>
              <w:spacing w:line="500" w:lineRule="exact"/>
              <w:jc w:val="center"/>
              <w:rPr>
                <w:rFonts w:ascii="宋体" w:hAnsi="宋体"/>
                <w:color w:val="auto"/>
                <w:szCs w:val="21"/>
                <w:highlight w:val="none"/>
              </w:rPr>
            </w:pPr>
            <w:r>
              <w:rPr>
                <w:rFonts w:hint="eastAsia" w:ascii="宋体" w:hAnsi="宋体"/>
                <w:color w:val="auto"/>
                <w:szCs w:val="21"/>
                <w:highlight w:val="none"/>
              </w:rPr>
              <w:t>单价②</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4F55AE44">
            <w:pPr>
              <w:pStyle w:val="8"/>
              <w:jc w:val="center"/>
              <w:rPr>
                <w:color w:val="auto"/>
                <w:highlight w:val="none"/>
              </w:rPr>
            </w:pPr>
            <w:r>
              <w:rPr>
                <w:rFonts w:hint="eastAsia"/>
                <w:color w:val="auto"/>
                <w:highlight w:val="none"/>
              </w:rPr>
              <w:t>单项合价</w:t>
            </w:r>
          </w:p>
          <w:p w14:paraId="2C7FC981">
            <w:pPr>
              <w:pStyle w:val="8"/>
              <w:jc w:val="center"/>
              <w:rPr>
                <w:color w:val="auto"/>
                <w:highlight w:val="none"/>
              </w:rPr>
            </w:pPr>
            <w:r>
              <w:rPr>
                <w:rFonts w:hint="eastAsia"/>
                <w:color w:val="auto"/>
                <w:highlight w:val="none"/>
              </w:rPr>
              <w:t>（元）</w:t>
            </w:r>
          </w:p>
          <w:p w14:paraId="55F9693E">
            <w:pPr>
              <w:pStyle w:val="8"/>
              <w:jc w:val="center"/>
              <w:rPr>
                <w:color w:val="auto"/>
                <w:highlight w:val="none"/>
              </w:rPr>
            </w:pPr>
            <w:r>
              <w:rPr>
                <w:rFonts w:hint="eastAsia"/>
                <w:color w:val="auto"/>
                <w:highlight w:val="none"/>
              </w:rPr>
              <w:t>③</w:t>
            </w:r>
            <w:r>
              <w:rPr>
                <w:color w:val="auto"/>
                <w:highlight w:val="none"/>
              </w:rPr>
              <w:t>=</w:t>
            </w:r>
            <w:r>
              <w:rPr>
                <w:rFonts w:hint="eastAsia"/>
                <w:color w:val="auto"/>
                <w:highlight w:val="none"/>
              </w:rPr>
              <w:t>①×②</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68D67A8E">
            <w:pPr>
              <w:pStyle w:val="8"/>
              <w:jc w:val="center"/>
              <w:rPr>
                <w:color w:val="auto"/>
                <w:highlight w:val="none"/>
              </w:rPr>
            </w:pPr>
            <w:r>
              <w:rPr>
                <w:rFonts w:hint="eastAsia"/>
                <w:color w:val="auto"/>
                <w:highlight w:val="none"/>
              </w:rPr>
              <w:t>备注</w:t>
            </w:r>
          </w:p>
        </w:tc>
      </w:tr>
      <w:tr w14:paraId="5F132EFB">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183136EF">
            <w:pPr>
              <w:jc w:val="center"/>
              <w:rPr>
                <w:rFonts w:ascii="宋体" w:hAnsi="宋体"/>
                <w:color w:val="auto"/>
                <w:sz w:val="24"/>
                <w:highlight w:val="none"/>
              </w:rPr>
            </w:pPr>
            <w:r>
              <w:rPr>
                <w:rFonts w:hint="eastAsia" w:ascii="宋体" w:hAnsi="宋体"/>
                <w:color w:val="auto"/>
                <w:sz w:val="24"/>
                <w:highlight w:val="none"/>
              </w:rPr>
              <w:t>1</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52047BC7">
            <w:pPr>
              <w:jc w:val="center"/>
              <w:rPr>
                <w:rFonts w:ascii="宋体" w:hAnsi="宋体"/>
                <w:color w:val="auto"/>
                <w:highlight w:val="none"/>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189B44A">
            <w:pPr>
              <w:jc w:val="center"/>
              <w:rPr>
                <w:rFonts w:ascii="宋体" w:hAnsi="宋体"/>
                <w:color w:val="auto"/>
                <w:highlight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26A8095E">
            <w:pPr>
              <w:pStyle w:val="8"/>
              <w:rPr>
                <w:color w:val="auto"/>
                <w:highlight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432225F6">
            <w:pPr>
              <w:pStyle w:val="8"/>
              <w:rPr>
                <w:color w:val="auto"/>
                <w:highlight w:val="none"/>
              </w:rPr>
            </w:pP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6BD40E48">
            <w:pPr>
              <w:pStyle w:val="8"/>
              <w:rPr>
                <w:color w:val="auto"/>
                <w:highlight w:val="none"/>
              </w:rPr>
            </w:pP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794BB621">
            <w:pPr>
              <w:pStyle w:val="8"/>
              <w:rPr>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0FE3068">
            <w:pPr>
              <w:pStyle w:val="8"/>
              <w:rPr>
                <w:color w:val="auto"/>
                <w:highlight w:val="none"/>
              </w:rPr>
            </w:pP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0CDEEF2D">
            <w:pPr>
              <w:pStyle w:val="8"/>
              <w:rPr>
                <w:color w:val="auto"/>
                <w:spacing w:val="-10"/>
                <w:highlight w:val="none"/>
              </w:rPr>
            </w:pPr>
          </w:p>
        </w:tc>
      </w:tr>
      <w:tr w14:paraId="165BDF7E">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41A2F594">
            <w:pPr>
              <w:jc w:val="center"/>
              <w:rPr>
                <w:rFonts w:ascii="宋体" w:hAnsi="宋体"/>
                <w:color w:val="auto"/>
                <w:sz w:val="24"/>
                <w:highlight w:val="none"/>
              </w:rPr>
            </w:pPr>
            <w:r>
              <w:rPr>
                <w:rFonts w:hint="eastAsia" w:ascii="宋体" w:hAnsi="宋体"/>
                <w:color w:val="auto"/>
                <w:sz w:val="24"/>
                <w:highlight w:val="none"/>
              </w:rPr>
              <w:t>…</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5830DF00">
            <w:pPr>
              <w:jc w:val="center"/>
              <w:rPr>
                <w:rFonts w:ascii="宋体" w:hAnsi="宋体"/>
                <w:color w:val="auto"/>
                <w:highlight w:val="none"/>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7C941BF">
            <w:pPr>
              <w:jc w:val="center"/>
              <w:rPr>
                <w:rFonts w:ascii="宋体" w:hAnsi="宋体"/>
                <w:color w:val="auto"/>
                <w:highlight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48090E4F">
            <w:pPr>
              <w:pStyle w:val="8"/>
              <w:rPr>
                <w:color w:val="auto"/>
                <w:highlight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3221C332">
            <w:pPr>
              <w:pStyle w:val="8"/>
              <w:rPr>
                <w:color w:val="auto"/>
                <w:highlight w:val="none"/>
              </w:rPr>
            </w:pP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38902999">
            <w:pPr>
              <w:pStyle w:val="8"/>
              <w:rPr>
                <w:color w:val="auto"/>
                <w:highlight w:val="none"/>
              </w:rPr>
            </w:pP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7FB82FBC">
            <w:pPr>
              <w:pStyle w:val="8"/>
              <w:rPr>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6B707DDE">
            <w:pPr>
              <w:pStyle w:val="8"/>
              <w:rPr>
                <w:color w:val="auto"/>
                <w:highlight w:val="none"/>
              </w:rPr>
            </w:pP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6E79CCAC">
            <w:pPr>
              <w:pStyle w:val="8"/>
              <w:rPr>
                <w:color w:val="auto"/>
                <w:spacing w:val="-10"/>
                <w:highlight w:val="none"/>
              </w:rPr>
            </w:pPr>
          </w:p>
        </w:tc>
      </w:tr>
      <w:tr w14:paraId="1D6E5547">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5859EA3B">
            <w:pPr>
              <w:jc w:val="center"/>
              <w:rPr>
                <w:rFonts w:ascii="宋体" w:hAnsi="宋体"/>
                <w:color w:val="auto"/>
                <w:sz w:val="24"/>
                <w:highlight w:val="none"/>
              </w:rPr>
            </w:pPr>
            <w:r>
              <w:rPr>
                <w:rFonts w:ascii="宋体" w:hAnsi="宋体"/>
                <w:color w:val="auto"/>
                <w:sz w:val="24"/>
                <w:highlight w:val="none"/>
              </w:rPr>
              <w:t>N</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6A1A4B6F">
            <w:pPr>
              <w:jc w:val="center"/>
              <w:rPr>
                <w:rFonts w:ascii="宋体" w:hAnsi="宋体"/>
                <w:color w:val="auto"/>
                <w:highlight w:val="none"/>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54513C8">
            <w:pPr>
              <w:jc w:val="center"/>
              <w:rPr>
                <w:rFonts w:ascii="宋体" w:hAnsi="宋体"/>
                <w:color w:val="auto"/>
                <w:highlight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2307B9CD">
            <w:pPr>
              <w:pStyle w:val="8"/>
              <w:rPr>
                <w:color w:val="auto"/>
                <w:highlight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6F6B4FCF">
            <w:pPr>
              <w:pStyle w:val="8"/>
              <w:rPr>
                <w:color w:val="auto"/>
                <w:highlight w:val="none"/>
              </w:rPr>
            </w:pP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79DF5B3A">
            <w:pPr>
              <w:pStyle w:val="8"/>
              <w:rPr>
                <w:color w:val="auto"/>
                <w:highlight w:val="none"/>
              </w:rPr>
            </w:pP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7559ACAA">
            <w:pPr>
              <w:pStyle w:val="8"/>
              <w:rPr>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6D54C0E7">
            <w:pPr>
              <w:pStyle w:val="8"/>
              <w:rPr>
                <w:color w:val="auto"/>
                <w:highlight w:val="none"/>
              </w:rPr>
            </w:pP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2495E428">
            <w:pPr>
              <w:pStyle w:val="8"/>
              <w:rPr>
                <w:color w:val="auto"/>
                <w:spacing w:val="-10"/>
                <w:highlight w:val="none"/>
              </w:rPr>
            </w:pPr>
          </w:p>
        </w:tc>
      </w:tr>
      <w:tr w14:paraId="1524056F">
        <w:tblPrEx>
          <w:tblCellMar>
            <w:top w:w="0" w:type="dxa"/>
            <w:left w:w="108" w:type="dxa"/>
            <w:bottom w:w="0" w:type="dxa"/>
            <w:right w:w="108" w:type="dxa"/>
          </w:tblCellMar>
        </w:tblPrEx>
        <w:trPr>
          <w:cantSplit/>
          <w:trHeight w:val="624" w:hRule="atLeast"/>
        </w:trPr>
        <w:tc>
          <w:tcPr>
            <w:tcW w:w="10164" w:type="dxa"/>
            <w:gridSpan w:val="9"/>
            <w:tcBorders>
              <w:top w:val="single" w:color="000000" w:sz="4" w:space="0"/>
              <w:left w:val="single" w:color="000000" w:sz="4" w:space="0"/>
              <w:bottom w:val="single" w:color="000000" w:sz="4" w:space="0"/>
              <w:right w:val="single" w:color="000000" w:sz="4" w:space="0"/>
            </w:tcBorders>
            <w:noWrap w:val="0"/>
            <w:vAlign w:val="center"/>
          </w:tcPr>
          <w:p w14:paraId="5D94FD79">
            <w:pPr>
              <w:pStyle w:val="8"/>
              <w:rPr>
                <w:color w:val="auto"/>
                <w:spacing w:val="-10"/>
                <w:highlight w:val="none"/>
              </w:rPr>
            </w:pPr>
            <w:r>
              <w:rPr>
                <w:rFonts w:hint="eastAsia"/>
                <w:color w:val="auto"/>
                <w:spacing w:val="-10"/>
                <w:highlight w:val="none"/>
              </w:rPr>
              <w:t>总报价（人民币大写）：</w:t>
            </w:r>
            <w:r>
              <w:rPr>
                <w:rFonts w:hint="eastAsia"/>
                <w:color w:val="auto"/>
                <w:spacing w:val="-10"/>
                <w:highlight w:val="none"/>
                <w:u w:val="single"/>
              </w:rPr>
              <w:t xml:space="preserve">                                       </w:t>
            </w:r>
            <w:r>
              <w:rPr>
                <w:rFonts w:hint="eastAsia"/>
                <w:color w:val="auto"/>
                <w:spacing w:val="-10"/>
                <w:highlight w:val="none"/>
              </w:rPr>
              <w:t>（￥</w:t>
            </w:r>
            <w:r>
              <w:rPr>
                <w:rFonts w:hint="eastAsia"/>
                <w:color w:val="auto"/>
                <w:spacing w:val="-10"/>
                <w:highlight w:val="none"/>
                <w:u w:val="single"/>
              </w:rPr>
              <w:t xml:space="preserve">                       </w:t>
            </w:r>
            <w:r>
              <w:rPr>
                <w:rFonts w:hint="eastAsia"/>
                <w:color w:val="auto"/>
                <w:spacing w:val="-10"/>
                <w:highlight w:val="none"/>
              </w:rPr>
              <w:t>元）</w:t>
            </w:r>
          </w:p>
        </w:tc>
      </w:tr>
      <w:tr w14:paraId="1EAA95B8">
        <w:tblPrEx>
          <w:tblCellMar>
            <w:top w:w="0" w:type="dxa"/>
            <w:left w:w="108" w:type="dxa"/>
            <w:bottom w:w="0" w:type="dxa"/>
            <w:right w:w="108" w:type="dxa"/>
          </w:tblCellMar>
        </w:tblPrEx>
        <w:trPr>
          <w:cantSplit/>
          <w:trHeight w:val="624" w:hRule="atLeast"/>
        </w:trPr>
        <w:tc>
          <w:tcPr>
            <w:tcW w:w="10164" w:type="dxa"/>
            <w:gridSpan w:val="9"/>
            <w:tcBorders>
              <w:top w:val="single" w:color="000000" w:sz="4" w:space="0"/>
              <w:left w:val="single" w:color="000000" w:sz="4" w:space="0"/>
              <w:bottom w:val="single" w:color="000000" w:sz="4" w:space="0"/>
              <w:right w:val="single" w:color="000000" w:sz="4" w:space="0"/>
            </w:tcBorders>
            <w:noWrap w:val="0"/>
            <w:vAlign w:val="center"/>
          </w:tcPr>
          <w:p w14:paraId="19E5961C">
            <w:pPr>
              <w:pStyle w:val="8"/>
              <w:rPr>
                <w:color w:val="auto"/>
                <w:spacing w:val="-10"/>
                <w:highlight w:val="none"/>
              </w:rPr>
            </w:pPr>
            <w:r>
              <w:rPr>
                <w:rFonts w:hint="eastAsia"/>
                <w:color w:val="auto"/>
                <w:spacing w:val="-10"/>
                <w:highlight w:val="none"/>
              </w:rPr>
              <w:t>交付使用时间：</w:t>
            </w:r>
          </w:p>
        </w:tc>
      </w:tr>
      <w:tr w14:paraId="07CBB70B">
        <w:tblPrEx>
          <w:tblCellMar>
            <w:top w:w="0" w:type="dxa"/>
            <w:left w:w="108" w:type="dxa"/>
            <w:bottom w:w="0" w:type="dxa"/>
            <w:right w:w="108" w:type="dxa"/>
          </w:tblCellMar>
        </w:tblPrEx>
        <w:trPr>
          <w:cantSplit/>
          <w:trHeight w:val="624" w:hRule="atLeast"/>
        </w:trPr>
        <w:tc>
          <w:tcPr>
            <w:tcW w:w="10164" w:type="dxa"/>
            <w:gridSpan w:val="9"/>
            <w:tcBorders>
              <w:top w:val="single" w:color="000000" w:sz="4" w:space="0"/>
              <w:left w:val="single" w:color="000000" w:sz="4" w:space="0"/>
              <w:bottom w:val="single" w:color="000000" w:sz="4" w:space="0"/>
              <w:right w:val="single" w:color="000000" w:sz="4" w:space="0"/>
            </w:tcBorders>
            <w:noWrap w:val="0"/>
            <w:vAlign w:val="center"/>
          </w:tcPr>
          <w:p w14:paraId="2757D9FD">
            <w:pPr>
              <w:pStyle w:val="8"/>
              <w:rPr>
                <w:color w:val="auto"/>
                <w:spacing w:val="-10"/>
                <w:highlight w:val="none"/>
              </w:rPr>
            </w:pPr>
            <w:r>
              <w:rPr>
                <w:rFonts w:hint="eastAsia"/>
                <w:color w:val="auto"/>
                <w:spacing w:val="-10"/>
                <w:highlight w:val="none"/>
              </w:rPr>
              <w:t>交付使用地点：</w:t>
            </w:r>
          </w:p>
        </w:tc>
      </w:tr>
    </w:tbl>
    <w:p w14:paraId="3D7CBCDE">
      <w:pPr>
        <w:spacing w:line="500" w:lineRule="exact"/>
        <w:rPr>
          <w:rFonts w:hint="eastAsia" w:ascii="宋体" w:hAnsi="宋体" w:eastAsia="宋体"/>
          <w:color w:val="auto"/>
          <w:szCs w:val="21"/>
          <w:highlight w:val="none"/>
          <w:lang w:eastAsia="zh-CN"/>
        </w:rPr>
      </w:pPr>
      <w:r>
        <w:rPr>
          <w:rFonts w:hint="eastAsia" w:ascii="宋体" w:hAnsi="宋体"/>
          <w:color w:val="auto"/>
          <w:szCs w:val="21"/>
          <w:highlight w:val="none"/>
        </w:rPr>
        <w:t>注：1、所有价格均用人民币表示，单位为元，精确到个数位。</w:t>
      </w:r>
    </w:p>
    <w:p w14:paraId="517F333C">
      <w:pPr>
        <w:spacing w:line="500" w:lineRule="exact"/>
        <w:ind w:firstLine="412"/>
        <w:rPr>
          <w:rFonts w:ascii="宋体" w:hAnsi="宋体"/>
          <w:color w:val="auto"/>
          <w:szCs w:val="21"/>
          <w:highlight w:val="none"/>
        </w:rPr>
      </w:pPr>
      <w:r>
        <w:rPr>
          <w:rFonts w:hint="eastAsia" w:ascii="宋体" w:hAnsi="宋体"/>
          <w:bCs/>
          <w:color w:val="auto"/>
          <w:highlight w:val="none"/>
        </w:rPr>
        <w:t>2、报价指货物、服务、随配附件、备品备件、工具、货物运抵指定交货地点、安装、调试的各种费用和售后服务、税金及其它所有成本、费用的总和</w:t>
      </w:r>
      <w:r>
        <w:rPr>
          <w:rFonts w:hint="eastAsia" w:ascii="宋体" w:hAnsi="宋体"/>
          <w:color w:val="auto"/>
          <w:szCs w:val="21"/>
          <w:highlight w:val="none"/>
        </w:rPr>
        <w:t>。</w:t>
      </w:r>
    </w:p>
    <w:p w14:paraId="074B6360">
      <w:pPr>
        <w:spacing w:before="50" w:after="50" w:line="360" w:lineRule="exact"/>
        <w:ind w:firstLine="420"/>
        <w:jc w:val="left"/>
        <w:rPr>
          <w:rFonts w:ascii="宋体" w:hAnsi="宋体"/>
          <w:color w:val="auto"/>
          <w:szCs w:val="21"/>
          <w:highlight w:val="none"/>
        </w:rPr>
      </w:pPr>
      <w:r>
        <w:rPr>
          <w:rFonts w:hint="eastAsia" w:ascii="宋体" w:hAnsi="宋体"/>
          <w:color w:val="auto"/>
          <w:szCs w:val="21"/>
          <w:highlight w:val="none"/>
        </w:rPr>
        <w:t>3、凡需用专用辅材、耗材的专用设备类采购项目，应按采购文件规定的辅材、耗材量或按耗材的常规试用量提供报价。</w:t>
      </w:r>
    </w:p>
    <w:p w14:paraId="32A6A4C7">
      <w:pPr>
        <w:spacing w:before="50" w:after="50" w:line="360" w:lineRule="exact"/>
        <w:ind w:firstLine="420"/>
        <w:jc w:val="left"/>
        <w:rPr>
          <w:rFonts w:ascii="宋体" w:hAnsi="宋体"/>
          <w:color w:val="auto"/>
          <w:szCs w:val="21"/>
          <w:highlight w:val="none"/>
        </w:rPr>
      </w:pPr>
      <w:r>
        <w:rPr>
          <w:rFonts w:hint="eastAsia" w:ascii="宋体" w:hAnsi="宋体"/>
          <w:color w:val="auto"/>
          <w:szCs w:val="21"/>
          <w:highlight w:val="none"/>
        </w:rPr>
        <w:t>4、报价表中的“货物名称”、“数量”、“单位”、“单价”、“单项合价”列必须填写；设备类项目“品牌、型号规格、生产厂家”列必须填写（定制产品和服务除外）。请认真核准单价、单项合计、总报价。</w:t>
      </w:r>
    </w:p>
    <w:p w14:paraId="119B8484">
      <w:pPr>
        <w:pStyle w:val="8"/>
        <w:spacing w:line="500" w:lineRule="exact"/>
        <w:ind w:firstLine="420"/>
        <w:rPr>
          <w:color w:val="auto"/>
          <w:highlight w:val="none"/>
        </w:rPr>
      </w:pPr>
    </w:p>
    <w:p w14:paraId="7E3618FF">
      <w:pPr>
        <w:pStyle w:val="8"/>
        <w:spacing w:line="500" w:lineRule="exact"/>
        <w:ind w:firstLine="420"/>
        <w:rPr>
          <w:color w:val="auto"/>
          <w:highlight w:val="none"/>
          <w:u w:val="single"/>
        </w:rPr>
      </w:pPr>
      <w:r>
        <w:rPr>
          <w:rFonts w:hint="eastAsia"/>
          <w:color w:val="auto"/>
          <w:highlight w:val="none"/>
        </w:rPr>
        <w:t>法定代表人或委托代理人</w:t>
      </w:r>
      <w:r>
        <w:rPr>
          <w:rFonts w:hint="eastAsia"/>
          <w:color w:val="auto"/>
          <w:highlight w:val="none"/>
          <w:lang w:eastAsia="zh-CN"/>
        </w:rPr>
        <w:t>签字或签章</w:t>
      </w:r>
      <w:r>
        <w:rPr>
          <w:rFonts w:hint="eastAsia"/>
          <w:color w:val="auto"/>
          <w:highlight w:val="none"/>
        </w:rPr>
        <w:t>:</w:t>
      </w:r>
      <w:r>
        <w:rPr>
          <w:rFonts w:hint="eastAsia"/>
          <w:color w:val="auto"/>
          <w:highlight w:val="none"/>
          <w:u w:val="single"/>
        </w:rPr>
        <w:t xml:space="preserve">              </w:t>
      </w:r>
    </w:p>
    <w:p w14:paraId="3B8FF63C">
      <w:pPr>
        <w:pStyle w:val="8"/>
        <w:spacing w:line="500" w:lineRule="exact"/>
        <w:ind w:firstLine="420"/>
        <w:rPr>
          <w:color w:val="auto"/>
          <w:highlight w:val="none"/>
          <w:u w:val="single"/>
        </w:rPr>
      </w:pPr>
      <w:r>
        <w:rPr>
          <w:rFonts w:hint="eastAsia"/>
          <w:color w:val="auto"/>
          <w:highlight w:val="none"/>
        </w:rPr>
        <w:t>谈判供应商名称（盖章）：</w:t>
      </w:r>
      <w:r>
        <w:rPr>
          <w:rFonts w:hint="eastAsia"/>
          <w:color w:val="auto"/>
          <w:highlight w:val="none"/>
          <w:u w:val="single"/>
        </w:rPr>
        <w:t xml:space="preserve">       </w:t>
      </w:r>
    </w:p>
    <w:p w14:paraId="0ABC21F9">
      <w:pPr>
        <w:spacing w:line="500" w:lineRule="exact"/>
        <w:ind w:firstLine="420"/>
        <w:rPr>
          <w:rFonts w:ascii="宋体" w:hAnsi="宋体"/>
          <w:color w:val="auto"/>
          <w:szCs w:val="21"/>
          <w:highlight w:val="none"/>
        </w:rPr>
      </w:pPr>
      <w:r>
        <w:rPr>
          <w:rFonts w:hint="eastAsia" w:ascii="宋体" w:hAnsi="宋体"/>
          <w:color w:val="auto"/>
          <w:highlight w:val="none"/>
        </w:rPr>
        <w:t>报价时间：</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136DA8F8">
      <w:pPr>
        <w:pageBreakBefore/>
        <w:spacing w:line="300" w:lineRule="auto"/>
        <w:ind w:left="-91"/>
        <w:rPr>
          <w:rFonts w:ascii="宋体" w:hAnsi="宋体"/>
          <w:color w:val="auto"/>
          <w:szCs w:val="21"/>
          <w:highlight w:val="none"/>
        </w:rPr>
      </w:pPr>
      <w:r>
        <w:rPr>
          <w:rFonts w:hint="eastAsia" w:ascii="宋体" w:hAnsi="宋体"/>
          <w:color w:val="auto"/>
          <w:szCs w:val="21"/>
          <w:highlight w:val="none"/>
        </w:rPr>
        <w:t xml:space="preserve">附件三  </w:t>
      </w:r>
    </w:p>
    <w:p w14:paraId="644C12F2">
      <w:pPr>
        <w:spacing w:line="300" w:lineRule="auto"/>
        <w:rPr>
          <w:rFonts w:ascii="宋体" w:hAnsi="宋体"/>
          <w:b/>
          <w:color w:val="auto"/>
          <w:szCs w:val="21"/>
          <w:highlight w:val="none"/>
        </w:rPr>
      </w:pPr>
    </w:p>
    <w:p w14:paraId="5BA06BAD">
      <w:pPr>
        <w:spacing w:line="300" w:lineRule="auto"/>
        <w:jc w:val="center"/>
        <w:rPr>
          <w:rFonts w:ascii="仿宋_GB2312" w:hAnsi="仿宋_GB2312" w:eastAsia="仿宋_GB2312"/>
          <w:b/>
          <w:color w:val="auto"/>
          <w:sz w:val="32"/>
          <w:szCs w:val="32"/>
          <w:highlight w:val="none"/>
        </w:rPr>
      </w:pPr>
      <w:r>
        <w:rPr>
          <w:rFonts w:hint="eastAsia" w:ascii="仿宋_GB2312" w:hAnsi="仿宋_GB2312" w:eastAsia="仿宋_GB2312"/>
          <w:b/>
          <w:color w:val="auto"/>
          <w:sz w:val="32"/>
          <w:szCs w:val="32"/>
          <w:highlight w:val="none"/>
        </w:rPr>
        <w:t>商务、技术响应、偏离情况说明表</w:t>
      </w:r>
    </w:p>
    <w:p w14:paraId="1F99111F">
      <w:pPr>
        <w:spacing w:line="300" w:lineRule="auto"/>
        <w:rPr>
          <w:rFonts w:ascii="宋体" w:hAnsi="宋体"/>
          <w:color w:val="auto"/>
          <w:szCs w:val="21"/>
          <w:highlight w:val="none"/>
        </w:rPr>
      </w:pPr>
    </w:p>
    <w:p w14:paraId="021497A5">
      <w:pPr>
        <w:spacing w:line="500" w:lineRule="exact"/>
        <w:rPr>
          <w:rFonts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p>
    <w:p w14:paraId="047C6248">
      <w:pPr>
        <w:spacing w:line="500" w:lineRule="exact"/>
        <w:rPr>
          <w:rFonts w:hint="eastAsia"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14"/>
        <w:tblW w:w="0" w:type="auto"/>
        <w:tblInd w:w="0" w:type="dxa"/>
        <w:tblLayout w:type="fixed"/>
        <w:tblCellMar>
          <w:top w:w="0" w:type="dxa"/>
          <w:left w:w="108" w:type="dxa"/>
          <w:bottom w:w="0" w:type="dxa"/>
          <w:right w:w="108" w:type="dxa"/>
        </w:tblCellMar>
      </w:tblPr>
      <w:tblGrid>
        <w:gridCol w:w="705"/>
        <w:gridCol w:w="3269"/>
        <w:gridCol w:w="3429"/>
        <w:gridCol w:w="1698"/>
        <w:gridCol w:w="1581"/>
      </w:tblGrid>
      <w:tr w14:paraId="6FFAAED6">
        <w:tblPrEx>
          <w:tblCellMar>
            <w:top w:w="0" w:type="dxa"/>
            <w:left w:w="108" w:type="dxa"/>
            <w:bottom w:w="0" w:type="dxa"/>
            <w:right w:w="108" w:type="dxa"/>
          </w:tblCellMar>
        </w:tblPrEx>
        <w:trPr>
          <w:cantSplit/>
          <w:trHeight w:val="420" w:hRule="atLeast"/>
        </w:trPr>
        <w:tc>
          <w:tcPr>
            <w:tcW w:w="705" w:type="dxa"/>
            <w:tcBorders>
              <w:top w:val="single" w:color="000000" w:sz="4" w:space="0"/>
              <w:left w:val="single" w:color="000000" w:sz="4" w:space="0"/>
              <w:bottom w:val="single" w:color="000000" w:sz="6" w:space="0"/>
              <w:right w:val="single" w:color="000000" w:sz="6" w:space="0"/>
            </w:tcBorders>
            <w:noWrap w:val="0"/>
            <w:vAlign w:val="center"/>
          </w:tcPr>
          <w:p w14:paraId="18A8FDAF">
            <w:pPr>
              <w:rPr>
                <w:color w:val="auto"/>
                <w:highlight w:val="none"/>
              </w:rPr>
            </w:pPr>
            <w:bookmarkStart w:id="14" w:name="_Toc254970729"/>
            <w:bookmarkEnd w:id="14"/>
            <w:bookmarkStart w:id="15" w:name="_Toc254970588"/>
            <w:bookmarkEnd w:id="15"/>
            <w:bookmarkStart w:id="16" w:name="_Toc173066401"/>
            <w:bookmarkEnd w:id="16"/>
            <w:bookmarkStart w:id="17" w:name="_Toc173211900"/>
            <w:bookmarkEnd w:id="17"/>
            <w:r>
              <w:rPr>
                <w:rFonts w:hint="eastAsia"/>
                <w:color w:val="auto"/>
                <w:highlight w:val="none"/>
              </w:rPr>
              <w:t>序号</w:t>
            </w:r>
          </w:p>
        </w:tc>
        <w:tc>
          <w:tcPr>
            <w:tcW w:w="3269" w:type="dxa"/>
            <w:tcBorders>
              <w:top w:val="single" w:color="000000" w:sz="4" w:space="0"/>
              <w:left w:val="single" w:color="000000" w:sz="6" w:space="0"/>
              <w:bottom w:val="single" w:color="000000" w:sz="6" w:space="0"/>
              <w:right w:val="single" w:color="000000" w:sz="6" w:space="0"/>
            </w:tcBorders>
            <w:noWrap w:val="0"/>
            <w:vAlign w:val="center"/>
          </w:tcPr>
          <w:p w14:paraId="1DD1553D">
            <w:pPr>
              <w:rPr>
                <w:color w:val="auto"/>
                <w:highlight w:val="none"/>
              </w:rPr>
            </w:pPr>
            <w:bookmarkStart w:id="18" w:name="_Toc173211901"/>
            <w:bookmarkEnd w:id="18"/>
            <w:bookmarkStart w:id="19" w:name="_Toc173066402"/>
            <w:bookmarkEnd w:id="19"/>
            <w:bookmarkStart w:id="20" w:name="_Toc254970730"/>
            <w:bookmarkEnd w:id="20"/>
            <w:bookmarkStart w:id="21" w:name="_Toc254970589"/>
            <w:bookmarkEnd w:id="21"/>
            <w:r>
              <w:rPr>
                <w:rFonts w:hint="eastAsia"/>
                <w:color w:val="auto"/>
                <w:highlight w:val="none"/>
              </w:rPr>
              <w:t>竞争性谈判文件要求</w:t>
            </w:r>
          </w:p>
        </w:tc>
        <w:tc>
          <w:tcPr>
            <w:tcW w:w="3429" w:type="dxa"/>
            <w:tcBorders>
              <w:top w:val="single" w:color="000000" w:sz="4" w:space="0"/>
              <w:left w:val="single" w:color="000000" w:sz="6" w:space="0"/>
              <w:bottom w:val="single" w:color="000000" w:sz="6" w:space="0"/>
              <w:right w:val="single" w:color="000000" w:sz="6" w:space="0"/>
            </w:tcBorders>
            <w:noWrap w:val="0"/>
            <w:vAlign w:val="center"/>
          </w:tcPr>
          <w:p w14:paraId="481210D7">
            <w:pPr>
              <w:rPr>
                <w:color w:val="auto"/>
                <w:highlight w:val="none"/>
              </w:rPr>
            </w:pPr>
            <w:bookmarkStart w:id="22" w:name="_Toc254970731"/>
            <w:bookmarkEnd w:id="22"/>
            <w:bookmarkStart w:id="23" w:name="_Toc173066403"/>
            <w:bookmarkEnd w:id="23"/>
            <w:bookmarkStart w:id="24" w:name="_Toc254970590"/>
            <w:bookmarkEnd w:id="24"/>
            <w:bookmarkStart w:id="25" w:name="_Toc173211902"/>
            <w:bookmarkEnd w:id="25"/>
            <w:r>
              <w:rPr>
                <w:rFonts w:hint="eastAsia"/>
                <w:color w:val="auto"/>
                <w:highlight w:val="none"/>
              </w:rPr>
              <w:t>竞争性谈判响应文件具体响应</w:t>
            </w:r>
          </w:p>
        </w:tc>
        <w:tc>
          <w:tcPr>
            <w:tcW w:w="1698" w:type="dxa"/>
            <w:tcBorders>
              <w:top w:val="single" w:color="000000" w:sz="4" w:space="0"/>
              <w:left w:val="single" w:color="000000" w:sz="6" w:space="0"/>
              <w:bottom w:val="single" w:color="000000" w:sz="6" w:space="0"/>
              <w:right w:val="single" w:color="000000" w:sz="6" w:space="0"/>
            </w:tcBorders>
            <w:noWrap w:val="0"/>
            <w:vAlign w:val="center"/>
          </w:tcPr>
          <w:p w14:paraId="7FE11B72">
            <w:pPr>
              <w:rPr>
                <w:color w:val="auto"/>
                <w:highlight w:val="none"/>
              </w:rPr>
            </w:pPr>
            <w:bookmarkStart w:id="26" w:name="_Toc173211903"/>
            <w:bookmarkEnd w:id="26"/>
            <w:bookmarkStart w:id="27" w:name="_Toc173066404"/>
            <w:bookmarkEnd w:id="27"/>
            <w:bookmarkStart w:id="28" w:name="_Toc254970732"/>
            <w:bookmarkEnd w:id="28"/>
            <w:bookmarkStart w:id="29" w:name="_Toc254970591"/>
            <w:bookmarkEnd w:id="29"/>
            <w:r>
              <w:rPr>
                <w:rFonts w:hint="eastAsia"/>
                <w:color w:val="auto"/>
                <w:highlight w:val="none"/>
              </w:rPr>
              <w:t>响应/偏离</w:t>
            </w:r>
          </w:p>
        </w:tc>
        <w:tc>
          <w:tcPr>
            <w:tcW w:w="1581" w:type="dxa"/>
            <w:tcBorders>
              <w:top w:val="single" w:color="000000" w:sz="4" w:space="0"/>
              <w:left w:val="single" w:color="000000" w:sz="6" w:space="0"/>
              <w:bottom w:val="single" w:color="000000" w:sz="6" w:space="0"/>
              <w:right w:val="single" w:color="000000" w:sz="4" w:space="0"/>
            </w:tcBorders>
            <w:noWrap w:val="0"/>
            <w:vAlign w:val="center"/>
          </w:tcPr>
          <w:p w14:paraId="6B593D33">
            <w:pPr>
              <w:rPr>
                <w:color w:val="auto"/>
                <w:highlight w:val="none"/>
              </w:rPr>
            </w:pPr>
            <w:bookmarkStart w:id="30" w:name="_Toc254970733"/>
            <w:bookmarkEnd w:id="30"/>
            <w:bookmarkStart w:id="31" w:name="_Toc173066405"/>
            <w:bookmarkEnd w:id="31"/>
            <w:bookmarkStart w:id="32" w:name="_Toc254970592"/>
            <w:bookmarkEnd w:id="32"/>
            <w:bookmarkStart w:id="33" w:name="_Toc173211904"/>
            <w:bookmarkEnd w:id="33"/>
            <w:r>
              <w:rPr>
                <w:rFonts w:hint="eastAsia"/>
                <w:color w:val="auto"/>
                <w:highlight w:val="none"/>
              </w:rPr>
              <w:t>说明</w:t>
            </w:r>
          </w:p>
        </w:tc>
      </w:tr>
      <w:tr w14:paraId="3DA1F84C">
        <w:tblPrEx>
          <w:tblCellMar>
            <w:top w:w="0" w:type="dxa"/>
            <w:left w:w="108" w:type="dxa"/>
            <w:bottom w:w="0" w:type="dxa"/>
            <w:right w:w="108" w:type="dxa"/>
          </w:tblCellMar>
        </w:tblPrEx>
        <w:trPr>
          <w:cantSplit/>
          <w:trHeight w:val="420" w:hRule="atLeast"/>
        </w:trPr>
        <w:tc>
          <w:tcPr>
            <w:tcW w:w="10682" w:type="dxa"/>
            <w:gridSpan w:val="5"/>
            <w:tcBorders>
              <w:top w:val="single" w:color="000000" w:sz="6" w:space="0"/>
              <w:left w:val="single" w:color="000000" w:sz="4" w:space="0"/>
              <w:bottom w:val="single" w:color="000000" w:sz="6" w:space="0"/>
              <w:right w:val="single" w:color="000000" w:sz="4" w:space="0"/>
            </w:tcBorders>
            <w:noWrap w:val="0"/>
            <w:vAlign w:val="center"/>
          </w:tcPr>
          <w:p w14:paraId="4FAA169E">
            <w:pPr>
              <w:jc w:val="center"/>
              <w:rPr>
                <w:color w:val="auto"/>
                <w:highlight w:val="none"/>
              </w:rPr>
            </w:pPr>
            <w:r>
              <w:rPr>
                <w:rFonts w:hint="eastAsia"/>
                <w:color w:val="auto"/>
                <w:highlight w:val="none"/>
              </w:rPr>
              <w:t>商务部分（商务及其他售后服务要求）</w:t>
            </w:r>
          </w:p>
        </w:tc>
      </w:tr>
      <w:tr w14:paraId="2E5F14E5">
        <w:tblPrEx>
          <w:tblCellMar>
            <w:top w:w="0" w:type="dxa"/>
            <w:left w:w="108" w:type="dxa"/>
            <w:bottom w:w="0" w:type="dxa"/>
            <w:right w:w="108" w:type="dxa"/>
          </w:tblCellMar>
        </w:tblPrEx>
        <w:trPr>
          <w:cantSplit/>
          <w:trHeight w:val="200" w:hRule="atLeast"/>
        </w:trPr>
        <w:tc>
          <w:tcPr>
            <w:tcW w:w="705" w:type="dxa"/>
            <w:tcBorders>
              <w:top w:val="single" w:color="000000" w:sz="6" w:space="0"/>
              <w:left w:val="single" w:color="000000" w:sz="4" w:space="0"/>
              <w:bottom w:val="single" w:color="000000" w:sz="6" w:space="0"/>
              <w:right w:val="single" w:color="000000" w:sz="6" w:space="0"/>
            </w:tcBorders>
            <w:noWrap w:val="0"/>
            <w:vAlign w:val="center"/>
          </w:tcPr>
          <w:p w14:paraId="628075E7">
            <w:pPr>
              <w:jc w:val="center"/>
              <w:rPr>
                <w:color w:val="auto"/>
                <w:highlight w:val="none"/>
              </w:rPr>
            </w:pPr>
            <w:bookmarkStart w:id="34" w:name="_Toc173066406"/>
            <w:bookmarkEnd w:id="34"/>
            <w:bookmarkStart w:id="35" w:name="_Toc254970593"/>
            <w:bookmarkEnd w:id="35"/>
            <w:bookmarkStart w:id="36" w:name="_Toc254970734"/>
            <w:bookmarkEnd w:id="36"/>
            <w:bookmarkStart w:id="37" w:name="_Toc173211905"/>
            <w:bookmarkEnd w:id="37"/>
            <w:r>
              <w:rPr>
                <w:rFonts w:hint="eastAsia"/>
                <w:color w:val="auto"/>
                <w:highlight w:val="none"/>
              </w:rPr>
              <w:t>1</w:t>
            </w:r>
          </w:p>
        </w:tc>
        <w:tc>
          <w:tcPr>
            <w:tcW w:w="3269" w:type="dxa"/>
            <w:tcBorders>
              <w:top w:val="single" w:color="000000" w:sz="6" w:space="0"/>
              <w:left w:val="single" w:color="000000" w:sz="6" w:space="0"/>
              <w:bottom w:val="single" w:color="000000" w:sz="6" w:space="0"/>
              <w:right w:val="single" w:color="000000" w:sz="6" w:space="0"/>
            </w:tcBorders>
            <w:noWrap w:val="0"/>
            <w:vAlign w:val="center"/>
          </w:tcPr>
          <w:p w14:paraId="032F34B0">
            <w:pPr>
              <w:jc w:val="center"/>
              <w:rPr>
                <w:color w:val="auto"/>
                <w:highlight w:val="none"/>
              </w:rPr>
            </w:pPr>
          </w:p>
        </w:tc>
        <w:tc>
          <w:tcPr>
            <w:tcW w:w="3429" w:type="dxa"/>
            <w:tcBorders>
              <w:top w:val="single" w:color="000000" w:sz="6" w:space="0"/>
              <w:left w:val="single" w:color="000000" w:sz="6" w:space="0"/>
              <w:bottom w:val="single" w:color="000000" w:sz="6" w:space="0"/>
              <w:right w:val="single" w:color="000000" w:sz="6" w:space="0"/>
            </w:tcBorders>
            <w:noWrap w:val="0"/>
            <w:vAlign w:val="center"/>
          </w:tcPr>
          <w:p w14:paraId="68BB5B60">
            <w:pPr>
              <w:jc w:val="center"/>
              <w:rPr>
                <w:color w:val="auto"/>
                <w:highlight w:val="none"/>
              </w:rPr>
            </w:pPr>
          </w:p>
        </w:tc>
        <w:tc>
          <w:tcPr>
            <w:tcW w:w="1698" w:type="dxa"/>
            <w:tcBorders>
              <w:top w:val="single" w:color="000000" w:sz="6" w:space="0"/>
              <w:left w:val="single" w:color="000000" w:sz="6" w:space="0"/>
              <w:bottom w:val="single" w:color="000000" w:sz="6" w:space="0"/>
              <w:right w:val="single" w:color="000000" w:sz="6" w:space="0"/>
            </w:tcBorders>
            <w:noWrap w:val="0"/>
            <w:vAlign w:val="center"/>
          </w:tcPr>
          <w:p w14:paraId="2DFF1D3F">
            <w:pPr>
              <w:jc w:val="center"/>
              <w:rPr>
                <w:color w:val="auto"/>
                <w:highlight w:val="none"/>
              </w:rPr>
            </w:pPr>
          </w:p>
        </w:tc>
        <w:tc>
          <w:tcPr>
            <w:tcW w:w="1581" w:type="dxa"/>
            <w:tcBorders>
              <w:top w:val="single" w:color="000000" w:sz="6" w:space="0"/>
              <w:left w:val="single" w:color="000000" w:sz="6" w:space="0"/>
              <w:bottom w:val="single" w:color="000000" w:sz="6" w:space="0"/>
              <w:right w:val="single" w:color="000000" w:sz="4" w:space="0"/>
            </w:tcBorders>
            <w:noWrap w:val="0"/>
            <w:vAlign w:val="center"/>
          </w:tcPr>
          <w:p w14:paraId="107A6157">
            <w:pPr>
              <w:jc w:val="center"/>
              <w:rPr>
                <w:color w:val="auto"/>
                <w:highlight w:val="none"/>
              </w:rPr>
            </w:pPr>
          </w:p>
        </w:tc>
      </w:tr>
      <w:tr w14:paraId="5289FD7C">
        <w:tblPrEx>
          <w:tblCellMar>
            <w:top w:w="0" w:type="dxa"/>
            <w:left w:w="108" w:type="dxa"/>
            <w:bottom w:w="0" w:type="dxa"/>
            <w:right w:w="108" w:type="dxa"/>
          </w:tblCellMar>
        </w:tblPrEx>
        <w:trPr>
          <w:cantSplit/>
          <w:trHeight w:val="420" w:hRule="atLeast"/>
        </w:trPr>
        <w:tc>
          <w:tcPr>
            <w:tcW w:w="705" w:type="dxa"/>
            <w:tcBorders>
              <w:top w:val="single" w:color="000000" w:sz="6" w:space="0"/>
              <w:left w:val="single" w:color="000000" w:sz="4" w:space="0"/>
              <w:bottom w:val="single" w:color="000000" w:sz="6" w:space="0"/>
              <w:right w:val="single" w:color="000000" w:sz="6" w:space="0"/>
            </w:tcBorders>
            <w:noWrap w:val="0"/>
            <w:vAlign w:val="center"/>
          </w:tcPr>
          <w:p w14:paraId="6C963902">
            <w:pPr>
              <w:jc w:val="center"/>
              <w:rPr>
                <w:color w:val="auto"/>
                <w:highlight w:val="none"/>
              </w:rPr>
            </w:pPr>
            <w:bookmarkStart w:id="38" w:name="_Toc254970594"/>
            <w:bookmarkEnd w:id="38"/>
            <w:bookmarkStart w:id="39" w:name="_Toc173066407"/>
            <w:bookmarkEnd w:id="39"/>
            <w:bookmarkStart w:id="40" w:name="_Toc254970735"/>
            <w:bookmarkEnd w:id="40"/>
            <w:bookmarkStart w:id="41" w:name="_Toc173211906"/>
            <w:bookmarkEnd w:id="41"/>
            <w:r>
              <w:rPr>
                <w:rFonts w:hint="eastAsia"/>
                <w:color w:val="auto"/>
                <w:highlight w:val="none"/>
              </w:rPr>
              <w:t>2</w:t>
            </w:r>
          </w:p>
        </w:tc>
        <w:tc>
          <w:tcPr>
            <w:tcW w:w="3269" w:type="dxa"/>
            <w:tcBorders>
              <w:top w:val="single" w:color="000000" w:sz="6" w:space="0"/>
              <w:left w:val="single" w:color="000000" w:sz="6" w:space="0"/>
              <w:bottom w:val="single" w:color="000000" w:sz="6" w:space="0"/>
              <w:right w:val="single" w:color="000000" w:sz="6" w:space="0"/>
            </w:tcBorders>
            <w:noWrap w:val="0"/>
            <w:vAlign w:val="center"/>
          </w:tcPr>
          <w:p w14:paraId="28998388">
            <w:pPr>
              <w:jc w:val="center"/>
              <w:rPr>
                <w:color w:val="auto"/>
                <w:highlight w:val="none"/>
              </w:rPr>
            </w:pPr>
          </w:p>
        </w:tc>
        <w:tc>
          <w:tcPr>
            <w:tcW w:w="3429" w:type="dxa"/>
            <w:tcBorders>
              <w:top w:val="single" w:color="000000" w:sz="6" w:space="0"/>
              <w:left w:val="single" w:color="000000" w:sz="6" w:space="0"/>
              <w:bottom w:val="single" w:color="000000" w:sz="6" w:space="0"/>
              <w:right w:val="single" w:color="000000" w:sz="6" w:space="0"/>
            </w:tcBorders>
            <w:noWrap w:val="0"/>
            <w:vAlign w:val="center"/>
          </w:tcPr>
          <w:p w14:paraId="2A694DBF">
            <w:pPr>
              <w:jc w:val="center"/>
              <w:rPr>
                <w:color w:val="auto"/>
                <w:highlight w:val="none"/>
              </w:rPr>
            </w:pPr>
          </w:p>
        </w:tc>
        <w:tc>
          <w:tcPr>
            <w:tcW w:w="1698" w:type="dxa"/>
            <w:tcBorders>
              <w:top w:val="single" w:color="000000" w:sz="6" w:space="0"/>
              <w:left w:val="single" w:color="000000" w:sz="6" w:space="0"/>
              <w:bottom w:val="single" w:color="000000" w:sz="6" w:space="0"/>
              <w:right w:val="single" w:color="000000" w:sz="6" w:space="0"/>
            </w:tcBorders>
            <w:noWrap w:val="0"/>
            <w:vAlign w:val="center"/>
          </w:tcPr>
          <w:p w14:paraId="472F63AE">
            <w:pPr>
              <w:jc w:val="center"/>
              <w:rPr>
                <w:color w:val="auto"/>
                <w:highlight w:val="none"/>
              </w:rPr>
            </w:pPr>
          </w:p>
        </w:tc>
        <w:tc>
          <w:tcPr>
            <w:tcW w:w="1581" w:type="dxa"/>
            <w:tcBorders>
              <w:top w:val="single" w:color="000000" w:sz="6" w:space="0"/>
              <w:left w:val="single" w:color="000000" w:sz="6" w:space="0"/>
              <w:bottom w:val="single" w:color="000000" w:sz="6" w:space="0"/>
              <w:right w:val="single" w:color="000000" w:sz="4" w:space="0"/>
            </w:tcBorders>
            <w:noWrap w:val="0"/>
            <w:vAlign w:val="center"/>
          </w:tcPr>
          <w:p w14:paraId="13F7F779">
            <w:pPr>
              <w:jc w:val="center"/>
              <w:rPr>
                <w:color w:val="auto"/>
                <w:highlight w:val="none"/>
              </w:rPr>
            </w:pPr>
          </w:p>
        </w:tc>
      </w:tr>
      <w:tr w14:paraId="14C6D24E">
        <w:tblPrEx>
          <w:tblCellMar>
            <w:top w:w="0" w:type="dxa"/>
            <w:left w:w="108" w:type="dxa"/>
            <w:bottom w:w="0" w:type="dxa"/>
            <w:right w:w="108" w:type="dxa"/>
          </w:tblCellMar>
        </w:tblPrEx>
        <w:trPr>
          <w:cantSplit/>
          <w:trHeight w:val="420" w:hRule="atLeast"/>
        </w:trPr>
        <w:tc>
          <w:tcPr>
            <w:tcW w:w="705" w:type="dxa"/>
            <w:tcBorders>
              <w:top w:val="single" w:color="000000" w:sz="6" w:space="0"/>
              <w:left w:val="single" w:color="000000" w:sz="4" w:space="0"/>
              <w:bottom w:val="single" w:color="000000" w:sz="6" w:space="0"/>
              <w:right w:val="single" w:color="000000" w:sz="6" w:space="0"/>
            </w:tcBorders>
            <w:noWrap w:val="0"/>
            <w:vAlign w:val="center"/>
          </w:tcPr>
          <w:p w14:paraId="16CEA3E3">
            <w:pPr>
              <w:jc w:val="center"/>
              <w:rPr>
                <w:color w:val="auto"/>
                <w:highlight w:val="none"/>
              </w:rPr>
            </w:pPr>
            <w:bookmarkStart w:id="42" w:name="_Toc173066408"/>
            <w:bookmarkEnd w:id="42"/>
            <w:bookmarkStart w:id="43" w:name="_Toc173211907"/>
            <w:bookmarkEnd w:id="43"/>
            <w:bookmarkStart w:id="44" w:name="_Toc254970595"/>
            <w:bookmarkEnd w:id="44"/>
            <w:bookmarkStart w:id="45" w:name="_Toc254970736"/>
            <w:bookmarkEnd w:id="45"/>
            <w:r>
              <w:rPr>
                <w:rFonts w:hint="eastAsia"/>
                <w:color w:val="auto"/>
                <w:highlight w:val="none"/>
              </w:rPr>
              <w:t>3</w:t>
            </w:r>
          </w:p>
        </w:tc>
        <w:tc>
          <w:tcPr>
            <w:tcW w:w="3269" w:type="dxa"/>
            <w:tcBorders>
              <w:top w:val="single" w:color="000000" w:sz="6" w:space="0"/>
              <w:left w:val="single" w:color="000000" w:sz="6" w:space="0"/>
              <w:bottom w:val="single" w:color="000000" w:sz="6" w:space="0"/>
              <w:right w:val="single" w:color="000000" w:sz="6" w:space="0"/>
            </w:tcBorders>
            <w:noWrap w:val="0"/>
            <w:vAlign w:val="center"/>
          </w:tcPr>
          <w:p w14:paraId="721D91A0">
            <w:pPr>
              <w:jc w:val="center"/>
              <w:rPr>
                <w:color w:val="auto"/>
                <w:highlight w:val="none"/>
              </w:rPr>
            </w:pPr>
          </w:p>
        </w:tc>
        <w:tc>
          <w:tcPr>
            <w:tcW w:w="3429" w:type="dxa"/>
            <w:tcBorders>
              <w:top w:val="single" w:color="000000" w:sz="6" w:space="0"/>
              <w:left w:val="single" w:color="000000" w:sz="6" w:space="0"/>
              <w:bottom w:val="single" w:color="000000" w:sz="6" w:space="0"/>
              <w:right w:val="single" w:color="000000" w:sz="6" w:space="0"/>
            </w:tcBorders>
            <w:noWrap w:val="0"/>
            <w:vAlign w:val="center"/>
          </w:tcPr>
          <w:p w14:paraId="421266A2">
            <w:pPr>
              <w:jc w:val="center"/>
              <w:rPr>
                <w:color w:val="auto"/>
                <w:highlight w:val="none"/>
              </w:rPr>
            </w:pPr>
          </w:p>
        </w:tc>
        <w:tc>
          <w:tcPr>
            <w:tcW w:w="1698" w:type="dxa"/>
            <w:tcBorders>
              <w:top w:val="single" w:color="000000" w:sz="6" w:space="0"/>
              <w:left w:val="single" w:color="000000" w:sz="6" w:space="0"/>
              <w:bottom w:val="single" w:color="000000" w:sz="6" w:space="0"/>
              <w:right w:val="single" w:color="000000" w:sz="6" w:space="0"/>
            </w:tcBorders>
            <w:noWrap w:val="0"/>
            <w:vAlign w:val="center"/>
          </w:tcPr>
          <w:p w14:paraId="4900B899">
            <w:pPr>
              <w:jc w:val="center"/>
              <w:rPr>
                <w:color w:val="auto"/>
                <w:highlight w:val="none"/>
              </w:rPr>
            </w:pPr>
          </w:p>
        </w:tc>
        <w:tc>
          <w:tcPr>
            <w:tcW w:w="1581" w:type="dxa"/>
            <w:tcBorders>
              <w:top w:val="single" w:color="000000" w:sz="6" w:space="0"/>
              <w:left w:val="single" w:color="000000" w:sz="6" w:space="0"/>
              <w:bottom w:val="single" w:color="000000" w:sz="6" w:space="0"/>
              <w:right w:val="single" w:color="000000" w:sz="4" w:space="0"/>
            </w:tcBorders>
            <w:noWrap w:val="0"/>
            <w:vAlign w:val="center"/>
          </w:tcPr>
          <w:p w14:paraId="132F84A5">
            <w:pPr>
              <w:jc w:val="center"/>
              <w:rPr>
                <w:color w:val="auto"/>
                <w:highlight w:val="none"/>
              </w:rPr>
            </w:pPr>
          </w:p>
        </w:tc>
      </w:tr>
      <w:tr w14:paraId="1693B291">
        <w:tblPrEx>
          <w:tblCellMar>
            <w:top w:w="0" w:type="dxa"/>
            <w:left w:w="108" w:type="dxa"/>
            <w:bottom w:w="0" w:type="dxa"/>
            <w:right w:w="108" w:type="dxa"/>
          </w:tblCellMar>
        </w:tblPrEx>
        <w:trPr>
          <w:cantSplit/>
          <w:trHeight w:val="420" w:hRule="atLeast"/>
        </w:trPr>
        <w:tc>
          <w:tcPr>
            <w:tcW w:w="705" w:type="dxa"/>
            <w:tcBorders>
              <w:top w:val="single" w:color="000000" w:sz="6" w:space="0"/>
              <w:left w:val="single" w:color="000000" w:sz="4" w:space="0"/>
              <w:bottom w:val="single" w:color="000000" w:sz="6" w:space="0"/>
              <w:right w:val="single" w:color="000000" w:sz="6" w:space="0"/>
            </w:tcBorders>
            <w:noWrap w:val="0"/>
            <w:vAlign w:val="center"/>
          </w:tcPr>
          <w:p w14:paraId="25E5B053">
            <w:pPr>
              <w:jc w:val="center"/>
              <w:rPr>
                <w:color w:val="auto"/>
                <w:highlight w:val="none"/>
              </w:rPr>
            </w:pPr>
            <w:r>
              <w:rPr>
                <w:rFonts w:hint="eastAsia"/>
                <w:color w:val="auto"/>
                <w:highlight w:val="none"/>
              </w:rPr>
              <w:t>…</w:t>
            </w:r>
          </w:p>
        </w:tc>
        <w:tc>
          <w:tcPr>
            <w:tcW w:w="3269" w:type="dxa"/>
            <w:tcBorders>
              <w:top w:val="single" w:color="000000" w:sz="6" w:space="0"/>
              <w:left w:val="single" w:color="000000" w:sz="6" w:space="0"/>
              <w:bottom w:val="single" w:color="000000" w:sz="6" w:space="0"/>
              <w:right w:val="single" w:color="000000" w:sz="6" w:space="0"/>
            </w:tcBorders>
            <w:noWrap w:val="0"/>
            <w:vAlign w:val="center"/>
          </w:tcPr>
          <w:p w14:paraId="53A088F3">
            <w:pPr>
              <w:jc w:val="center"/>
              <w:rPr>
                <w:color w:val="auto"/>
                <w:highlight w:val="none"/>
              </w:rPr>
            </w:pPr>
          </w:p>
        </w:tc>
        <w:tc>
          <w:tcPr>
            <w:tcW w:w="3429" w:type="dxa"/>
            <w:tcBorders>
              <w:top w:val="single" w:color="000000" w:sz="6" w:space="0"/>
              <w:left w:val="single" w:color="000000" w:sz="6" w:space="0"/>
              <w:bottom w:val="single" w:color="000000" w:sz="6" w:space="0"/>
              <w:right w:val="single" w:color="000000" w:sz="6" w:space="0"/>
            </w:tcBorders>
            <w:noWrap w:val="0"/>
            <w:vAlign w:val="center"/>
          </w:tcPr>
          <w:p w14:paraId="1295F1F4">
            <w:pPr>
              <w:jc w:val="center"/>
              <w:rPr>
                <w:color w:val="auto"/>
                <w:highlight w:val="none"/>
              </w:rPr>
            </w:pPr>
          </w:p>
        </w:tc>
        <w:tc>
          <w:tcPr>
            <w:tcW w:w="1698" w:type="dxa"/>
            <w:tcBorders>
              <w:top w:val="single" w:color="000000" w:sz="6" w:space="0"/>
              <w:left w:val="single" w:color="000000" w:sz="6" w:space="0"/>
              <w:bottom w:val="single" w:color="000000" w:sz="6" w:space="0"/>
              <w:right w:val="single" w:color="000000" w:sz="6" w:space="0"/>
            </w:tcBorders>
            <w:noWrap w:val="0"/>
            <w:vAlign w:val="center"/>
          </w:tcPr>
          <w:p w14:paraId="0C5FA775">
            <w:pPr>
              <w:jc w:val="center"/>
              <w:rPr>
                <w:color w:val="auto"/>
                <w:highlight w:val="none"/>
              </w:rPr>
            </w:pPr>
          </w:p>
        </w:tc>
        <w:tc>
          <w:tcPr>
            <w:tcW w:w="1581" w:type="dxa"/>
            <w:tcBorders>
              <w:top w:val="single" w:color="000000" w:sz="6" w:space="0"/>
              <w:left w:val="single" w:color="000000" w:sz="6" w:space="0"/>
              <w:bottom w:val="single" w:color="000000" w:sz="6" w:space="0"/>
              <w:right w:val="single" w:color="000000" w:sz="4" w:space="0"/>
            </w:tcBorders>
            <w:noWrap w:val="0"/>
            <w:vAlign w:val="center"/>
          </w:tcPr>
          <w:p w14:paraId="364041F0">
            <w:pPr>
              <w:jc w:val="center"/>
              <w:rPr>
                <w:color w:val="auto"/>
                <w:highlight w:val="none"/>
              </w:rPr>
            </w:pPr>
          </w:p>
        </w:tc>
      </w:tr>
      <w:tr w14:paraId="24CD5A40">
        <w:tblPrEx>
          <w:tblCellMar>
            <w:top w:w="0" w:type="dxa"/>
            <w:left w:w="108" w:type="dxa"/>
            <w:bottom w:w="0" w:type="dxa"/>
            <w:right w:w="108" w:type="dxa"/>
          </w:tblCellMar>
        </w:tblPrEx>
        <w:trPr>
          <w:cantSplit/>
          <w:trHeight w:val="420" w:hRule="atLeast"/>
        </w:trPr>
        <w:tc>
          <w:tcPr>
            <w:tcW w:w="10682" w:type="dxa"/>
            <w:gridSpan w:val="5"/>
            <w:tcBorders>
              <w:top w:val="single" w:color="000000" w:sz="6" w:space="0"/>
              <w:left w:val="single" w:color="000000" w:sz="4" w:space="0"/>
              <w:bottom w:val="single" w:color="000000" w:sz="6" w:space="0"/>
              <w:right w:val="single" w:color="000000" w:sz="4" w:space="0"/>
            </w:tcBorders>
            <w:noWrap w:val="0"/>
            <w:vAlign w:val="center"/>
          </w:tcPr>
          <w:p w14:paraId="49A3416F">
            <w:pPr>
              <w:jc w:val="center"/>
              <w:rPr>
                <w:color w:val="auto"/>
                <w:highlight w:val="none"/>
              </w:rPr>
            </w:pPr>
            <w:r>
              <w:rPr>
                <w:rFonts w:hint="eastAsia"/>
                <w:color w:val="auto"/>
                <w:highlight w:val="none"/>
              </w:rPr>
              <w:t>技术部分（技术参数及性能配置要求）</w:t>
            </w:r>
          </w:p>
        </w:tc>
      </w:tr>
      <w:tr w14:paraId="2AE7D8C3">
        <w:tblPrEx>
          <w:tblCellMar>
            <w:top w:w="0" w:type="dxa"/>
            <w:left w:w="108" w:type="dxa"/>
            <w:bottom w:w="0" w:type="dxa"/>
            <w:right w:w="108" w:type="dxa"/>
          </w:tblCellMar>
        </w:tblPrEx>
        <w:trPr>
          <w:cantSplit/>
          <w:trHeight w:val="420" w:hRule="atLeast"/>
        </w:trPr>
        <w:tc>
          <w:tcPr>
            <w:tcW w:w="705" w:type="dxa"/>
            <w:tcBorders>
              <w:top w:val="single" w:color="000000" w:sz="6" w:space="0"/>
              <w:left w:val="single" w:color="000000" w:sz="4" w:space="0"/>
              <w:bottom w:val="single" w:color="000000" w:sz="6" w:space="0"/>
              <w:right w:val="single" w:color="000000" w:sz="6" w:space="0"/>
            </w:tcBorders>
            <w:noWrap w:val="0"/>
            <w:vAlign w:val="center"/>
          </w:tcPr>
          <w:p w14:paraId="1201BA70">
            <w:pPr>
              <w:jc w:val="center"/>
              <w:rPr>
                <w:color w:val="auto"/>
                <w:highlight w:val="none"/>
              </w:rPr>
            </w:pPr>
            <w:r>
              <w:rPr>
                <w:rFonts w:hint="eastAsia"/>
                <w:color w:val="auto"/>
                <w:highlight w:val="none"/>
              </w:rPr>
              <w:t>1</w:t>
            </w:r>
          </w:p>
        </w:tc>
        <w:tc>
          <w:tcPr>
            <w:tcW w:w="3269" w:type="dxa"/>
            <w:tcBorders>
              <w:top w:val="single" w:color="000000" w:sz="6" w:space="0"/>
              <w:left w:val="single" w:color="000000" w:sz="6" w:space="0"/>
              <w:bottom w:val="single" w:color="000000" w:sz="6" w:space="0"/>
              <w:right w:val="single" w:color="000000" w:sz="6" w:space="0"/>
            </w:tcBorders>
            <w:noWrap w:val="0"/>
            <w:vAlign w:val="center"/>
          </w:tcPr>
          <w:p w14:paraId="3515D700">
            <w:pPr>
              <w:jc w:val="center"/>
              <w:rPr>
                <w:color w:val="auto"/>
                <w:highlight w:val="none"/>
              </w:rPr>
            </w:pPr>
          </w:p>
        </w:tc>
        <w:tc>
          <w:tcPr>
            <w:tcW w:w="3429" w:type="dxa"/>
            <w:tcBorders>
              <w:top w:val="single" w:color="000000" w:sz="6" w:space="0"/>
              <w:left w:val="single" w:color="000000" w:sz="6" w:space="0"/>
              <w:bottom w:val="single" w:color="000000" w:sz="6" w:space="0"/>
              <w:right w:val="single" w:color="000000" w:sz="6" w:space="0"/>
            </w:tcBorders>
            <w:noWrap w:val="0"/>
            <w:vAlign w:val="center"/>
          </w:tcPr>
          <w:p w14:paraId="6C53CAF9">
            <w:pPr>
              <w:jc w:val="center"/>
              <w:rPr>
                <w:color w:val="auto"/>
                <w:highlight w:val="none"/>
              </w:rPr>
            </w:pPr>
          </w:p>
        </w:tc>
        <w:tc>
          <w:tcPr>
            <w:tcW w:w="1698" w:type="dxa"/>
            <w:tcBorders>
              <w:top w:val="single" w:color="000000" w:sz="6" w:space="0"/>
              <w:left w:val="single" w:color="000000" w:sz="6" w:space="0"/>
              <w:bottom w:val="single" w:color="000000" w:sz="6" w:space="0"/>
              <w:right w:val="single" w:color="000000" w:sz="6" w:space="0"/>
            </w:tcBorders>
            <w:noWrap w:val="0"/>
            <w:vAlign w:val="center"/>
          </w:tcPr>
          <w:p w14:paraId="7F69F990">
            <w:pPr>
              <w:jc w:val="center"/>
              <w:rPr>
                <w:color w:val="auto"/>
                <w:highlight w:val="none"/>
              </w:rPr>
            </w:pPr>
          </w:p>
        </w:tc>
        <w:tc>
          <w:tcPr>
            <w:tcW w:w="1581" w:type="dxa"/>
            <w:tcBorders>
              <w:top w:val="single" w:color="000000" w:sz="6" w:space="0"/>
              <w:left w:val="single" w:color="000000" w:sz="6" w:space="0"/>
              <w:bottom w:val="single" w:color="000000" w:sz="6" w:space="0"/>
              <w:right w:val="single" w:color="000000" w:sz="4" w:space="0"/>
            </w:tcBorders>
            <w:noWrap w:val="0"/>
            <w:vAlign w:val="center"/>
          </w:tcPr>
          <w:p w14:paraId="4F9C0527">
            <w:pPr>
              <w:jc w:val="center"/>
              <w:rPr>
                <w:color w:val="auto"/>
                <w:highlight w:val="none"/>
              </w:rPr>
            </w:pPr>
          </w:p>
        </w:tc>
      </w:tr>
      <w:tr w14:paraId="44229F39">
        <w:tblPrEx>
          <w:tblCellMar>
            <w:top w:w="0" w:type="dxa"/>
            <w:left w:w="108" w:type="dxa"/>
            <w:bottom w:w="0" w:type="dxa"/>
            <w:right w:w="108" w:type="dxa"/>
          </w:tblCellMar>
        </w:tblPrEx>
        <w:trPr>
          <w:cantSplit/>
          <w:trHeight w:val="420" w:hRule="atLeast"/>
        </w:trPr>
        <w:tc>
          <w:tcPr>
            <w:tcW w:w="705" w:type="dxa"/>
            <w:tcBorders>
              <w:top w:val="single" w:color="000000" w:sz="6" w:space="0"/>
              <w:left w:val="single" w:color="000000" w:sz="4" w:space="0"/>
              <w:bottom w:val="single" w:color="000000" w:sz="6" w:space="0"/>
              <w:right w:val="single" w:color="000000" w:sz="6" w:space="0"/>
            </w:tcBorders>
            <w:noWrap w:val="0"/>
            <w:vAlign w:val="center"/>
          </w:tcPr>
          <w:p w14:paraId="37C5E8BE">
            <w:pPr>
              <w:jc w:val="center"/>
              <w:rPr>
                <w:color w:val="auto"/>
                <w:highlight w:val="none"/>
              </w:rPr>
            </w:pPr>
            <w:r>
              <w:rPr>
                <w:rFonts w:hint="eastAsia"/>
                <w:color w:val="auto"/>
                <w:highlight w:val="none"/>
              </w:rPr>
              <w:t>2</w:t>
            </w:r>
          </w:p>
        </w:tc>
        <w:tc>
          <w:tcPr>
            <w:tcW w:w="3269" w:type="dxa"/>
            <w:tcBorders>
              <w:top w:val="single" w:color="000000" w:sz="6" w:space="0"/>
              <w:left w:val="single" w:color="000000" w:sz="6" w:space="0"/>
              <w:bottom w:val="single" w:color="000000" w:sz="6" w:space="0"/>
              <w:right w:val="single" w:color="000000" w:sz="6" w:space="0"/>
            </w:tcBorders>
            <w:noWrap w:val="0"/>
            <w:vAlign w:val="center"/>
          </w:tcPr>
          <w:p w14:paraId="491D774C">
            <w:pPr>
              <w:jc w:val="center"/>
              <w:rPr>
                <w:color w:val="auto"/>
                <w:highlight w:val="none"/>
              </w:rPr>
            </w:pPr>
          </w:p>
        </w:tc>
        <w:tc>
          <w:tcPr>
            <w:tcW w:w="3429" w:type="dxa"/>
            <w:tcBorders>
              <w:top w:val="single" w:color="000000" w:sz="6" w:space="0"/>
              <w:left w:val="single" w:color="000000" w:sz="6" w:space="0"/>
              <w:bottom w:val="single" w:color="000000" w:sz="6" w:space="0"/>
              <w:right w:val="single" w:color="000000" w:sz="6" w:space="0"/>
            </w:tcBorders>
            <w:noWrap w:val="0"/>
            <w:vAlign w:val="center"/>
          </w:tcPr>
          <w:p w14:paraId="6D9551AD">
            <w:pPr>
              <w:jc w:val="center"/>
              <w:rPr>
                <w:color w:val="auto"/>
                <w:highlight w:val="none"/>
              </w:rPr>
            </w:pPr>
          </w:p>
        </w:tc>
        <w:tc>
          <w:tcPr>
            <w:tcW w:w="1698" w:type="dxa"/>
            <w:tcBorders>
              <w:top w:val="single" w:color="000000" w:sz="6" w:space="0"/>
              <w:left w:val="single" w:color="000000" w:sz="6" w:space="0"/>
              <w:bottom w:val="single" w:color="000000" w:sz="6" w:space="0"/>
              <w:right w:val="single" w:color="000000" w:sz="6" w:space="0"/>
            </w:tcBorders>
            <w:noWrap w:val="0"/>
            <w:vAlign w:val="center"/>
          </w:tcPr>
          <w:p w14:paraId="3845059D">
            <w:pPr>
              <w:jc w:val="center"/>
              <w:rPr>
                <w:color w:val="auto"/>
                <w:highlight w:val="none"/>
              </w:rPr>
            </w:pPr>
          </w:p>
        </w:tc>
        <w:tc>
          <w:tcPr>
            <w:tcW w:w="1581" w:type="dxa"/>
            <w:tcBorders>
              <w:top w:val="single" w:color="000000" w:sz="6" w:space="0"/>
              <w:left w:val="single" w:color="000000" w:sz="6" w:space="0"/>
              <w:bottom w:val="single" w:color="000000" w:sz="6" w:space="0"/>
              <w:right w:val="single" w:color="000000" w:sz="4" w:space="0"/>
            </w:tcBorders>
            <w:noWrap w:val="0"/>
            <w:vAlign w:val="center"/>
          </w:tcPr>
          <w:p w14:paraId="2E25C73F">
            <w:pPr>
              <w:jc w:val="center"/>
              <w:rPr>
                <w:color w:val="auto"/>
                <w:highlight w:val="none"/>
              </w:rPr>
            </w:pPr>
          </w:p>
        </w:tc>
      </w:tr>
      <w:tr w14:paraId="38EB1A6B">
        <w:tblPrEx>
          <w:tblCellMar>
            <w:top w:w="0" w:type="dxa"/>
            <w:left w:w="108" w:type="dxa"/>
            <w:bottom w:w="0" w:type="dxa"/>
            <w:right w:w="108" w:type="dxa"/>
          </w:tblCellMar>
        </w:tblPrEx>
        <w:trPr>
          <w:cantSplit/>
          <w:trHeight w:val="420" w:hRule="atLeast"/>
        </w:trPr>
        <w:tc>
          <w:tcPr>
            <w:tcW w:w="705" w:type="dxa"/>
            <w:tcBorders>
              <w:top w:val="single" w:color="000000" w:sz="6" w:space="0"/>
              <w:left w:val="single" w:color="000000" w:sz="4" w:space="0"/>
              <w:bottom w:val="single" w:color="000000" w:sz="6" w:space="0"/>
              <w:right w:val="single" w:color="000000" w:sz="6" w:space="0"/>
            </w:tcBorders>
            <w:noWrap w:val="0"/>
            <w:vAlign w:val="center"/>
          </w:tcPr>
          <w:p w14:paraId="79F43AE3">
            <w:pPr>
              <w:jc w:val="center"/>
              <w:rPr>
                <w:color w:val="auto"/>
                <w:highlight w:val="none"/>
              </w:rPr>
            </w:pPr>
            <w:r>
              <w:rPr>
                <w:rFonts w:hint="eastAsia"/>
                <w:color w:val="auto"/>
                <w:highlight w:val="none"/>
              </w:rPr>
              <w:t>3</w:t>
            </w:r>
          </w:p>
        </w:tc>
        <w:tc>
          <w:tcPr>
            <w:tcW w:w="3269" w:type="dxa"/>
            <w:tcBorders>
              <w:top w:val="single" w:color="000000" w:sz="6" w:space="0"/>
              <w:left w:val="single" w:color="000000" w:sz="6" w:space="0"/>
              <w:bottom w:val="single" w:color="000000" w:sz="6" w:space="0"/>
              <w:right w:val="single" w:color="000000" w:sz="6" w:space="0"/>
            </w:tcBorders>
            <w:noWrap w:val="0"/>
            <w:vAlign w:val="center"/>
          </w:tcPr>
          <w:p w14:paraId="1B7B2241">
            <w:pPr>
              <w:jc w:val="center"/>
              <w:rPr>
                <w:color w:val="auto"/>
                <w:highlight w:val="none"/>
              </w:rPr>
            </w:pPr>
          </w:p>
        </w:tc>
        <w:tc>
          <w:tcPr>
            <w:tcW w:w="3429" w:type="dxa"/>
            <w:tcBorders>
              <w:top w:val="single" w:color="000000" w:sz="6" w:space="0"/>
              <w:left w:val="single" w:color="000000" w:sz="6" w:space="0"/>
              <w:bottom w:val="single" w:color="000000" w:sz="6" w:space="0"/>
              <w:right w:val="single" w:color="000000" w:sz="6" w:space="0"/>
            </w:tcBorders>
            <w:noWrap w:val="0"/>
            <w:vAlign w:val="center"/>
          </w:tcPr>
          <w:p w14:paraId="73733366">
            <w:pPr>
              <w:jc w:val="center"/>
              <w:rPr>
                <w:color w:val="auto"/>
                <w:highlight w:val="none"/>
              </w:rPr>
            </w:pPr>
          </w:p>
        </w:tc>
        <w:tc>
          <w:tcPr>
            <w:tcW w:w="1698" w:type="dxa"/>
            <w:tcBorders>
              <w:top w:val="single" w:color="000000" w:sz="6" w:space="0"/>
              <w:left w:val="single" w:color="000000" w:sz="6" w:space="0"/>
              <w:bottom w:val="single" w:color="000000" w:sz="6" w:space="0"/>
              <w:right w:val="single" w:color="000000" w:sz="6" w:space="0"/>
            </w:tcBorders>
            <w:noWrap w:val="0"/>
            <w:vAlign w:val="center"/>
          </w:tcPr>
          <w:p w14:paraId="1EFF60E8">
            <w:pPr>
              <w:jc w:val="center"/>
              <w:rPr>
                <w:color w:val="auto"/>
                <w:highlight w:val="none"/>
              </w:rPr>
            </w:pPr>
          </w:p>
        </w:tc>
        <w:tc>
          <w:tcPr>
            <w:tcW w:w="1581" w:type="dxa"/>
            <w:tcBorders>
              <w:top w:val="single" w:color="000000" w:sz="6" w:space="0"/>
              <w:left w:val="single" w:color="000000" w:sz="6" w:space="0"/>
              <w:bottom w:val="single" w:color="000000" w:sz="6" w:space="0"/>
              <w:right w:val="single" w:color="000000" w:sz="4" w:space="0"/>
            </w:tcBorders>
            <w:noWrap w:val="0"/>
            <w:vAlign w:val="center"/>
          </w:tcPr>
          <w:p w14:paraId="3A906496">
            <w:pPr>
              <w:jc w:val="center"/>
              <w:rPr>
                <w:color w:val="auto"/>
                <w:highlight w:val="none"/>
              </w:rPr>
            </w:pPr>
          </w:p>
        </w:tc>
      </w:tr>
      <w:tr w14:paraId="65AD7294">
        <w:tblPrEx>
          <w:tblCellMar>
            <w:top w:w="0" w:type="dxa"/>
            <w:left w:w="108" w:type="dxa"/>
            <w:bottom w:w="0" w:type="dxa"/>
            <w:right w:w="108" w:type="dxa"/>
          </w:tblCellMar>
        </w:tblPrEx>
        <w:trPr>
          <w:trHeight w:val="190" w:hRule="atLeast"/>
        </w:trPr>
        <w:tc>
          <w:tcPr>
            <w:tcW w:w="705" w:type="dxa"/>
            <w:tcBorders>
              <w:top w:val="single" w:color="000000" w:sz="6" w:space="0"/>
              <w:left w:val="single" w:color="000000" w:sz="4" w:space="0"/>
              <w:bottom w:val="single" w:color="000000" w:sz="4" w:space="0"/>
              <w:right w:val="single" w:color="000000" w:sz="6" w:space="0"/>
            </w:tcBorders>
            <w:noWrap w:val="0"/>
            <w:vAlign w:val="center"/>
          </w:tcPr>
          <w:p w14:paraId="4DE2EB0D">
            <w:pPr>
              <w:jc w:val="center"/>
              <w:rPr>
                <w:color w:val="auto"/>
                <w:highlight w:val="none"/>
              </w:rPr>
            </w:pPr>
            <w:r>
              <w:rPr>
                <w:rFonts w:hint="eastAsia"/>
                <w:color w:val="auto"/>
                <w:highlight w:val="none"/>
              </w:rPr>
              <w:t>…</w:t>
            </w:r>
          </w:p>
        </w:tc>
        <w:tc>
          <w:tcPr>
            <w:tcW w:w="3269" w:type="dxa"/>
            <w:tcBorders>
              <w:top w:val="single" w:color="000000" w:sz="6" w:space="0"/>
              <w:left w:val="single" w:color="000000" w:sz="6" w:space="0"/>
              <w:bottom w:val="single" w:color="000000" w:sz="4" w:space="0"/>
              <w:right w:val="single" w:color="000000" w:sz="6" w:space="0"/>
            </w:tcBorders>
            <w:noWrap w:val="0"/>
            <w:vAlign w:val="center"/>
          </w:tcPr>
          <w:p w14:paraId="4EFD4917">
            <w:pPr>
              <w:jc w:val="center"/>
              <w:rPr>
                <w:color w:val="auto"/>
                <w:highlight w:val="none"/>
              </w:rPr>
            </w:pPr>
          </w:p>
        </w:tc>
        <w:tc>
          <w:tcPr>
            <w:tcW w:w="3429" w:type="dxa"/>
            <w:tcBorders>
              <w:top w:val="single" w:color="000000" w:sz="6" w:space="0"/>
              <w:left w:val="single" w:color="000000" w:sz="6" w:space="0"/>
              <w:bottom w:val="single" w:color="000000" w:sz="4" w:space="0"/>
              <w:right w:val="single" w:color="000000" w:sz="6" w:space="0"/>
            </w:tcBorders>
            <w:noWrap w:val="0"/>
            <w:vAlign w:val="center"/>
          </w:tcPr>
          <w:p w14:paraId="7EA87587">
            <w:pPr>
              <w:jc w:val="center"/>
              <w:rPr>
                <w:color w:val="auto"/>
                <w:highlight w:val="none"/>
              </w:rPr>
            </w:pPr>
          </w:p>
        </w:tc>
        <w:tc>
          <w:tcPr>
            <w:tcW w:w="1698" w:type="dxa"/>
            <w:tcBorders>
              <w:top w:val="single" w:color="000000" w:sz="6" w:space="0"/>
              <w:left w:val="single" w:color="000000" w:sz="6" w:space="0"/>
              <w:bottom w:val="single" w:color="000000" w:sz="4" w:space="0"/>
              <w:right w:val="single" w:color="000000" w:sz="4" w:space="0"/>
            </w:tcBorders>
            <w:noWrap w:val="0"/>
            <w:vAlign w:val="center"/>
          </w:tcPr>
          <w:p w14:paraId="4D5BB891">
            <w:pPr>
              <w:jc w:val="center"/>
              <w:rPr>
                <w:color w:val="auto"/>
                <w:highlight w:val="none"/>
              </w:rPr>
            </w:pPr>
          </w:p>
        </w:tc>
        <w:tc>
          <w:tcPr>
            <w:tcW w:w="1581" w:type="dxa"/>
            <w:tcBorders>
              <w:top w:val="single" w:color="000000" w:sz="6" w:space="0"/>
              <w:left w:val="single" w:color="000000" w:sz="4" w:space="0"/>
              <w:bottom w:val="single" w:color="000000" w:sz="4" w:space="0"/>
              <w:right w:val="single" w:color="000000" w:sz="4" w:space="0"/>
            </w:tcBorders>
            <w:noWrap w:val="0"/>
            <w:vAlign w:val="center"/>
          </w:tcPr>
          <w:p w14:paraId="39BD2E49">
            <w:pPr>
              <w:jc w:val="center"/>
              <w:rPr>
                <w:color w:val="auto"/>
                <w:highlight w:val="none"/>
              </w:rPr>
            </w:pPr>
          </w:p>
        </w:tc>
      </w:tr>
    </w:tbl>
    <w:p w14:paraId="5849E2C8">
      <w:pPr>
        <w:spacing w:line="360" w:lineRule="exact"/>
        <w:rPr>
          <w:rFonts w:ascii="宋体" w:hAnsi="宋体"/>
          <w:color w:val="auto"/>
          <w:szCs w:val="21"/>
          <w:highlight w:val="none"/>
        </w:rPr>
      </w:pPr>
      <w:r>
        <w:rPr>
          <w:rFonts w:hint="eastAsia" w:ascii="宋体" w:hAnsi="宋体"/>
          <w:color w:val="auto"/>
          <w:szCs w:val="21"/>
          <w:highlight w:val="none"/>
        </w:rPr>
        <w:t>说明：</w:t>
      </w:r>
      <w:r>
        <w:rPr>
          <w:rFonts w:hint="eastAsia" w:ascii="宋体" w:hAnsi="宋体"/>
          <w:color w:val="auto"/>
          <w:highlight w:val="none"/>
        </w:rPr>
        <w:t>1、应写明竞</w:t>
      </w:r>
      <w:r>
        <w:rPr>
          <w:rFonts w:hint="eastAsia" w:ascii="宋体" w:hAnsi="宋体"/>
          <w:color w:val="auto"/>
          <w:szCs w:val="21"/>
          <w:highlight w:val="none"/>
        </w:rPr>
        <w:t>争性谈判响应文件对</w:t>
      </w:r>
      <w:r>
        <w:rPr>
          <w:rFonts w:hint="eastAsia"/>
          <w:color w:val="auto"/>
          <w:highlight w:val="none"/>
        </w:rPr>
        <w:t>商务</w:t>
      </w:r>
      <w:r>
        <w:rPr>
          <w:rFonts w:hint="eastAsia" w:ascii="宋体" w:hAnsi="宋体"/>
          <w:color w:val="auto"/>
          <w:highlight w:val="none"/>
        </w:rPr>
        <w:t>与技术要求的</w:t>
      </w:r>
      <w:r>
        <w:rPr>
          <w:rFonts w:hint="eastAsia" w:ascii="宋体" w:hAnsi="宋体"/>
          <w:color w:val="auto"/>
          <w:szCs w:val="21"/>
          <w:highlight w:val="none"/>
        </w:rPr>
        <w:t>响应和偏离情况</w:t>
      </w:r>
      <w:r>
        <w:rPr>
          <w:rFonts w:hint="eastAsia"/>
          <w:bCs/>
          <w:color w:val="auto"/>
          <w:szCs w:val="21"/>
          <w:highlight w:val="none"/>
        </w:rPr>
        <w:t>；</w:t>
      </w:r>
    </w:p>
    <w:p w14:paraId="7B8D668E">
      <w:pPr>
        <w:pStyle w:val="7"/>
        <w:spacing w:line="360" w:lineRule="exact"/>
        <w:ind w:firstLine="630"/>
        <w:rPr>
          <w:rFonts w:ascii="宋体" w:hAnsi="宋体" w:eastAsia="宋体"/>
          <w:color w:val="auto"/>
          <w:sz w:val="21"/>
          <w:szCs w:val="21"/>
          <w:highlight w:val="none"/>
        </w:rPr>
      </w:pPr>
      <w:r>
        <w:rPr>
          <w:rFonts w:hint="eastAsia" w:ascii="宋体" w:hAnsi="宋体" w:eastAsia="宋体"/>
          <w:color w:val="auto"/>
          <w:sz w:val="21"/>
          <w:szCs w:val="21"/>
          <w:highlight w:val="none"/>
        </w:rPr>
        <w:t>2、应对照竞争性谈判文件“第三章  采购项目技术规格、参数及要求”，逐条说明所提供货物和服务已对竞争性谈判文件的商务、技术做出了实质性的响应，并申明商务、技术条文的响应和偏离。特别对有具体商务、技术参数要求的，</w:t>
      </w:r>
      <w:r>
        <w:rPr>
          <w:rFonts w:hint="eastAsia" w:ascii="宋体" w:hAnsi="宋体" w:eastAsia="宋体"/>
          <w:b/>
          <w:color w:val="auto"/>
          <w:sz w:val="21"/>
          <w:szCs w:val="21"/>
          <w:highlight w:val="none"/>
        </w:rPr>
        <w:t>谈判供应商必须提供对应的详细应答</w:t>
      </w:r>
      <w:r>
        <w:rPr>
          <w:rFonts w:hint="eastAsia" w:ascii="宋体" w:hAnsi="宋体" w:eastAsia="宋体"/>
          <w:color w:val="auto"/>
          <w:sz w:val="21"/>
          <w:szCs w:val="21"/>
          <w:highlight w:val="none"/>
        </w:rPr>
        <w:t>。如果仅注明“符合”、“满足”或简单复制竞争性谈判文件要求，将</w:t>
      </w:r>
      <w:r>
        <w:rPr>
          <w:rFonts w:hint="eastAsia" w:ascii="宋体" w:hAnsi="宋体" w:eastAsia="宋体"/>
          <w:color w:val="auto"/>
          <w:sz w:val="21"/>
          <w:szCs w:val="21"/>
          <w:highlight w:val="none"/>
          <w:lang w:eastAsia="zh-CN"/>
        </w:rPr>
        <w:t>有可能</w:t>
      </w:r>
      <w:r>
        <w:rPr>
          <w:rFonts w:hint="eastAsia" w:ascii="宋体" w:hAnsi="宋体" w:eastAsia="宋体"/>
          <w:color w:val="auto"/>
          <w:sz w:val="21"/>
          <w:szCs w:val="21"/>
          <w:highlight w:val="none"/>
        </w:rPr>
        <w:t>导致谈判被拒绝。</w:t>
      </w:r>
    </w:p>
    <w:p w14:paraId="6236A873">
      <w:pPr>
        <w:pStyle w:val="8"/>
        <w:spacing w:line="360" w:lineRule="exact"/>
        <w:rPr>
          <w:color w:val="auto"/>
          <w:highlight w:val="none"/>
        </w:rPr>
      </w:pPr>
    </w:p>
    <w:p w14:paraId="07DB7496">
      <w:pPr>
        <w:pStyle w:val="8"/>
        <w:spacing w:line="360" w:lineRule="exact"/>
        <w:ind w:firstLine="1470"/>
        <w:rPr>
          <w:color w:val="auto"/>
          <w:highlight w:val="none"/>
        </w:rPr>
      </w:pPr>
      <w:r>
        <w:rPr>
          <w:rFonts w:hint="eastAsia"/>
          <w:color w:val="auto"/>
          <w:highlight w:val="none"/>
        </w:rPr>
        <w:t>法定代表人或委托代理人</w:t>
      </w:r>
      <w:r>
        <w:rPr>
          <w:rFonts w:hint="eastAsia"/>
          <w:color w:val="auto"/>
          <w:highlight w:val="none"/>
          <w:lang w:eastAsia="zh-CN"/>
        </w:rPr>
        <w:t>签字或签章</w:t>
      </w:r>
      <w:r>
        <w:rPr>
          <w:rFonts w:hint="eastAsia"/>
          <w:color w:val="auto"/>
          <w:highlight w:val="none"/>
        </w:rPr>
        <w:t>:</w:t>
      </w:r>
      <w:r>
        <w:rPr>
          <w:rFonts w:hint="eastAsia"/>
          <w:color w:val="auto"/>
          <w:highlight w:val="none"/>
          <w:u w:val="single"/>
        </w:rPr>
        <w:t xml:space="preserve">                          </w:t>
      </w:r>
      <w:r>
        <w:rPr>
          <w:rFonts w:hint="eastAsia"/>
          <w:color w:val="auto"/>
          <w:highlight w:val="none"/>
        </w:rPr>
        <w:t xml:space="preserve">  </w:t>
      </w:r>
    </w:p>
    <w:p w14:paraId="1A4CB94B">
      <w:pPr>
        <w:pStyle w:val="8"/>
        <w:spacing w:line="500" w:lineRule="exact"/>
        <w:ind w:firstLine="1470"/>
        <w:rPr>
          <w:color w:val="auto"/>
          <w:highlight w:val="none"/>
          <w:u w:val="single"/>
        </w:rPr>
      </w:pPr>
      <w:r>
        <w:rPr>
          <w:rFonts w:hint="eastAsia"/>
          <w:color w:val="auto"/>
          <w:highlight w:val="none"/>
        </w:rPr>
        <w:t>谈判供应商名称（盖章）：</w:t>
      </w:r>
      <w:r>
        <w:rPr>
          <w:rFonts w:hint="eastAsia"/>
          <w:color w:val="auto"/>
          <w:highlight w:val="none"/>
          <w:u w:val="single"/>
        </w:rPr>
        <w:t xml:space="preserve">                              </w:t>
      </w:r>
    </w:p>
    <w:p w14:paraId="7275694B">
      <w:pPr>
        <w:pStyle w:val="8"/>
        <w:spacing w:line="360" w:lineRule="exact"/>
        <w:ind w:firstLine="4935"/>
        <w:rPr>
          <w:color w:val="auto"/>
          <w:highlight w:val="none"/>
          <w:u w:val="single"/>
        </w:rPr>
      </w:pPr>
    </w:p>
    <w:p w14:paraId="6930F64A">
      <w:pPr>
        <w:pStyle w:val="8"/>
        <w:spacing w:line="360" w:lineRule="exact"/>
        <w:ind w:firstLine="4935"/>
        <w:rPr>
          <w:color w:val="auto"/>
          <w:highlight w:val="none"/>
          <w:u w:val="single"/>
        </w:rPr>
      </w:pP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084F0045">
      <w:pPr>
        <w:spacing w:line="300" w:lineRule="auto"/>
        <w:rPr>
          <w:rFonts w:ascii="宋体" w:hAnsi="宋体"/>
          <w:color w:val="auto"/>
          <w:szCs w:val="21"/>
          <w:highlight w:val="none"/>
        </w:rPr>
      </w:pPr>
    </w:p>
    <w:p w14:paraId="4D9FD82C">
      <w:pPr>
        <w:spacing w:line="300" w:lineRule="auto"/>
        <w:rPr>
          <w:rFonts w:ascii="宋体" w:hAnsi="宋体"/>
          <w:color w:val="auto"/>
          <w:szCs w:val="21"/>
          <w:highlight w:val="none"/>
        </w:rPr>
      </w:pPr>
    </w:p>
    <w:p w14:paraId="624B9EBA">
      <w:pPr>
        <w:pageBreakBefore/>
        <w:spacing w:line="300" w:lineRule="auto"/>
        <w:rPr>
          <w:rFonts w:ascii="宋体" w:hAnsi="宋体"/>
          <w:color w:val="auto"/>
          <w:szCs w:val="21"/>
          <w:highlight w:val="none"/>
        </w:rPr>
      </w:pPr>
    </w:p>
    <w:p w14:paraId="6F1854E2">
      <w:pPr>
        <w:spacing w:line="300" w:lineRule="auto"/>
        <w:rPr>
          <w:rFonts w:ascii="宋体" w:hAnsi="宋体"/>
          <w:color w:val="auto"/>
          <w:szCs w:val="21"/>
          <w:highlight w:val="none"/>
        </w:rPr>
      </w:pPr>
      <w:r>
        <w:rPr>
          <w:rFonts w:hint="eastAsia" w:ascii="宋体" w:hAnsi="宋体"/>
          <w:color w:val="auto"/>
          <w:szCs w:val="21"/>
          <w:highlight w:val="none"/>
        </w:rPr>
        <w:t>附件四</w:t>
      </w:r>
    </w:p>
    <w:p w14:paraId="1BFA8404">
      <w:pPr>
        <w:spacing w:line="300" w:lineRule="auto"/>
        <w:jc w:val="center"/>
        <w:rPr>
          <w:rFonts w:ascii="仿宋_GB2312" w:hAnsi="仿宋_GB2312" w:eastAsia="仿宋_GB2312"/>
          <w:b/>
          <w:color w:val="auto"/>
          <w:sz w:val="32"/>
          <w:szCs w:val="32"/>
          <w:highlight w:val="none"/>
        </w:rPr>
      </w:pPr>
      <w:r>
        <w:rPr>
          <w:rFonts w:hint="eastAsia" w:ascii="仿宋_GB2312" w:hAnsi="仿宋_GB2312" w:eastAsia="仿宋_GB2312"/>
          <w:b/>
          <w:color w:val="auto"/>
          <w:sz w:val="32"/>
          <w:szCs w:val="32"/>
          <w:highlight w:val="none"/>
        </w:rPr>
        <w:t>法定代表人授权委托书</w:t>
      </w:r>
    </w:p>
    <w:p w14:paraId="2563273A">
      <w:pPr>
        <w:spacing w:line="520" w:lineRule="exact"/>
        <w:rPr>
          <w:rFonts w:ascii="宋体" w:hAnsi="宋体"/>
          <w:color w:val="auto"/>
          <w:szCs w:val="21"/>
          <w:highlight w:val="none"/>
        </w:rPr>
      </w:pPr>
    </w:p>
    <w:p w14:paraId="354EA3B3">
      <w:pPr>
        <w:spacing w:line="520" w:lineRule="exact"/>
        <w:rPr>
          <w:rFonts w:ascii="宋体" w:hAnsi="宋体"/>
          <w:color w:val="auto"/>
          <w:szCs w:val="21"/>
          <w:highlight w:val="none"/>
        </w:rPr>
      </w:pPr>
      <w:r>
        <w:rPr>
          <w:rFonts w:hint="eastAsia" w:ascii="宋体" w:hAnsi="宋体"/>
          <w:color w:val="auto"/>
          <w:szCs w:val="21"/>
          <w:highlight w:val="none"/>
          <w:u w:val="single"/>
        </w:rPr>
        <w:t>广西壮族自治区政府采购中心</w:t>
      </w:r>
      <w:r>
        <w:rPr>
          <w:rFonts w:hint="eastAsia" w:ascii="宋体" w:hAnsi="宋体"/>
          <w:color w:val="auto"/>
          <w:szCs w:val="21"/>
          <w:highlight w:val="none"/>
        </w:rPr>
        <w:t>：</w:t>
      </w:r>
    </w:p>
    <w:p w14:paraId="359742FC">
      <w:pPr>
        <w:spacing w:line="520" w:lineRule="exact"/>
        <w:ind w:firstLine="420"/>
        <w:rPr>
          <w:rFonts w:ascii="宋体" w:hAnsi="宋体"/>
          <w:color w:val="auto"/>
          <w:szCs w:val="21"/>
          <w:highlight w:val="none"/>
        </w:rPr>
      </w:pPr>
      <w:r>
        <w:rPr>
          <w:rFonts w:hint="eastAsia" w:ascii="宋体" w:hAnsi="宋体"/>
          <w:color w:val="auto"/>
          <w:szCs w:val="21"/>
          <w:highlight w:val="none"/>
        </w:rPr>
        <w:t>兹授权</w:t>
      </w:r>
      <w:r>
        <w:rPr>
          <w:rFonts w:hint="eastAsia" w:ascii="宋体" w:hAnsi="宋体"/>
          <w:color w:val="auto"/>
          <w:szCs w:val="21"/>
          <w:highlight w:val="none"/>
          <w:u w:val="single"/>
        </w:rPr>
        <w:t xml:space="preserve">      </w:t>
      </w:r>
      <w:r>
        <w:rPr>
          <w:rFonts w:hint="eastAsia" w:ascii="宋体" w:hAnsi="宋体"/>
          <w:color w:val="auto"/>
          <w:szCs w:val="21"/>
          <w:highlight w:val="none"/>
        </w:rPr>
        <w:t>同志为我公司参加贵单位组织的</w:t>
      </w:r>
      <w:r>
        <w:rPr>
          <w:rFonts w:hint="eastAsia" w:ascii="宋体" w:hAnsi="宋体"/>
          <w:color w:val="auto"/>
          <w:szCs w:val="21"/>
          <w:highlight w:val="none"/>
          <w:u w:val="single"/>
        </w:rPr>
        <w:t>（项目名称、项目编号）竞争性谈判</w:t>
      </w:r>
      <w:r>
        <w:rPr>
          <w:rFonts w:hint="eastAsia" w:ascii="宋体" w:hAnsi="宋体"/>
          <w:color w:val="auto"/>
          <w:szCs w:val="21"/>
          <w:highlight w:val="none"/>
        </w:rPr>
        <w:t>采购活动的委托代理人，全权代表我公司处理在该项目活动中的一切事宜。代理期限从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日起至</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日止。 </w:t>
      </w:r>
    </w:p>
    <w:p w14:paraId="6F95D272">
      <w:pPr>
        <w:spacing w:line="520" w:lineRule="exact"/>
        <w:rPr>
          <w:rFonts w:ascii="宋体" w:hAnsi="宋体"/>
          <w:color w:val="auto"/>
          <w:szCs w:val="21"/>
          <w:highlight w:val="none"/>
        </w:rPr>
      </w:pPr>
    </w:p>
    <w:p w14:paraId="4BC87BF3">
      <w:pPr>
        <w:spacing w:line="520" w:lineRule="exact"/>
        <w:rPr>
          <w:rFonts w:ascii="宋体" w:hAnsi="宋体"/>
          <w:color w:val="auto"/>
          <w:szCs w:val="21"/>
          <w:highlight w:val="none"/>
        </w:rPr>
      </w:pPr>
      <w:r>
        <w:rPr>
          <w:rFonts w:hint="eastAsia" w:ascii="宋体" w:hAnsi="宋体"/>
          <w:color w:val="auto"/>
          <w:szCs w:val="21"/>
          <w:highlight w:val="none"/>
        </w:rPr>
        <w:t>谈判供应商（盖章）：</w:t>
      </w:r>
      <w:r>
        <w:rPr>
          <w:rFonts w:hint="eastAsia" w:ascii="宋体" w:hAnsi="宋体"/>
          <w:color w:val="auto"/>
          <w:szCs w:val="21"/>
          <w:highlight w:val="none"/>
          <w:u w:val="single"/>
        </w:rPr>
        <w:t xml:space="preserve">               </w:t>
      </w:r>
    </w:p>
    <w:p w14:paraId="0AB4E69C">
      <w:pPr>
        <w:spacing w:line="520" w:lineRule="exact"/>
        <w:rPr>
          <w:rFonts w:ascii="宋体" w:hAnsi="宋体"/>
          <w:color w:val="auto"/>
          <w:szCs w:val="21"/>
          <w:highlight w:val="none"/>
        </w:rPr>
      </w:pPr>
      <w:r>
        <w:rPr>
          <w:rFonts w:hint="eastAsia" w:ascii="宋体" w:hAnsi="宋体"/>
          <w:color w:val="auto"/>
          <w:szCs w:val="21"/>
          <w:highlight w:val="none"/>
        </w:rPr>
        <w:t>法定代表人（签字或签章）：</w:t>
      </w:r>
      <w:r>
        <w:rPr>
          <w:rFonts w:hint="eastAsia" w:ascii="宋体" w:hAnsi="宋体"/>
          <w:color w:val="auto"/>
          <w:szCs w:val="21"/>
          <w:highlight w:val="none"/>
          <w:u w:val="single"/>
        </w:rPr>
        <w:t xml:space="preserve">       </w:t>
      </w:r>
    </w:p>
    <w:p w14:paraId="7D0F6AC8">
      <w:pPr>
        <w:spacing w:line="520" w:lineRule="exact"/>
        <w:rPr>
          <w:rFonts w:ascii="宋体" w:hAnsi="宋体"/>
          <w:color w:val="auto"/>
          <w:szCs w:val="21"/>
          <w:highlight w:val="none"/>
        </w:rPr>
      </w:pPr>
      <w:r>
        <w:rPr>
          <w:rFonts w:hint="eastAsia" w:ascii="宋体" w:hAnsi="宋体"/>
          <w:color w:val="auto"/>
          <w:szCs w:val="21"/>
          <w:highlight w:val="none"/>
        </w:rPr>
        <w:t>签发日期：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01DAF075">
      <w:pPr>
        <w:spacing w:line="520" w:lineRule="exact"/>
        <w:rPr>
          <w:rFonts w:ascii="宋体" w:hAnsi="宋体"/>
          <w:color w:val="auto"/>
          <w:szCs w:val="21"/>
          <w:highlight w:val="none"/>
        </w:rPr>
      </w:pPr>
    </w:p>
    <w:p w14:paraId="5B452390">
      <w:pPr>
        <w:spacing w:line="520" w:lineRule="exact"/>
        <w:rPr>
          <w:rFonts w:ascii="宋体" w:hAnsi="宋体"/>
          <w:color w:val="auto"/>
          <w:szCs w:val="21"/>
          <w:highlight w:val="none"/>
        </w:rPr>
      </w:pPr>
      <w:r>
        <w:rPr>
          <w:rFonts w:hint="eastAsia" w:ascii="宋体" w:hAnsi="宋体"/>
          <w:color w:val="auto"/>
          <w:szCs w:val="21"/>
          <w:highlight w:val="none"/>
        </w:rPr>
        <w:t>附：委托代理人工作单位</w:t>
      </w:r>
      <w:r>
        <w:rPr>
          <w:rFonts w:hint="eastAsia" w:ascii="宋体" w:hAnsi="宋体"/>
          <w:color w:val="auto"/>
          <w:szCs w:val="21"/>
          <w:highlight w:val="none"/>
          <w:u w:val="single"/>
        </w:rPr>
        <w:t xml:space="preserve">               </w:t>
      </w:r>
    </w:p>
    <w:p w14:paraId="7C5FACDA">
      <w:pPr>
        <w:spacing w:line="520" w:lineRule="exact"/>
        <w:ind w:firstLine="420"/>
        <w:rPr>
          <w:rFonts w:ascii="宋体" w:hAnsi="宋体"/>
          <w:color w:val="auto"/>
          <w:szCs w:val="21"/>
          <w:highlight w:val="none"/>
        </w:rPr>
      </w:pPr>
      <w:r>
        <w:rPr>
          <w:rFonts w:hint="eastAsia" w:ascii="宋体" w:hAnsi="宋体"/>
          <w:color w:val="auto"/>
          <w:szCs w:val="21"/>
          <w:highlight w:val="none"/>
        </w:rPr>
        <w:t>职务：</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性别：</w:t>
      </w:r>
      <w:r>
        <w:rPr>
          <w:rFonts w:hint="eastAsia" w:ascii="宋体" w:hAnsi="宋体"/>
          <w:color w:val="auto"/>
          <w:szCs w:val="21"/>
          <w:highlight w:val="none"/>
          <w:u w:val="single"/>
        </w:rPr>
        <w:t xml:space="preserve">    </w:t>
      </w:r>
    </w:p>
    <w:p w14:paraId="5637618A">
      <w:pPr>
        <w:spacing w:line="520" w:lineRule="exact"/>
        <w:ind w:firstLine="420"/>
        <w:rPr>
          <w:rFonts w:ascii="宋体" w:hAnsi="宋体"/>
          <w:color w:val="auto"/>
          <w:szCs w:val="21"/>
          <w:highlight w:val="none"/>
          <w:u w:val="singl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p>
    <w:tbl>
      <w:tblPr>
        <w:tblStyle w:val="14"/>
        <w:tblW w:w="0" w:type="auto"/>
        <w:tblInd w:w="331" w:type="dxa"/>
        <w:tblLayout w:type="fixed"/>
        <w:tblCellMar>
          <w:top w:w="0" w:type="dxa"/>
          <w:left w:w="108" w:type="dxa"/>
          <w:bottom w:w="0" w:type="dxa"/>
          <w:right w:w="108" w:type="dxa"/>
        </w:tblCellMar>
      </w:tblPr>
      <w:tblGrid>
        <w:gridCol w:w="10351"/>
      </w:tblGrid>
      <w:tr w14:paraId="178222B1">
        <w:trPr>
          <w:trHeight w:val="1869" w:hRule="atLeast"/>
        </w:trPr>
        <w:tc>
          <w:tcPr>
            <w:tcW w:w="10351" w:type="dxa"/>
            <w:tcBorders>
              <w:top w:val="single" w:color="000000" w:sz="4" w:space="0"/>
              <w:left w:val="single" w:color="000000" w:sz="4" w:space="0"/>
              <w:bottom w:val="single" w:color="000000" w:sz="4" w:space="0"/>
              <w:right w:val="single" w:color="000000" w:sz="4" w:space="0"/>
            </w:tcBorders>
            <w:noWrap w:val="0"/>
            <w:vAlign w:val="top"/>
          </w:tcPr>
          <w:p w14:paraId="7493A4EE">
            <w:pPr>
              <w:spacing w:line="300" w:lineRule="auto"/>
              <w:rPr>
                <w:rFonts w:ascii="宋体" w:hAnsi="宋体"/>
                <w:color w:val="auto"/>
                <w:szCs w:val="21"/>
                <w:highlight w:val="none"/>
              </w:rPr>
            </w:pPr>
            <w:r>
              <w:rPr>
                <w:rFonts w:hint="eastAsia" w:ascii="宋体" w:hAnsi="宋体"/>
                <w:color w:val="auto"/>
                <w:szCs w:val="21"/>
                <w:highlight w:val="none"/>
              </w:rPr>
              <w:t>粘贴委托代理人的正面及反面身份证复印件</w:t>
            </w:r>
          </w:p>
        </w:tc>
      </w:tr>
    </w:tbl>
    <w:p w14:paraId="0E7EC35C">
      <w:pPr>
        <w:spacing w:line="300" w:lineRule="auto"/>
        <w:ind w:left="480" w:hanging="480"/>
        <w:rPr>
          <w:rFonts w:ascii="宋体" w:hAnsi="宋体"/>
          <w:color w:val="auto"/>
          <w:szCs w:val="21"/>
          <w:highlight w:val="none"/>
        </w:rPr>
      </w:pPr>
    </w:p>
    <w:p w14:paraId="259B9C27">
      <w:pPr>
        <w:spacing w:line="300" w:lineRule="auto"/>
        <w:rPr>
          <w:rFonts w:ascii="宋体" w:hAnsi="宋体"/>
          <w:color w:val="auto"/>
          <w:szCs w:val="21"/>
          <w:highlight w:val="none"/>
        </w:rPr>
      </w:pPr>
    </w:p>
    <w:p w14:paraId="6BB4BADA">
      <w:pPr>
        <w:spacing w:line="300" w:lineRule="auto"/>
        <w:rPr>
          <w:rFonts w:ascii="宋体" w:hAnsi="宋体"/>
          <w:color w:val="auto"/>
          <w:szCs w:val="21"/>
          <w:highlight w:val="none"/>
        </w:rPr>
      </w:pPr>
    </w:p>
    <w:p w14:paraId="2DA08B20">
      <w:pPr>
        <w:pageBreakBefore/>
        <w:spacing w:line="300" w:lineRule="auto"/>
        <w:ind w:left="420" w:hanging="420"/>
        <w:rPr>
          <w:rFonts w:ascii="宋体" w:hAnsi="宋体"/>
          <w:color w:val="auto"/>
          <w:szCs w:val="21"/>
          <w:highlight w:val="none"/>
        </w:rPr>
      </w:pPr>
      <w:r>
        <w:rPr>
          <w:rFonts w:ascii="宋体" w:hAnsi="宋体"/>
          <w:color w:val="auto"/>
          <w:szCs w:val="21"/>
          <w:highlight w:val="none"/>
        </w:rPr>
        <w:t xml:space="preserve"> </w:t>
      </w:r>
    </w:p>
    <w:p w14:paraId="6E725B8F">
      <w:pPr>
        <w:spacing w:line="300" w:lineRule="auto"/>
        <w:ind w:left="420" w:hanging="420"/>
        <w:rPr>
          <w:rFonts w:ascii="宋体" w:hAnsi="宋体"/>
          <w:color w:val="auto"/>
          <w:szCs w:val="21"/>
          <w:highlight w:val="none"/>
        </w:rPr>
      </w:pPr>
      <w:r>
        <w:rPr>
          <w:rFonts w:hint="eastAsia" w:ascii="宋体" w:hAnsi="宋体"/>
          <w:color w:val="auto"/>
          <w:szCs w:val="21"/>
          <w:highlight w:val="none"/>
        </w:rPr>
        <w:t>附件五</w:t>
      </w:r>
    </w:p>
    <w:p w14:paraId="1A06D875">
      <w:pPr>
        <w:spacing w:line="360" w:lineRule="exact"/>
        <w:jc w:val="center"/>
        <w:rPr>
          <w:rFonts w:ascii="宋体" w:hAnsi="宋体" w:cs="宋体"/>
          <w:b/>
          <w:color w:val="auto"/>
          <w:sz w:val="28"/>
          <w:szCs w:val="28"/>
          <w:highlight w:val="none"/>
        </w:rPr>
      </w:pPr>
      <w:r>
        <w:rPr>
          <w:rFonts w:hint="eastAsia" w:ascii="宋体" w:hAnsi="宋体" w:cs="宋体"/>
          <w:color w:val="auto"/>
          <w:sz w:val="28"/>
          <w:szCs w:val="28"/>
          <w:highlight w:val="none"/>
        </w:rPr>
        <w:t>参加政府采购活动前三年内在经营活动中没有</w:t>
      </w:r>
      <w:r>
        <w:rPr>
          <w:rFonts w:hint="eastAsia" w:ascii="宋体" w:hAnsi="宋体" w:cs="宋体"/>
          <w:b/>
          <w:color w:val="auto"/>
          <w:sz w:val="28"/>
          <w:szCs w:val="28"/>
          <w:highlight w:val="none"/>
        </w:rPr>
        <w:t>重大违法记录的书面声明</w:t>
      </w:r>
    </w:p>
    <w:p w14:paraId="3D82ACA7">
      <w:pPr>
        <w:spacing w:line="360" w:lineRule="exact"/>
        <w:jc w:val="center"/>
        <w:rPr>
          <w:rFonts w:ascii="宋体" w:hAnsi="宋体"/>
          <w:color w:val="auto"/>
          <w:szCs w:val="21"/>
          <w:highlight w:val="none"/>
        </w:rPr>
      </w:pPr>
      <w:r>
        <w:rPr>
          <w:rFonts w:hint="eastAsia" w:ascii="宋体" w:hAnsi="宋体"/>
          <w:color w:val="auto"/>
          <w:szCs w:val="21"/>
          <w:highlight w:val="none"/>
        </w:rPr>
        <w:t>（格式自拟，必须提供）</w:t>
      </w:r>
    </w:p>
    <w:p w14:paraId="126F2515">
      <w:pPr>
        <w:spacing w:line="360" w:lineRule="exact"/>
        <w:ind w:firstLine="412"/>
        <w:jc w:val="center"/>
        <w:rPr>
          <w:rFonts w:ascii="宋体" w:hAnsi="宋体"/>
          <w:color w:val="auto"/>
          <w:szCs w:val="21"/>
          <w:highlight w:val="none"/>
        </w:rPr>
      </w:pPr>
    </w:p>
    <w:p w14:paraId="19C5BF59">
      <w:pPr>
        <w:pStyle w:val="8"/>
        <w:tabs>
          <w:tab w:val="left" w:pos="5580"/>
        </w:tabs>
        <w:spacing w:line="360" w:lineRule="auto"/>
        <w:ind w:left="1080" w:hanging="540"/>
        <w:rPr>
          <w:rFonts w:ascii="仿宋_GB2312" w:hAnsi="仿宋_GB2312" w:eastAsia="仿宋_GB2312"/>
          <w:color w:val="auto"/>
          <w:sz w:val="24"/>
          <w:highlight w:val="none"/>
        </w:rPr>
      </w:pPr>
    </w:p>
    <w:p w14:paraId="08EBBE72">
      <w:pPr>
        <w:spacing w:line="360" w:lineRule="exact"/>
        <w:ind w:firstLine="567"/>
        <w:jc w:val="left"/>
        <w:rPr>
          <w:rFonts w:ascii="宋体" w:hAnsi="宋体" w:cs="宋体"/>
          <w:color w:val="auto"/>
          <w:szCs w:val="21"/>
          <w:highlight w:val="none"/>
        </w:rPr>
      </w:pPr>
      <w:r>
        <w:rPr>
          <w:rFonts w:hint="eastAsia" w:ascii="宋体" w:hAnsi="宋体" w:cs="宋体"/>
          <w:color w:val="auto"/>
          <w:szCs w:val="21"/>
          <w:highlight w:val="none"/>
        </w:rPr>
        <w:t>说明： 1、竞标人应按照相关法规规定如实作出声明。</w:t>
      </w:r>
    </w:p>
    <w:p w14:paraId="00C6E121">
      <w:pPr>
        <w:spacing w:line="360" w:lineRule="exact"/>
        <w:ind w:firstLine="1239"/>
        <w:jc w:val="left"/>
        <w:rPr>
          <w:rFonts w:ascii="宋体" w:hAnsi="宋体" w:cs="宋体"/>
          <w:color w:val="auto"/>
          <w:szCs w:val="21"/>
          <w:highlight w:val="none"/>
        </w:rPr>
      </w:pPr>
      <w:r>
        <w:rPr>
          <w:rFonts w:hint="eastAsia" w:ascii="宋体" w:hAnsi="宋体" w:cs="宋体"/>
          <w:color w:val="auto"/>
          <w:szCs w:val="21"/>
          <w:highlight w:val="none"/>
        </w:rPr>
        <w:t xml:space="preserve"> 2、按照采购文件的规定盖章（自然人竞标的无需盖章，需要</w:t>
      </w:r>
      <w:r>
        <w:rPr>
          <w:rFonts w:hint="eastAsia" w:ascii="宋体" w:hAnsi="宋体" w:cs="宋体"/>
          <w:color w:val="auto"/>
          <w:szCs w:val="21"/>
          <w:highlight w:val="none"/>
          <w:lang w:eastAsia="zh-CN"/>
        </w:rPr>
        <w:t>签字或签章</w:t>
      </w:r>
      <w:r>
        <w:rPr>
          <w:rFonts w:hint="eastAsia" w:ascii="宋体" w:hAnsi="宋体" w:cs="宋体"/>
          <w:color w:val="auto"/>
          <w:szCs w:val="21"/>
          <w:highlight w:val="none"/>
        </w:rPr>
        <w:t>）。</w:t>
      </w:r>
    </w:p>
    <w:p w14:paraId="11B93689">
      <w:pPr>
        <w:spacing w:line="300" w:lineRule="auto"/>
        <w:ind w:left="420" w:hanging="420"/>
        <w:rPr>
          <w:rFonts w:hint="eastAsia" w:ascii="黑体" w:hAnsi="黑体" w:eastAsia="黑体"/>
          <w:b/>
          <w:color w:val="auto"/>
          <w:sz w:val="32"/>
          <w:szCs w:val="32"/>
          <w:highlight w:val="none"/>
        </w:rPr>
      </w:pPr>
    </w:p>
    <w:p w14:paraId="16A99F1E">
      <w:pPr>
        <w:pageBreakBefore/>
        <w:spacing w:line="300" w:lineRule="auto"/>
        <w:ind w:left="420" w:hanging="420"/>
        <w:rPr>
          <w:rFonts w:ascii="宋体" w:hAnsi="宋体"/>
          <w:color w:val="auto"/>
          <w:szCs w:val="21"/>
          <w:highlight w:val="none"/>
        </w:rPr>
      </w:pPr>
    </w:p>
    <w:p w14:paraId="41B398BE">
      <w:pPr>
        <w:spacing w:line="300" w:lineRule="auto"/>
        <w:ind w:left="420" w:hanging="420"/>
        <w:rPr>
          <w:rFonts w:hint="default" w:ascii="宋体" w:hAnsi="宋体" w:eastAsia="宋体"/>
          <w:color w:val="auto"/>
          <w:szCs w:val="21"/>
          <w:highlight w:val="none"/>
          <w:lang w:val="en-US" w:eastAsia="zh-CN"/>
        </w:rPr>
      </w:pPr>
      <w:r>
        <w:rPr>
          <w:rFonts w:hint="eastAsia" w:ascii="宋体" w:hAnsi="宋体"/>
          <w:color w:val="auto"/>
          <w:szCs w:val="21"/>
          <w:highlight w:val="none"/>
        </w:rPr>
        <w:t>附件六</w:t>
      </w:r>
      <w:r>
        <w:rPr>
          <w:rFonts w:hint="eastAsia" w:ascii="宋体" w:hAnsi="宋体"/>
          <w:color w:val="auto"/>
          <w:szCs w:val="21"/>
          <w:highlight w:val="none"/>
          <w:lang w:val="en-US" w:eastAsia="zh-CN"/>
        </w:rPr>
        <w:t xml:space="preserve">      </w:t>
      </w:r>
      <w:r>
        <w:rPr>
          <w:rFonts w:hint="eastAsia" w:ascii="宋体" w:hAnsi="宋体"/>
          <w:b/>
          <w:bCs/>
          <w:color w:val="auto"/>
          <w:szCs w:val="21"/>
          <w:highlight w:val="none"/>
          <w:lang w:val="en-US" w:eastAsia="zh-CN"/>
        </w:rPr>
        <w:t>（如有，请提供）</w:t>
      </w:r>
    </w:p>
    <w:p w14:paraId="6B3BA8B6">
      <w:pPr>
        <w:pStyle w:val="24"/>
        <w:spacing w:line="506" w:lineRule="exact"/>
        <w:ind w:firstLine="0"/>
        <w:jc w:val="center"/>
        <w:rPr>
          <w:rFonts w:hint="eastAsia"/>
          <w:color w:val="auto"/>
          <w:sz w:val="21"/>
          <w:szCs w:val="21"/>
          <w:highlight w:val="none"/>
        </w:rPr>
      </w:pPr>
      <w:r>
        <w:rPr>
          <w:color w:val="auto"/>
          <w:highlight w:val="none"/>
        </w:rPr>
        <w:t>中小企业声明函</w:t>
      </w:r>
    </w:p>
    <w:p w14:paraId="272AFF84">
      <w:pPr>
        <w:pStyle w:val="24"/>
        <w:spacing w:line="506" w:lineRule="exact"/>
        <w:ind w:firstLine="640"/>
        <w:jc w:val="both"/>
        <w:rPr>
          <w:rFonts w:hint="eastAsia"/>
          <w:color w:val="auto"/>
          <w:sz w:val="21"/>
          <w:szCs w:val="21"/>
          <w:highlight w:val="none"/>
        </w:rPr>
      </w:pPr>
    </w:p>
    <w:p w14:paraId="0A8D77E9">
      <w:pPr>
        <w:pStyle w:val="24"/>
        <w:spacing w:line="506" w:lineRule="exact"/>
        <w:ind w:firstLine="640"/>
        <w:jc w:val="both"/>
        <w:rPr>
          <w:color w:val="auto"/>
          <w:sz w:val="21"/>
          <w:szCs w:val="21"/>
          <w:highlight w:val="none"/>
        </w:rPr>
      </w:pPr>
      <w:r>
        <w:rPr>
          <w:color w:val="auto"/>
          <w:sz w:val="21"/>
          <w:szCs w:val="21"/>
          <w:highlight w:val="none"/>
        </w:rPr>
        <w:t>本公司（联合体）郑重声明，根据《政府采购促进中小企业发展管理办法》（财库〔2020〕46号）的规定，本公司 （联合体）参加</w:t>
      </w:r>
      <w:r>
        <w:rPr>
          <w:color w:val="auto"/>
          <w:sz w:val="21"/>
          <w:szCs w:val="21"/>
          <w:highlight w:val="none"/>
          <w:u w:val="single"/>
        </w:rPr>
        <w:t>（单位名称）</w:t>
      </w:r>
      <w:r>
        <w:rPr>
          <w:color w:val="auto"/>
          <w:sz w:val="21"/>
          <w:szCs w:val="21"/>
          <w:highlight w:val="none"/>
        </w:rPr>
        <w:t>的</w:t>
      </w:r>
      <w:r>
        <w:rPr>
          <w:color w:val="auto"/>
          <w:sz w:val="21"/>
          <w:szCs w:val="21"/>
          <w:highlight w:val="none"/>
          <w:u w:val="single"/>
        </w:rPr>
        <w:t>（项目名称）</w:t>
      </w:r>
      <w:r>
        <w:rPr>
          <w:color w:val="auto"/>
          <w:sz w:val="21"/>
          <w:szCs w:val="21"/>
          <w:highlight w:val="none"/>
        </w:rPr>
        <w:t>釆购活动,提供的货物全部由符合政策要求的中小企业制造。相关企业（含联合体中的中小企业、签订分包意向协议的中小企业）的具体情况如下</w:t>
      </w:r>
      <w:bookmarkStart w:id="46" w:name="bookmark1"/>
      <w:bookmarkEnd w:id="46"/>
      <w:r>
        <w:rPr>
          <w:rFonts w:hint="eastAsia"/>
          <w:color w:val="auto"/>
          <w:sz w:val="21"/>
          <w:szCs w:val="21"/>
          <w:highlight w:val="none"/>
        </w:rPr>
        <w:t>：</w:t>
      </w:r>
    </w:p>
    <w:p w14:paraId="013364AC">
      <w:pPr>
        <w:pStyle w:val="24"/>
        <w:spacing w:line="506" w:lineRule="exact"/>
        <w:ind w:firstLine="640"/>
        <w:jc w:val="both"/>
        <w:rPr>
          <w:color w:val="auto"/>
          <w:sz w:val="21"/>
          <w:szCs w:val="21"/>
          <w:highlight w:val="none"/>
        </w:rPr>
      </w:pPr>
      <w:r>
        <w:rPr>
          <w:rFonts w:hint="eastAsia"/>
          <w:color w:val="auto"/>
          <w:sz w:val="21"/>
          <w:szCs w:val="21"/>
          <w:highlight w:val="none"/>
        </w:rPr>
        <w:t>1.</w:t>
      </w:r>
      <w:r>
        <w:rPr>
          <w:rFonts w:hint="eastAsia"/>
          <w:color w:val="auto"/>
          <w:sz w:val="21"/>
          <w:szCs w:val="21"/>
          <w:highlight w:val="none"/>
          <w:u w:val="single"/>
        </w:rPr>
        <w:t xml:space="preserve">     （</w:t>
      </w:r>
      <w:r>
        <w:rPr>
          <w:color w:val="auto"/>
          <w:sz w:val="21"/>
          <w:szCs w:val="21"/>
          <w:highlight w:val="none"/>
          <w:u w:val="single"/>
        </w:rPr>
        <w:t>标的名称</w:t>
      </w:r>
      <w:r>
        <w:rPr>
          <w:rFonts w:hint="eastAsia"/>
          <w:color w:val="auto"/>
          <w:sz w:val="21"/>
          <w:szCs w:val="21"/>
          <w:highlight w:val="none"/>
          <w:u w:val="single"/>
        </w:rPr>
        <w:t>）</w:t>
      </w:r>
      <w:r>
        <w:rPr>
          <w:rFonts w:hint="eastAsia"/>
          <w:color w:val="auto"/>
          <w:sz w:val="21"/>
          <w:szCs w:val="21"/>
          <w:highlight w:val="none"/>
        </w:rPr>
        <w:t>，</w:t>
      </w:r>
      <w:r>
        <w:rPr>
          <w:color w:val="auto"/>
          <w:sz w:val="21"/>
          <w:szCs w:val="21"/>
          <w:highlight w:val="none"/>
        </w:rPr>
        <w:t>属于</w:t>
      </w:r>
      <w:r>
        <w:rPr>
          <w:rFonts w:hint="eastAsia"/>
          <w:color w:val="auto"/>
          <w:sz w:val="21"/>
          <w:szCs w:val="21"/>
          <w:highlight w:val="none"/>
          <w:u w:val="single"/>
        </w:rPr>
        <w:t xml:space="preserve">     </w:t>
      </w:r>
      <w:r>
        <w:rPr>
          <w:color w:val="auto"/>
          <w:sz w:val="21"/>
          <w:szCs w:val="21"/>
          <w:highlight w:val="none"/>
          <w:u w:val="single"/>
        </w:rPr>
        <w:t>（釆购文件中明确的所属行业）行业</w:t>
      </w:r>
      <w:r>
        <w:rPr>
          <w:rFonts w:hint="eastAsia"/>
          <w:color w:val="auto"/>
          <w:sz w:val="21"/>
          <w:szCs w:val="21"/>
          <w:highlight w:val="none"/>
        </w:rPr>
        <w:t>；</w:t>
      </w:r>
      <w:r>
        <w:rPr>
          <w:color w:val="auto"/>
          <w:sz w:val="21"/>
          <w:szCs w:val="21"/>
          <w:highlight w:val="none"/>
        </w:rPr>
        <w:t>制造商为</w:t>
      </w:r>
      <w:r>
        <w:rPr>
          <w:color w:val="auto"/>
          <w:sz w:val="21"/>
          <w:szCs w:val="21"/>
          <w:highlight w:val="none"/>
          <w:u w:val="single"/>
        </w:rPr>
        <w:t>（企业名称）</w:t>
      </w:r>
      <w:r>
        <w:rPr>
          <w:rFonts w:hint="eastAsia"/>
          <w:color w:val="auto"/>
          <w:sz w:val="21"/>
          <w:szCs w:val="21"/>
          <w:highlight w:val="none"/>
        </w:rPr>
        <w:t>，</w:t>
      </w:r>
      <w:r>
        <w:rPr>
          <w:color w:val="auto"/>
          <w:sz w:val="21"/>
          <w:szCs w:val="21"/>
          <w:highlight w:val="none"/>
        </w:rPr>
        <w:t>从业人员</w:t>
      </w:r>
      <w:r>
        <w:rPr>
          <w:rFonts w:hint="eastAsia"/>
          <w:color w:val="auto"/>
          <w:sz w:val="21"/>
          <w:szCs w:val="21"/>
          <w:highlight w:val="none"/>
          <w:u w:val="single"/>
        </w:rPr>
        <w:t xml:space="preserve"> </w:t>
      </w:r>
      <w:r>
        <w:rPr>
          <w:color w:val="auto"/>
          <w:sz w:val="21"/>
          <w:szCs w:val="21"/>
          <w:highlight w:val="none"/>
          <w:u w:val="single"/>
        </w:rPr>
        <w:tab/>
      </w:r>
      <w:r>
        <w:rPr>
          <w:color w:val="auto"/>
          <w:sz w:val="21"/>
          <w:szCs w:val="21"/>
          <w:highlight w:val="none"/>
        </w:rPr>
        <w:t>人，营业收入为</w:t>
      </w:r>
      <w:r>
        <w:rPr>
          <w:rFonts w:hint="eastAsia"/>
          <w:color w:val="auto"/>
          <w:sz w:val="21"/>
          <w:szCs w:val="21"/>
          <w:highlight w:val="none"/>
          <w:u w:val="single"/>
        </w:rPr>
        <w:t xml:space="preserve">    </w:t>
      </w:r>
      <w:r>
        <w:rPr>
          <w:color w:val="auto"/>
          <w:sz w:val="21"/>
          <w:szCs w:val="21"/>
          <w:highlight w:val="none"/>
        </w:rPr>
        <w:t>万元，资产总额为</w:t>
      </w:r>
      <w:r>
        <w:rPr>
          <w:rFonts w:hint="eastAsia"/>
          <w:color w:val="auto"/>
          <w:sz w:val="21"/>
          <w:szCs w:val="21"/>
          <w:highlight w:val="none"/>
          <w:u w:val="single"/>
        </w:rPr>
        <w:t xml:space="preserve">     </w:t>
      </w:r>
      <w:r>
        <w:rPr>
          <w:color w:val="auto"/>
          <w:sz w:val="21"/>
          <w:szCs w:val="21"/>
          <w:highlight w:val="none"/>
        </w:rPr>
        <w:t>万元</w:t>
      </w:r>
      <w:r>
        <w:rPr>
          <w:rFonts w:hint="eastAsia"/>
          <w:color w:val="auto"/>
          <w:sz w:val="21"/>
          <w:szCs w:val="21"/>
          <w:highlight w:val="none"/>
        </w:rPr>
        <w:t>，</w:t>
      </w:r>
      <w:r>
        <w:rPr>
          <w:color w:val="auto"/>
          <w:sz w:val="21"/>
          <w:szCs w:val="21"/>
          <w:highlight w:val="none"/>
        </w:rPr>
        <w:t>属于</w:t>
      </w:r>
      <w:r>
        <w:rPr>
          <w:color w:val="auto"/>
          <w:sz w:val="21"/>
          <w:szCs w:val="21"/>
          <w:highlight w:val="none"/>
          <w:u w:val="single"/>
        </w:rPr>
        <w:t>（中型企业、小型企业、微型企业）</w:t>
      </w:r>
      <w:r>
        <w:rPr>
          <w:rFonts w:hint="eastAsia"/>
          <w:color w:val="auto"/>
          <w:sz w:val="21"/>
          <w:szCs w:val="21"/>
          <w:highlight w:val="none"/>
        </w:rPr>
        <w:t>；</w:t>
      </w:r>
      <w:r>
        <w:rPr>
          <w:color w:val="auto"/>
          <w:sz w:val="21"/>
          <w:szCs w:val="21"/>
          <w:highlight w:val="none"/>
        </w:rPr>
        <w:t xml:space="preserve"> </w:t>
      </w:r>
    </w:p>
    <w:p w14:paraId="6207F800">
      <w:pPr>
        <w:pStyle w:val="24"/>
        <w:spacing w:line="506" w:lineRule="exact"/>
        <w:ind w:firstLine="640"/>
        <w:jc w:val="both"/>
        <w:rPr>
          <w:color w:val="auto"/>
          <w:sz w:val="21"/>
          <w:szCs w:val="21"/>
          <w:highlight w:val="none"/>
        </w:rPr>
      </w:pPr>
      <w:r>
        <w:rPr>
          <w:rFonts w:hint="eastAsia"/>
          <w:color w:val="auto"/>
          <w:sz w:val="21"/>
          <w:szCs w:val="21"/>
          <w:highlight w:val="none"/>
        </w:rPr>
        <w:t>2.</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color w:val="auto"/>
          <w:sz w:val="21"/>
          <w:szCs w:val="21"/>
          <w:highlight w:val="none"/>
          <w:u w:val="single"/>
        </w:rPr>
        <w:t>（标的名称）</w:t>
      </w:r>
      <w:r>
        <w:rPr>
          <w:rFonts w:hint="eastAsia"/>
          <w:color w:val="auto"/>
          <w:sz w:val="21"/>
          <w:szCs w:val="21"/>
          <w:highlight w:val="none"/>
        </w:rPr>
        <w:t>，</w:t>
      </w:r>
      <w:r>
        <w:rPr>
          <w:color w:val="auto"/>
          <w:sz w:val="21"/>
          <w:szCs w:val="21"/>
          <w:highlight w:val="none"/>
        </w:rPr>
        <w:t>属于</w:t>
      </w:r>
      <w:r>
        <w:rPr>
          <w:rFonts w:hint="eastAsia"/>
          <w:color w:val="auto"/>
          <w:sz w:val="21"/>
          <w:szCs w:val="21"/>
          <w:highlight w:val="none"/>
          <w:u w:val="single"/>
        </w:rPr>
        <w:t xml:space="preserve">     </w:t>
      </w:r>
      <w:r>
        <w:rPr>
          <w:color w:val="auto"/>
          <w:sz w:val="21"/>
          <w:szCs w:val="21"/>
          <w:highlight w:val="none"/>
          <w:u w:val="single"/>
        </w:rPr>
        <w:t>（釆购文件中明确的所属行业）行业</w:t>
      </w:r>
      <w:r>
        <w:rPr>
          <w:rFonts w:hint="eastAsia"/>
          <w:color w:val="auto"/>
          <w:sz w:val="21"/>
          <w:szCs w:val="21"/>
          <w:highlight w:val="none"/>
        </w:rPr>
        <w:t>；</w:t>
      </w:r>
      <w:r>
        <w:rPr>
          <w:color w:val="auto"/>
          <w:sz w:val="21"/>
          <w:szCs w:val="21"/>
          <w:highlight w:val="none"/>
        </w:rPr>
        <w:t>制造商为</w:t>
      </w:r>
      <w:r>
        <w:rPr>
          <w:color w:val="auto"/>
          <w:sz w:val="21"/>
          <w:szCs w:val="21"/>
          <w:highlight w:val="none"/>
          <w:u w:val="single"/>
        </w:rPr>
        <w:t>（企业名称）</w:t>
      </w:r>
      <w:r>
        <w:rPr>
          <w:rFonts w:hint="eastAsia"/>
          <w:color w:val="auto"/>
          <w:sz w:val="21"/>
          <w:szCs w:val="21"/>
          <w:highlight w:val="none"/>
          <w:lang w:eastAsia="zh-CN"/>
        </w:rPr>
        <w:t>，</w:t>
      </w:r>
      <w:r>
        <w:rPr>
          <w:color w:val="auto"/>
          <w:sz w:val="21"/>
          <w:szCs w:val="21"/>
          <w:highlight w:val="none"/>
        </w:rPr>
        <w:t>从业人员</w:t>
      </w:r>
      <w:r>
        <w:rPr>
          <w:color w:val="auto"/>
          <w:sz w:val="21"/>
          <w:szCs w:val="21"/>
          <w:highlight w:val="none"/>
          <w:u w:val="single"/>
        </w:rPr>
        <w:tab/>
      </w:r>
      <w:r>
        <w:rPr>
          <w:color w:val="auto"/>
          <w:sz w:val="21"/>
          <w:szCs w:val="21"/>
          <w:highlight w:val="none"/>
        </w:rPr>
        <w:t>人，营业收入为</w:t>
      </w:r>
      <w:r>
        <w:rPr>
          <w:rFonts w:hint="eastAsia"/>
          <w:color w:val="auto"/>
          <w:sz w:val="21"/>
          <w:szCs w:val="21"/>
          <w:highlight w:val="none"/>
          <w:u w:val="single"/>
        </w:rPr>
        <w:t xml:space="preserve">    </w:t>
      </w:r>
      <w:r>
        <w:rPr>
          <w:color w:val="auto"/>
          <w:sz w:val="21"/>
          <w:szCs w:val="21"/>
          <w:highlight w:val="none"/>
        </w:rPr>
        <w:t>万元，资产总额为</w:t>
      </w:r>
      <w:r>
        <w:rPr>
          <w:rFonts w:hint="eastAsia"/>
          <w:color w:val="auto"/>
          <w:sz w:val="21"/>
          <w:szCs w:val="21"/>
          <w:highlight w:val="none"/>
          <w:u w:val="single"/>
        </w:rPr>
        <w:t xml:space="preserve">    </w:t>
      </w:r>
      <w:r>
        <w:rPr>
          <w:color w:val="auto"/>
          <w:sz w:val="21"/>
          <w:szCs w:val="21"/>
          <w:highlight w:val="none"/>
        </w:rPr>
        <w:t>万元，属于</w:t>
      </w:r>
      <w:r>
        <w:rPr>
          <w:color w:val="auto"/>
          <w:sz w:val="21"/>
          <w:szCs w:val="21"/>
          <w:highlight w:val="none"/>
          <w:u w:val="single"/>
        </w:rPr>
        <w:t>（中型企业、小型 企业、微型企业）</w:t>
      </w:r>
      <w:r>
        <w:rPr>
          <w:rFonts w:hint="eastAsia"/>
          <w:color w:val="auto"/>
          <w:sz w:val="21"/>
          <w:szCs w:val="21"/>
          <w:highlight w:val="none"/>
        </w:rPr>
        <w:t>；</w:t>
      </w:r>
    </w:p>
    <w:p w14:paraId="1FDEB76E">
      <w:pPr>
        <w:pStyle w:val="24"/>
        <w:spacing w:line="506" w:lineRule="exact"/>
        <w:ind w:firstLine="640"/>
        <w:jc w:val="both"/>
        <w:rPr>
          <w:color w:val="auto"/>
          <w:sz w:val="21"/>
          <w:szCs w:val="21"/>
          <w:highlight w:val="none"/>
        </w:rPr>
      </w:pPr>
      <w:r>
        <w:rPr>
          <w:rFonts w:hint="eastAsia"/>
          <w:color w:val="auto"/>
          <w:sz w:val="21"/>
          <w:szCs w:val="21"/>
          <w:highlight w:val="none"/>
        </w:rPr>
        <w:t>......</w:t>
      </w:r>
    </w:p>
    <w:p w14:paraId="17A22213">
      <w:pPr>
        <w:pStyle w:val="24"/>
        <w:spacing w:line="499" w:lineRule="exact"/>
        <w:ind w:firstLine="640"/>
        <w:jc w:val="both"/>
        <w:rPr>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14:paraId="1E53E072">
      <w:pPr>
        <w:pStyle w:val="24"/>
        <w:spacing w:after="40" w:line="499" w:lineRule="exact"/>
        <w:ind w:firstLine="640"/>
        <w:jc w:val="both"/>
        <w:rPr>
          <w:rFonts w:hint="eastAsia"/>
          <w:color w:val="auto"/>
          <w:sz w:val="21"/>
          <w:szCs w:val="21"/>
          <w:highlight w:val="none"/>
        </w:rPr>
      </w:pPr>
      <w:r>
        <w:rPr>
          <w:color w:val="auto"/>
          <w:sz w:val="21"/>
          <w:szCs w:val="21"/>
          <w:highlight w:val="none"/>
        </w:rPr>
        <w:t>本企业对上述声明内容的真实性</w:t>
      </w:r>
      <w:r>
        <w:rPr>
          <w:rFonts w:hint="eastAsia"/>
          <w:color w:val="auto"/>
          <w:sz w:val="21"/>
          <w:szCs w:val="21"/>
          <w:highlight w:val="none"/>
        </w:rPr>
        <w:t>负责</w:t>
      </w:r>
      <w:r>
        <w:rPr>
          <w:color w:val="auto"/>
          <w:sz w:val="21"/>
          <w:szCs w:val="21"/>
          <w:highlight w:val="none"/>
        </w:rPr>
        <w:t>。如有虚假，将依法承担相应责任。</w:t>
      </w:r>
    </w:p>
    <w:p w14:paraId="7F8989DE">
      <w:pPr>
        <w:pStyle w:val="24"/>
        <w:spacing w:after="40" w:line="499" w:lineRule="exact"/>
        <w:ind w:firstLine="640"/>
        <w:jc w:val="both"/>
        <w:rPr>
          <w:color w:val="auto"/>
          <w:sz w:val="21"/>
          <w:szCs w:val="21"/>
          <w:highlight w:val="none"/>
        </w:rPr>
      </w:pPr>
    </w:p>
    <w:p w14:paraId="3D3CBE18">
      <w:pPr>
        <w:pStyle w:val="24"/>
        <w:spacing w:line="506" w:lineRule="exact"/>
        <w:ind w:firstLine="640"/>
        <w:jc w:val="both"/>
        <w:rPr>
          <w:color w:val="auto"/>
          <w:sz w:val="21"/>
          <w:szCs w:val="21"/>
          <w:highlight w:val="none"/>
        </w:rPr>
      </w:pPr>
      <w:r>
        <w:rPr>
          <w:rFonts w:hint="eastAsia"/>
          <w:color w:val="auto"/>
          <w:sz w:val="21"/>
          <w:szCs w:val="21"/>
          <w:highlight w:val="none"/>
        </w:rPr>
        <w:t xml:space="preserve">                          </w:t>
      </w:r>
      <w:r>
        <w:rPr>
          <w:color w:val="auto"/>
          <w:sz w:val="21"/>
          <w:szCs w:val="21"/>
          <w:highlight w:val="none"/>
        </w:rPr>
        <w:t>企业名称（盖章）：</w:t>
      </w:r>
    </w:p>
    <w:p w14:paraId="38D3A36D">
      <w:pPr>
        <w:pStyle w:val="24"/>
        <w:spacing w:line="506" w:lineRule="exact"/>
        <w:ind w:firstLine="640"/>
        <w:jc w:val="both"/>
        <w:rPr>
          <w:color w:val="auto"/>
          <w:sz w:val="21"/>
          <w:szCs w:val="21"/>
          <w:highlight w:val="none"/>
        </w:rPr>
      </w:pPr>
      <w:r>
        <w:rPr>
          <w:rFonts w:hint="eastAsia"/>
          <w:color w:val="auto"/>
          <w:sz w:val="21"/>
          <w:szCs w:val="21"/>
          <w:highlight w:val="none"/>
        </w:rPr>
        <w:t xml:space="preserve">                          日期：</w:t>
      </w:r>
    </w:p>
    <w:p w14:paraId="29EEEDF7">
      <w:pPr>
        <w:pStyle w:val="25"/>
        <w:spacing w:after="0"/>
        <w:rPr>
          <w:rFonts w:hint="eastAsia"/>
          <w:color w:val="auto"/>
          <w:sz w:val="21"/>
          <w:szCs w:val="21"/>
          <w:highlight w:val="none"/>
        </w:rPr>
      </w:pPr>
    </w:p>
    <w:p w14:paraId="28D7629D">
      <w:pPr>
        <w:pStyle w:val="25"/>
        <w:spacing w:after="0"/>
        <w:rPr>
          <w:rFonts w:hint="eastAsia"/>
          <w:color w:val="auto"/>
          <w:highlight w:val="none"/>
        </w:rPr>
      </w:pPr>
    </w:p>
    <w:p w14:paraId="444038EA">
      <w:pPr>
        <w:pStyle w:val="25"/>
        <w:adjustRightInd w:val="0"/>
        <w:snapToGrid w:val="0"/>
        <w:spacing w:after="0" w:line="360" w:lineRule="exact"/>
        <w:jc w:val="left"/>
        <w:rPr>
          <w:rFonts w:hint="eastAsia"/>
          <w:color w:val="auto"/>
          <w:sz w:val="21"/>
          <w:szCs w:val="21"/>
          <w:highlight w:val="none"/>
        </w:rPr>
      </w:pPr>
      <w:r>
        <w:rPr>
          <w:color w:val="auto"/>
          <w:sz w:val="21"/>
          <w:szCs w:val="21"/>
          <w:highlight w:val="none"/>
        </w:rPr>
        <w:t>备注：</w:t>
      </w:r>
    </w:p>
    <w:p w14:paraId="39649EB3">
      <w:pPr>
        <w:pStyle w:val="25"/>
        <w:adjustRightInd w:val="0"/>
        <w:snapToGrid w:val="0"/>
        <w:spacing w:after="0" w:line="360" w:lineRule="exact"/>
        <w:jc w:val="left"/>
        <w:rPr>
          <w:rFonts w:hint="eastAsia"/>
          <w:color w:val="auto"/>
          <w:sz w:val="21"/>
          <w:szCs w:val="21"/>
          <w:highlight w:val="none"/>
        </w:rPr>
      </w:pPr>
      <w:r>
        <w:rPr>
          <w:rFonts w:hint="eastAsia"/>
          <w:color w:val="auto"/>
          <w:sz w:val="21"/>
          <w:szCs w:val="21"/>
          <w:highlight w:val="none"/>
        </w:rPr>
        <w:t>1、</w:t>
      </w:r>
      <w:r>
        <w:rPr>
          <w:color w:val="auto"/>
          <w:sz w:val="21"/>
          <w:szCs w:val="21"/>
          <w:highlight w:val="none"/>
        </w:rPr>
        <w:t>从业人员、营业收入、资产总额填报上一年度数据，无上一年度数据的</w:t>
      </w:r>
      <w:r>
        <w:rPr>
          <w:b/>
          <w:bCs/>
          <w:color w:val="auto"/>
          <w:sz w:val="21"/>
          <w:szCs w:val="21"/>
          <w:highlight w:val="none"/>
        </w:rPr>
        <w:t>新成立企业可不填报</w:t>
      </w:r>
      <w:r>
        <w:rPr>
          <w:rFonts w:hint="eastAsia"/>
          <w:b/>
          <w:bCs/>
          <w:color w:val="auto"/>
          <w:sz w:val="21"/>
          <w:szCs w:val="21"/>
          <w:highlight w:val="none"/>
        </w:rPr>
        <w:t>相关数据</w:t>
      </w:r>
      <w:r>
        <w:rPr>
          <w:rFonts w:hint="eastAsia"/>
          <w:color w:val="auto"/>
          <w:sz w:val="21"/>
          <w:szCs w:val="21"/>
          <w:highlight w:val="none"/>
        </w:rPr>
        <w:t>。</w:t>
      </w:r>
    </w:p>
    <w:p w14:paraId="4AEEAFA4">
      <w:pPr>
        <w:pStyle w:val="25"/>
        <w:adjustRightInd w:val="0"/>
        <w:snapToGrid w:val="0"/>
        <w:spacing w:after="0" w:line="360" w:lineRule="exact"/>
        <w:jc w:val="left"/>
        <w:rPr>
          <w:rFonts w:hint="eastAsia"/>
          <w:color w:val="auto"/>
          <w:sz w:val="21"/>
          <w:szCs w:val="21"/>
          <w:highlight w:val="none"/>
        </w:rPr>
      </w:pPr>
      <w:r>
        <w:rPr>
          <w:rFonts w:hint="eastAsia"/>
          <w:color w:val="auto"/>
          <w:sz w:val="21"/>
          <w:szCs w:val="21"/>
          <w:highlight w:val="none"/>
        </w:rPr>
        <w:t>2、供应商须依据《采购需求》中明确的标的所属行业进行填报。</w:t>
      </w:r>
    </w:p>
    <w:p w14:paraId="6E3434A2">
      <w:pPr>
        <w:pStyle w:val="25"/>
        <w:adjustRightInd w:val="0"/>
        <w:snapToGrid w:val="0"/>
        <w:spacing w:after="0" w:line="360" w:lineRule="exact"/>
        <w:jc w:val="left"/>
        <w:rPr>
          <w:rFonts w:hint="eastAsia"/>
          <w:color w:val="auto"/>
          <w:sz w:val="21"/>
          <w:szCs w:val="21"/>
          <w:highlight w:val="none"/>
        </w:rPr>
      </w:pPr>
      <w:r>
        <w:rPr>
          <w:rFonts w:hint="eastAsia"/>
          <w:color w:val="auto"/>
          <w:sz w:val="21"/>
          <w:szCs w:val="21"/>
          <w:highlight w:val="none"/>
        </w:rPr>
        <w:t>3、填报依据：《政府采购促进中小企业发展管理办法》（财库[2020]46号）；</w:t>
      </w:r>
    </w:p>
    <w:p w14:paraId="6DDFB167">
      <w:pPr>
        <w:pStyle w:val="25"/>
        <w:adjustRightInd w:val="0"/>
        <w:snapToGrid w:val="0"/>
        <w:spacing w:after="0" w:line="360" w:lineRule="exact"/>
        <w:jc w:val="left"/>
        <w:rPr>
          <w:rFonts w:hint="eastAsia"/>
          <w:color w:val="auto"/>
          <w:sz w:val="21"/>
          <w:szCs w:val="21"/>
          <w:highlight w:val="none"/>
        </w:rPr>
      </w:pPr>
      <w:r>
        <w:rPr>
          <w:rFonts w:hint="eastAsia"/>
          <w:color w:val="auto"/>
          <w:sz w:val="21"/>
          <w:szCs w:val="21"/>
          <w:highlight w:val="none"/>
        </w:rPr>
        <w:t xml:space="preserve">             《关于印发中小企业划型标准规定的通知》（工信部联企业[2011]300号）</w:t>
      </w:r>
    </w:p>
    <w:p w14:paraId="2F86F512">
      <w:pPr>
        <w:spacing w:line="300" w:lineRule="auto"/>
        <w:ind w:left="420" w:hanging="420"/>
        <w:rPr>
          <w:rFonts w:ascii="黑体" w:hAnsi="黑体" w:eastAsia="黑体"/>
          <w:b/>
          <w:color w:val="auto"/>
          <w:sz w:val="32"/>
          <w:szCs w:val="32"/>
          <w:highlight w:val="none"/>
        </w:rPr>
      </w:pPr>
    </w:p>
    <w:p w14:paraId="08913953">
      <w:pPr>
        <w:spacing w:line="300" w:lineRule="auto"/>
        <w:ind w:left="420" w:hanging="420"/>
        <w:jc w:val="center"/>
        <w:rPr>
          <w:rFonts w:ascii="黑体" w:hAnsi="黑体" w:eastAsia="黑体"/>
          <w:b/>
          <w:color w:val="auto"/>
          <w:sz w:val="32"/>
          <w:szCs w:val="32"/>
          <w:highlight w:val="none"/>
        </w:rPr>
      </w:pPr>
    </w:p>
    <w:p w14:paraId="7D8CC092">
      <w:pPr>
        <w:spacing w:line="300" w:lineRule="auto"/>
        <w:ind w:left="420" w:hanging="420"/>
        <w:jc w:val="center"/>
        <w:rPr>
          <w:rFonts w:ascii="黑体" w:hAnsi="黑体" w:eastAsia="黑体"/>
          <w:b/>
          <w:color w:val="auto"/>
          <w:sz w:val="32"/>
          <w:szCs w:val="32"/>
          <w:highlight w:val="none"/>
        </w:rPr>
      </w:pPr>
    </w:p>
    <w:p w14:paraId="4D773437">
      <w:pPr>
        <w:pageBreakBefore/>
        <w:spacing w:line="300" w:lineRule="auto"/>
        <w:ind w:left="420" w:hanging="420"/>
        <w:jc w:val="center"/>
        <w:rPr>
          <w:rFonts w:ascii="黑体" w:hAnsi="黑体" w:eastAsia="黑体"/>
          <w:b/>
          <w:color w:val="auto"/>
          <w:sz w:val="32"/>
          <w:szCs w:val="32"/>
          <w:highlight w:val="none"/>
        </w:rPr>
      </w:pPr>
    </w:p>
    <w:p w14:paraId="7F52E870">
      <w:pPr>
        <w:spacing w:line="300" w:lineRule="auto"/>
        <w:ind w:left="420" w:hanging="420"/>
        <w:jc w:val="center"/>
        <w:rPr>
          <w:rFonts w:ascii="黑体" w:hAnsi="黑体" w:eastAsia="黑体"/>
          <w:b/>
          <w:color w:val="auto"/>
          <w:sz w:val="32"/>
          <w:szCs w:val="32"/>
          <w:highlight w:val="none"/>
        </w:rPr>
      </w:pPr>
    </w:p>
    <w:p w14:paraId="0B2E6AE6">
      <w:pPr>
        <w:spacing w:line="300" w:lineRule="auto"/>
        <w:ind w:left="420" w:hanging="420"/>
        <w:jc w:val="center"/>
        <w:rPr>
          <w:rFonts w:ascii="黑体" w:hAnsi="黑体" w:eastAsia="黑体"/>
          <w:b/>
          <w:color w:val="auto"/>
          <w:sz w:val="32"/>
          <w:szCs w:val="32"/>
          <w:highlight w:val="none"/>
        </w:rPr>
      </w:pPr>
    </w:p>
    <w:p w14:paraId="25913AF9">
      <w:pPr>
        <w:spacing w:line="300" w:lineRule="auto"/>
        <w:ind w:left="420" w:hanging="420"/>
        <w:jc w:val="center"/>
        <w:rPr>
          <w:rFonts w:ascii="黑体" w:hAnsi="黑体" w:eastAsia="黑体"/>
          <w:b/>
          <w:color w:val="auto"/>
          <w:sz w:val="32"/>
          <w:szCs w:val="32"/>
          <w:highlight w:val="none"/>
        </w:rPr>
      </w:pPr>
    </w:p>
    <w:p w14:paraId="7931BD3C">
      <w:pPr>
        <w:spacing w:line="300" w:lineRule="auto"/>
        <w:ind w:left="420" w:hanging="420"/>
        <w:jc w:val="center"/>
        <w:rPr>
          <w:rFonts w:ascii="黑体" w:hAnsi="黑体" w:eastAsia="黑体"/>
          <w:b/>
          <w:color w:val="auto"/>
          <w:sz w:val="32"/>
          <w:szCs w:val="32"/>
          <w:highlight w:val="none"/>
        </w:rPr>
      </w:pPr>
    </w:p>
    <w:p w14:paraId="2452EC01">
      <w:pPr>
        <w:spacing w:line="300" w:lineRule="auto"/>
        <w:ind w:left="420" w:hanging="420"/>
        <w:jc w:val="center"/>
        <w:rPr>
          <w:rFonts w:ascii="黑体" w:hAnsi="黑体" w:eastAsia="黑体"/>
          <w:b/>
          <w:color w:val="auto"/>
          <w:sz w:val="32"/>
          <w:szCs w:val="32"/>
          <w:highlight w:val="none"/>
        </w:rPr>
      </w:pPr>
    </w:p>
    <w:p w14:paraId="198C420C">
      <w:pPr>
        <w:spacing w:line="300" w:lineRule="auto"/>
        <w:ind w:left="420" w:hanging="420"/>
        <w:jc w:val="center"/>
        <w:rPr>
          <w:rFonts w:ascii="黑体" w:hAnsi="黑体" w:eastAsia="黑体"/>
          <w:b/>
          <w:color w:val="auto"/>
          <w:sz w:val="32"/>
          <w:szCs w:val="32"/>
          <w:highlight w:val="none"/>
        </w:rPr>
      </w:pPr>
    </w:p>
    <w:p w14:paraId="7392F69E">
      <w:pPr>
        <w:spacing w:line="300" w:lineRule="auto"/>
        <w:ind w:left="420" w:hanging="420"/>
        <w:jc w:val="center"/>
        <w:rPr>
          <w:rFonts w:ascii="黑体" w:hAnsi="黑体" w:eastAsia="黑体"/>
          <w:b/>
          <w:color w:val="auto"/>
          <w:sz w:val="32"/>
          <w:szCs w:val="32"/>
          <w:highlight w:val="none"/>
        </w:rPr>
      </w:pPr>
    </w:p>
    <w:p w14:paraId="00578C0C">
      <w:pPr>
        <w:spacing w:line="300" w:lineRule="auto"/>
        <w:ind w:left="420" w:hanging="420"/>
        <w:jc w:val="center"/>
        <w:rPr>
          <w:rFonts w:ascii="黑体" w:hAnsi="黑体" w:eastAsia="黑体"/>
          <w:b/>
          <w:color w:val="auto"/>
          <w:sz w:val="32"/>
          <w:szCs w:val="32"/>
          <w:highlight w:val="none"/>
        </w:rPr>
      </w:pPr>
    </w:p>
    <w:p w14:paraId="44AE6325">
      <w:pPr>
        <w:spacing w:line="300" w:lineRule="auto"/>
        <w:ind w:left="420" w:hanging="420"/>
        <w:jc w:val="center"/>
        <w:rPr>
          <w:rFonts w:ascii="黑体" w:hAnsi="黑体" w:eastAsia="黑体"/>
          <w:b/>
          <w:color w:val="auto"/>
          <w:sz w:val="32"/>
          <w:szCs w:val="32"/>
          <w:highlight w:val="none"/>
        </w:rPr>
      </w:pPr>
    </w:p>
    <w:p w14:paraId="0E171AEC">
      <w:pPr>
        <w:spacing w:line="300" w:lineRule="auto"/>
        <w:ind w:left="420" w:hanging="420"/>
        <w:jc w:val="center"/>
        <w:rPr>
          <w:rFonts w:ascii="黑体" w:hAnsi="黑体" w:eastAsia="黑体"/>
          <w:b/>
          <w:color w:val="auto"/>
          <w:sz w:val="32"/>
          <w:szCs w:val="32"/>
          <w:highlight w:val="none"/>
        </w:rPr>
      </w:pPr>
    </w:p>
    <w:p w14:paraId="4BEDD4C6">
      <w:pPr>
        <w:pStyle w:val="3"/>
        <w:jc w:val="center"/>
        <w:rPr>
          <w:color w:val="auto"/>
          <w:highlight w:val="none"/>
        </w:rPr>
      </w:pPr>
      <w:bookmarkStart w:id="47" w:name="_Toc46136760"/>
      <w:r>
        <w:rPr>
          <w:rFonts w:hint="eastAsia"/>
          <w:color w:val="auto"/>
          <w:highlight w:val="none"/>
        </w:rPr>
        <w:t>第五章  合同主要条款</w:t>
      </w:r>
      <w:bookmarkEnd w:id="47"/>
    </w:p>
    <w:p w14:paraId="608361CF">
      <w:pPr>
        <w:pStyle w:val="8"/>
        <w:jc w:val="center"/>
        <w:rPr>
          <w:b/>
          <w:color w:val="auto"/>
          <w:sz w:val="52"/>
          <w:szCs w:val="52"/>
          <w:highlight w:val="none"/>
        </w:rPr>
      </w:pPr>
    </w:p>
    <w:p w14:paraId="03ABF55B">
      <w:pPr>
        <w:pStyle w:val="8"/>
        <w:jc w:val="center"/>
        <w:rPr>
          <w:b/>
          <w:color w:val="auto"/>
          <w:sz w:val="52"/>
          <w:szCs w:val="52"/>
          <w:highlight w:val="none"/>
        </w:rPr>
      </w:pPr>
    </w:p>
    <w:p w14:paraId="3A951643">
      <w:pPr>
        <w:pStyle w:val="8"/>
        <w:jc w:val="center"/>
        <w:rPr>
          <w:b/>
          <w:color w:val="auto"/>
          <w:sz w:val="52"/>
          <w:szCs w:val="52"/>
          <w:highlight w:val="none"/>
        </w:rPr>
      </w:pPr>
    </w:p>
    <w:p w14:paraId="50FD4E97">
      <w:pPr>
        <w:pStyle w:val="8"/>
        <w:jc w:val="center"/>
        <w:rPr>
          <w:b/>
          <w:color w:val="auto"/>
          <w:sz w:val="52"/>
          <w:szCs w:val="52"/>
          <w:highlight w:val="none"/>
        </w:rPr>
      </w:pPr>
    </w:p>
    <w:p w14:paraId="6FB601AD">
      <w:pPr>
        <w:pStyle w:val="8"/>
        <w:pageBreakBefore/>
        <w:jc w:val="center"/>
        <w:rPr>
          <w:b/>
          <w:color w:val="auto"/>
          <w:sz w:val="52"/>
          <w:szCs w:val="52"/>
          <w:highlight w:val="none"/>
        </w:rPr>
      </w:pPr>
    </w:p>
    <w:p w14:paraId="28B30C13">
      <w:pPr>
        <w:pStyle w:val="8"/>
        <w:jc w:val="center"/>
        <w:rPr>
          <w:b/>
          <w:color w:val="auto"/>
          <w:sz w:val="52"/>
          <w:szCs w:val="52"/>
          <w:highlight w:val="none"/>
        </w:rPr>
      </w:pPr>
    </w:p>
    <w:p w14:paraId="5D4A9B73">
      <w:pPr>
        <w:pStyle w:val="8"/>
        <w:jc w:val="center"/>
        <w:rPr>
          <w:b/>
          <w:color w:val="auto"/>
          <w:sz w:val="52"/>
          <w:szCs w:val="52"/>
          <w:highlight w:val="none"/>
        </w:rPr>
      </w:pPr>
      <w:r>
        <w:rPr>
          <w:rFonts w:hint="eastAsia"/>
          <w:b/>
          <w:color w:val="auto"/>
          <w:sz w:val="52"/>
          <w:szCs w:val="52"/>
          <w:highlight w:val="none"/>
        </w:rPr>
        <w:t>广西壮族自治区政府采购合同</w:t>
      </w:r>
    </w:p>
    <w:p w14:paraId="13FA0EB3">
      <w:pPr>
        <w:pStyle w:val="8"/>
        <w:rPr>
          <w:color w:val="auto"/>
          <w:highlight w:val="none"/>
        </w:rPr>
      </w:pPr>
    </w:p>
    <w:p w14:paraId="6BC99800">
      <w:pPr>
        <w:pStyle w:val="8"/>
        <w:rPr>
          <w:color w:val="auto"/>
          <w:highlight w:val="none"/>
        </w:rPr>
      </w:pPr>
    </w:p>
    <w:p w14:paraId="102E5F41">
      <w:pPr>
        <w:pStyle w:val="8"/>
        <w:rPr>
          <w:rFonts w:hint="eastAsia"/>
          <w:color w:val="auto"/>
          <w:highlight w:val="none"/>
        </w:rPr>
      </w:pPr>
    </w:p>
    <w:p w14:paraId="67BD4628">
      <w:pPr>
        <w:pStyle w:val="8"/>
        <w:rPr>
          <w:rFonts w:hint="eastAsia"/>
          <w:color w:val="auto"/>
          <w:highlight w:val="none"/>
        </w:rPr>
      </w:pPr>
    </w:p>
    <w:p w14:paraId="4E950B60">
      <w:pPr>
        <w:pStyle w:val="8"/>
        <w:rPr>
          <w:color w:val="auto"/>
          <w:highlight w:val="none"/>
        </w:rPr>
      </w:pPr>
    </w:p>
    <w:p w14:paraId="27728AC5">
      <w:pPr>
        <w:pStyle w:val="8"/>
        <w:rPr>
          <w:color w:val="auto"/>
          <w:highlight w:val="none"/>
        </w:rPr>
      </w:pPr>
    </w:p>
    <w:p w14:paraId="48AB6C74">
      <w:pPr>
        <w:pStyle w:val="8"/>
        <w:ind w:firstLine="1590"/>
        <w:rPr>
          <w:b/>
          <w:color w:val="auto"/>
          <w:sz w:val="32"/>
          <w:szCs w:val="32"/>
          <w:highlight w:val="none"/>
          <w:u w:val="single"/>
        </w:rPr>
      </w:pPr>
      <w:r>
        <w:rPr>
          <w:rFonts w:hint="eastAsia"/>
          <w:b/>
          <w:color w:val="auto"/>
          <w:sz w:val="32"/>
          <w:szCs w:val="32"/>
          <w:highlight w:val="none"/>
        </w:rPr>
        <w:t>合同名称：</w:t>
      </w:r>
      <w:r>
        <w:rPr>
          <w:rFonts w:hint="eastAsia"/>
          <w:b/>
          <w:color w:val="auto"/>
          <w:sz w:val="32"/>
          <w:szCs w:val="32"/>
          <w:highlight w:val="none"/>
          <w:u w:val="single"/>
        </w:rPr>
        <w:t xml:space="preserve">                    </w:t>
      </w:r>
    </w:p>
    <w:p w14:paraId="639DD176">
      <w:pPr>
        <w:pStyle w:val="8"/>
        <w:ind w:firstLine="1590"/>
        <w:rPr>
          <w:b/>
          <w:color w:val="auto"/>
          <w:sz w:val="32"/>
          <w:szCs w:val="32"/>
          <w:highlight w:val="none"/>
          <w:u w:val="single"/>
        </w:rPr>
      </w:pPr>
      <w:r>
        <w:rPr>
          <w:rFonts w:hint="eastAsia"/>
          <w:b/>
          <w:color w:val="auto"/>
          <w:sz w:val="32"/>
          <w:szCs w:val="32"/>
          <w:highlight w:val="none"/>
        </w:rPr>
        <w:t>合同编号：</w:t>
      </w:r>
      <w:r>
        <w:rPr>
          <w:rFonts w:hint="eastAsia"/>
          <w:b/>
          <w:color w:val="auto"/>
          <w:sz w:val="32"/>
          <w:szCs w:val="32"/>
          <w:highlight w:val="none"/>
          <w:u w:val="single"/>
        </w:rPr>
        <w:t xml:space="preserve">                    </w:t>
      </w:r>
    </w:p>
    <w:p w14:paraId="5D8424FC">
      <w:pPr>
        <w:pStyle w:val="8"/>
        <w:jc w:val="center"/>
        <w:rPr>
          <w:color w:val="auto"/>
          <w:highlight w:val="none"/>
        </w:rPr>
      </w:pPr>
    </w:p>
    <w:p w14:paraId="5752FBA6">
      <w:pPr>
        <w:pStyle w:val="8"/>
        <w:jc w:val="center"/>
        <w:rPr>
          <w:rFonts w:hint="eastAsia"/>
          <w:color w:val="auto"/>
          <w:highlight w:val="none"/>
        </w:rPr>
      </w:pPr>
    </w:p>
    <w:p w14:paraId="5209EE5B">
      <w:pPr>
        <w:pStyle w:val="8"/>
        <w:jc w:val="center"/>
        <w:rPr>
          <w:rFonts w:hint="eastAsia"/>
          <w:color w:val="auto"/>
          <w:highlight w:val="none"/>
        </w:rPr>
      </w:pPr>
    </w:p>
    <w:p w14:paraId="4C531C74">
      <w:pPr>
        <w:pStyle w:val="8"/>
        <w:jc w:val="center"/>
        <w:rPr>
          <w:color w:val="auto"/>
          <w:highlight w:val="none"/>
        </w:rPr>
      </w:pPr>
    </w:p>
    <w:p w14:paraId="036E5CB6">
      <w:pPr>
        <w:pStyle w:val="8"/>
        <w:jc w:val="center"/>
        <w:rPr>
          <w:color w:val="auto"/>
          <w:highlight w:val="none"/>
        </w:rPr>
      </w:pPr>
    </w:p>
    <w:p w14:paraId="3B67E76B">
      <w:pPr>
        <w:pStyle w:val="8"/>
        <w:spacing w:line="340" w:lineRule="exact"/>
        <w:ind w:firstLine="1590"/>
        <w:rPr>
          <w:b/>
          <w:color w:val="auto"/>
          <w:sz w:val="32"/>
          <w:szCs w:val="32"/>
          <w:highlight w:val="none"/>
        </w:rPr>
      </w:pPr>
      <w:r>
        <w:rPr>
          <w:rFonts w:hint="eastAsia"/>
          <w:b/>
          <w:color w:val="auto"/>
          <w:sz w:val="32"/>
          <w:szCs w:val="32"/>
          <w:highlight w:val="none"/>
        </w:rPr>
        <w:t>采购人（甲方）</w:t>
      </w:r>
      <w:r>
        <w:rPr>
          <w:rFonts w:hint="eastAsia"/>
          <w:b/>
          <w:color w:val="auto"/>
          <w:sz w:val="32"/>
          <w:szCs w:val="32"/>
          <w:highlight w:val="none"/>
          <w:u w:val="single"/>
        </w:rPr>
        <w:t xml:space="preserve">                    </w:t>
      </w:r>
    </w:p>
    <w:p w14:paraId="7E521E98">
      <w:pPr>
        <w:pStyle w:val="8"/>
        <w:spacing w:line="340" w:lineRule="exact"/>
        <w:ind w:firstLine="1590"/>
        <w:rPr>
          <w:b/>
          <w:color w:val="auto"/>
          <w:sz w:val="32"/>
          <w:szCs w:val="32"/>
          <w:highlight w:val="none"/>
        </w:rPr>
      </w:pPr>
    </w:p>
    <w:p w14:paraId="5DFD5AF7">
      <w:pPr>
        <w:pStyle w:val="8"/>
        <w:spacing w:line="340" w:lineRule="exact"/>
        <w:ind w:firstLine="1590"/>
        <w:rPr>
          <w:b/>
          <w:color w:val="auto"/>
          <w:sz w:val="32"/>
          <w:szCs w:val="32"/>
          <w:highlight w:val="none"/>
          <w:u w:val="single"/>
        </w:rPr>
      </w:pPr>
      <w:r>
        <w:rPr>
          <w:rFonts w:hint="default"/>
          <w:b/>
          <w:color w:val="auto"/>
          <w:sz w:val="32"/>
          <w:szCs w:val="32"/>
          <w:highlight w:val="none"/>
          <w:lang w:val="en-US"/>
        </w:rPr>
        <w:t>住   所</w:t>
      </w:r>
      <w:r>
        <w:rPr>
          <w:rFonts w:hint="eastAsia"/>
          <w:b/>
          <w:color w:val="auto"/>
          <w:sz w:val="32"/>
          <w:szCs w:val="32"/>
          <w:highlight w:val="none"/>
        </w:rPr>
        <w:t>：</w:t>
      </w:r>
      <w:r>
        <w:rPr>
          <w:rFonts w:hint="eastAsia"/>
          <w:b/>
          <w:color w:val="auto"/>
          <w:sz w:val="32"/>
          <w:szCs w:val="32"/>
          <w:highlight w:val="none"/>
          <w:u w:val="single"/>
        </w:rPr>
        <w:t xml:space="preserve">                          </w:t>
      </w:r>
    </w:p>
    <w:p w14:paraId="65567E43">
      <w:pPr>
        <w:pStyle w:val="8"/>
        <w:spacing w:line="340" w:lineRule="exact"/>
        <w:ind w:firstLine="1590"/>
        <w:rPr>
          <w:b/>
          <w:color w:val="auto"/>
          <w:sz w:val="32"/>
          <w:szCs w:val="32"/>
          <w:highlight w:val="none"/>
        </w:rPr>
      </w:pPr>
    </w:p>
    <w:p w14:paraId="13601193">
      <w:pPr>
        <w:pStyle w:val="8"/>
        <w:spacing w:line="340" w:lineRule="exact"/>
        <w:ind w:firstLine="1590"/>
        <w:rPr>
          <w:b/>
          <w:color w:val="auto"/>
          <w:sz w:val="32"/>
          <w:szCs w:val="32"/>
          <w:highlight w:val="none"/>
        </w:rPr>
      </w:pPr>
      <w:r>
        <w:rPr>
          <w:rFonts w:hint="eastAsia"/>
          <w:b/>
          <w:color w:val="auto"/>
          <w:sz w:val="32"/>
          <w:szCs w:val="32"/>
          <w:highlight w:val="none"/>
        </w:rPr>
        <w:t>供 应 商（乙方）</w:t>
      </w:r>
      <w:r>
        <w:rPr>
          <w:rFonts w:hint="eastAsia"/>
          <w:b/>
          <w:color w:val="auto"/>
          <w:sz w:val="32"/>
          <w:szCs w:val="32"/>
          <w:highlight w:val="none"/>
          <w:u w:val="single"/>
        </w:rPr>
        <w:t xml:space="preserve">                   </w:t>
      </w:r>
    </w:p>
    <w:p w14:paraId="7AB713D5">
      <w:pPr>
        <w:pStyle w:val="8"/>
        <w:spacing w:line="340" w:lineRule="exact"/>
        <w:ind w:firstLine="1039"/>
        <w:rPr>
          <w:color w:val="auto"/>
          <w:highlight w:val="none"/>
        </w:rPr>
      </w:pPr>
      <w:r>
        <w:rPr>
          <w:rFonts w:hint="eastAsia"/>
          <w:color w:val="auto"/>
          <w:highlight w:val="none"/>
        </w:rPr>
        <w:t xml:space="preserve">     </w:t>
      </w:r>
    </w:p>
    <w:p w14:paraId="2A59F24E">
      <w:pPr>
        <w:pStyle w:val="8"/>
        <w:spacing w:line="340" w:lineRule="exact"/>
        <w:ind w:firstLine="1590"/>
        <w:rPr>
          <w:b/>
          <w:color w:val="auto"/>
          <w:sz w:val="32"/>
          <w:szCs w:val="32"/>
          <w:highlight w:val="none"/>
          <w:u w:val="single"/>
        </w:rPr>
      </w:pPr>
      <w:r>
        <w:rPr>
          <w:rFonts w:hint="default"/>
          <w:b/>
          <w:color w:val="auto"/>
          <w:sz w:val="32"/>
          <w:szCs w:val="32"/>
          <w:highlight w:val="none"/>
          <w:lang w:val="en-US"/>
        </w:rPr>
        <w:t>住   所</w:t>
      </w:r>
      <w:r>
        <w:rPr>
          <w:rFonts w:hint="eastAsia"/>
          <w:b/>
          <w:color w:val="auto"/>
          <w:sz w:val="32"/>
          <w:szCs w:val="32"/>
          <w:highlight w:val="none"/>
        </w:rPr>
        <w:t>：</w:t>
      </w:r>
      <w:r>
        <w:rPr>
          <w:rFonts w:hint="eastAsia"/>
          <w:b/>
          <w:color w:val="auto"/>
          <w:sz w:val="32"/>
          <w:szCs w:val="32"/>
          <w:highlight w:val="none"/>
          <w:u w:val="single"/>
        </w:rPr>
        <w:t xml:space="preserve">                          </w:t>
      </w:r>
    </w:p>
    <w:p w14:paraId="265F357C">
      <w:pPr>
        <w:pStyle w:val="8"/>
        <w:rPr>
          <w:color w:val="auto"/>
          <w:highlight w:val="none"/>
        </w:rPr>
      </w:pPr>
    </w:p>
    <w:p w14:paraId="51BC8E1F">
      <w:pPr>
        <w:pStyle w:val="8"/>
        <w:jc w:val="center"/>
        <w:rPr>
          <w:color w:val="auto"/>
          <w:highlight w:val="none"/>
        </w:rPr>
      </w:pPr>
    </w:p>
    <w:p w14:paraId="6B993848">
      <w:pPr>
        <w:pStyle w:val="8"/>
        <w:jc w:val="center"/>
        <w:rPr>
          <w:rFonts w:hint="eastAsia"/>
          <w:color w:val="auto"/>
          <w:highlight w:val="none"/>
        </w:rPr>
      </w:pPr>
    </w:p>
    <w:p w14:paraId="2CB8269C">
      <w:pPr>
        <w:pStyle w:val="8"/>
        <w:jc w:val="center"/>
        <w:rPr>
          <w:rFonts w:hint="eastAsia"/>
          <w:color w:val="auto"/>
          <w:highlight w:val="none"/>
        </w:rPr>
      </w:pPr>
    </w:p>
    <w:p w14:paraId="52E02203">
      <w:pPr>
        <w:pStyle w:val="8"/>
        <w:jc w:val="center"/>
        <w:rPr>
          <w:rFonts w:hint="eastAsia"/>
          <w:color w:val="auto"/>
          <w:highlight w:val="none"/>
        </w:rPr>
      </w:pPr>
    </w:p>
    <w:p w14:paraId="5F32ED6D">
      <w:pPr>
        <w:pStyle w:val="8"/>
        <w:jc w:val="center"/>
        <w:rPr>
          <w:color w:val="auto"/>
          <w:highlight w:val="none"/>
        </w:rPr>
      </w:pPr>
    </w:p>
    <w:p w14:paraId="67D3EB9C">
      <w:pPr>
        <w:pStyle w:val="8"/>
        <w:jc w:val="center"/>
        <w:rPr>
          <w:color w:val="auto"/>
          <w:highlight w:val="none"/>
        </w:rPr>
      </w:pPr>
    </w:p>
    <w:p w14:paraId="1E242104">
      <w:pPr>
        <w:pStyle w:val="8"/>
        <w:ind w:firstLine="1590"/>
        <w:rPr>
          <w:b/>
          <w:color w:val="auto"/>
          <w:sz w:val="32"/>
          <w:szCs w:val="32"/>
          <w:highlight w:val="none"/>
          <w:u w:val="single"/>
        </w:rPr>
      </w:pPr>
      <w:r>
        <w:rPr>
          <w:rFonts w:hint="eastAsia"/>
          <w:b/>
          <w:color w:val="auto"/>
          <w:sz w:val="32"/>
          <w:szCs w:val="32"/>
          <w:highlight w:val="none"/>
        </w:rPr>
        <w:t>签订合同地点：</w:t>
      </w:r>
      <w:r>
        <w:rPr>
          <w:rFonts w:hint="eastAsia"/>
          <w:b/>
          <w:color w:val="auto"/>
          <w:sz w:val="32"/>
          <w:szCs w:val="32"/>
          <w:highlight w:val="none"/>
          <w:u w:val="single"/>
        </w:rPr>
        <w:t xml:space="preserve">                    </w:t>
      </w:r>
    </w:p>
    <w:p w14:paraId="4F545F8F">
      <w:pPr>
        <w:pStyle w:val="8"/>
        <w:ind w:firstLine="1590"/>
        <w:rPr>
          <w:b/>
          <w:color w:val="auto"/>
          <w:sz w:val="32"/>
          <w:szCs w:val="32"/>
          <w:highlight w:val="none"/>
        </w:rPr>
      </w:pPr>
      <w:r>
        <w:rPr>
          <w:rFonts w:hint="eastAsia"/>
          <w:b/>
          <w:color w:val="auto"/>
          <w:sz w:val="32"/>
          <w:szCs w:val="32"/>
          <w:highlight w:val="none"/>
        </w:rPr>
        <w:t>签订合同时间：</w:t>
      </w:r>
      <w:r>
        <w:rPr>
          <w:rFonts w:hint="eastAsia"/>
          <w:b/>
          <w:color w:val="auto"/>
          <w:sz w:val="32"/>
          <w:szCs w:val="32"/>
          <w:highlight w:val="none"/>
          <w:u w:val="single"/>
        </w:rPr>
        <w:t xml:space="preserve">                    </w:t>
      </w:r>
    </w:p>
    <w:p w14:paraId="4DA01FDC">
      <w:pPr>
        <w:pStyle w:val="8"/>
        <w:jc w:val="center"/>
        <w:rPr>
          <w:color w:val="auto"/>
          <w:highlight w:val="none"/>
        </w:rPr>
      </w:pPr>
      <w:r>
        <w:rPr>
          <w:rFonts w:hint="eastAsia"/>
          <w:color w:val="auto"/>
          <w:highlight w:val="none"/>
        </w:rPr>
        <w:t xml:space="preserve"> </w:t>
      </w:r>
    </w:p>
    <w:p w14:paraId="4D82E06E">
      <w:pPr>
        <w:pStyle w:val="8"/>
        <w:jc w:val="center"/>
        <w:rPr>
          <w:rFonts w:hint="eastAsia"/>
          <w:color w:val="auto"/>
          <w:highlight w:val="none"/>
        </w:rPr>
      </w:pPr>
    </w:p>
    <w:p w14:paraId="6B19E1A4">
      <w:pPr>
        <w:pStyle w:val="8"/>
        <w:jc w:val="center"/>
        <w:rPr>
          <w:rFonts w:hint="eastAsia"/>
          <w:color w:val="auto"/>
          <w:highlight w:val="none"/>
        </w:rPr>
      </w:pPr>
    </w:p>
    <w:p w14:paraId="3EDC3CA6">
      <w:pPr>
        <w:pStyle w:val="8"/>
        <w:jc w:val="center"/>
        <w:rPr>
          <w:rFonts w:hint="eastAsia"/>
          <w:color w:val="auto"/>
          <w:highlight w:val="none"/>
        </w:rPr>
      </w:pPr>
    </w:p>
    <w:p w14:paraId="1F7B5FFB">
      <w:pPr>
        <w:pStyle w:val="8"/>
        <w:jc w:val="center"/>
        <w:rPr>
          <w:color w:val="auto"/>
          <w:highlight w:val="none"/>
        </w:rPr>
      </w:pPr>
    </w:p>
    <w:p w14:paraId="7F3AA888">
      <w:pPr>
        <w:pStyle w:val="8"/>
        <w:rPr>
          <w:color w:val="auto"/>
          <w:highlight w:val="none"/>
        </w:rPr>
      </w:pPr>
    </w:p>
    <w:p w14:paraId="3C72ED3E">
      <w:pPr>
        <w:pStyle w:val="8"/>
        <w:jc w:val="center"/>
        <w:rPr>
          <w:color w:val="auto"/>
          <w:highlight w:val="none"/>
        </w:rPr>
      </w:pPr>
    </w:p>
    <w:p w14:paraId="16A35A5D">
      <w:pPr>
        <w:pStyle w:val="8"/>
        <w:jc w:val="center"/>
        <w:rPr>
          <w:rFonts w:hint="eastAsia"/>
          <w:color w:val="auto"/>
          <w:highlight w:val="none"/>
        </w:rPr>
      </w:pPr>
      <w:r>
        <w:rPr>
          <w:rFonts w:hint="eastAsia"/>
          <w:color w:val="auto"/>
          <w:highlight w:val="none"/>
        </w:rPr>
        <w:t>合同使用说明：根据《中华人民共和国政府采购法》、《中华人民共和国民法典》等法律、法规规定，</w:t>
      </w:r>
    </w:p>
    <w:p w14:paraId="6D86D5B7">
      <w:pPr>
        <w:pStyle w:val="8"/>
        <w:jc w:val="center"/>
        <w:rPr>
          <w:color w:val="auto"/>
          <w:highlight w:val="none"/>
        </w:rPr>
      </w:pPr>
      <w:r>
        <w:rPr>
          <w:rFonts w:hint="eastAsia"/>
          <w:color w:val="auto"/>
          <w:highlight w:val="none"/>
        </w:rPr>
        <w:t>按照竞争性谈判文件规定条款和成交供应商竞争性谈判响应文件及其承诺，甲乙双方签订本合同。</w:t>
      </w:r>
    </w:p>
    <w:p w14:paraId="2B24ED1F">
      <w:pPr>
        <w:spacing w:line="300" w:lineRule="auto"/>
        <w:ind w:left="420" w:hanging="420"/>
        <w:jc w:val="center"/>
        <w:rPr>
          <w:rFonts w:ascii="黑体" w:hAnsi="黑体" w:eastAsia="黑体"/>
          <w:b/>
          <w:color w:val="auto"/>
          <w:sz w:val="32"/>
          <w:szCs w:val="32"/>
          <w:highlight w:val="none"/>
        </w:rPr>
      </w:pPr>
    </w:p>
    <w:p w14:paraId="4EF74205">
      <w:pPr>
        <w:snapToGrid w:val="0"/>
        <w:spacing w:line="400" w:lineRule="exact"/>
        <w:rPr>
          <w:rFonts w:hint="eastAsia" w:ascii="宋体" w:hAnsi="宋体"/>
          <w:b/>
          <w:color w:val="auto"/>
          <w:spacing w:val="4"/>
          <w:szCs w:val="21"/>
          <w:highlight w:val="none"/>
        </w:rPr>
      </w:pPr>
    </w:p>
    <w:p w14:paraId="2685CAA9">
      <w:pPr>
        <w:pageBreakBefore/>
        <w:spacing w:line="300" w:lineRule="auto"/>
        <w:ind w:left="420" w:hanging="420"/>
        <w:jc w:val="center"/>
        <w:rPr>
          <w:rFonts w:hint="eastAsia" w:ascii="黑体" w:hAnsi="宋体" w:eastAsia="黑体"/>
          <w:b/>
          <w:color w:val="auto"/>
          <w:kern w:val="0"/>
          <w:sz w:val="32"/>
          <w:szCs w:val="32"/>
          <w:highlight w:val="none"/>
        </w:rPr>
      </w:pPr>
      <w:r>
        <w:rPr>
          <w:rFonts w:hint="eastAsia" w:ascii="黑体" w:hAnsi="宋体" w:eastAsia="黑体"/>
          <w:b/>
          <w:color w:val="auto"/>
          <w:kern w:val="0"/>
          <w:sz w:val="32"/>
          <w:szCs w:val="32"/>
          <w:highlight w:val="none"/>
        </w:rPr>
        <w:t>采购合同文本</w:t>
      </w:r>
    </w:p>
    <w:p w14:paraId="012576C1">
      <w:pPr>
        <w:snapToGrid w:val="0"/>
        <w:spacing w:line="400" w:lineRule="exact"/>
        <w:jc w:val="center"/>
        <w:rPr>
          <w:rFonts w:hint="eastAsia" w:ascii="宋体" w:hAnsi="宋体"/>
          <w:b/>
          <w:bCs/>
          <w:color w:val="auto"/>
          <w:szCs w:val="21"/>
          <w:highlight w:val="none"/>
        </w:rPr>
      </w:pPr>
      <w:r>
        <w:rPr>
          <w:rFonts w:hint="eastAsia" w:ascii="宋体" w:hAnsi="宋体"/>
          <w:b/>
          <w:bCs/>
          <w:color w:val="auto"/>
          <w:szCs w:val="21"/>
          <w:highlight w:val="none"/>
        </w:rPr>
        <w:t>广西壮族自治区政府采购合同</w:t>
      </w:r>
    </w:p>
    <w:p w14:paraId="13F93186">
      <w:pPr>
        <w:snapToGrid w:val="0"/>
        <w:spacing w:line="400" w:lineRule="exact"/>
        <w:ind w:right="480" w:firstLine="6615" w:firstLineChars="3150"/>
        <w:rPr>
          <w:rFonts w:hint="eastAsia" w:ascii="宋体" w:hAnsi="宋体"/>
          <w:bCs/>
          <w:color w:val="auto"/>
          <w:szCs w:val="21"/>
          <w:highlight w:val="none"/>
          <w:u w:val="single"/>
        </w:rPr>
      </w:pPr>
      <w:r>
        <w:rPr>
          <w:rFonts w:hint="eastAsia" w:ascii="宋体" w:hAnsi="宋体"/>
          <w:bCs/>
          <w:color w:val="auto"/>
          <w:szCs w:val="21"/>
          <w:highlight w:val="none"/>
        </w:rPr>
        <w:t>合同编号：</w:t>
      </w:r>
    </w:p>
    <w:p w14:paraId="3499332D">
      <w:pPr>
        <w:snapToGrid w:val="0"/>
        <w:spacing w:line="400" w:lineRule="exact"/>
        <w:rPr>
          <w:rFonts w:hint="eastAsia" w:ascii="宋体" w:hAnsi="宋体"/>
          <w:color w:val="auto"/>
          <w:szCs w:val="21"/>
          <w:highlight w:val="none"/>
        </w:rPr>
      </w:pPr>
    </w:p>
    <w:p w14:paraId="246072B1">
      <w:pPr>
        <w:snapToGrid w:val="0"/>
        <w:spacing w:line="400" w:lineRule="exact"/>
        <w:rPr>
          <w:rFonts w:ascii="宋体" w:hAnsi="宋体"/>
          <w:color w:val="auto"/>
          <w:szCs w:val="21"/>
          <w:highlight w:val="none"/>
          <w:u w:val="single"/>
        </w:rPr>
      </w:pPr>
      <w:r>
        <w:rPr>
          <w:rFonts w:hint="eastAsia" w:ascii="宋体" w:hAnsi="宋体"/>
          <w:color w:val="auto"/>
          <w:szCs w:val="21"/>
          <w:highlight w:val="none"/>
        </w:rPr>
        <w:t xml:space="preserve">    采购人（甲方）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采 购 计 划 号</w:t>
      </w:r>
      <w:r>
        <w:rPr>
          <w:rFonts w:hint="eastAsia" w:ascii="宋体" w:hAnsi="宋体"/>
          <w:color w:val="auto"/>
          <w:szCs w:val="21"/>
          <w:highlight w:val="none"/>
          <w:u w:val="single"/>
        </w:rPr>
        <w:t xml:space="preserve">                             </w:t>
      </w:r>
    </w:p>
    <w:p w14:paraId="1DD0C55B">
      <w:pPr>
        <w:snapToGrid w:val="0"/>
        <w:spacing w:line="400" w:lineRule="exact"/>
        <w:rPr>
          <w:rFonts w:ascii="宋体" w:hAnsi="宋体"/>
          <w:color w:val="auto"/>
          <w:szCs w:val="21"/>
          <w:highlight w:val="none"/>
          <w:u w:val="single"/>
        </w:rPr>
      </w:pPr>
      <w:r>
        <w:rPr>
          <w:rFonts w:hint="eastAsia" w:ascii="宋体" w:hAnsi="宋体"/>
          <w:color w:val="auto"/>
          <w:szCs w:val="21"/>
          <w:highlight w:val="none"/>
        </w:rPr>
        <w:t xml:space="preserve">    供 应 商（乙方）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项目名称和</w:t>
      </w:r>
      <w:r>
        <w:rPr>
          <w:rFonts w:hint="eastAsia" w:ascii="宋体" w:hAnsi="宋体"/>
          <w:color w:val="auto"/>
          <w:spacing w:val="-20"/>
          <w:szCs w:val="21"/>
          <w:highlight w:val="none"/>
        </w:rPr>
        <w:t>项目编号</w:t>
      </w:r>
      <w:r>
        <w:rPr>
          <w:rFonts w:hint="eastAsia" w:ascii="宋体" w:hAnsi="宋体"/>
          <w:color w:val="auto"/>
          <w:szCs w:val="21"/>
          <w:highlight w:val="none"/>
          <w:u w:val="single"/>
        </w:rPr>
        <w:t xml:space="preserve">                       </w:t>
      </w:r>
    </w:p>
    <w:p w14:paraId="69F1B11A">
      <w:pPr>
        <w:snapToGrid w:val="0"/>
        <w:spacing w:line="400" w:lineRule="exact"/>
        <w:rPr>
          <w:rFonts w:ascii="宋体" w:hAnsi="宋体"/>
          <w:color w:val="auto"/>
          <w:szCs w:val="21"/>
          <w:highlight w:val="none"/>
          <w:u w:val="single"/>
        </w:rPr>
      </w:pPr>
      <w:r>
        <w:rPr>
          <w:rFonts w:hint="eastAsia" w:ascii="宋体" w:hAnsi="宋体"/>
          <w:color w:val="auto"/>
          <w:szCs w:val="21"/>
          <w:highlight w:val="none"/>
        </w:rPr>
        <w:t xml:space="preserve">    签  订  地  点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 订 时 间</w:t>
      </w:r>
      <w:r>
        <w:rPr>
          <w:rFonts w:hint="eastAsia" w:ascii="宋体" w:hAnsi="宋体"/>
          <w:color w:val="auto"/>
          <w:szCs w:val="21"/>
          <w:highlight w:val="none"/>
          <w:u w:val="single"/>
        </w:rPr>
        <w:t xml:space="preserve">                             </w:t>
      </w:r>
    </w:p>
    <w:p w14:paraId="2F98D9BD">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根据《中华人民共和国政府采购法》、《</w:t>
      </w:r>
      <w:r>
        <w:rPr>
          <w:color w:val="auto"/>
          <w:szCs w:val="21"/>
          <w:highlight w:val="none"/>
        </w:rPr>
        <w:t>中华人民共和国民法典</w:t>
      </w:r>
      <w:r>
        <w:rPr>
          <w:rFonts w:hint="eastAsia" w:ascii="宋体" w:hAnsi="宋体"/>
          <w:color w:val="auto"/>
          <w:szCs w:val="21"/>
          <w:highlight w:val="none"/>
        </w:rPr>
        <w:t>》等法律、法规规定，按照竞争性谈判文件（以下简称“谈判文件”）规定条款和成交供应商竞争性谈判响应文件（以下简称“响应文件”）及其承诺，甲乙双方签订本合同。</w:t>
      </w:r>
    </w:p>
    <w:p w14:paraId="24F77830">
      <w:pPr>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第一条　合同标的</w:t>
      </w:r>
    </w:p>
    <w:p w14:paraId="32CEA59F">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1、供货一览表</w:t>
      </w:r>
    </w:p>
    <w:tbl>
      <w:tblPr>
        <w:tblStyle w:val="14"/>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1304"/>
        <w:gridCol w:w="1081"/>
        <w:gridCol w:w="1194"/>
        <w:gridCol w:w="1193"/>
        <w:gridCol w:w="672"/>
        <w:gridCol w:w="1080"/>
        <w:gridCol w:w="1080"/>
        <w:gridCol w:w="1440"/>
      </w:tblGrid>
      <w:tr w14:paraId="12A5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0" w:type="auto"/>
            <w:noWrap w:val="0"/>
            <w:vAlign w:val="center"/>
          </w:tcPr>
          <w:p w14:paraId="54380926">
            <w:pPr>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1304" w:type="dxa"/>
            <w:noWrap w:val="0"/>
            <w:vAlign w:val="center"/>
          </w:tcPr>
          <w:p w14:paraId="67553734">
            <w:pPr>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产品</w:t>
            </w:r>
          </w:p>
          <w:p w14:paraId="7FFC92F1">
            <w:pPr>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名称</w:t>
            </w:r>
          </w:p>
        </w:tc>
        <w:tc>
          <w:tcPr>
            <w:tcW w:w="1081" w:type="dxa"/>
            <w:noWrap w:val="0"/>
            <w:vAlign w:val="center"/>
          </w:tcPr>
          <w:p w14:paraId="0F4A0226">
            <w:pPr>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商标</w:t>
            </w:r>
          </w:p>
          <w:p w14:paraId="4E2D63B9">
            <w:pPr>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品牌</w:t>
            </w:r>
          </w:p>
        </w:tc>
        <w:tc>
          <w:tcPr>
            <w:tcW w:w="1194" w:type="dxa"/>
            <w:noWrap w:val="0"/>
            <w:vAlign w:val="center"/>
          </w:tcPr>
          <w:p w14:paraId="131ACF6D">
            <w:pPr>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规格</w:t>
            </w:r>
          </w:p>
          <w:p w14:paraId="00462054">
            <w:pPr>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型号</w:t>
            </w:r>
          </w:p>
        </w:tc>
        <w:tc>
          <w:tcPr>
            <w:tcW w:w="1193" w:type="dxa"/>
            <w:noWrap w:val="0"/>
            <w:vAlign w:val="center"/>
          </w:tcPr>
          <w:p w14:paraId="0D412FC3">
            <w:pPr>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生产</w:t>
            </w:r>
          </w:p>
          <w:p w14:paraId="44ED2003">
            <w:pPr>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厂家</w:t>
            </w:r>
          </w:p>
        </w:tc>
        <w:tc>
          <w:tcPr>
            <w:tcW w:w="672" w:type="dxa"/>
            <w:noWrap w:val="0"/>
            <w:vAlign w:val="center"/>
          </w:tcPr>
          <w:p w14:paraId="620EC901">
            <w:pPr>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数  量</w:t>
            </w:r>
          </w:p>
        </w:tc>
        <w:tc>
          <w:tcPr>
            <w:tcW w:w="1080" w:type="dxa"/>
            <w:noWrap w:val="0"/>
            <w:vAlign w:val="center"/>
          </w:tcPr>
          <w:p w14:paraId="6D13F7A7">
            <w:pPr>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单位</w:t>
            </w:r>
          </w:p>
        </w:tc>
        <w:tc>
          <w:tcPr>
            <w:tcW w:w="1080" w:type="dxa"/>
            <w:noWrap w:val="0"/>
            <w:vAlign w:val="center"/>
          </w:tcPr>
          <w:p w14:paraId="7845AA0A">
            <w:pPr>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单  价</w:t>
            </w:r>
          </w:p>
          <w:p w14:paraId="3DC9E875">
            <w:pPr>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（元）</w:t>
            </w:r>
          </w:p>
        </w:tc>
        <w:tc>
          <w:tcPr>
            <w:tcW w:w="1440" w:type="dxa"/>
            <w:noWrap w:val="0"/>
            <w:vAlign w:val="center"/>
          </w:tcPr>
          <w:p w14:paraId="4DDC29A8">
            <w:pPr>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金  额</w:t>
            </w:r>
          </w:p>
          <w:p w14:paraId="3DED22A2">
            <w:pPr>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（元）</w:t>
            </w:r>
          </w:p>
        </w:tc>
      </w:tr>
      <w:tr w14:paraId="41794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540" w:type="dxa"/>
            <w:gridSpan w:val="9"/>
            <w:noWrap w:val="0"/>
            <w:vAlign w:val="center"/>
          </w:tcPr>
          <w:p w14:paraId="7D0E130D">
            <w:pPr>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详细内容见报价表</w:t>
            </w:r>
          </w:p>
        </w:tc>
      </w:tr>
      <w:tr w14:paraId="6A837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540" w:type="dxa"/>
            <w:gridSpan w:val="9"/>
            <w:noWrap w:val="0"/>
            <w:vAlign w:val="center"/>
          </w:tcPr>
          <w:p w14:paraId="74BCE97C">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 xml:space="preserve">人民币合计金额（大写）                          （小写）                 </w:t>
            </w:r>
          </w:p>
        </w:tc>
      </w:tr>
    </w:tbl>
    <w:p w14:paraId="511E385F">
      <w:pPr>
        <w:keepNext w:val="0"/>
        <w:keepLines w:val="0"/>
        <w:pageBreakBefore w:val="0"/>
        <w:widowControl w:val="0"/>
        <w:kinsoku/>
        <w:wordWrap/>
        <w:overflowPunct/>
        <w:topLinePunct w:val="0"/>
        <w:autoSpaceDE/>
        <w:autoSpaceDN/>
        <w:bidi w:val="0"/>
        <w:adjustRightInd/>
        <w:snapToGrid w:val="0"/>
        <w:spacing w:line="400" w:lineRule="exact"/>
        <w:ind w:right="42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2、合同合计金额包括货物价款，备件、专用工具、安装、调试、检验、技术培训及技术资料和包装、运输等全部费用。如谈判文件、响应文件对其另有规定的，从其规定。</w:t>
      </w:r>
    </w:p>
    <w:p w14:paraId="3BA7E1BE">
      <w:pPr>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第二条　质量保证</w:t>
      </w:r>
    </w:p>
    <w:p w14:paraId="4BA7C563">
      <w:pPr>
        <w:keepNext w:val="0"/>
        <w:keepLines w:val="0"/>
        <w:pageBreakBefore w:val="0"/>
        <w:widowControl w:val="0"/>
        <w:kinsoku/>
        <w:wordWrap/>
        <w:overflowPunct/>
        <w:topLinePunct w:val="0"/>
        <w:autoSpaceDE/>
        <w:autoSpaceDN/>
        <w:bidi w:val="0"/>
        <w:adjustRightInd/>
        <w:snapToGrid w:val="0"/>
        <w:spacing w:line="400" w:lineRule="exact"/>
        <w:ind w:right="42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1、乙方所提供的货物型号、技术规格、技术参数等质量必须与谈判文件、响应文件和承诺相一致。乙方提供的节能和环保产品必须是列入政府采购清单的产品。</w:t>
      </w:r>
    </w:p>
    <w:p w14:paraId="5C6A9D31">
      <w:pPr>
        <w:keepNext w:val="0"/>
        <w:keepLines w:val="0"/>
        <w:pageBreakBefore w:val="0"/>
        <w:widowControl w:val="0"/>
        <w:kinsoku/>
        <w:wordWrap/>
        <w:overflowPunct/>
        <w:topLinePunct w:val="0"/>
        <w:autoSpaceDE/>
        <w:autoSpaceDN/>
        <w:bidi w:val="0"/>
        <w:adjustRightInd/>
        <w:snapToGrid w:val="0"/>
        <w:spacing w:line="400" w:lineRule="exact"/>
        <w:ind w:right="42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2、乙方所提供的货物必须是全新、未经使用的原装产品，且在正常安装、使用和保养条件下，其使用寿命期内各项指标均达到质量要求。</w:t>
      </w:r>
    </w:p>
    <w:p w14:paraId="6D4162AB">
      <w:pPr>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第三条　权利保证</w:t>
      </w:r>
    </w:p>
    <w:p w14:paraId="6FA9A1AE">
      <w:pPr>
        <w:keepNext w:val="0"/>
        <w:keepLines w:val="0"/>
        <w:pageBreakBefore w:val="0"/>
        <w:widowControl w:val="0"/>
        <w:kinsoku/>
        <w:wordWrap/>
        <w:overflowPunct/>
        <w:topLinePunct w:val="0"/>
        <w:autoSpaceDE/>
        <w:autoSpaceDN/>
        <w:bidi w:val="0"/>
        <w:adjustRightInd/>
        <w:snapToGrid w:val="0"/>
        <w:spacing w:line="400" w:lineRule="exact"/>
        <w:ind w:right="42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乙方应保证所提供货物在使用时不会侵犯任何第三方的专利权、商标权、工业设计权或其他权利。</w:t>
      </w:r>
    </w:p>
    <w:p w14:paraId="1761CF1D">
      <w:pPr>
        <w:keepNext w:val="0"/>
        <w:keepLines w:val="0"/>
        <w:pageBreakBefore w:val="0"/>
        <w:widowControl w:val="0"/>
        <w:kinsoku/>
        <w:wordWrap/>
        <w:overflowPunct/>
        <w:topLinePunct w:val="0"/>
        <w:autoSpaceDE/>
        <w:autoSpaceDN/>
        <w:bidi w:val="0"/>
        <w:adjustRightInd/>
        <w:snapToGrid w:val="0"/>
        <w:spacing w:line="400" w:lineRule="exact"/>
        <w:ind w:right="42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乙方应按谈判文件规定的时间或响应文件承诺的时间向甲方提供使用货物的有关技术资料。</w:t>
      </w:r>
    </w:p>
    <w:p w14:paraId="2FFA2631">
      <w:pPr>
        <w:keepNext w:val="0"/>
        <w:keepLines w:val="0"/>
        <w:pageBreakBefore w:val="0"/>
        <w:widowControl w:val="0"/>
        <w:kinsoku/>
        <w:wordWrap/>
        <w:overflowPunct/>
        <w:topLinePunct w:val="0"/>
        <w:autoSpaceDE/>
        <w:autoSpaceDN/>
        <w:bidi w:val="0"/>
        <w:adjustRightInd/>
        <w:snapToGrid w:val="0"/>
        <w:spacing w:line="400" w:lineRule="exact"/>
        <w:ind w:right="42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DD02A9B">
      <w:pPr>
        <w:keepNext w:val="0"/>
        <w:keepLines w:val="0"/>
        <w:pageBreakBefore w:val="0"/>
        <w:widowControl w:val="0"/>
        <w:kinsoku/>
        <w:wordWrap/>
        <w:overflowPunct/>
        <w:topLinePunct w:val="0"/>
        <w:autoSpaceDE/>
        <w:autoSpaceDN/>
        <w:bidi w:val="0"/>
        <w:adjustRightInd/>
        <w:snapToGrid w:val="0"/>
        <w:spacing w:line="400" w:lineRule="exact"/>
        <w:ind w:right="42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乙方保证所交付的货物的所有权完全属于乙方且无任何抵押、质押、查封等产权瑕疵。</w:t>
      </w:r>
    </w:p>
    <w:p w14:paraId="3F1CED40">
      <w:pPr>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第四条　包装和运输</w:t>
      </w:r>
    </w:p>
    <w:p w14:paraId="3987FE7B">
      <w:pPr>
        <w:keepNext w:val="0"/>
        <w:keepLines w:val="0"/>
        <w:pageBreakBefore w:val="0"/>
        <w:widowControl w:val="0"/>
        <w:kinsoku/>
        <w:wordWrap/>
        <w:overflowPunct/>
        <w:topLinePunct w:val="0"/>
        <w:autoSpaceDE/>
        <w:autoSpaceDN/>
        <w:bidi w:val="0"/>
        <w:adjustRightInd/>
        <w:snapToGrid w:val="0"/>
        <w:spacing w:line="400" w:lineRule="exact"/>
        <w:ind w:right="42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1、乙方提供的货物均应按谈判文件、响应文件要求的包装材料、包装标准、包装方式进行包装，每一包装单元内应附详细的装箱单和质量合格证。</w:t>
      </w:r>
    </w:p>
    <w:p w14:paraId="091A34F3">
      <w:pPr>
        <w:keepNext w:val="0"/>
        <w:keepLines w:val="0"/>
        <w:pageBreakBefore w:val="0"/>
        <w:widowControl w:val="0"/>
        <w:kinsoku/>
        <w:wordWrap/>
        <w:overflowPunct/>
        <w:topLinePunct w:val="0"/>
        <w:autoSpaceDE/>
        <w:autoSpaceDN/>
        <w:bidi w:val="0"/>
        <w:adjustRightInd/>
        <w:snapToGrid w:val="0"/>
        <w:spacing w:line="400" w:lineRule="exact"/>
        <w:ind w:right="42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2、货物的运输方式：</w:t>
      </w:r>
      <w:r>
        <w:rPr>
          <w:rFonts w:hint="eastAsia" w:ascii="宋体" w:hAnsi="宋体"/>
          <w:color w:val="auto"/>
          <w:szCs w:val="21"/>
          <w:highlight w:val="none"/>
          <w:u w:val="single"/>
        </w:rPr>
        <w:t xml:space="preserve">  不限  </w:t>
      </w:r>
      <w:r>
        <w:rPr>
          <w:rFonts w:hint="eastAsia" w:ascii="宋体" w:hAnsi="宋体"/>
          <w:color w:val="auto"/>
          <w:szCs w:val="21"/>
          <w:highlight w:val="none"/>
        </w:rPr>
        <w:t>。</w:t>
      </w:r>
    </w:p>
    <w:p w14:paraId="603FD149">
      <w:pPr>
        <w:keepNext w:val="0"/>
        <w:keepLines w:val="0"/>
        <w:pageBreakBefore w:val="0"/>
        <w:widowControl w:val="0"/>
        <w:kinsoku/>
        <w:wordWrap/>
        <w:overflowPunct/>
        <w:topLinePunct w:val="0"/>
        <w:autoSpaceDE/>
        <w:autoSpaceDN/>
        <w:bidi w:val="0"/>
        <w:adjustRightInd/>
        <w:snapToGrid w:val="0"/>
        <w:spacing w:line="400" w:lineRule="exact"/>
        <w:ind w:right="420" w:firstLine="420" w:firstLineChars="200"/>
        <w:textAlignment w:val="auto"/>
        <w:rPr>
          <w:rFonts w:hint="eastAsia" w:ascii="宋体" w:hAnsi="宋体"/>
          <w:color w:val="auto"/>
          <w:szCs w:val="21"/>
          <w:highlight w:val="none"/>
          <w:u w:val="single"/>
        </w:rPr>
      </w:pPr>
      <w:r>
        <w:rPr>
          <w:rFonts w:hint="eastAsia" w:ascii="宋体" w:hAnsi="宋体"/>
          <w:color w:val="auto"/>
          <w:szCs w:val="21"/>
          <w:highlight w:val="none"/>
        </w:rPr>
        <w:t>3、乙方负责货物运输，货物运输合理损耗及计算方法： 货物运输保险费已包含在合同总价中，乙方须确保货物安全无损地运抵安装地点。本项目合同</w:t>
      </w:r>
      <w:r>
        <w:rPr>
          <w:rFonts w:hint="eastAsia" w:ascii="宋体" w:hAnsi="宋体"/>
          <w:color w:val="auto"/>
          <w:szCs w:val="21"/>
          <w:highlight w:val="none"/>
          <w:u w:val="single"/>
        </w:rPr>
        <w:t>不接受损耗</w:t>
      </w:r>
      <w:r>
        <w:rPr>
          <w:rFonts w:hint="eastAsia" w:ascii="宋体" w:hAnsi="宋体"/>
          <w:color w:val="auto"/>
          <w:szCs w:val="21"/>
          <w:highlight w:val="none"/>
        </w:rPr>
        <w:t>。</w:t>
      </w:r>
    </w:p>
    <w:p w14:paraId="7835DC3C">
      <w:pPr>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第五条　交付和验收</w:t>
      </w:r>
    </w:p>
    <w:p w14:paraId="58A567C9">
      <w:pPr>
        <w:keepNext w:val="0"/>
        <w:keepLines w:val="0"/>
        <w:pageBreakBefore w:val="0"/>
        <w:widowControl w:val="0"/>
        <w:kinsoku/>
        <w:wordWrap/>
        <w:overflowPunct/>
        <w:topLinePunct w:val="0"/>
        <w:autoSpaceDE/>
        <w:autoSpaceDN/>
        <w:bidi w:val="0"/>
        <w:adjustRightInd/>
        <w:snapToGrid w:val="0"/>
        <w:spacing w:line="400" w:lineRule="exact"/>
        <w:ind w:right="42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1、交付使用时间：</w:t>
      </w:r>
      <w:r>
        <w:rPr>
          <w:rFonts w:hint="eastAsia" w:ascii="宋体" w:hAnsi="宋体"/>
          <w:color w:val="auto"/>
          <w:szCs w:val="21"/>
          <w:highlight w:val="none"/>
          <w:u w:val="single"/>
        </w:rPr>
        <w:t xml:space="preserve">自签订合同之日起 </w:t>
      </w:r>
      <w:r>
        <w:rPr>
          <w:rFonts w:hint="eastAsia" w:ascii="宋体" w:hAnsi="宋体"/>
          <w:color w:val="auto"/>
          <w:szCs w:val="21"/>
          <w:highlight w:val="none"/>
          <w:u w:val="single"/>
          <w:lang w:val="en-US" w:eastAsia="zh-CN"/>
        </w:rPr>
        <w:t>180</w:t>
      </w:r>
      <w:r>
        <w:rPr>
          <w:rFonts w:hint="eastAsia" w:ascii="宋体" w:hAnsi="宋体"/>
          <w:color w:val="auto"/>
          <w:szCs w:val="21"/>
          <w:highlight w:val="none"/>
          <w:u w:val="single"/>
        </w:rPr>
        <w:t xml:space="preserve"> 日内（日历日）</w:t>
      </w:r>
      <w:r>
        <w:rPr>
          <w:rFonts w:hint="eastAsia" w:ascii="宋体" w:hAnsi="宋体"/>
          <w:color w:val="auto"/>
          <w:szCs w:val="21"/>
          <w:highlight w:val="none"/>
        </w:rPr>
        <w:t xml:space="preserve">。地点： </w:t>
      </w:r>
      <w:r>
        <w:rPr>
          <w:rFonts w:hint="eastAsia" w:ascii="宋体" w:hAnsi="宋体"/>
          <w:color w:val="auto"/>
          <w:szCs w:val="21"/>
          <w:highlight w:val="none"/>
          <w:u w:val="single"/>
        </w:rPr>
        <w:t>广西医科大学第二附属医院 。</w:t>
      </w:r>
    </w:p>
    <w:p w14:paraId="5AAFA3BD">
      <w:pPr>
        <w:keepNext w:val="0"/>
        <w:keepLines w:val="0"/>
        <w:pageBreakBefore w:val="0"/>
        <w:widowControl w:val="0"/>
        <w:kinsoku/>
        <w:wordWrap/>
        <w:overflowPunct/>
        <w:topLinePunct w:val="0"/>
        <w:autoSpaceDE/>
        <w:autoSpaceDN/>
        <w:bidi w:val="0"/>
        <w:adjustRightInd/>
        <w:snapToGrid w:val="0"/>
        <w:spacing w:line="400" w:lineRule="exact"/>
        <w:ind w:right="42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2、乙方提供不符合谈判文件、响应文件和本合同规定的货物，甲方有权拒绝接受。</w:t>
      </w:r>
    </w:p>
    <w:p w14:paraId="5EA80319">
      <w:pPr>
        <w:keepNext w:val="0"/>
        <w:keepLines w:val="0"/>
        <w:pageBreakBefore w:val="0"/>
        <w:widowControl w:val="0"/>
        <w:kinsoku/>
        <w:wordWrap/>
        <w:overflowPunct/>
        <w:topLinePunct w:val="0"/>
        <w:autoSpaceDE/>
        <w:autoSpaceDN/>
        <w:bidi w:val="0"/>
        <w:adjustRightInd/>
        <w:snapToGrid w:val="0"/>
        <w:spacing w:line="400" w:lineRule="exact"/>
        <w:ind w:right="42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3、乙方应将所提供货物的装箱清单、用户手册、原厂保修卡、随机资料、工具和备品、备件等交付给甲方，如有缺失应及时补齐，否则视为逾期交货。</w:t>
      </w:r>
    </w:p>
    <w:p w14:paraId="31B569E9">
      <w:pPr>
        <w:keepNext w:val="0"/>
        <w:keepLines w:val="0"/>
        <w:pageBreakBefore w:val="0"/>
        <w:widowControl w:val="0"/>
        <w:kinsoku/>
        <w:wordWrap/>
        <w:overflowPunct/>
        <w:topLinePunct w:val="0"/>
        <w:autoSpaceDE/>
        <w:autoSpaceDN/>
        <w:bidi w:val="0"/>
        <w:adjustRightInd/>
        <w:snapToGrid w:val="0"/>
        <w:spacing w:line="400" w:lineRule="exact"/>
        <w:ind w:right="42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4、甲方应当在到货（安装、调试完）后七个工作日内进行验收，逾期不验收的，乙方可视同验收合格。验收合格后由甲乙双方签署货物验收单并加盖采购人公章，甲乙双方各执一份。</w:t>
      </w:r>
    </w:p>
    <w:p w14:paraId="2A0BCB04">
      <w:pPr>
        <w:keepNext w:val="0"/>
        <w:keepLines w:val="0"/>
        <w:pageBreakBefore w:val="0"/>
        <w:widowControl w:val="0"/>
        <w:kinsoku/>
        <w:wordWrap/>
        <w:overflowPunct/>
        <w:topLinePunct w:val="0"/>
        <w:autoSpaceDE/>
        <w:autoSpaceDN/>
        <w:bidi w:val="0"/>
        <w:adjustRightInd/>
        <w:snapToGrid w:val="0"/>
        <w:spacing w:line="400" w:lineRule="exact"/>
        <w:ind w:right="42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val="en-US" w:eastAsia="zh-CN"/>
        </w:rPr>
        <w:t>甲方</w:t>
      </w:r>
      <w:r>
        <w:rPr>
          <w:rFonts w:hint="eastAsia" w:ascii="宋体" w:hAnsi="宋体"/>
          <w:color w:val="auto"/>
          <w:szCs w:val="21"/>
          <w:highlight w:val="none"/>
        </w:rPr>
        <w:t>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10FB837B">
      <w:pPr>
        <w:keepNext w:val="0"/>
        <w:keepLines w:val="0"/>
        <w:pageBreakBefore w:val="0"/>
        <w:widowControl w:val="0"/>
        <w:kinsoku/>
        <w:wordWrap/>
        <w:overflowPunct/>
        <w:topLinePunct w:val="0"/>
        <w:autoSpaceDE/>
        <w:autoSpaceDN/>
        <w:bidi w:val="0"/>
        <w:adjustRightInd/>
        <w:snapToGrid w:val="0"/>
        <w:spacing w:line="400" w:lineRule="exact"/>
        <w:ind w:right="42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6、甲方对验收有异议的，在验收后五个工作日内以书面形式向乙方提出，乙方应自收到甲方书面异议后</w:t>
      </w:r>
      <w:r>
        <w:rPr>
          <w:rFonts w:hint="eastAsia" w:ascii="宋体" w:hAnsi="宋体"/>
          <w:color w:val="auto"/>
          <w:szCs w:val="21"/>
          <w:highlight w:val="none"/>
          <w:lang w:eastAsia="zh-CN"/>
        </w:rPr>
        <w:t>五个工作</w:t>
      </w:r>
      <w:r>
        <w:rPr>
          <w:rFonts w:hint="eastAsia" w:ascii="宋体" w:hAnsi="宋体"/>
          <w:color w:val="auto"/>
          <w:szCs w:val="21"/>
          <w:highlight w:val="none"/>
        </w:rPr>
        <w:t>日内及时予以解决。</w:t>
      </w:r>
    </w:p>
    <w:p w14:paraId="0F48D534">
      <w:pPr>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第六条　安装和培训</w:t>
      </w:r>
    </w:p>
    <w:p w14:paraId="5D6E3BD4">
      <w:pPr>
        <w:keepNext w:val="0"/>
        <w:keepLines w:val="0"/>
        <w:pageBreakBefore w:val="0"/>
        <w:widowControl w:val="0"/>
        <w:kinsoku/>
        <w:wordWrap/>
        <w:overflowPunct/>
        <w:topLinePunct w:val="0"/>
        <w:autoSpaceDE/>
        <w:autoSpaceDN/>
        <w:bidi w:val="0"/>
        <w:adjustRightInd/>
        <w:snapToGrid w:val="0"/>
        <w:spacing w:line="400" w:lineRule="exact"/>
        <w:ind w:right="42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1、甲方应提供必要安装条件（如场地、电源、水源等）。</w:t>
      </w:r>
    </w:p>
    <w:p w14:paraId="66C24C8A">
      <w:pPr>
        <w:keepNext w:val="0"/>
        <w:keepLines w:val="0"/>
        <w:pageBreakBefore w:val="0"/>
        <w:widowControl w:val="0"/>
        <w:kinsoku/>
        <w:wordWrap/>
        <w:overflowPunct/>
        <w:topLinePunct w:val="0"/>
        <w:autoSpaceDE/>
        <w:autoSpaceDN/>
        <w:bidi w:val="0"/>
        <w:adjustRightInd/>
        <w:snapToGrid w:val="0"/>
        <w:spacing w:line="400" w:lineRule="exact"/>
        <w:ind w:right="42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2、乙方负责甲方有关人员的培训。培训时间、地点：</w:t>
      </w:r>
      <w:r>
        <w:rPr>
          <w:rFonts w:hint="eastAsia" w:ascii="宋体" w:hAnsi="宋体"/>
          <w:color w:val="auto"/>
          <w:szCs w:val="21"/>
          <w:highlight w:val="none"/>
          <w:u w:val="single"/>
        </w:rPr>
        <w:t xml:space="preserve">    由甲方决定 。</w:t>
      </w:r>
    </w:p>
    <w:p w14:paraId="35FABDA5">
      <w:pPr>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第七条</w:t>
      </w:r>
      <w:r>
        <w:rPr>
          <w:rFonts w:hint="eastAsia" w:ascii="宋体" w:hAnsi="宋体"/>
          <w:b/>
          <w:color w:val="auto"/>
          <w:szCs w:val="21"/>
          <w:highlight w:val="none"/>
          <w:lang w:val="en-US" w:eastAsia="zh-CN"/>
        </w:rPr>
        <w:t xml:space="preserve">  </w:t>
      </w:r>
      <w:r>
        <w:rPr>
          <w:rFonts w:hint="eastAsia" w:ascii="宋体" w:hAnsi="宋体"/>
          <w:b/>
          <w:color w:val="auto"/>
          <w:szCs w:val="21"/>
          <w:highlight w:val="none"/>
        </w:rPr>
        <w:t>售后服务、保修期</w:t>
      </w:r>
    </w:p>
    <w:p w14:paraId="38945AF1">
      <w:pPr>
        <w:keepNext w:val="0"/>
        <w:keepLines w:val="0"/>
        <w:pageBreakBefore w:val="0"/>
        <w:widowControl w:val="0"/>
        <w:kinsoku/>
        <w:wordWrap/>
        <w:overflowPunct/>
        <w:topLinePunct w:val="0"/>
        <w:autoSpaceDE/>
        <w:autoSpaceDN/>
        <w:bidi w:val="0"/>
        <w:adjustRightInd/>
        <w:snapToGrid w:val="0"/>
        <w:spacing w:line="400" w:lineRule="exact"/>
        <w:ind w:right="42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1、乙方应按照国家有关法律法规和“三包”规定以及谈判文件、响应文件和本合同所附的《服务承诺》，为甲方提供售后服务。</w:t>
      </w:r>
    </w:p>
    <w:p w14:paraId="41EACB8B">
      <w:pPr>
        <w:keepNext w:val="0"/>
        <w:keepLines w:val="0"/>
        <w:pageBreakBefore w:val="0"/>
        <w:widowControl w:val="0"/>
        <w:kinsoku/>
        <w:wordWrap/>
        <w:overflowPunct/>
        <w:topLinePunct w:val="0"/>
        <w:autoSpaceDE/>
        <w:autoSpaceDN/>
        <w:bidi w:val="0"/>
        <w:adjustRightInd/>
        <w:snapToGrid w:val="0"/>
        <w:spacing w:line="400" w:lineRule="exact"/>
        <w:ind w:right="42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2、货物保修期</w:t>
      </w:r>
      <w:r>
        <w:rPr>
          <w:rFonts w:hint="eastAsia" w:ascii="宋体" w:hAnsi="宋体"/>
          <w:color w:val="auto"/>
          <w:szCs w:val="21"/>
          <w:highlight w:val="none"/>
          <w:lang w:eastAsia="zh-CN"/>
        </w:rPr>
        <w:t>：</w:t>
      </w:r>
      <w:r>
        <w:rPr>
          <w:rFonts w:hint="eastAsia" w:ascii="宋体" w:hAnsi="宋体"/>
          <w:color w:val="auto"/>
          <w:szCs w:val="21"/>
          <w:highlight w:val="none"/>
          <w:u w:val="single"/>
        </w:rPr>
        <w:t xml:space="preserve">  按乙方响应文件执行。 </w:t>
      </w:r>
      <w:r>
        <w:rPr>
          <w:rFonts w:hint="eastAsia" w:ascii="宋体" w:hAnsi="宋体"/>
          <w:color w:val="auto"/>
          <w:szCs w:val="21"/>
          <w:highlight w:val="none"/>
        </w:rPr>
        <w:t xml:space="preserve">    </w:t>
      </w:r>
    </w:p>
    <w:p w14:paraId="616A573D">
      <w:pPr>
        <w:keepNext w:val="0"/>
        <w:keepLines w:val="0"/>
        <w:pageBreakBefore w:val="0"/>
        <w:widowControl w:val="0"/>
        <w:kinsoku/>
        <w:wordWrap/>
        <w:overflowPunct/>
        <w:topLinePunct w:val="0"/>
        <w:autoSpaceDE/>
        <w:autoSpaceDN/>
        <w:bidi w:val="0"/>
        <w:adjustRightInd/>
        <w:snapToGrid w:val="0"/>
        <w:spacing w:line="400" w:lineRule="exact"/>
        <w:ind w:right="42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3、乙方提供的服务承诺和售后服务及保修期责任等其它具体约定事项。（见合同附件）</w:t>
      </w:r>
    </w:p>
    <w:p w14:paraId="2D90961B">
      <w:pPr>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第八条　付款方式</w:t>
      </w:r>
    </w:p>
    <w:p w14:paraId="2C818DE5">
      <w:pPr>
        <w:snapToGrid w:val="0"/>
        <w:spacing w:line="400" w:lineRule="exact"/>
        <w:ind w:firstLine="420" w:firstLineChars="200"/>
        <w:rPr>
          <w:rFonts w:hint="eastAsia" w:cs="宋体"/>
          <w:b w:val="0"/>
          <w:bCs/>
          <w:color w:val="auto"/>
          <w:highlight w:val="none"/>
          <w:lang w:val="en-US" w:eastAsia="zh-CN"/>
        </w:rPr>
      </w:pPr>
      <w:r>
        <w:rPr>
          <w:rFonts w:hint="eastAsia" w:cs="宋体"/>
          <w:b w:val="0"/>
          <w:bCs/>
          <w:color w:val="auto"/>
          <w:highlight w:val="none"/>
        </w:rPr>
        <w:t>合同签订生效后支付</w:t>
      </w:r>
      <w:r>
        <w:rPr>
          <w:rFonts w:hint="eastAsia" w:cs="宋体"/>
          <w:b w:val="0"/>
          <w:bCs/>
          <w:color w:val="auto"/>
          <w:highlight w:val="none"/>
          <w:lang w:val="en-US" w:eastAsia="zh-CN"/>
        </w:rPr>
        <w:t>3</w:t>
      </w:r>
      <w:r>
        <w:rPr>
          <w:rFonts w:hint="eastAsia" w:cs="宋体"/>
          <w:b w:val="0"/>
          <w:bCs/>
          <w:color w:val="auto"/>
          <w:highlight w:val="none"/>
        </w:rPr>
        <w:t>0%</w:t>
      </w:r>
      <w:r>
        <w:rPr>
          <w:rFonts w:hint="eastAsia" w:cs="宋体"/>
          <w:b w:val="0"/>
          <w:bCs/>
          <w:color w:val="auto"/>
          <w:highlight w:val="none"/>
          <w:lang w:val="en-US" w:eastAsia="zh-CN"/>
        </w:rPr>
        <w:t>合同款</w:t>
      </w:r>
      <w:r>
        <w:rPr>
          <w:rFonts w:hint="eastAsia" w:cs="宋体"/>
          <w:b w:val="0"/>
          <w:bCs/>
          <w:color w:val="auto"/>
          <w:highlight w:val="none"/>
        </w:rPr>
        <w:t>；电梯及控制柜完成安装并能试运行</w:t>
      </w:r>
      <w:r>
        <w:rPr>
          <w:rFonts w:hint="eastAsia" w:cs="宋体"/>
          <w:b w:val="0"/>
          <w:bCs/>
          <w:color w:val="auto"/>
          <w:highlight w:val="none"/>
          <w:lang w:eastAsia="zh-CN"/>
        </w:rPr>
        <w:t>，</w:t>
      </w:r>
      <w:r>
        <w:rPr>
          <w:rFonts w:hint="eastAsia" w:cs="宋体"/>
          <w:b w:val="0"/>
          <w:bCs/>
          <w:color w:val="auto"/>
          <w:highlight w:val="none"/>
        </w:rPr>
        <w:t>且经</w:t>
      </w:r>
      <w:r>
        <w:rPr>
          <w:rFonts w:hint="eastAsia" w:cs="宋体"/>
          <w:b w:val="0"/>
          <w:bCs/>
          <w:color w:val="auto"/>
          <w:highlight w:val="none"/>
          <w:lang w:val="en-US" w:eastAsia="zh-CN"/>
        </w:rPr>
        <w:t>特检院出具合格的《曳引电梯和载货电梯电梯监督检验报告》，支付该合同的70%合同款。</w:t>
      </w:r>
    </w:p>
    <w:p w14:paraId="4A35F49A">
      <w:pPr>
        <w:snapToGrid w:val="0"/>
        <w:spacing w:line="400" w:lineRule="exact"/>
        <w:ind w:firstLine="422" w:firstLineChars="200"/>
        <w:rPr>
          <w:rFonts w:hint="eastAsia" w:ascii="宋体" w:hAnsi="宋体"/>
          <w:b/>
          <w:color w:val="auto"/>
          <w:szCs w:val="21"/>
          <w:highlight w:val="none"/>
        </w:rPr>
      </w:pPr>
      <w:bookmarkStart w:id="50" w:name="_GoBack"/>
      <w:bookmarkEnd w:id="50"/>
      <w:r>
        <w:rPr>
          <w:rFonts w:hint="eastAsia" w:ascii="宋体" w:hAnsi="宋体"/>
          <w:b/>
          <w:color w:val="auto"/>
          <w:szCs w:val="21"/>
          <w:highlight w:val="none"/>
          <w:lang w:val="en-US" w:eastAsia="zh-CN"/>
        </w:rPr>
        <w:t xml:space="preserve">第九条  </w:t>
      </w:r>
      <w:r>
        <w:rPr>
          <w:rFonts w:hint="eastAsia" w:ascii="宋体" w:hAnsi="宋体"/>
          <w:b/>
          <w:color w:val="auto"/>
          <w:szCs w:val="21"/>
          <w:highlight w:val="none"/>
        </w:rPr>
        <w:t>履约保证金</w:t>
      </w:r>
    </w:p>
    <w:p w14:paraId="65501AE9">
      <w:pPr>
        <w:keepNext w:val="0"/>
        <w:keepLines w:val="0"/>
        <w:pageBreakBefore w:val="0"/>
        <w:widowControl w:val="0"/>
        <w:kinsoku/>
        <w:wordWrap/>
        <w:overflowPunct/>
        <w:topLinePunct w:val="0"/>
        <w:autoSpaceDE/>
        <w:autoSpaceDN/>
        <w:bidi w:val="0"/>
        <w:adjustRightInd/>
        <w:snapToGrid w:val="0"/>
        <w:spacing w:line="400" w:lineRule="exact"/>
        <w:ind w:right="42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合同签订前，</w:t>
      </w:r>
      <w:r>
        <w:rPr>
          <w:rFonts w:hint="eastAsia" w:ascii="宋体" w:hAnsi="宋体"/>
          <w:color w:val="auto"/>
          <w:szCs w:val="21"/>
          <w:highlight w:val="none"/>
          <w:lang w:eastAsia="zh-CN"/>
        </w:rPr>
        <w:t>乙方</w:t>
      </w:r>
      <w:r>
        <w:rPr>
          <w:rFonts w:hint="eastAsia" w:ascii="宋体" w:hAnsi="宋体"/>
          <w:color w:val="auto"/>
          <w:szCs w:val="21"/>
          <w:highlight w:val="none"/>
        </w:rPr>
        <w:t>按合同金额的</w:t>
      </w:r>
      <w:r>
        <w:rPr>
          <w:rFonts w:hint="eastAsia" w:ascii="宋体" w:hAnsi="宋体"/>
          <w:color w:val="auto"/>
          <w:szCs w:val="21"/>
          <w:highlight w:val="none"/>
          <w:lang w:val="en-US" w:eastAsia="zh-CN"/>
        </w:rPr>
        <w:t>2</w:t>
      </w:r>
      <w:r>
        <w:rPr>
          <w:rFonts w:hint="eastAsia" w:ascii="宋体" w:hAnsi="宋体"/>
          <w:color w:val="auto"/>
          <w:szCs w:val="21"/>
          <w:highlight w:val="none"/>
        </w:rPr>
        <w:t>%向</w:t>
      </w:r>
      <w:r>
        <w:rPr>
          <w:rFonts w:hint="default" w:ascii="宋体" w:hAnsi="宋体"/>
          <w:color w:val="auto"/>
          <w:szCs w:val="21"/>
          <w:highlight w:val="none"/>
          <w:lang w:val="en"/>
        </w:rPr>
        <w:t>甲方</w:t>
      </w:r>
      <w:r>
        <w:rPr>
          <w:rFonts w:hint="eastAsia" w:ascii="宋体" w:hAnsi="宋体"/>
          <w:color w:val="auto"/>
          <w:szCs w:val="21"/>
          <w:highlight w:val="none"/>
        </w:rPr>
        <w:t xml:space="preserve">支付履约保证金，安装完毕并通过验收后，完成付款审批手续后15个工作日内免息退回履约保证金（按合同约定被没收的除外）。  </w:t>
      </w:r>
    </w:p>
    <w:p w14:paraId="152C2DD4">
      <w:pPr>
        <w:keepNext w:val="0"/>
        <w:keepLines w:val="0"/>
        <w:pageBreakBefore w:val="0"/>
        <w:widowControl w:val="0"/>
        <w:numPr>
          <w:ilvl w:val="0"/>
          <w:numId w:val="0"/>
        </w:numPr>
        <w:kinsoku/>
        <w:wordWrap/>
        <w:overflowPunct/>
        <w:topLinePunct w:val="0"/>
        <w:autoSpaceDE/>
        <w:autoSpaceDN/>
        <w:bidi w:val="0"/>
        <w:adjustRightInd/>
        <w:spacing w:line="400" w:lineRule="exact"/>
        <w:ind w:firstLine="422" w:firstLineChars="200"/>
        <w:textAlignment w:val="auto"/>
        <w:rPr>
          <w:rFonts w:hint="eastAsia"/>
          <w:b/>
          <w:color w:val="auto"/>
          <w:highlight w:val="none"/>
          <w:lang w:val="en-US" w:eastAsia="zh-CN"/>
        </w:rPr>
      </w:pPr>
      <w:r>
        <w:rPr>
          <w:rFonts w:hint="eastAsia"/>
          <w:b/>
          <w:color w:val="auto"/>
          <w:highlight w:val="none"/>
        </w:rPr>
        <w:t>第十条</w:t>
      </w:r>
      <w:r>
        <w:rPr>
          <w:rFonts w:hint="eastAsia"/>
          <w:b/>
          <w:color w:val="auto"/>
          <w:highlight w:val="none"/>
          <w:lang w:val="en-US" w:eastAsia="zh-CN"/>
        </w:rPr>
        <w:t xml:space="preserve"> </w:t>
      </w:r>
    </w:p>
    <w:p w14:paraId="6962053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sz w:val="28"/>
          <w:szCs w:val="28"/>
          <w:highlight w:val="none"/>
        </w:rPr>
      </w:pPr>
      <w:r>
        <w:rPr>
          <w:rFonts w:hint="eastAsia"/>
          <w:color w:val="auto"/>
          <w:highlight w:val="none"/>
        </w:rPr>
        <w:t>税费本合同执行中相关的一切税费均由乙方负担。</w:t>
      </w:r>
    </w:p>
    <w:p w14:paraId="54059809">
      <w:pPr>
        <w:snapToGrid w:val="0"/>
        <w:spacing w:line="400" w:lineRule="exact"/>
        <w:ind w:firstLine="422" w:firstLineChars="200"/>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第十一条  质量保证及售后服务</w:t>
      </w:r>
    </w:p>
    <w:p w14:paraId="6AFB3184">
      <w:pPr>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1、乙方应按谈判文件规定及响应文件承诺的货物性能、技术要求、质量标准向甲方提供未经使用的全新产品。</w:t>
      </w:r>
      <w:r>
        <w:rPr>
          <w:rFonts w:hint="eastAsia" w:hAnsi="宋体"/>
          <w:color w:val="auto"/>
          <w:highlight w:val="none"/>
        </w:rPr>
        <w:t>乙方提供货物的质量保证期按交货验收合格之日起计（期限见《采购需求》中各分标的要求）。在保证期内因货物本身的质量问题发生故障，乙方应负责免费修理和更换零部件。对达不到技术要求者，根据实际情况，经双方协商，可按以下办法处理</w:t>
      </w:r>
      <w:r>
        <w:rPr>
          <w:rFonts w:hint="eastAsia" w:ascii="宋体" w:hAnsi="宋体"/>
          <w:color w:val="auto"/>
          <w:szCs w:val="21"/>
          <w:highlight w:val="none"/>
        </w:rPr>
        <w:t>：</w:t>
      </w:r>
    </w:p>
    <w:p w14:paraId="2F2017D8">
      <w:pPr>
        <w:pStyle w:val="8"/>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color w:val="auto"/>
          <w:highlight w:val="none"/>
        </w:rPr>
      </w:pPr>
      <w:r>
        <w:rPr>
          <w:rFonts w:hint="eastAsia"/>
          <w:color w:val="auto"/>
          <w:highlight w:val="none"/>
        </w:rPr>
        <w:t>⑴更换：由乙方承担所发生的全部费用。</w:t>
      </w:r>
    </w:p>
    <w:p w14:paraId="17F1A759">
      <w:pPr>
        <w:pStyle w:val="8"/>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color w:val="auto"/>
          <w:highlight w:val="none"/>
        </w:rPr>
      </w:pPr>
      <w:r>
        <w:rPr>
          <w:rFonts w:hint="eastAsia"/>
          <w:color w:val="auto"/>
          <w:highlight w:val="none"/>
        </w:rPr>
        <w:t>⑵贬值处理：由甲乙双方合议定价。</w:t>
      </w:r>
    </w:p>
    <w:p w14:paraId="234554EA">
      <w:pPr>
        <w:pStyle w:val="8"/>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color w:val="auto"/>
          <w:highlight w:val="none"/>
        </w:rPr>
      </w:pPr>
      <w:r>
        <w:rPr>
          <w:rFonts w:hint="eastAsia"/>
          <w:color w:val="auto"/>
          <w:highlight w:val="none"/>
        </w:rPr>
        <w:t>⑶退货处理：乙方应退还甲方支付的合同款，同时应承担该货物的直接费用（运输、保险、检验、</w:t>
      </w:r>
    </w:p>
    <w:p w14:paraId="48EA0540">
      <w:pPr>
        <w:pStyle w:val="8"/>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color w:val="auto"/>
          <w:highlight w:val="none"/>
        </w:rPr>
      </w:pPr>
      <w:r>
        <w:rPr>
          <w:rFonts w:hint="eastAsia"/>
          <w:color w:val="auto"/>
          <w:highlight w:val="none"/>
        </w:rPr>
        <w:t>货款利息及银行手续费等）。</w:t>
      </w:r>
    </w:p>
    <w:p w14:paraId="041D16DB">
      <w:pPr>
        <w:pStyle w:val="8"/>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color w:val="auto"/>
          <w:highlight w:val="none"/>
        </w:rPr>
      </w:pPr>
      <w:r>
        <w:rPr>
          <w:rFonts w:hint="eastAsia"/>
          <w:color w:val="auto"/>
          <w:highlight w:val="none"/>
        </w:rPr>
        <w:t>2、如在使用过程中发生质量问题，乙方在接到甲方通知后在</w:t>
      </w:r>
      <w:r>
        <w:rPr>
          <w:rFonts w:hint="eastAsia"/>
          <w:color w:val="auto"/>
          <w:highlight w:val="none"/>
          <w:u w:val="single"/>
        </w:rPr>
        <w:t xml:space="preserve">   </w:t>
      </w:r>
      <w:r>
        <w:rPr>
          <w:rFonts w:hint="eastAsia"/>
          <w:color w:val="auto"/>
          <w:highlight w:val="none"/>
          <w:u w:val="single"/>
          <w:lang w:val="en-US" w:eastAsia="zh-CN"/>
        </w:rPr>
        <w:t>2</w:t>
      </w:r>
      <w:r>
        <w:rPr>
          <w:rFonts w:hint="eastAsia"/>
          <w:color w:val="auto"/>
          <w:highlight w:val="none"/>
          <w:u w:val="single"/>
        </w:rPr>
        <w:t xml:space="preserve">  </w:t>
      </w:r>
      <w:r>
        <w:rPr>
          <w:rFonts w:hint="eastAsia"/>
          <w:color w:val="auto"/>
          <w:highlight w:val="none"/>
        </w:rPr>
        <w:t>小时内到达甲方现场。</w:t>
      </w:r>
    </w:p>
    <w:p w14:paraId="4CF5BDEB">
      <w:pPr>
        <w:pStyle w:val="8"/>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color w:val="auto"/>
          <w:highlight w:val="none"/>
        </w:rPr>
      </w:pPr>
      <w:r>
        <w:rPr>
          <w:rFonts w:hint="eastAsia"/>
          <w:color w:val="auto"/>
          <w:highlight w:val="none"/>
        </w:rPr>
        <w:t>3、在质保期内，乙方应对货物出现的质量及安全问题负责处理解决并承担一切费用。</w:t>
      </w:r>
    </w:p>
    <w:p w14:paraId="602FE6A3">
      <w:pPr>
        <w:pStyle w:val="8"/>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color w:val="auto"/>
          <w:highlight w:val="none"/>
        </w:rPr>
      </w:pPr>
      <w:r>
        <w:rPr>
          <w:rFonts w:hint="eastAsia"/>
          <w:color w:val="auto"/>
          <w:highlight w:val="none"/>
        </w:rPr>
        <w:t>4、上述的货物免费保修期为</w:t>
      </w:r>
      <w:r>
        <w:rPr>
          <w:rFonts w:hint="eastAsia"/>
          <w:color w:val="auto"/>
          <w:highlight w:val="none"/>
          <w:u w:val="single"/>
        </w:rPr>
        <w:t xml:space="preserve">   1  </w:t>
      </w:r>
      <w:r>
        <w:rPr>
          <w:rFonts w:hint="eastAsia"/>
          <w:color w:val="auto"/>
          <w:highlight w:val="none"/>
        </w:rPr>
        <w:t>年，因人为因素出现的故障不在免费保修范围内。超过保修期的机器设备，终生维修，维修时只收部件成本费。</w:t>
      </w:r>
    </w:p>
    <w:p w14:paraId="06A8B847">
      <w:pPr>
        <w:snapToGrid w:val="0"/>
        <w:spacing w:line="400" w:lineRule="exact"/>
        <w:ind w:firstLine="422" w:firstLineChars="200"/>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第十二条 调试和验收</w:t>
      </w:r>
    </w:p>
    <w:p w14:paraId="65F62E7D">
      <w:pPr>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甲方对乙方提交的货物依据谈判文件上的技术规格要求和国家有关质量标准进行现场初步验收，外观、说明书符合谈判文件技术要求的，给予签收，初步验收不合格的不予签收。货到后，甲方应当在到货（安装、调试完）后七个工作日内进行验收。</w:t>
      </w:r>
    </w:p>
    <w:p w14:paraId="035AA09E">
      <w:pPr>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2、乙方交货前应对产品作出全面检查和对验收文件进行整理，并列出清单，作为甲方收货验收和使用的技术条件依据，检验的结果应随货物交甲方。</w:t>
      </w:r>
    </w:p>
    <w:p w14:paraId="0CA831E9">
      <w:pPr>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3、甲方对乙方提供的货物在使用前进行调试时，乙方需负责安装并培训甲方的使用操作人员，并协助甲方一起调试，直到符合技术要求，甲方才做最终验收。</w:t>
      </w:r>
    </w:p>
    <w:p w14:paraId="3AA51D9B">
      <w:pPr>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4、对技术复杂的货物，甲方应请国家认可的专业检测机构参与初步验收及最终验收，并由其出具质量检测报告。</w:t>
      </w:r>
    </w:p>
    <w:p w14:paraId="0B870F7B">
      <w:pPr>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5、验收时乙方必须在现场，验收完毕后作出验收结果报告；验收费用由乙方负责。</w:t>
      </w:r>
    </w:p>
    <w:p w14:paraId="326E40C6">
      <w:pPr>
        <w:snapToGrid w:val="0"/>
        <w:spacing w:line="400" w:lineRule="exact"/>
        <w:ind w:firstLine="422" w:firstLineChars="200"/>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第十三条 货物包装、发运及运输</w:t>
      </w:r>
    </w:p>
    <w:p w14:paraId="14631277">
      <w:pPr>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1、乙方应在货物发运前对其进行满足运输距离、防潮、防震、防锈和防破损装卸等要求包装，以</w:t>
      </w:r>
    </w:p>
    <w:p w14:paraId="5108FFD3">
      <w:pPr>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保证货物安全运达甲方指定地点。</w:t>
      </w:r>
    </w:p>
    <w:p w14:paraId="0EA385C1">
      <w:pPr>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 使用说明书、质量检验证明书、随配附件和工具以及清单一并附于货物内。</w:t>
      </w:r>
    </w:p>
    <w:p w14:paraId="6054523F">
      <w:pPr>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 乙方在货物发运手续办理完毕后二十四小时内或货到甲方四十八小时前通知甲方，以准备接货。</w:t>
      </w:r>
    </w:p>
    <w:p w14:paraId="22DBEB73">
      <w:pPr>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4、 货物在交付甲方前发生的风险均由乙方负责。</w:t>
      </w:r>
    </w:p>
    <w:p w14:paraId="616A1FFA">
      <w:pPr>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5、 货物在规定的交付期限内由乙方送达甲方指定的地点视为交付，乙方同时需通知甲方货物已送达。</w:t>
      </w:r>
    </w:p>
    <w:p w14:paraId="60F654FC">
      <w:pPr>
        <w:snapToGrid w:val="0"/>
        <w:spacing w:line="400" w:lineRule="exact"/>
        <w:ind w:firstLine="422" w:firstLineChars="200"/>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第十四条　违约责任</w:t>
      </w:r>
    </w:p>
    <w:p w14:paraId="3C3A8245">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14:paraId="31FC7031">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2、乙方提供的货物如侵犯了第三方合法权益而引发的任何纠纷或诉讼，均由乙方负责交涉并承担全部责任。</w:t>
      </w:r>
    </w:p>
    <w:p w14:paraId="5C77E81C">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3、因包装、运输引起的货物损坏，按质量不合格处罚。</w:t>
      </w:r>
    </w:p>
    <w:p w14:paraId="5F61470A">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4、甲方无故延期接收货物、乙方逾期交货的，每天向对方偿付违约货款额</w:t>
      </w:r>
      <w:r>
        <w:rPr>
          <w:rFonts w:hint="eastAsia" w:ascii="宋体" w:hAnsi="宋体"/>
          <w:color w:val="auto"/>
          <w:szCs w:val="21"/>
          <w:highlight w:val="none"/>
          <w:u w:val="single"/>
        </w:rPr>
        <w:t xml:space="preserve">  3‰  </w:t>
      </w:r>
      <w:r>
        <w:rPr>
          <w:rFonts w:hint="eastAsia" w:ascii="宋体" w:hAnsi="宋体"/>
          <w:color w:val="auto"/>
          <w:szCs w:val="21"/>
          <w:highlight w:val="none"/>
        </w:rPr>
        <w:t>违约金，但违约金累计不得超过违约货款额</w:t>
      </w:r>
      <w:r>
        <w:rPr>
          <w:rFonts w:hint="eastAsia" w:ascii="宋体" w:hAnsi="宋体"/>
          <w:color w:val="auto"/>
          <w:szCs w:val="21"/>
          <w:highlight w:val="none"/>
          <w:u w:val="single"/>
        </w:rPr>
        <w:t xml:space="preserve">   5%  </w:t>
      </w:r>
      <w:r>
        <w:rPr>
          <w:rFonts w:hint="eastAsia" w:ascii="宋体" w:hAnsi="宋体"/>
          <w:color w:val="auto"/>
          <w:szCs w:val="21"/>
          <w:highlight w:val="none"/>
        </w:rPr>
        <w:t>，超过</w:t>
      </w:r>
      <w:r>
        <w:rPr>
          <w:rFonts w:hint="eastAsia" w:ascii="宋体" w:hAnsi="宋体"/>
          <w:color w:val="auto"/>
          <w:szCs w:val="21"/>
          <w:highlight w:val="none"/>
          <w:u w:val="single"/>
        </w:rPr>
        <w:t xml:space="preserve">    30    </w:t>
      </w:r>
      <w:r>
        <w:rPr>
          <w:rFonts w:hint="eastAsia" w:ascii="宋体" w:hAnsi="宋体"/>
          <w:color w:val="auto"/>
          <w:szCs w:val="21"/>
          <w:highlight w:val="none"/>
        </w:rPr>
        <w:t>天对方有权解除合同，违约方承担因此给对方造成经济损失；甲方延期付货款的，每天向乙方偿付延期货款额</w:t>
      </w:r>
      <w:r>
        <w:rPr>
          <w:rFonts w:hint="eastAsia" w:ascii="宋体" w:hAnsi="宋体"/>
          <w:color w:val="auto"/>
          <w:szCs w:val="21"/>
          <w:highlight w:val="none"/>
          <w:u w:val="single"/>
        </w:rPr>
        <w:t xml:space="preserve">   3‰  </w:t>
      </w:r>
      <w:r>
        <w:rPr>
          <w:rFonts w:hint="eastAsia" w:ascii="宋体" w:hAnsi="宋体"/>
          <w:color w:val="auto"/>
          <w:szCs w:val="21"/>
          <w:highlight w:val="none"/>
        </w:rPr>
        <w:t>违约金，但违约金累计不得超过延期货款额</w:t>
      </w:r>
      <w:r>
        <w:rPr>
          <w:rFonts w:hint="eastAsia" w:ascii="宋体" w:hAnsi="宋体"/>
          <w:color w:val="auto"/>
          <w:szCs w:val="21"/>
          <w:highlight w:val="none"/>
          <w:u w:val="single"/>
        </w:rPr>
        <w:t xml:space="preserve">     5%  </w:t>
      </w:r>
      <w:r>
        <w:rPr>
          <w:rFonts w:hint="eastAsia" w:ascii="宋体" w:hAnsi="宋体"/>
          <w:color w:val="auto"/>
          <w:szCs w:val="21"/>
          <w:highlight w:val="none"/>
        </w:rPr>
        <w:t>。</w:t>
      </w:r>
    </w:p>
    <w:p w14:paraId="3583CEFA">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5、乙方未按本合同和响应文件中规定的服务承诺提供售后服务的，乙方应按本合同合计金额</w:t>
      </w:r>
      <w:r>
        <w:rPr>
          <w:rFonts w:hint="eastAsia" w:ascii="宋体" w:hAnsi="宋体"/>
          <w:color w:val="auto"/>
          <w:szCs w:val="21"/>
          <w:highlight w:val="none"/>
          <w:u w:val="single"/>
        </w:rPr>
        <w:t xml:space="preserve">  5% </w:t>
      </w:r>
      <w:r>
        <w:rPr>
          <w:rFonts w:hint="eastAsia" w:ascii="宋体" w:hAnsi="宋体"/>
          <w:color w:val="auto"/>
          <w:szCs w:val="21"/>
          <w:highlight w:val="none"/>
        </w:rPr>
        <w:t>向甲方支付违约金。</w:t>
      </w:r>
    </w:p>
    <w:p w14:paraId="373E78BF">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6、乙方提供的货物在质量保证期内，因设计、工艺或材料的缺陷和其它质量原因造成的问题，由乙方负责，费用从履约保证金中扣除，履约保证金不足以支付的，由乙方另行支付。</w:t>
      </w:r>
    </w:p>
    <w:p w14:paraId="041CFD0D">
      <w:pPr>
        <w:keepNext w:val="0"/>
        <w:keepLines w:val="0"/>
        <w:pageBreakBefore w:val="0"/>
        <w:widowControl w:val="0"/>
        <w:kinsoku/>
        <w:wordWrap/>
        <w:overflowPunct/>
        <w:topLinePunct w:val="0"/>
        <w:autoSpaceDE/>
        <w:autoSpaceDN/>
        <w:bidi w:val="0"/>
        <w:adjustRightInd/>
        <w:spacing w:after="96" w:afterLines="40" w:line="400" w:lineRule="exact"/>
        <w:ind w:firstLine="420" w:firstLineChars="200"/>
        <w:textAlignment w:val="auto"/>
        <w:rPr>
          <w:rFonts w:ascii="Arial" w:hAnsi="Arial" w:cs="Arial"/>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lang w:val="en-US" w:eastAsia="zh-CN"/>
        </w:rPr>
        <w:t>7</w:t>
      </w:r>
      <w:r>
        <w:rPr>
          <w:rFonts w:hint="eastAsia" w:asciiTheme="minorEastAsia" w:hAnsiTheme="minorEastAsia" w:eastAsiaTheme="minorEastAsia" w:cstheme="minorEastAsia"/>
          <w:b w:val="0"/>
          <w:bCs w:val="0"/>
          <w:color w:val="auto"/>
          <w:szCs w:val="21"/>
          <w:highlight w:val="none"/>
        </w:rPr>
        <w:t>．</w:t>
      </w:r>
      <w:r>
        <w:rPr>
          <w:rFonts w:ascii="Arial" w:hAnsi="Arial" w:cs="Arial"/>
          <w:b w:val="0"/>
          <w:bCs w:val="0"/>
          <w:color w:val="auto"/>
          <w:szCs w:val="21"/>
          <w:highlight w:val="none"/>
        </w:rPr>
        <w:t>其它违约行为按违约</w:t>
      </w:r>
      <w:r>
        <w:rPr>
          <w:rFonts w:hint="eastAsia" w:ascii="Arial" w:hAnsi="Arial" w:cs="Arial"/>
          <w:b w:val="0"/>
          <w:bCs w:val="0"/>
          <w:color w:val="auto"/>
          <w:szCs w:val="21"/>
          <w:highlight w:val="none"/>
        </w:rPr>
        <w:t>造成的实际损失金额</w:t>
      </w:r>
      <w:r>
        <w:rPr>
          <w:rFonts w:ascii="Arial" w:hAnsi="Arial" w:cs="Arial"/>
          <w:b w:val="0"/>
          <w:bCs w:val="0"/>
          <w:color w:val="auto"/>
          <w:szCs w:val="21"/>
          <w:highlight w:val="none"/>
        </w:rPr>
        <w:t>赔偿经济损失。</w:t>
      </w:r>
    </w:p>
    <w:p w14:paraId="79D8625F">
      <w:pPr>
        <w:snapToGrid w:val="0"/>
        <w:spacing w:line="400" w:lineRule="exact"/>
        <w:ind w:firstLine="422" w:firstLineChars="200"/>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第十五条 不可抗力事件处理</w:t>
      </w:r>
    </w:p>
    <w:p w14:paraId="433B69ED">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1、在合同有效期内，任何一方因不可抗力事件导致不能履行合同，则合同履行期可延长，其延长期与不可抗力影响期相同。</w:t>
      </w:r>
    </w:p>
    <w:p w14:paraId="236A645B">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2、不可抗力事件发生后，应立即通知对方，并寄送有关权威机构出具的证明。</w:t>
      </w:r>
    </w:p>
    <w:p w14:paraId="3C4E8592">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3、不可抗力事件延续一百二十天以上，双方应通过友好协商，确定是否继续履行合同。</w:t>
      </w:r>
    </w:p>
    <w:p w14:paraId="20161B6C">
      <w:pPr>
        <w:snapToGrid w:val="0"/>
        <w:spacing w:line="400" w:lineRule="exact"/>
        <w:ind w:firstLine="422" w:firstLineChars="200"/>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第十六条  合同争议解决</w:t>
      </w:r>
    </w:p>
    <w:p w14:paraId="76748C73">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1、因货物质量问题发生争议的，应邀请国家认可的质量检测机构对货物质量进行鉴定。货物符合标准的，鉴定费由甲方承担；货物不符合标准的，鉴定费由乙方承担。</w:t>
      </w:r>
    </w:p>
    <w:p w14:paraId="2799D5EB">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2、因履行本合同引起的或与本合同有关的争议，甲乙双方应首先通过友好协商解决，如果协商不能解决，可向人民法院提起诉讼。</w:t>
      </w:r>
    </w:p>
    <w:p w14:paraId="575B7F72">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3、诉讼期间，本合同继续履行。</w:t>
      </w:r>
    </w:p>
    <w:p w14:paraId="79A39E7A">
      <w:pPr>
        <w:snapToGrid w:val="0"/>
        <w:spacing w:line="400" w:lineRule="exact"/>
        <w:ind w:firstLine="422" w:firstLineChars="200"/>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第十七条 诉讼</w:t>
      </w:r>
    </w:p>
    <w:p w14:paraId="111C921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1、双方在执行合同中所发生的一切争议，应通过协商解决。如果协商不能解决，可向人民法院提起诉讼。</w:t>
      </w:r>
    </w:p>
    <w:p w14:paraId="68F30458">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双方确认本合同落款通讯地址作为文书送达地址，该通讯地址适用于包括双方合同履行过程中的各类通知、协议等文件以及就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w:t>
      </w:r>
    </w:p>
    <w:p w14:paraId="126A6E18">
      <w:pPr>
        <w:snapToGrid w:val="0"/>
        <w:spacing w:line="400" w:lineRule="exact"/>
        <w:ind w:firstLine="422" w:firstLineChars="200"/>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第十八条 合同生效及其它</w:t>
      </w:r>
    </w:p>
    <w:p w14:paraId="292B5C8F">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1、合同经双方法定代表人或授权代表（委托代理人）</w:t>
      </w:r>
      <w:r>
        <w:rPr>
          <w:rFonts w:hint="eastAsia" w:ascii="宋体" w:hAnsi="宋体"/>
          <w:color w:val="auto"/>
          <w:szCs w:val="21"/>
          <w:highlight w:val="none"/>
          <w:lang w:eastAsia="zh-CN"/>
        </w:rPr>
        <w:t>签字</w:t>
      </w:r>
      <w:r>
        <w:rPr>
          <w:rFonts w:hint="eastAsia" w:ascii="宋体" w:hAnsi="宋体"/>
          <w:color w:val="auto"/>
          <w:szCs w:val="21"/>
          <w:highlight w:val="none"/>
        </w:rPr>
        <w:t>并加盖单位公章后生效。</w:t>
      </w:r>
    </w:p>
    <w:p w14:paraId="3DE9F585">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2、合同执行中涉及采购资金和采购内容修改或补充的，须经广西区财政厅政府采购监督管理处审批，并签书面补充协议报广西区财政厅政府采购监督管理处备案，方可作为主合同不可分割的一部分。</w:t>
      </w:r>
    </w:p>
    <w:p w14:paraId="32389923">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3、本合同未尽事宜，遵照《中华人民共和国民法典》有关条文执行。</w:t>
      </w:r>
    </w:p>
    <w:p w14:paraId="598DB009">
      <w:pPr>
        <w:snapToGrid w:val="0"/>
        <w:spacing w:line="400" w:lineRule="exact"/>
        <w:ind w:firstLine="422" w:firstLineChars="200"/>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第十九条　合同的变更、终止与转让</w:t>
      </w:r>
    </w:p>
    <w:p w14:paraId="34031875">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1、除《中华人民共和国政府采购法》第五十条规定的情形外，本合同一经签订，甲乙双方不得擅自变更、中止或终止。</w:t>
      </w:r>
    </w:p>
    <w:p w14:paraId="7C2D49C8">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2、乙方不得擅自转让（无进口资格的供应商委托进口货物除外）其应履行的合同义务。</w:t>
      </w:r>
    </w:p>
    <w:p w14:paraId="1E57327C">
      <w:pPr>
        <w:snapToGrid w:val="0"/>
        <w:spacing w:line="400" w:lineRule="exact"/>
        <w:ind w:firstLine="422" w:firstLineChars="200"/>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第二十条　本合同组成部分</w:t>
      </w:r>
    </w:p>
    <w:p w14:paraId="738D5A5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1、谈判文件</w:t>
      </w:r>
    </w:p>
    <w:p w14:paraId="2A513A9B">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2、乙方提供的响应文件</w:t>
      </w:r>
    </w:p>
    <w:p w14:paraId="0478142C">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3、谈判书</w:t>
      </w:r>
    </w:p>
    <w:p w14:paraId="4540CBDF">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4、成交通知书</w:t>
      </w:r>
    </w:p>
    <w:p w14:paraId="4FAE2E08">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b/>
          <w:bCs/>
          <w:color w:val="auto"/>
          <w:szCs w:val="21"/>
          <w:highlight w:val="none"/>
        </w:rPr>
      </w:pPr>
      <w:r>
        <w:rPr>
          <w:rFonts w:hint="eastAsia" w:ascii="宋体" w:hAnsi="宋体"/>
          <w:b/>
          <w:color w:val="auto"/>
          <w:szCs w:val="21"/>
          <w:highlight w:val="none"/>
          <w:lang w:val="en-US" w:eastAsia="zh-CN"/>
        </w:rPr>
        <w:t>第二十一条　</w:t>
      </w:r>
      <w:r>
        <w:rPr>
          <w:rFonts w:hint="eastAsia" w:ascii="宋体" w:hAnsi="宋体"/>
          <w:color w:val="auto"/>
          <w:szCs w:val="21"/>
          <w:highlight w:val="none"/>
        </w:rPr>
        <w:t>本合同一式</w:t>
      </w:r>
      <w:r>
        <w:rPr>
          <w:rFonts w:hint="eastAsia" w:ascii="宋体" w:hAnsi="宋体"/>
          <w:color w:val="auto"/>
          <w:szCs w:val="21"/>
          <w:highlight w:val="none"/>
          <w:lang w:eastAsia="zh-CN"/>
        </w:rPr>
        <w:t>拾</w:t>
      </w:r>
      <w:r>
        <w:rPr>
          <w:rFonts w:hint="eastAsia" w:ascii="宋体" w:hAnsi="宋体"/>
          <w:color w:val="auto"/>
          <w:szCs w:val="21"/>
          <w:highlight w:val="none"/>
        </w:rPr>
        <w:t>份，具有同等法律效力。</w:t>
      </w:r>
      <w:r>
        <w:rPr>
          <w:rFonts w:hint="eastAsia" w:ascii="宋体" w:hAnsi="宋体"/>
          <w:color w:val="auto"/>
          <w:spacing w:val="4"/>
          <w:szCs w:val="21"/>
          <w:highlight w:val="none"/>
        </w:rPr>
        <w:t>广西壮族自治区财政厅政府采购监督管理处、广西壮族</w:t>
      </w:r>
      <w:r>
        <w:rPr>
          <w:rFonts w:hint="eastAsia" w:ascii="宋体" w:hAnsi="宋体"/>
          <w:color w:val="auto"/>
          <w:szCs w:val="21"/>
          <w:highlight w:val="none"/>
        </w:rPr>
        <w:t>自治区政府采购中心各</w:t>
      </w:r>
      <w:r>
        <w:rPr>
          <w:rFonts w:hint="eastAsia" w:ascii="宋体" w:hAnsi="宋体"/>
          <w:color w:val="auto"/>
          <w:szCs w:val="21"/>
          <w:highlight w:val="none"/>
          <w:lang w:eastAsia="zh-CN"/>
        </w:rPr>
        <w:t>壹</w:t>
      </w:r>
      <w:r>
        <w:rPr>
          <w:rFonts w:hint="eastAsia" w:ascii="宋体" w:hAnsi="宋体"/>
          <w:color w:val="auto"/>
          <w:szCs w:val="21"/>
          <w:highlight w:val="none"/>
        </w:rPr>
        <w:t>份，甲方</w:t>
      </w:r>
      <w:r>
        <w:rPr>
          <w:rFonts w:hint="eastAsia" w:ascii="宋体" w:hAnsi="宋体"/>
          <w:color w:val="auto"/>
          <w:szCs w:val="21"/>
          <w:highlight w:val="none"/>
          <w:lang w:eastAsia="zh-CN"/>
        </w:rPr>
        <w:t>陆</w:t>
      </w:r>
      <w:r>
        <w:rPr>
          <w:rFonts w:hint="eastAsia" w:ascii="宋体" w:hAnsi="宋体"/>
          <w:color w:val="auto"/>
          <w:szCs w:val="21"/>
          <w:highlight w:val="none"/>
        </w:rPr>
        <w:t>份，乙方</w:t>
      </w:r>
      <w:r>
        <w:rPr>
          <w:rFonts w:hint="eastAsia" w:ascii="宋体" w:hAnsi="宋体"/>
          <w:color w:val="auto"/>
          <w:szCs w:val="21"/>
          <w:highlight w:val="none"/>
          <w:lang w:eastAsia="zh-CN"/>
        </w:rPr>
        <w:t>贰</w:t>
      </w:r>
      <w:r>
        <w:rPr>
          <w:rFonts w:hint="eastAsia" w:ascii="宋体" w:hAnsi="宋体"/>
          <w:color w:val="auto"/>
          <w:szCs w:val="21"/>
          <w:highlight w:val="none"/>
        </w:rPr>
        <w:t>份。</w:t>
      </w:r>
      <w:r>
        <w:rPr>
          <w:rFonts w:hint="eastAsia" w:ascii="宋体" w:hAnsi="宋体"/>
          <w:b/>
          <w:bCs/>
          <w:color w:val="auto"/>
          <w:szCs w:val="21"/>
          <w:highlight w:val="none"/>
        </w:rPr>
        <w:t>（可根据需要另增加）</w:t>
      </w:r>
    </w:p>
    <w:p w14:paraId="0F0CC19B">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本合同甲乙双方签字盖章后生效，自签订之日起</w:t>
      </w:r>
      <w:r>
        <w:rPr>
          <w:rFonts w:hint="eastAsia" w:ascii="宋体" w:hAnsi="宋体"/>
          <w:color w:val="auto"/>
          <w:szCs w:val="21"/>
          <w:highlight w:val="none"/>
          <w:lang w:val="en-US" w:eastAsia="zh-CN"/>
        </w:rPr>
        <w:t>2</w:t>
      </w:r>
      <w:r>
        <w:rPr>
          <w:rFonts w:hint="eastAsia" w:ascii="宋体" w:hAnsi="宋体"/>
          <w:color w:val="auto"/>
          <w:szCs w:val="21"/>
          <w:highlight w:val="none"/>
        </w:rPr>
        <w:t>个工作日内，采购人应当将合同通过广西政府采购云平台上传完成合同网上公示。</w:t>
      </w:r>
    </w:p>
    <w:p w14:paraId="60373945">
      <w:pPr>
        <w:snapToGrid w:val="0"/>
        <w:spacing w:line="400" w:lineRule="exact"/>
        <w:ind w:firstLine="420" w:firstLineChars="200"/>
        <w:rPr>
          <w:rFonts w:hint="eastAsia" w:ascii="宋体" w:hAnsi="宋体"/>
          <w:color w:val="auto"/>
          <w:szCs w:val="21"/>
          <w:highlight w:val="none"/>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1"/>
        <w:gridCol w:w="5341"/>
      </w:tblGrid>
      <w:tr w14:paraId="4FF8E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2500" w:type="pct"/>
            <w:noWrap w:val="0"/>
            <w:vAlign w:val="center"/>
          </w:tcPr>
          <w:p w14:paraId="3F64A9BA">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 xml:space="preserve">甲方（章）           </w:t>
            </w:r>
          </w:p>
          <w:p w14:paraId="050D169C">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广西医科大学第二附属医院</w:t>
            </w:r>
          </w:p>
          <w:p w14:paraId="757C813F">
            <w:pPr>
              <w:snapToGrid w:val="0"/>
              <w:spacing w:line="400" w:lineRule="exact"/>
              <w:ind w:firstLine="945" w:firstLineChars="450"/>
              <w:jc w:val="right"/>
              <w:rPr>
                <w:rFonts w:hint="eastAsia" w:ascii="宋体" w:hAnsi="宋体"/>
                <w:color w:val="auto"/>
                <w:szCs w:val="21"/>
                <w:highlight w:val="none"/>
              </w:rPr>
            </w:pPr>
            <w:r>
              <w:rPr>
                <w:rFonts w:hint="eastAsia" w:ascii="宋体" w:hAnsi="宋体"/>
                <w:color w:val="auto"/>
                <w:szCs w:val="21"/>
                <w:highlight w:val="none"/>
              </w:rPr>
              <w:t>年   月   日</w:t>
            </w:r>
          </w:p>
        </w:tc>
        <w:tc>
          <w:tcPr>
            <w:tcW w:w="2500" w:type="pct"/>
            <w:noWrap w:val="0"/>
            <w:vAlign w:val="center"/>
          </w:tcPr>
          <w:p w14:paraId="44437399">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 xml:space="preserve">乙方（章）              </w:t>
            </w:r>
          </w:p>
          <w:p w14:paraId="1E76154F">
            <w:pPr>
              <w:snapToGrid w:val="0"/>
              <w:spacing w:line="400" w:lineRule="exact"/>
              <w:rPr>
                <w:rFonts w:hint="eastAsia" w:ascii="宋体" w:hAnsi="宋体"/>
                <w:color w:val="auto"/>
                <w:szCs w:val="21"/>
                <w:highlight w:val="none"/>
              </w:rPr>
            </w:pPr>
          </w:p>
          <w:p w14:paraId="06E5B042">
            <w:pPr>
              <w:snapToGrid w:val="0"/>
              <w:spacing w:line="400" w:lineRule="exact"/>
              <w:jc w:val="right"/>
              <w:rPr>
                <w:rFonts w:hint="eastAsia" w:ascii="宋体" w:hAnsi="宋体"/>
                <w:color w:val="auto"/>
                <w:szCs w:val="21"/>
                <w:highlight w:val="none"/>
              </w:rPr>
            </w:pPr>
            <w:r>
              <w:rPr>
                <w:rFonts w:hint="eastAsia" w:ascii="宋体" w:hAnsi="宋体"/>
                <w:color w:val="auto"/>
                <w:szCs w:val="21"/>
                <w:highlight w:val="none"/>
              </w:rPr>
              <w:t xml:space="preserve"> 年   月   日</w:t>
            </w:r>
          </w:p>
        </w:tc>
      </w:tr>
      <w:tr w14:paraId="1069D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2500" w:type="pct"/>
            <w:noWrap w:val="0"/>
            <w:vAlign w:val="center"/>
          </w:tcPr>
          <w:p w14:paraId="4EDDFC7C">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 xml:space="preserve">通讯地址：广西南宁市西乡塘区大学东路166号 </w:t>
            </w:r>
          </w:p>
        </w:tc>
        <w:tc>
          <w:tcPr>
            <w:tcW w:w="2500" w:type="pct"/>
            <w:noWrap w:val="0"/>
            <w:vAlign w:val="center"/>
          </w:tcPr>
          <w:p w14:paraId="78385079">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 xml:space="preserve">通讯地址： </w:t>
            </w:r>
          </w:p>
        </w:tc>
      </w:tr>
      <w:tr w14:paraId="07A9B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2500" w:type="pct"/>
            <w:noWrap w:val="0"/>
            <w:vAlign w:val="center"/>
          </w:tcPr>
          <w:p w14:paraId="76865DA2">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法定代表人：</w:t>
            </w:r>
          </w:p>
        </w:tc>
        <w:tc>
          <w:tcPr>
            <w:tcW w:w="2500" w:type="pct"/>
            <w:noWrap w:val="0"/>
            <w:vAlign w:val="center"/>
          </w:tcPr>
          <w:p w14:paraId="58C208EA">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法定代表人：</w:t>
            </w:r>
          </w:p>
        </w:tc>
      </w:tr>
      <w:tr w14:paraId="33B9F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2500" w:type="pct"/>
            <w:noWrap w:val="0"/>
            <w:vAlign w:val="center"/>
          </w:tcPr>
          <w:p w14:paraId="1A1C6DD4">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委托代理人：</w:t>
            </w:r>
          </w:p>
        </w:tc>
        <w:tc>
          <w:tcPr>
            <w:tcW w:w="2500" w:type="pct"/>
            <w:noWrap w:val="0"/>
            <w:vAlign w:val="center"/>
          </w:tcPr>
          <w:p w14:paraId="5589AB02">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委托代理人</w:t>
            </w:r>
          </w:p>
        </w:tc>
      </w:tr>
      <w:tr w14:paraId="2FE53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500" w:type="pct"/>
            <w:noWrap w:val="0"/>
            <w:vAlign w:val="center"/>
          </w:tcPr>
          <w:p w14:paraId="0386EF34">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电话：0771-3277155</w:t>
            </w:r>
          </w:p>
        </w:tc>
        <w:tc>
          <w:tcPr>
            <w:tcW w:w="2500" w:type="pct"/>
            <w:noWrap w:val="0"/>
            <w:vAlign w:val="center"/>
          </w:tcPr>
          <w:p w14:paraId="42D674BD">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电话：</w:t>
            </w:r>
          </w:p>
        </w:tc>
      </w:tr>
      <w:tr w14:paraId="77F6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2500" w:type="pct"/>
            <w:noWrap w:val="0"/>
            <w:vAlign w:val="center"/>
          </w:tcPr>
          <w:p w14:paraId="1669E24F">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电子邮箱：</w:t>
            </w:r>
          </w:p>
        </w:tc>
        <w:tc>
          <w:tcPr>
            <w:tcW w:w="2500" w:type="pct"/>
            <w:noWrap w:val="0"/>
            <w:vAlign w:val="center"/>
          </w:tcPr>
          <w:p w14:paraId="1440EAC9">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电子邮箱：</w:t>
            </w:r>
          </w:p>
        </w:tc>
      </w:tr>
      <w:tr w14:paraId="287CF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2500" w:type="pct"/>
            <w:noWrap w:val="0"/>
            <w:vAlign w:val="center"/>
          </w:tcPr>
          <w:p w14:paraId="47C22452">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开户银行：中国建设银行南宁医科大支行</w:t>
            </w:r>
          </w:p>
        </w:tc>
        <w:tc>
          <w:tcPr>
            <w:tcW w:w="2500" w:type="pct"/>
            <w:noWrap w:val="0"/>
            <w:vAlign w:val="center"/>
          </w:tcPr>
          <w:p w14:paraId="39E21073">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开户银行：</w:t>
            </w:r>
          </w:p>
        </w:tc>
      </w:tr>
      <w:tr w14:paraId="24AA8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2500" w:type="pct"/>
            <w:noWrap w:val="0"/>
            <w:vAlign w:val="center"/>
          </w:tcPr>
          <w:p w14:paraId="0AEDA03F">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账号：45050160456009666888</w:t>
            </w:r>
          </w:p>
        </w:tc>
        <w:tc>
          <w:tcPr>
            <w:tcW w:w="2500" w:type="pct"/>
            <w:noWrap w:val="0"/>
            <w:vAlign w:val="center"/>
          </w:tcPr>
          <w:p w14:paraId="68F9E4BB">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账号：</w:t>
            </w:r>
          </w:p>
        </w:tc>
      </w:tr>
      <w:tr w14:paraId="012F1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2500" w:type="pct"/>
            <w:noWrap w:val="0"/>
            <w:vAlign w:val="center"/>
          </w:tcPr>
          <w:p w14:paraId="7106CFF2">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邮政编码：</w:t>
            </w:r>
          </w:p>
        </w:tc>
        <w:tc>
          <w:tcPr>
            <w:tcW w:w="2500" w:type="pct"/>
            <w:noWrap w:val="0"/>
            <w:vAlign w:val="center"/>
          </w:tcPr>
          <w:p w14:paraId="7DE4DB3C">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邮政编码：</w:t>
            </w:r>
          </w:p>
        </w:tc>
      </w:tr>
      <w:tr w14:paraId="51BCD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5000" w:type="pct"/>
            <w:gridSpan w:val="2"/>
            <w:noWrap w:val="0"/>
            <w:vAlign w:val="top"/>
          </w:tcPr>
          <w:p w14:paraId="64F120DC">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经办人：</w:t>
            </w:r>
          </w:p>
          <w:p w14:paraId="1F7D2AFC">
            <w:pPr>
              <w:snapToGrid w:val="0"/>
              <w:spacing w:line="400" w:lineRule="exact"/>
              <w:ind w:firstLine="630" w:firstLineChars="300"/>
              <w:jc w:val="right"/>
              <w:rPr>
                <w:rFonts w:hint="eastAsia" w:ascii="宋体" w:hAnsi="宋体"/>
                <w:color w:val="auto"/>
                <w:szCs w:val="21"/>
                <w:highlight w:val="none"/>
              </w:rPr>
            </w:pPr>
          </w:p>
          <w:p w14:paraId="7C2AD52D">
            <w:pPr>
              <w:snapToGrid w:val="0"/>
              <w:spacing w:line="400" w:lineRule="exact"/>
              <w:ind w:firstLine="630" w:firstLineChars="300"/>
              <w:jc w:val="right"/>
              <w:rPr>
                <w:rFonts w:hint="eastAsia" w:ascii="宋体" w:hAnsi="宋体"/>
                <w:color w:val="auto"/>
                <w:szCs w:val="21"/>
                <w:highlight w:val="none"/>
              </w:rPr>
            </w:pPr>
          </w:p>
          <w:p w14:paraId="4F8E3B61">
            <w:pPr>
              <w:snapToGrid w:val="0"/>
              <w:spacing w:line="400" w:lineRule="exact"/>
              <w:ind w:firstLine="630" w:firstLineChars="300"/>
              <w:jc w:val="right"/>
              <w:rPr>
                <w:rFonts w:hint="eastAsia" w:ascii="宋体" w:hAnsi="宋体"/>
                <w:color w:val="auto"/>
                <w:szCs w:val="21"/>
                <w:highlight w:val="none"/>
              </w:rPr>
            </w:pPr>
          </w:p>
          <w:p w14:paraId="237D2E2D">
            <w:pPr>
              <w:snapToGrid w:val="0"/>
              <w:spacing w:line="400" w:lineRule="exact"/>
              <w:ind w:firstLine="630" w:firstLineChars="300"/>
              <w:jc w:val="right"/>
              <w:rPr>
                <w:rFonts w:hint="eastAsia" w:ascii="宋体" w:hAnsi="宋体"/>
                <w:color w:val="auto"/>
                <w:szCs w:val="21"/>
                <w:highlight w:val="none"/>
              </w:rPr>
            </w:pPr>
          </w:p>
          <w:p w14:paraId="3BEC67E9">
            <w:pPr>
              <w:snapToGrid w:val="0"/>
              <w:spacing w:line="400" w:lineRule="exact"/>
              <w:ind w:firstLine="630" w:firstLineChars="300"/>
              <w:jc w:val="right"/>
              <w:rPr>
                <w:rFonts w:hint="eastAsia" w:ascii="宋体" w:hAnsi="宋体"/>
                <w:color w:val="auto"/>
                <w:szCs w:val="21"/>
                <w:highlight w:val="none"/>
              </w:rPr>
            </w:pPr>
            <w:r>
              <w:rPr>
                <w:rFonts w:hint="eastAsia" w:ascii="宋体" w:hAnsi="宋体"/>
                <w:color w:val="auto"/>
                <w:szCs w:val="21"/>
                <w:highlight w:val="none"/>
              </w:rPr>
              <w:t>年    月    日</w:t>
            </w:r>
          </w:p>
        </w:tc>
      </w:tr>
    </w:tbl>
    <w:p w14:paraId="2FDB3BE0">
      <w:pPr>
        <w:snapToGrid w:val="0"/>
        <w:ind w:left="420" w:hanging="420" w:hangingChars="200"/>
        <w:rPr>
          <w:rFonts w:hint="eastAsia" w:ascii="宋体" w:hAnsi="宋体"/>
          <w:color w:val="auto"/>
          <w:szCs w:val="21"/>
          <w:highlight w:val="none"/>
        </w:rPr>
      </w:pPr>
    </w:p>
    <w:p w14:paraId="6953F88E">
      <w:pPr>
        <w:snapToGrid w:val="0"/>
        <w:spacing w:line="360" w:lineRule="auto"/>
        <w:jc w:val="center"/>
        <w:rPr>
          <w:rFonts w:hint="eastAsia" w:ascii="宋体" w:hAnsi="宋体"/>
          <w:b/>
          <w:color w:val="auto"/>
          <w:szCs w:val="21"/>
          <w:highlight w:val="none"/>
        </w:rPr>
      </w:pPr>
    </w:p>
    <w:p w14:paraId="2E6583D1">
      <w:pPr>
        <w:snapToGrid w:val="0"/>
        <w:spacing w:line="360" w:lineRule="auto"/>
        <w:jc w:val="center"/>
        <w:rPr>
          <w:rFonts w:hint="eastAsia" w:ascii="宋体" w:hAnsi="宋体"/>
          <w:b/>
          <w:color w:val="auto"/>
          <w:szCs w:val="21"/>
          <w:highlight w:val="none"/>
        </w:rPr>
      </w:pPr>
    </w:p>
    <w:p w14:paraId="56252D0F">
      <w:pPr>
        <w:snapToGrid w:val="0"/>
        <w:spacing w:line="360" w:lineRule="auto"/>
        <w:jc w:val="center"/>
        <w:rPr>
          <w:rFonts w:hint="eastAsia" w:ascii="宋体" w:hAnsi="宋体"/>
          <w:b/>
          <w:color w:val="auto"/>
          <w:szCs w:val="21"/>
          <w:highlight w:val="none"/>
        </w:rPr>
      </w:pPr>
    </w:p>
    <w:p w14:paraId="04E7215C">
      <w:pPr>
        <w:snapToGrid w:val="0"/>
        <w:spacing w:line="360" w:lineRule="auto"/>
        <w:jc w:val="center"/>
        <w:rPr>
          <w:rFonts w:hint="eastAsia" w:ascii="宋体" w:hAnsi="宋体"/>
          <w:b/>
          <w:color w:val="auto"/>
          <w:szCs w:val="21"/>
          <w:highlight w:val="none"/>
        </w:rPr>
      </w:pPr>
    </w:p>
    <w:p w14:paraId="56120868">
      <w:pPr>
        <w:snapToGrid w:val="0"/>
        <w:spacing w:line="360" w:lineRule="auto"/>
        <w:jc w:val="center"/>
        <w:rPr>
          <w:rFonts w:hint="eastAsia" w:ascii="宋体" w:hAnsi="宋体"/>
          <w:b/>
          <w:color w:val="auto"/>
          <w:szCs w:val="21"/>
          <w:highlight w:val="none"/>
        </w:rPr>
      </w:pPr>
    </w:p>
    <w:p w14:paraId="5D8D8DF7">
      <w:pPr>
        <w:snapToGrid w:val="0"/>
        <w:spacing w:line="360" w:lineRule="auto"/>
        <w:jc w:val="center"/>
        <w:rPr>
          <w:rFonts w:hint="eastAsia" w:ascii="宋体" w:hAnsi="宋体"/>
          <w:b/>
          <w:color w:val="auto"/>
          <w:szCs w:val="21"/>
          <w:highlight w:val="none"/>
        </w:rPr>
      </w:pPr>
    </w:p>
    <w:p w14:paraId="7735FA5C">
      <w:pPr>
        <w:snapToGrid w:val="0"/>
        <w:spacing w:line="360" w:lineRule="auto"/>
        <w:jc w:val="center"/>
        <w:rPr>
          <w:rFonts w:hint="eastAsia" w:ascii="宋体" w:hAnsi="宋体"/>
          <w:b/>
          <w:color w:val="auto"/>
          <w:szCs w:val="21"/>
          <w:highlight w:val="none"/>
        </w:rPr>
      </w:pPr>
    </w:p>
    <w:p w14:paraId="0081B74B">
      <w:pPr>
        <w:snapToGrid w:val="0"/>
        <w:spacing w:line="360" w:lineRule="auto"/>
        <w:jc w:val="center"/>
        <w:rPr>
          <w:rFonts w:hint="eastAsia" w:ascii="宋体" w:hAnsi="宋体"/>
          <w:b/>
          <w:color w:val="auto"/>
          <w:szCs w:val="21"/>
          <w:highlight w:val="none"/>
        </w:rPr>
      </w:pPr>
    </w:p>
    <w:p w14:paraId="68089120">
      <w:pPr>
        <w:snapToGrid w:val="0"/>
        <w:spacing w:line="360" w:lineRule="auto"/>
        <w:jc w:val="center"/>
        <w:rPr>
          <w:rFonts w:hint="eastAsia" w:ascii="宋体" w:hAnsi="宋体"/>
          <w:b/>
          <w:color w:val="auto"/>
          <w:szCs w:val="21"/>
          <w:highlight w:val="none"/>
        </w:rPr>
      </w:pPr>
    </w:p>
    <w:p w14:paraId="360D03BE">
      <w:pPr>
        <w:snapToGrid w:val="0"/>
        <w:spacing w:line="360" w:lineRule="auto"/>
        <w:jc w:val="center"/>
        <w:rPr>
          <w:rFonts w:hint="eastAsia" w:ascii="宋体" w:hAnsi="宋体"/>
          <w:b/>
          <w:color w:val="auto"/>
          <w:szCs w:val="21"/>
          <w:highlight w:val="none"/>
        </w:rPr>
      </w:pPr>
    </w:p>
    <w:p w14:paraId="3652BBDF">
      <w:pPr>
        <w:snapToGrid w:val="0"/>
        <w:spacing w:line="360" w:lineRule="auto"/>
        <w:jc w:val="center"/>
        <w:rPr>
          <w:rFonts w:hint="eastAsia" w:ascii="宋体" w:hAnsi="宋体"/>
          <w:b/>
          <w:color w:val="auto"/>
          <w:szCs w:val="21"/>
          <w:highlight w:val="none"/>
        </w:rPr>
      </w:pPr>
    </w:p>
    <w:p w14:paraId="3C065FFD">
      <w:pPr>
        <w:snapToGrid w:val="0"/>
        <w:spacing w:line="360" w:lineRule="auto"/>
        <w:jc w:val="center"/>
        <w:rPr>
          <w:rFonts w:hint="eastAsia" w:ascii="宋体" w:hAnsi="宋体"/>
          <w:b/>
          <w:color w:val="auto"/>
          <w:szCs w:val="21"/>
          <w:highlight w:val="none"/>
        </w:rPr>
      </w:pPr>
    </w:p>
    <w:p w14:paraId="7745F1C0">
      <w:pPr>
        <w:snapToGrid w:val="0"/>
        <w:spacing w:line="360" w:lineRule="auto"/>
        <w:jc w:val="center"/>
        <w:rPr>
          <w:rFonts w:hint="eastAsia" w:ascii="宋体" w:hAnsi="宋体"/>
          <w:b/>
          <w:color w:val="auto"/>
          <w:szCs w:val="21"/>
          <w:highlight w:val="none"/>
        </w:rPr>
      </w:pPr>
    </w:p>
    <w:p w14:paraId="414B1AB2">
      <w:pPr>
        <w:snapToGrid w:val="0"/>
        <w:spacing w:line="360" w:lineRule="auto"/>
        <w:jc w:val="center"/>
        <w:rPr>
          <w:rFonts w:hint="eastAsia" w:ascii="宋体" w:hAnsi="宋体"/>
          <w:b/>
          <w:color w:val="auto"/>
          <w:szCs w:val="21"/>
          <w:highlight w:val="none"/>
        </w:rPr>
      </w:pPr>
    </w:p>
    <w:p w14:paraId="6C82C976">
      <w:pPr>
        <w:snapToGrid w:val="0"/>
        <w:spacing w:line="360" w:lineRule="auto"/>
        <w:jc w:val="center"/>
        <w:rPr>
          <w:rFonts w:hint="eastAsia" w:ascii="宋体" w:hAnsi="宋体"/>
          <w:b/>
          <w:color w:val="auto"/>
          <w:szCs w:val="21"/>
          <w:highlight w:val="none"/>
        </w:rPr>
      </w:pPr>
    </w:p>
    <w:p w14:paraId="0FA7397A">
      <w:pPr>
        <w:snapToGrid w:val="0"/>
        <w:spacing w:line="360" w:lineRule="auto"/>
        <w:jc w:val="center"/>
        <w:rPr>
          <w:rFonts w:hint="eastAsia" w:ascii="宋体" w:hAnsi="宋体"/>
          <w:b/>
          <w:color w:val="auto"/>
          <w:szCs w:val="21"/>
          <w:highlight w:val="none"/>
        </w:rPr>
      </w:pPr>
      <w:r>
        <w:rPr>
          <w:rFonts w:hint="eastAsia" w:ascii="宋体" w:hAnsi="宋体"/>
          <w:b/>
          <w:color w:val="auto"/>
          <w:szCs w:val="21"/>
          <w:highlight w:val="none"/>
        </w:rPr>
        <w:t>合 同 附 件</w:t>
      </w:r>
    </w:p>
    <w:tbl>
      <w:tblPr>
        <w:tblStyle w:val="14"/>
        <w:tblW w:w="5000" w:type="pct"/>
        <w:tblInd w:w="0" w:type="dxa"/>
        <w:tblLayout w:type="autofit"/>
        <w:tblCellMar>
          <w:top w:w="0" w:type="dxa"/>
          <w:left w:w="108" w:type="dxa"/>
          <w:bottom w:w="0" w:type="dxa"/>
          <w:right w:w="108" w:type="dxa"/>
        </w:tblCellMar>
      </w:tblPr>
      <w:tblGrid>
        <w:gridCol w:w="5082"/>
        <w:gridCol w:w="5600"/>
      </w:tblGrid>
      <w:tr w14:paraId="42D082DF">
        <w:tblPrEx>
          <w:tblCellMar>
            <w:top w:w="0" w:type="dxa"/>
            <w:left w:w="108" w:type="dxa"/>
            <w:bottom w:w="0" w:type="dxa"/>
            <w:right w:w="108" w:type="dxa"/>
          </w:tblCellMar>
        </w:tblPrEx>
        <w:trPr>
          <w:trHeight w:val="1421" w:hRule="atLeast"/>
        </w:trPr>
        <w:tc>
          <w:tcPr>
            <w:tcW w:w="5000" w:type="pct"/>
            <w:gridSpan w:val="2"/>
            <w:tcBorders>
              <w:top w:val="single" w:color="auto" w:sz="4" w:space="0"/>
              <w:left w:val="single" w:color="auto" w:sz="4" w:space="0"/>
              <w:right w:val="single" w:color="auto" w:sz="4" w:space="0"/>
            </w:tcBorders>
            <w:noWrap w:val="0"/>
            <w:vAlign w:val="top"/>
          </w:tcPr>
          <w:p w14:paraId="1F0B8D88">
            <w:pPr>
              <w:snapToGrid w:val="0"/>
              <w:spacing w:line="400" w:lineRule="exact"/>
              <w:rPr>
                <w:rFonts w:hint="eastAsia"/>
                <w:color w:val="auto"/>
                <w:highlight w:val="none"/>
              </w:rPr>
            </w:pPr>
            <w:r>
              <w:rPr>
                <w:rFonts w:hint="eastAsia"/>
                <w:color w:val="auto"/>
                <w:highlight w:val="none"/>
              </w:rPr>
              <w:t>1、供应商承诺具体事项：</w:t>
            </w:r>
          </w:p>
          <w:p w14:paraId="4442A139">
            <w:pPr>
              <w:pStyle w:val="2"/>
              <w:rPr>
                <w:rFonts w:hint="eastAsia"/>
                <w:color w:val="auto"/>
                <w:highlight w:val="none"/>
              </w:rPr>
            </w:pPr>
          </w:p>
          <w:p w14:paraId="45F13224">
            <w:pPr>
              <w:rPr>
                <w:rFonts w:hint="eastAsia"/>
                <w:color w:val="auto"/>
                <w:highlight w:val="none"/>
              </w:rPr>
            </w:pPr>
          </w:p>
          <w:p w14:paraId="052EE72B">
            <w:pPr>
              <w:pStyle w:val="2"/>
              <w:rPr>
                <w:rFonts w:hint="eastAsia"/>
                <w:color w:val="auto"/>
                <w:highlight w:val="none"/>
              </w:rPr>
            </w:pPr>
          </w:p>
          <w:p w14:paraId="1A9FDBF2">
            <w:pPr>
              <w:rPr>
                <w:rFonts w:hint="eastAsia"/>
                <w:color w:val="auto"/>
                <w:highlight w:val="none"/>
              </w:rPr>
            </w:pPr>
          </w:p>
          <w:p w14:paraId="69A0DCEA">
            <w:pPr>
              <w:pStyle w:val="2"/>
              <w:rPr>
                <w:rFonts w:hint="eastAsia"/>
                <w:color w:val="auto"/>
                <w:highlight w:val="none"/>
              </w:rPr>
            </w:pPr>
          </w:p>
          <w:p w14:paraId="7E2A0E63">
            <w:pPr>
              <w:rPr>
                <w:rFonts w:hint="eastAsia"/>
                <w:color w:val="auto"/>
                <w:highlight w:val="none"/>
              </w:rPr>
            </w:pPr>
          </w:p>
        </w:tc>
      </w:tr>
      <w:tr w14:paraId="193E9FB0">
        <w:tblPrEx>
          <w:tblCellMar>
            <w:top w:w="0" w:type="dxa"/>
            <w:left w:w="108" w:type="dxa"/>
            <w:bottom w:w="0" w:type="dxa"/>
            <w:right w:w="108" w:type="dxa"/>
          </w:tblCellMar>
        </w:tblPrEx>
        <w:trPr>
          <w:trHeight w:val="1412" w:hRule="atLeast"/>
        </w:trPr>
        <w:tc>
          <w:tcPr>
            <w:tcW w:w="5000" w:type="pct"/>
            <w:gridSpan w:val="2"/>
            <w:tcBorders>
              <w:top w:val="single" w:color="auto" w:sz="4" w:space="0"/>
              <w:left w:val="single" w:color="auto" w:sz="4" w:space="0"/>
              <w:right w:val="single" w:color="auto" w:sz="4" w:space="0"/>
            </w:tcBorders>
            <w:noWrap w:val="0"/>
            <w:vAlign w:val="top"/>
          </w:tcPr>
          <w:p w14:paraId="537A8EDF">
            <w:pPr>
              <w:numPr>
                <w:ilvl w:val="0"/>
                <w:numId w:val="2"/>
              </w:numPr>
              <w:snapToGrid w:val="0"/>
              <w:spacing w:line="400" w:lineRule="exact"/>
              <w:rPr>
                <w:rFonts w:hint="eastAsia"/>
                <w:color w:val="auto"/>
                <w:highlight w:val="none"/>
              </w:rPr>
            </w:pPr>
            <w:r>
              <w:rPr>
                <w:rFonts w:hint="eastAsia"/>
                <w:color w:val="auto"/>
                <w:highlight w:val="none"/>
              </w:rPr>
              <w:t>售后服务具体事项：</w:t>
            </w:r>
          </w:p>
          <w:p w14:paraId="1B028DA7">
            <w:pPr>
              <w:pStyle w:val="2"/>
              <w:numPr>
                <w:ilvl w:val="0"/>
                <w:numId w:val="0"/>
              </w:numPr>
              <w:rPr>
                <w:rFonts w:hint="eastAsia"/>
                <w:color w:val="auto"/>
                <w:highlight w:val="none"/>
              </w:rPr>
            </w:pPr>
          </w:p>
          <w:p w14:paraId="2A0E3664">
            <w:pPr>
              <w:rPr>
                <w:rFonts w:hint="eastAsia"/>
                <w:color w:val="auto"/>
                <w:highlight w:val="none"/>
              </w:rPr>
            </w:pPr>
          </w:p>
          <w:p w14:paraId="1E048F1A">
            <w:pPr>
              <w:pStyle w:val="2"/>
              <w:rPr>
                <w:rFonts w:hint="eastAsia"/>
                <w:color w:val="auto"/>
                <w:highlight w:val="none"/>
              </w:rPr>
            </w:pPr>
          </w:p>
          <w:p w14:paraId="3069D935">
            <w:pPr>
              <w:rPr>
                <w:rFonts w:hint="eastAsia"/>
                <w:color w:val="auto"/>
                <w:highlight w:val="none"/>
              </w:rPr>
            </w:pPr>
          </w:p>
          <w:p w14:paraId="10568525">
            <w:pPr>
              <w:pStyle w:val="2"/>
              <w:rPr>
                <w:rFonts w:hint="eastAsia"/>
                <w:color w:val="auto"/>
                <w:highlight w:val="none"/>
              </w:rPr>
            </w:pPr>
          </w:p>
          <w:p w14:paraId="2958E846">
            <w:pPr>
              <w:rPr>
                <w:rFonts w:hint="eastAsia"/>
                <w:color w:val="auto"/>
                <w:highlight w:val="none"/>
              </w:rPr>
            </w:pPr>
          </w:p>
        </w:tc>
      </w:tr>
      <w:tr w14:paraId="317F65D2">
        <w:tblPrEx>
          <w:tblCellMar>
            <w:top w:w="0" w:type="dxa"/>
            <w:left w:w="108" w:type="dxa"/>
            <w:bottom w:w="0" w:type="dxa"/>
            <w:right w:w="108" w:type="dxa"/>
          </w:tblCellMar>
        </w:tblPrEx>
        <w:trPr>
          <w:trHeight w:val="1736" w:hRule="atLeast"/>
        </w:trPr>
        <w:tc>
          <w:tcPr>
            <w:tcW w:w="5000" w:type="pct"/>
            <w:gridSpan w:val="2"/>
            <w:tcBorders>
              <w:top w:val="single" w:color="auto" w:sz="4" w:space="0"/>
              <w:left w:val="single" w:color="auto" w:sz="4" w:space="0"/>
              <w:right w:val="single" w:color="auto" w:sz="4" w:space="0"/>
            </w:tcBorders>
            <w:noWrap w:val="0"/>
            <w:vAlign w:val="top"/>
          </w:tcPr>
          <w:p w14:paraId="30B67F03">
            <w:pPr>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3、保修期责任：</w:t>
            </w:r>
          </w:p>
        </w:tc>
      </w:tr>
      <w:tr w14:paraId="03CF7A9A">
        <w:tblPrEx>
          <w:tblCellMar>
            <w:top w:w="0" w:type="dxa"/>
            <w:left w:w="108" w:type="dxa"/>
            <w:bottom w:w="0" w:type="dxa"/>
            <w:right w:w="108" w:type="dxa"/>
          </w:tblCellMar>
        </w:tblPrEx>
        <w:trPr>
          <w:trHeight w:val="2271" w:hRule="atLeast"/>
        </w:trPr>
        <w:tc>
          <w:tcPr>
            <w:tcW w:w="5000" w:type="pct"/>
            <w:gridSpan w:val="2"/>
            <w:tcBorders>
              <w:top w:val="single" w:color="auto" w:sz="4" w:space="0"/>
              <w:left w:val="single" w:color="auto" w:sz="4" w:space="0"/>
              <w:right w:val="single" w:color="auto" w:sz="4" w:space="0"/>
            </w:tcBorders>
            <w:noWrap w:val="0"/>
            <w:vAlign w:val="top"/>
          </w:tcPr>
          <w:p w14:paraId="726FABC8">
            <w:pPr>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4、其他具体事项：</w:t>
            </w:r>
          </w:p>
        </w:tc>
      </w:tr>
      <w:tr w14:paraId="5CA60798">
        <w:tblPrEx>
          <w:tblCellMar>
            <w:top w:w="0" w:type="dxa"/>
            <w:left w:w="108" w:type="dxa"/>
            <w:bottom w:w="0" w:type="dxa"/>
            <w:right w:w="108" w:type="dxa"/>
          </w:tblCellMar>
        </w:tblPrEx>
        <w:trPr>
          <w:trHeight w:val="2577" w:hRule="atLeast"/>
        </w:trPr>
        <w:tc>
          <w:tcPr>
            <w:tcW w:w="2379" w:type="pct"/>
            <w:tcBorders>
              <w:top w:val="single" w:color="auto" w:sz="4" w:space="0"/>
              <w:left w:val="single" w:color="auto" w:sz="4" w:space="0"/>
              <w:bottom w:val="single" w:color="auto" w:sz="4" w:space="0"/>
              <w:right w:val="single" w:color="auto" w:sz="4" w:space="0"/>
            </w:tcBorders>
            <w:noWrap w:val="0"/>
            <w:vAlign w:val="center"/>
          </w:tcPr>
          <w:p w14:paraId="2E3973C4">
            <w:pPr>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甲方（章）</w:t>
            </w:r>
          </w:p>
          <w:p w14:paraId="7745101C">
            <w:pPr>
              <w:snapToGrid w:val="0"/>
              <w:spacing w:line="400" w:lineRule="exact"/>
              <w:ind w:firstLine="422" w:firstLineChars="200"/>
              <w:rPr>
                <w:rFonts w:hint="eastAsia" w:ascii="宋体" w:hAnsi="宋体"/>
                <w:b/>
                <w:color w:val="auto"/>
                <w:szCs w:val="21"/>
                <w:highlight w:val="none"/>
              </w:rPr>
            </w:pPr>
          </w:p>
          <w:p w14:paraId="0644FBF3">
            <w:pPr>
              <w:snapToGrid w:val="0"/>
              <w:spacing w:line="400" w:lineRule="exact"/>
              <w:ind w:firstLine="422" w:firstLineChars="200"/>
              <w:rPr>
                <w:rFonts w:hint="eastAsia" w:ascii="宋体" w:hAnsi="宋体"/>
                <w:b/>
                <w:color w:val="auto"/>
                <w:szCs w:val="21"/>
                <w:highlight w:val="none"/>
              </w:rPr>
            </w:pPr>
          </w:p>
          <w:p w14:paraId="465FC2D4">
            <w:pPr>
              <w:snapToGrid w:val="0"/>
              <w:spacing w:line="400" w:lineRule="exact"/>
              <w:ind w:firstLine="422" w:firstLineChars="200"/>
              <w:rPr>
                <w:rFonts w:hint="eastAsia" w:ascii="宋体" w:hAnsi="宋体"/>
                <w:b/>
                <w:color w:val="auto"/>
                <w:szCs w:val="21"/>
                <w:highlight w:val="none"/>
              </w:rPr>
            </w:pPr>
          </w:p>
          <w:p w14:paraId="0B8538B7">
            <w:pPr>
              <w:snapToGrid w:val="0"/>
              <w:spacing w:line="400" w:lineRule="exact"/>
              <w:ind w:firstLine="422" w:firstLineChars="200"/>
              <w:rPr>
                <w:rFonts w:hint="eastAsia" w:ascii="宋体" w:hAnsi="宋体"/>
                <w:b/>
                <w:color w:val="auto"/>
                <w:szCs w:val="21"/>
                <w:highlight w:val="none"/>
              </w:rPr>
            </w:pPr>
          </w:p>
          <w:p w14:paraId="42A5F4B4">
            <w:pPr>
              <w:snapToGrid w:val="0"/>
              <w:spacing w:line="400" w:lineRule="exact"/>
              <w:ind w:firstLine="422" w:firstLineChars="200"/>
              <w:rPr>
                <w:rFonts w:hint="eastAsia" w:ascii="宋体" w:hAnsi="宋体"/>
                <w:b/>
                <w:color w:val="auto"/>
                <w:szCs w:val="21"/>
                <w:highlight w:val="none"/>
              </w:rPr>
            </w:pPr>
          </w:p>
          <w:p w14:paraId="0A479C25">
            <w:pPr>
              <w:snapToGrid w:val="0"/>
              <w:spacing w:line="400" w:lineRule="exact"/>
              <w:ind w:firstLine="422" w:firstLineChars="200"/>
              <w:rPr>
                <w:rFonts w:hint="eastAsia" w:ascii="宋体" w:hAnsi="宋体"/>
                <w:b/>
                <w:color w:val="auto"/>
                <w:szCs w:val="21"/>
                <w:highlight w:val="none"/>
              </w:rPr>
            </w:pPr>
          </w:p>
          <w:p w14:paraId="5470AD6E">
            <w:pPr>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 xml:space="preserve">                 年   月   日 </w:t>
            </w:r>
          </w:p>
        </w:tc>
        <w:tc>
          <w:tcPr>
            <w:tcW w:w="2621" w:type="pct"/>
            <w:tcBorders>
              <w:top w:val="single" w:color="auto" w:sz="4" w:space="0"/>
              <w:left w:val="single" w:color="auto" w:sz="4" w:space="0"/>
              <w:bottom w:val="single" w:color="auto" w:sz="4" w:space="0"/>
              <w:right w:val="single" w:color="auto" w:sz="4" w:space="0"/>
            </w:tcBorders>
            <w:noWrap w:val="0"/>
            <w:vAlign w:val="center"/>
          </w:tcPr>
          <w:p w14:paraId="2B8A39E6">
            <w:pPr>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乙方（章）</w:t>
            </w:r>
          </w:p>
          <w:p w14:paraId="6B58F38F">
            <w:pPr>
              <w:snapToGrid w:val="0"/>
              <w:spacing w:line="400" w:lineRule="exact"/>
              <w:ind w:firstLine="422" w:firstLineChars="200"/>
              <w:rPr>
                <w:rFonts w:hint="eastAsia" w:ascii="宋体" w:hAnsi="宋体"/>
                <w:b/>
                <w:color w:val="auto"/>
                <w:szCs w:val="21"/>
                <w:highlight w:val="none"/>
              </w:rPr>
            </w:pPr>
          </w:p>
          <w:p w14:paraId="56055695">
            <w:pPr>
              <w:snapToGrid w:val="0"/>
              <w:spacing w:line="400" w:lineRule="exact"/>
              <w:ind w:firstLine="422" w:firstLineChars="200"/>
              <w:rPr>
                <w:rFonts w:hint="eastAsia" w:ascii="宋体" w:hAnsi="宋体"/>
                <w:b/>
                <w:color w:val="auto"/>
                <w:szCs w:val="21"/>
                <w:highlight w:val="none"/>
              </w:rPr>
            </w:pPr>
          </w:p>
          <w:p w14:paraId="1B37049C">
            <w:pPr>
              <w:snapToGrid w:val="0"/>
              <w:spacing w:line="400" w:lineRule="exact"/>
              <w:ind w:firstLine="422" w:firstLineChars="200"/>
              <w:rPr>
                <w:rFonts w:hint="eastAsia" w:ascii="宋体" w:hAnsi="宋体"/>
                <w:b/>
                <w:color w:val="auto"/>
                <w:szCs w:val="21"/>
                <w:highlight w:val="none"/>
              </w:rPr>
            </w:pPr>
          </w:p>
          <w:p w14:paraId="47250EA4">
            <w:pPr>
              <w:snapToGrid w:val="0"/>
              <w:spacing w:line="400" w:lineRule="exact"/>
              <w:ind w:firstLine="422" w:firstLineChars="200"/>
              <w:rPr>
                <w:rFonts w:hint="eastAsia" w:ascii="宋体" w:hAnsi="宋体"/>
                <w:b/>
                <w:color w:val="auto"/>
                <w:szCs w:val="21"/>
                <w:highlight w:val="none"/>
              </w:rPr>
            </w:pPr>
          </w:p>
          <w:p w14:paraId="67788771">
            <w:pPr>
              <w:snapToGrid w:val="0"/>
              <w:spacing w:line="400" w:lineRule="exact"/>
              <w:ind w:firstLine="422" w:firstLineChars="200"/>
              <w:rPr>
                <w:rFonts w:hint="eastAsia" w:ascii="宋体" w:hAnsi="宋体"/>
                <w:b/>
                <w:color w:val="auto"/>
                <w:szCs w:val="21"/>
                <w:highlight w:val="none"/>
              </w:rPr>
            </w:pPr>
          </w:p>
          <w:p w14:paraId="588D3552">
            <w:pPr>
              <w:snapToGrid w:val="0"/>
              <w:spacing w:line="400" w:lineRule="exact"/>
              <w:ind w:firstLine="422" w:firstLineChars="200"/>
              <w:rPr>
                <w:rFonts w:hint="eastAsia" w:ascii="宋体" w:hAnsi="宋体"/>
                <w:b/>
                <w:color w:val="auto"/>
                <w:szCs w:val="21"/>
                <w:highlight w:val="none"/>
              </w:rPr>
            </w:pPr>
          </w:p>
          <w:p w14:paraId="75DB7038">
            <w:pPr>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 xml:space="preserve">                年   月   日</w:t>
            </w:r>
          </w:p>
        </w:tc>
      </w:tr>
    </w:tbl>
    <w:p w14:paraId="30FA3D7F">
      <w:pPr>
        <w:snapToGrid w:val="0"/>
        <w:rPr>
          <w:rFonts w:hint="eastAsia" w:ascii="宋体" w:hAnsi="宋体"/>
          <w:color w:val="auto"/>
          <w:szCs w:val="21"/>
          <w:highlight w:val="none"/>
        </w:rPr>
      </w:pPr>
      <w:r>
        <w:rPr>
          <w:rFonts w:hint="eastAsia" w:ascii="宋体" w:hAnsi="宋体"/>
          <w:color w:val="auto"/>
          <w:szCs w:val="21"/>
          <w:highlight w:val="none"/>
        </w:rPr>
        <w:t xml:space="preserve">  注：售后服务事项填不下时可另加附页</w:t>
      </w:r>
    </w:p>
    <w:p w14:paraId="4F102108">
      <w:pPr>
        <w:snapToGrid w:val="0"/>
        <w:spacing w:line="480" w:lineRule="auto"/>
        <w:jc w:val="center"/>
        <w:rPr>
          <w:rFonts w:hint="eastAsia" w:ascii="宋体" w:hAnsi="宋体"/>
          <w:b/>
          <w:color w:val="auto"/>
          <w:szCs w:val="21"/>
          <w:highlight w:val="none"/>
        </w:rPr>
      </w:pPr>
    </w:p>
    <w:p w14:paraId="7D2C13B7">
      <w:pPr>
        <w:pageBreakBefore/>
        <w:spacing w:line="300" w:lineRule="auto"/>
        <w:ind w:firstLine="3266"/>
        <w:rPr>
          <w:rFonts w:ascii="仿宋_GB2312" w:hAnsi="仿宋_GB2312" w:eastAsia="仿宋_GB2312"/>
          <w:b/>
          <w:color w:val="auto"/>
          <w:sz w:val="44"/>
          <w:szCs w:val="44"/>
          <w:highlight w:val="none"/>
        </w:rPr>
      </w:pPr>
    </w:p>
    <w:p w14:paraId="14811A0E">
      <w:pPr>
        <w:spacing w:line="300" w:lineRule="auto"/>
        <w:ind w:firstLine="3264"/>
        <w:rPr>
          <w:rFonts w:ascii="仿宋_GB2312" w:hAnsi="仿宋_GB2312" w:eastAsia="仿宋_GB2312"/>
          <w:b/>
          <w:color w:val="auto"/>
          <w:sz w:val="44"/>
          <w:szCs w:val="44"/>
          <w:highlight w:val="none"/>
        </w:rPr>
      </w:pPr>
    </w:p>
    <w:p w14:paraId="30011583">
      <w:pPr>
        <w:spacing w:line="300" w:lineRule="auto"/>
        <w:ind w:firstLine="3264"/>
        <w:rPr>
          <w:rFonts w:ascii="仿宋_GB2312" w:hAnsi="仿宋_GB2312" w:eastAsia="仿宋_GB2312"/>
          <w:b/>
          <w:color w:val="auto"/>
          <w:sz w:val="44"/>
          <w:szCs w:val="44"/>
          <w:highlight w:val="none"/>
        </w:rPr>
      </w:pPr>
    </w:p>
    <w:p w14:paraId="51860FD7">
      <w:pPr>
        <w:spacing w:line="300" w:lineRule="auto"/>
        <w:ind w:firstLine="3264"/>
        <w:rPr>
          <w:rFonts w:ascii="仿宋_GB2312" w:hAnsi="仿宋_GB2312" w:eastAsia="仿宋_GB2312"/>
          <w:b/>
          <w:color w:val="auto"/>
          <w:sz w:val="44"/>
          <w:szCs w:val="44"/>
          <w:highlight w:val="none"/>
        </w:rPr>
      </w:pPr>
    </w:p>
    <w:p w14:paraId="34D58F40">
      <w:pPr>
        <w:spacing w:line="300" w:lineRule="auto"/>
        <w:ind w:firstLine="3264"/>
        <w:rPr>
          <w:rFonts w:ascii="仿宋_GB2312" w:hAnsi="仿宋_GB2312" w:eastAsia="仿宋_GB2312"/>
          <w:b/>
          <w:color w:val="auto"/>
          <w:sz w:val="44"/>
          <w:szCs w:val="44"/>
          <w:highlight w:val="none"/>
        </w:rPr>
      </w:pPr>
    </w:p>
    <w:p w14:paraId="44D21683">
      <w:pPr>
        <w:spacing w:line="300" w:lineRule="auto"/>
        <w:ind w:firstLine="3264"/>
        <w:rPr>
          <w:rFonts w:ascii="仿宋_GB2312" w:hAnsi="仿宋_GB2312" w:eastAsia="仿宋_GB2312"/>
          <w:b/>
          <w:color w:val="auto"/>
          <w:sz w:val="44"/>
          <w:szCs w:val="44"/>
          <w:highlight w:val="none"/>
        </w:rPr>
      </w:pPr>
    </w:p>
    <w:p w14:paraId="3870E099">
      <w:pPr>
        <w:pStyle w:val="2"/>
        <w:rPr>
          <w:rFonts w:ascii="仿宋_GB2312" w:hAnsi="仿宋_GB2312" w:eastAsia="仿宋_GB2312"/>
          <w:b/>
          <w:color w:val="auto"/>
          <w:sz w:val="44"/>
          <w:szCs w:val="44"/>
          <w:highlight w:val="none"/>
        </w:rPr>
      </w:pPr>
    </w:p>
    <w:p w14:paraId="12EB86B5">
      <w:pPr>
        <w:rPr>
          <w:color w:val="auto"/>
          <w:highlight w:val="none"/>
        </w:rPr>
      </w:pPr>
    </w:p>
    <w:p w14:paraId="7C956DC9">
      <w:pPr>
        <w:spacing w:line="300" w:lineRule="auto"/>
        <w:ind w:firstLine="3264"/>
        <w:rPr>
          <w:rFonts w:ascii="仿宋_GB2312" w:hAnsi="仿宋_GB2312" w:eastAsia="仿宋_GB2312"/>
          <w:b/>
          <w:color w:val="auto"/>
          <w:sz w:val="44"/>
          <w:szCs w:val="44"/>
          <w:highlight w:val="none"/>
        </w:rPr>
      </w:pPr>
    </w:p>
    <w:p w14:paraId="3A944E5E">
      <w:pPr>
        <w:spacing w:line="300" w:lineRule="auto"/>
        <w:ind w:firstLine="3264"/>
        <w:rPr>
          <w:rFonts w:ascii="仿宋_GB2312" w:hAnsi="仿宋_GB2312" w:eastAsia="仿宋_GB2312"/>
          <w:b/>
          <w:color w:val="auto"/>
          <w:sz w:val="44"/>
          <w:szCs w:val="44"/>
          <w:highlight w:val="none"/>
        </w:rPr>
      </w:pPr>
    </w:p>
    <w:p w14:paraId="045780AA">
      <w:pPr>
        <w:pStyle w:val="3"/>
        <w:jc w:val="center"/>
        <w:rPr>
          <w:color w:val="auto"/>
          <w:highlight w:val="none"/>
        </w:rPr>
      </w:pPr>
      <w:bookmarkStart w:id="48" w:name="_Toc46136761"/>
      <w:r>
        <w:rPr>
          <w:rFonts w:hint="eastAsia"/>
          <w:color w:val="auto"/>
          <w:highlight w:val="none"/>
        </w:rPr>
        <w:t>第六章  评定标准</w:t>
      </w:r>
      <w:bookmarkEnd w:id="48"/>
    </w:p>
    <w:p w14:paraId="2FEF9875">
      <w:pPr>
        <w:pStyle w:val="8"/>
        <w:spacing w:line="440" w:lineRule="exact"/>
        <w:rPr>
          <w:rFonts w:ascii="黑体" w:hAnsi="黑体" w:eastAsia="黑体"/>
          <w:b/>
          <w:color w:val="auto"/>
          <w:sz w:val="32"/>
          <w:szCs w:val="32"/>
          <w:highlight w:val="none"/>
        </w:rPr>
      </w:pPr>
    </w:p>
    <w:p w14:paraId="264B17E8">
      <w:pPr>
        <w:pStyle w:val="8"/>
        <w:spacing w:line="440" w:lineRule="exact"/>
        <w:rPr>
          <w:rFonts w:ascii="黑体" w:hAnsi="黑体" w:eastAsia="黑体"/>
          <w:b/>
          <w:color w:val="auto"/>
          <w:sz w:val="32"/>
          <w:szCs w:val="32"/>
          <w:highlight w:val="none"/>
        </w:rPr>
      </w:pPr>
    </w:p>
    <w:p w14:paraId="172A8649">
      <w:pPr>
        <w:pStyle w:val="8"/>
        <w:pageBreakBefore/>
        <w:spacing w:line="440" w:lineRule="exact"/>
        <w:rPr>
          <w:rFonts w:ascii="黑体" w:hAnsi="黑体" w:eastAsia="黑体"/>
          <w:b/>
          <w:color w:val="auto"/>
          <w:sz w:val="32"/>
          <w:szCs w:val="32"/>
          <w:highlight w:val="none"/>
        </w:rPr>
      </w:pPr>
    </w:p>
    <w:p w14:paraId="619E8567">
      <w:pPr>
        <w:pStyle w:val="8"/>
        <w:spacing w:line="440" w:lineRule="exact"/>
        <w:ind w:firstLine="4000"/>
        <w:rPr>
          <w:color w:val="auto"/>
          <w:highlight w:val="none"/>
        </w:rPr>
      </w:pPr>
      <w:r>
        <w:rPr>
          <w:rFonts w:hint="eastAsia"/>
          <w:b/>
          <w:color w:val="auto"/>
          <w:sz w:val="32"/>
          <w:szCs w:val="32"/>
          <w:highlight w:val="none"/>
        </w:rPr>
        <w:t>评定标准</w:t>
      </w:r>
    </w:p>
    <w:p w14:paraId="36A077BF">
      <w:pPr>
        <w:pStyle w:val="8"/>
        <w:spacing w:line="440" w:lineRule="exact"/>
        <w:rPr>
          <w:rFonts w:ascii="仿宋_GB2312" w:hAnsi="仿宋_GB2312" w:eastAsia="仿宋_GB2312"/>
          <w:color w:val="auto"/>
          <w:highlight w:val="none"/>
        </w:rPr>
      </w:pPr>
      <w:r>
        <w:rPr>
          <w:rFonts w:hint="eastAsia"/>
          <w:b/>
          <w:color w:val="auto"/>
          <w:highlight w:val="none"/>
        </w:rPr>
        <w:t>一、评审原则</w:t>
      </w:r>
    </w:p>
    <w:p w14:paraId="4C99A0E3">
      <w:pPr>
        <w:pStyle w:val="8"/>
        <w:spacing w:line="440" w:lineRule="exact"/>
        <w:ind w:left="-17" w:right="-24" w:firstLine="420" w:firstLineChars="200"/>
        <w:rPr>
          <w:color w:val="auto"/>
          <w:highlight w:val="none"/>
        </w:rPr>
      </w:pPr>
      <w:r>
        <w:rPr>
          <w:rFonts w:hint="eastAsia" w:ascii="Times New Roman" w:hAnsi="Times New Roman" w:cs="Times New Roman"/>
          <w:color w:val="auto"/>
          <w:highlight w:val="none"/>
        </w:rPr>
        <w:t>（一）谈判小组成员组成：本竞争性谈判采购项目的谈判小组由采购人代表和评审专家共三人以上的单数组成（</w:t>
      </w:r>
      <w:r>
        <w:rPr>
          <w:rFonts w:hint="eastAsia" w:cs="宋体"/>
          <w:color w:val="auto"/>
          <w:highlight w:val="none"/>
        </w:rPr>
        <w:t>达到公开招标数额标准以上的项目，竞争性谈判小组成员由五人以上单数组成）</w:t>
      </w:r>
      <w:r>
        <w:rPr>
          <w:rFonts w:hint="eastAsia" w:ascii="Times New Roman" w:hAnsi="Times New Roman" w:cs="Times New Roman"/>
          <w:color w:val="auto"/>
          <w:highlight w:val="none"/>
        </w:rPr>
        <w:t>，其中评审专家的人数不得少于谈判小组成员总数的三分之二。</w:t>
      </w:r>
    </w:p>
    <w:p w14:paraId="3CD7A8B6">
      <w:pPr>
        <w:pStyle w:val="8"/>
        <w:spacing w:line="440" w:lineRule="exact"/>
        <w:ind w:left="-17" w:right="-24" w:firstLine="420" w:firstLineChars="200"/>
        <w:rPr>
          <w:color w:val="auto"/>
          <w:highlight w:val="none"/>
        </w:rPr>
      </w:pPr>
      <w:r>
        <w:rPr>
          <w:rFonts w:hint="eastAsia"/>
          <w:color w:val="auto"/>
          <w:highlight w:val="none"/>
        </w:rPr>
        <w:t>（二）评审依据：</w:t>
      </w:r>
      <w:r>
        <w:rPr>
          <w:rFonts w:hint="eastAsia" w:ascii="Times New Roman" w:hAnsi="Times New Roman" w:cs="Times New Roman"/>
          <w:color w:val="auto"/>
          <w:highlight w:val="none"/>
        </w:rPr>
        <w:t>以</w:t>
      </w:r>
      <w:r>
        <w:rPr>
          <w:rFonts w:hint="eastAsia"/>
          <w:color w:val="auto"/>
          <w:highlight w:val="none"/>
        </w:rPr>
        <w:t>竞争性</w:t>
      </w:r>
      <w:r>
        <w:rPr>
          <w:rFonts w:hint="eastAsia" w:ascii="Times New Roman" w:hAnsi="Times New Roman" w:cs="Times New Roman"/>
          <w:color w:val="auto"/>
          <w:highlight w:val="none"/>
        </w:rPr>
        <w:t>谈判文件和竞争性谈判响应文件为依据</w:t>
      </w:r>
      <w:r>
        <w:rPr>
          <w:rFonts w:hint="eastAsia"/>
          <w:color w:val="auto"/>
          <w:highlight w:val="none"/>
        </w:rPr>
        <w:t>。</w:t>
      </w:r>
    </w:p>
    <w:p w14:paraId="08A6C094">
      <w:pPr>
        <w:pStyle w:val="8"/>
        <w:spacing w:line="440" w:lineRule="exact"/>
        <w:rPr>
          <w:b/>
          <w:color w:val="auto"/>
          <w:highlight w:val="none"/>
        </w:rPr>
      </w:pPr>
      <w:r>
        <w:rPr>
          <w:rFonts w:hint="eastAsia"/>
          <w:b/>
          <w:color w:val="auto"/>
          <w:highlight w:val="none"/>
        </w:rPr>
        <w:t>二、评标方法</w:t>
      </w:r>
    </w:p>
    <w:p w14:paraId="5C687A99">
      <w:pPr>
        <w:pStyle w:val="8"/>
        <w:spacing w:line="440" w:lineRule="exact"/>
        <w:ind w:left="-17" w:right="542" w:firstLine="420" w:firstLineChars="200"/>
        <w:rPr>
          <w:rFonts w:ascii="Times New Roman" w:hAnsi="Times New Roman" w:cs="Times New Roman"/>
          <w:color w:val="auto"/>
          <w:highlight w:val="none"/>
        </w:rPr>
      </w:pPr>
      <w:r>
        <w:rPr>
          <w:rFonts w:hint="eastAsia" w:ascii="Times New Roman" w:hAnsi="Times New Roman" w:cs="Times New Roman"/>
          <w:color w:val="auto"/>
          <w:highlight w:val="none"/>
        </w:rPr>
        <w:t>（一）对资格性和符合性检查合格的竞争性谈判响应文件，采用最低评标价法进行评审。</w:t>
      </w:r>
    </w:p>
    <w:p w14:paraId="0EDBFAFB">
      <w:pPr>
        <w:pStyle w:val="8"/>
        <w:spacing w:line="440" w:lineRule="exact"/>
        <w:ind w:left="-17" w:right="542" w:firstLine="420" w:firstLineChars="200"/>
        <w:rPr>
          <w:rFonts w:ascii="Times New Roman" w:hAnsi="Times New Roman" w:cs="Times New Roman"/>
          <w:color w:val="auto"/>
          <w:highlight w:val="none"/>
        </w:rPr>
      </w:pPr>
      <w:r>
        <w:rPr>
          <w:rFonts w:hint="eastAsia" w:ascii="Times New Roman" w:hAnsi="Times New Roman" w:cs="Times New Roman"/>
          <w:color w:val="auto"/>
          <w:highlight w:val="none"/>
        </w:rPr>
        <w:t>（二）谈判小组将以竞争性谈判文件、竞争性谈判响应文件为评审依据，在质量和服务均能满足竞争性谈判文件实质性响应要求的供应商中，以提出最后报价（价格扣除后）最低的供应商作为成交供应商。</w:t>
      </w:r>
    </w:p>
    <w:p w14:paraId="0508A509">
      <w:pPr>
        <w:pStyle w:val="8"/>
        <w:spacing w:line="360" w:lineRule="exact"/>
        <w:ind w:firstLine="420" w:firstLineChars="200"/>
        <w:rPr>
          <w:rFonts w:ascii="Times New Roman" w:hAnsi="Times New Roman" w:cs="Times New Roman"/>
          <w:b w:val="0"/>
          <w:bCs w:val="0"/>
          <w:color w:val="auto"/>
          <w:szCs w:val="24"/>
          <w:highlight w:val="none"/>
        </w:rPr>
      </w:pPr>
      <w:r>
        <w:rPr>
          <w:rFonts w:hint="eastAsia"/>
          <w:b w:val="0"/>
          <w:bCs w:val="0"/>
          <w:color w:val="auto"/>
          <w:highlight w:val="none"/>
        </w:rPr>
        <w:t>（三）符合《政府采购促进中小企业发展管理办法》（财库[2020]46号）规定条件且按该办法中规定的格式提供了《中小企业声明函》的</w:t>
      </w:r>
      <w:r>
        <w:rPr>
          <w:rFonts w:hint="eastAsia"/>
          <w:b/>
          <w:bCs/>
          <w:color w:val="auto"/>
          <w:highlight w:val="none"/>
        </w:rPr>
        <w:t>小型和微型企业，对其竞标价给予</w:t>
      </w:r>
      <w:r>
        <w:rPr>
          <w:rFonts w:hint="eastAsia"/>
          <w:b/>
          <w:bCs/>
          <w:color w:val="auto"/>
          <w:highlight w:val="none"/>
          <w:lang w:val="en-US" w:eastAsia="zh-CN"/>
        </w:rPr>
        <w:t>1</w:t>
      </w:r>
      <w:r>
        <w:rPr>
          <w:rFonts w:hint="eastAsia"/>
          <w:b/>
          <w:bCs/>
          <w:color w:val="auto"/>
          <w:highlight w:val="none"/>
        </w:rPr>
        <w:t>0%的扣除</w:t>
      </w:r>
      <w:r>
        <w:rPr>
          <w:rFonts w:hint="eastAsia"/>
          <w:b w:val="0"/>
          <w:bCs w:val="0"/>
          <w:color w:val="auto"/>
          <w:highlight w:val="none"/>
        </w:rPr>
        <w:t>，扣除后的价格为评标价，即评标价=竞标价×（1-</w:t>
      </w:r>
      <w:r>
        <w:rPr>
          <w:rFonts w:hint="eastAsia"/>
          <w:b w:val="0"/>
          <w:bCs w:val="0"/>
          <w:color w:val="auto"/>
          <w:highlight w:val="none"/>
          <w:lang w:val="en-US" w:eastAsia="zh-CN"/>
        </w:rPr>
        <w:t>10</w:t>
      </w:r>
      <w:r>
        <w:rPr>
          <w:rFonts w:hint="eastAsia"/>
          <w:b w:val="0"/>
          <w:bCs w:val="0"/>
          <w:color w:val="auto"/>
          <w:highlight w:val="none"/>
        </w:rPr>
        <w:t>%）</w:t>
      </w:r>
      <w:r>
        <w:rPr>
          <w:b w:val="0"/>
          <w:bCs w:val="0"/>
          <w:color w:val="auto"/>
          <w:highlight w:val="none"/>
        </w:rPr>
        <w:t>；</w:t>
      </w:r>
      <w:r>
        <w:rPr>
          <w:rFonts w:ascii="Times New Roman" w:hAnsi="Times New Roman" w:cs="Times New Roman"/>
          <w:b w:val="0"/>
          <w:bCs w:val="0"/>
          <w:color w:val="auto"/>
          <w:szCs w:val="24"/>
          <w:highlight w:val="none"/>
        </w:rPr>
        <w:t>除上述情况外，评标价=竞标价</w:t>
      </w:r>
      <w:r>
        <w:rPr>
          <w:rFonts w:hint="eastAsia"/>
          <w:b w:val="0"/>
          <w:bCs w:val="0"/>
          <w:color w:val="auto"/>
          <w:highlight w:val="none"/>
        </w:rPr>
        <w:t>。</w:t>
      </w:r>
    </w:p>
    <w:p w14:paraId="057660C9">
      <w:pPr>
        <w:ind w:firstLine="315" w:firstLineChars="150"/>
        <w:rPr>
          <w:rFonts w:ascii="宋体" w:hAnsi="Courier New" w:cs="Courier New"/>
          <w:color w:val="auto"/>
          <w:szCs w:val="21"/>
          <w:highlight w:val="none"/>
        </w:rPr>
      </w:pPr>
      <w:r>
        <w:rPr>
          <w:rFonts w:hint="eastAsia"/>
          <w:b w:val="0"/>
          <w:bCs/>
          <w:color w:val="auto"/>
          <w:highlight w:val="none"/>
        </w:rPr>
        <w:t>（四）</w:t>
      </w:r>
      <w:r>
        <w:rPr>
          <w:rFonts w:hint="eastAsia" w:ascii="宋体" w:hAnsi="Courier New" w:cs="Courier New"/>
          <w:b w:val="0"/>
          <w:bCs/>
          <w:color w:val="auto"/>
          <w:szCs w:val="21"/>
          <w:highlight w:val="none"/>
        </w:rPr>
        <w:t>竞</w:t>
      </w:r>
      <w:r>
        <w:rPr>
          <w:rFonts w:hint="eastAsia" w:ascii="宋体" w:hAnsi="Courier New" w:cs="Courier New"/>
          <w:color w:val="auto"/>
          <w:szCs w:val="21"/>
          <w:highlight w:val="none"/>
        </w:rPr>
        <w:t>标产品的制造企业按《关于政府采购支持监狱企业发展有关问题的通知》(财库[2014]68号)认定为监狱企业的，在政府采购活动中，监狱企业视同小型、微型企业。竞标人提供竞标产品制造企业属于监狱企业的证明文件。</w:t>
      </w:r>
    </w:p>
    <w:p w14:paraId="5DA78584">
      <w:pPr>
        <w:ind w:firstLine="315" w:firstLineChars="150"/>
        <w:rPr>
          <w:rFonts w:hint="eastAsia" w:ascii="宋体" w:hAnsi="Courier New" w:cs="Courier New"/>
          <w:color w:val="auto"/>
          <w:szCs w:val="21"/>
          <w:highlight w:val="none"/>
        </w:rPr>
      </w:pPr>
      <w:bookmarkStart w:id="49" w:name="_Toc40865761"/>
      <w:r>
        <w:rPr>
          <w:rFonts w:hint="eastAsia"/>
          <w:color w:val="auto"/>
          <w:highlight w:val="none"/>
        </w:rPr>
        <w:t>（五）</w:t>
      </w:r>
      <w:r>
        <w:rPr>
          <w:rFonts w:hint="eastAsia" w:ascii="宋体" w:hAnsi="Courier New" w:cs="Courier New"/>
          <w:color w:val="auto"/>
          <w:szCs w:val="21"/>
          <w:highlight w:val="none"/>
        </w:rPr>
        <w:t>竞标产品的制造单位按《关于促进残疾人就业政府采购政策的通知》(财库〔2017〕141号)认定为残疾人福利性单位的，在政府采购活动中，残疾人福利性单位视同小型、微型企业。竞标人提供竞标产品制造单位属于残疾人福利性单位的残疾人福利性单位声明函。</w:t>
      </w:r>
    </w:p>
    <w:bookmarkEnd w:id="49"/>
    <w:p w14:paraId="5CDB53A3">
      <w:pPr>
        <w:pStyle w:val="8"/>
        <w:spacing w:line="440" w:lineRule="exact"/>
        <w:rPr>
          <w:b/>
          <w:bCs w:val="0"/>
          <w:color w:val="auto"/>
          <w:highlight w:val="none"/>
        </w:rPr>
      </w:pPr>
      <w:r>
        <w:rPr>
          <w:rFonts w:hint="eastAsia"/>
          <w:b/>
          <w:bCs w:val="0"/>
          <w:color w:val="auto"/>
          <w:highlight w:val="none"/>
        </w:rPr>
        <w:t>三、成交候选人推荐原则</w:t>
      </w:r>
    </w:p>
    <w:p w14:paraId="7370DE07">
      <w:pPr>
        <w:pStyle w:val="8"/>
        <w:tabs>
          <w:tab w:val="left" w:pos="10466"/>
        </w:tabs>
        <w:spacing w:line="440" w:lineRule="exact"/>
        <w:ind w:left="-17" w:right="-24" w:firstLine="420" w:firstLineChars="200"/>
        <w:rPr>
          <w:rFonts w:hint="eastAsia" w:ascii="Times New Roman" w:hAnsi="Times New Roman" w:cs="Times New Roman"/>
          <w:b w:val="0"/>
          <w:bCs/>
          <w:color w:val="auto"/>
          <w:highlight w:val="none"/>
        </w:rPr>
      </w:pPr>
      <w:r>
        <w:rPr>
          <w:rFonts w:hint="eastAsia" w:ascii="Times New Roman" w:hAnsi="Times New Roman" w:cs="Times New Roman"/>
          <w:b w:val="0"/>
          <w:bCs/>
          <w:color w:val="auto"/>
          <w:highlight w:val="none"/>
        </w:rPr>
        <w:t>（一）竞争性谈判响应文件在质量和服务均能满足竞争性谈判文件实质性响应要求时，谈判小组将按价格扣除后的报价由低到高顺序推荐3名以上成交候选人（报价相同时，由谈判小组根据响应文件中技术、服务、合同条款情况确定排序，并按确定排序推荐成交候选人）。</w:t>
      </w:r>
    </w:p>
    <w:p w14:paraId="29741243">
      <w:pPr>
        <w:pStyle w:val="8"/>
        <w:tabs>
          <w:tab w:val="left" w:pos="10466"/>
        </w:tabs>
        <w:spacing w:line="440" w:lineRule="exact"/>
        <w:ind w:left="-17" w:right="-24" w:firstLine="420" w:firstLineChars="200"/>
        <w:rPr>
          <w:rFonts w:ascii="Times New Roman" w:hAnsi="Times New Roman" w:cs="Times New Roman"/>
          <w:color w:val="auto"/>
          <w:highlight w:val="none"/>
        </w:rPr>
      </w:pPr>
      <w:r>
        <w:rPr>
          <w:rFonts w:hint="eastAsia" w:ascii="Times New Roman" w:hAnsi="Times New Roman" w:cs="Times New Roman"/>
          <w:b w:val="0"/>
          <w:bCs/>
          <w:color w:val="auto"/>
          <w:highlight w:val="none"/>
        </w:rPr>
        <w:t>采购人应当确定谈判小组推荐排名第一的成交候选人为成交供应商。排名第一的成交候选人拒绝签订政府采购合同的，采购人可以确定排名第二的成交候选人为成交供应商。排名第二的成交候选人因前款规定的同样原因不能签订合同的，采购人可以确定排名第三的成交候选人为成交供应商，其余以此类</w:t>
      </w:r>
      <w:r>
        <w:rPr>
          <w:rFonts w:hint="eastAsia" w:ascii="Times New Roman" w:hAnsi="Times New Roman" w:cs="Times New Roman"/>
          <w:color w:val="auto"/>
          <w:highlight w:val="none"/>
        </w:rPr>
        <w:t>推。</w:t>
      </w:r>
    </w:p>
    <w:p w14:paraId="0D150285">
      <w:pPr>
        <w:pStyle w:val="8"/>
        <w:tabs>
          <w:tab w:val="left" w:pos="10466"/>
        </w:tabs>
        <w:spacing w:line="440" w:lineRule="exact"/>
        <w:ind w:left="-17" w:right="-24" w:firstLine="420" w:firstLineChars="200"/>
        <w:rPr>
          <w:rFonts w:hint="eastAsia" w:ascii="Times New Roman" w:hAnsi="Times New Roman" w:cs="Times New Roman"/>
          <w:color w:val="auto"/>
          <w:highlight w:val="none"/>
        </w:rPr>
      </w:pPr>
      <w:r>
        <w:rPr>
          <w:rFonts w:hint="eastAsia"/>
          <w:color w:val="auto"/>
          <w:highlight w:val="none"/>
        </w:rPr>
        <w:t xml:space="preserve">（二）谈判小组认为，某谈判供应商的有效报价明显低于其他满足采购文件实质性要求的竞标人的有效报价，有可能影响服务质量和不能诚信履约的，应要求其在规定的期限内提供书面文件予以解释说明，必要时要求提交相关证明材料，否则，谈判小组不推荐该竞标人为成交候选人。 </w:t>
      </w:r>
    </w:p>
    <w:p w14:paraId="75DC21E9">
      <w:pPr>
        <w:rPr>
          <w:color w:val="auto"/>
          <w:highlight w:val="none"/>
        </w:rPr>
      </w:pPr>
    </w:p>
    <w:p w14:paraId="1C7FC397">
      <w:pPr>
        <w:rPr>
          <w:color w:val="auto"/>
          <w:highlight w:val="none"/>
        </w:rPr>
      </w:pPr>
    </w:p>
    <w:p w14:paraId="6F6DF285">
      <w:pPr>
        <w:rPr>
          <w:color w:val="auto"/>
          <w:highlight w:val="none"/>
        </w:rPr>
      </w:pPr>
    </w:p>
    <w:p w14:paraId="6F540533">
      <w:pPr>
        <w:rPr>
          <w:color w:val="auto"/>
          <w:highlight w:val="none"/>
        </w:rPr>
      </w:pPr>
    </w:p>
    <w:p w14:paraId="26EEE5D4">
      <w:pPr>
        <w:rPr>
          <w:color w:val="auto"/>
          <w:highlight w:val="none"/>
        </w:rPr>
      </w:pPr>
    </w:p>
    <w:p w14:paraId="1E7CBBE1">
      <w:pPr>
        <w:rPr>
          <w:color w:val="auto"/>
          <w:highlight w:val="none"/>
        </w:rPr>
      </w:pPr>
    </w:p>
    <w:sectPr>
      <w:footerReference r:id="rId5" w:type="first"/>
      <w:headerReference r:id="rId3" w:type="default"/>
      <w:footerReference r:id="rId4" w:type="default"/>
      <w:pgSz w:w="11906" w:h="16838"/>
      <w:pgMar w:top="720" w:right="720" w:bottom="720" w:left="720" w:header="720" w:footer="992" w:gutter="0"/>
      <w:pgBorders>
        <w:top w:val="none" w:sz="0" w:space="0"/>
        <w:left w:val="none" w:sz="0" w:space="0"/>
        <w:bottom w:val="none" w:sz="0" w:space="0"/>
        <w:right w:val="none" w:sz="0" w:space="0"/>
      </w:pgBorders>
      <w:pgNumType w:start="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E177">
    <w:pPr>
      <w:pStyle w:val="10"/>
      <w:framePr w:wrap="around" w:vAnchor="text" w:hAnchor="page" w:x="5853" w:y="1"/>
    </w:pPr>
    <w:r>
      <w:fldChar w:fldCharType="begin"/>
    </w:r>
    <w:r>
      <w:instrText xml:space="preserve"> PAGE \* Arabic </w:instrText>
    </w:r>
    <w:r>
      <w:fldChar w:fldCharType="separate"/>
    </w:r>
    <w:r>
      <w:t>39</w:t>
    </w:r>
    <w:r>
      <w:fldChar w:fldCharType="end"/>
    </w:r>
  </w:p>
  <w:p w14:paraId="7AF4ECD7">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6DED6">
    <w:pPr>
      <w:pStyle w:val="10"/>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ABBD3">
    <w:pPr>
      <w:pStyle w:val="11"/>
      <w:wordWrap w:val="0"/>
      <w:jc w:val="both"/>
    </w:pPr>
    <w:r>
      <w:rPr>
        <w:rFonts w:hint="eastAsia"/>
        <w:lang w:val="en-US" w:eastAsia="zh-CN"/>
      </w:rPr>
      <w:t xml:space="preserve">                               </w:t>
    </w:r>
    <w:r>
      <w:rPr>
        <w:rFonts w:hint="default"/>
        <w:lang w:val="en" w:eastAsia="zh-CN"/>
      </w:rPr>
      <w:t xml:space="preserve">                  </w:t>
    </w:r>
    <w:r>
      <w:rPr>
        <w:rFonts w:hint="eastAsia"/>
        <w:lang w:val="en-US" w:eastAsia="zh-CN"/>
      </w:rPr>
      <w:t xml:space="preserve">   广西医科大学第二附属医院电梯采购及安装</w:t>
    </w:r>
    <w:r>
      <w:rPr>
        <w:rFonts w:hint="eastAsia"/>
      </w:rPr>
      <w:t>（GXZC2025-J1-</w:t>
    </w:r>
    <w:r>
      <w:rPr>
        <w:rFonts w:hint="eastAsia"/>
        <w:lang w:val="en-US" w:eastAsia="zh-CN"/>
      </w:rPr>
      <w:t>002431</w:t>
    </w:r>
    <w:r>
      <w:rPr>
        <w:rFonts w:hint="eastAsia"/>
      </w:rPr>
      <w:t>-CGZX）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9E6861"/>
    <w:multiLevelType w:val="singleLevel"/>
    <w:tmpl w:val="EF9E6861"/>
    <w:lvl w:ilvl="0" w:tentative="0">
      <w:start w:val="2"/>
      <w:numFmt w:val="decimal"/>
      <w:suff w:val="nothing"/>
      <w:lvlText w:val="%1、"/>
      <w:lvlJc w:val="left"/>
    </w:lvl>
  </w:abstractNum>
  <w:abstractNum w:abstractNumId="1">
    <w:nsid w:val="59BFA31B"/>
    <w:multiLevelType w:val="singleLevel"/>
    <w:tmpl w:val="59BFA31B"/>
    <w:lvl w:ilvl="0" w:tentative="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880110"/>
    <w:rsid w:val="005F4734"/>
    <w:rsid w:val="01176EA7"/>
    <w:rsid w:val="019943D5"/>
    <w:rsid w:val="023725AF"/>
    <w:rsid w:val="026E2AF7"/>
    <w:rsid w:val="0350793E"/>
    <w:rsid w:val="041007A7"/>
    <w:rsid w:val="04A95774"/>
    <w:rsid w:val="04B74C29"/>
    <w:rsid w:val="056621AB"/>
    <w:rsid w:val="05C476B1"/>
    <w:rsid w:val="06320317"/>
    <w:rsid w:val="06434DF1"/>
    <w:rsid w:val="065344DE"/>
    <w:rsid w:val="071C0D73"/>
    <w:rsid w:val="07A413B1"/>
    <w:rsid w:val="080D2414"/>
    <w:rsid w:val="097D183E"/>
    <w:rsid w:val="09D26C8A"/>
    <w:rsid w:val="0BEF83B9"/>
    <w:rsid w:val="0CE577F3"/>
    <w:rsid w:val="0D252285"/>
    <w:rsid w:val="0F156E03"/>
    <w:rsid w:val="0F276507"/>
    <w:rsid w:val="101C5FF7"/>
    <w:rsid w:val="10967DE9"/>
    <w:rsid w:val="12AA36D7"/>
    <w:rsid w:val="15CE592F"/>
    <w:rsid w:val="161211F2"/>
    <w:rsid w:val="177E2D0A"/>
    <w:rsid w:val="17EAD971"/>
    <w:rsid w:val="181069BE"/>
    <w:rsid w:val="185D15DE"/>
    <w:rsid w:val="1BF6104D"/>
    <w:rsid w:val="1BFA97A6"/>
    <w:rsid w:val="1CE34BF4"/>
    <w:rsid w:val="1CFF3256"/>
    <w:rsid w:val="1E7E1EBC"/>
    <w:rsid w:val="1F7D8680"/>
    <w:rsid w:val="1FB03B7A"/>
    <w:rsid w:val="204B6F94"/>
    <w:rsid w:val="206D21E8"/>
    <w:rsid w:val="246A0F18"/>
    <w:rsid w:val="24880110"/>
    <w:rsid w:val="28B332F0"/>
    <w:rsid w:val="29121B7F"/>
    <w:rsid w:val="2A8D5961"/>
    <w:rsid w:val="2B5D64EF"/>
    <w:rsid w:val="2BE710A1"/>
    <w:rsid w:val="2C316931"/>
    <w:rsid w:val="2C662B39"/>
    <w:rsid w:val="2C69686C"/>
    <w:rsid w:val="2E185553"/>
    <w:rsid w:val="2EFDF668"/>
    <w:rsid w:val="2F16035A"/>
    <w:rsid w:val="2FD3A5E4"/>
    <w:rsid w:val="2FFD111D"/>
    <w:rsid w:val="2FFF6EF0"/>
    <w:rsid w:val="30BA3103"/>
    <w:rsid w:val="33941B0E"/>
    <w:rsid w:val="35ED18D9"/>
    <w:rsid w:val="35EF1AE1"/>
    <w:rsid w:val="36517C47"/>
    <w:rsid w:val="3679A4F6"/>
    <w:rsid w:val="38C764E2"/>
    <w:rsid w:val="39FD49E8"/>
    <w:rsid w:val="3A03179B"/>
    <w:rsid w:val="3A7D2675"/>
    <w:rsid w:val="3B8048D0"/>
    <w:rsid w:val="3BEE5B9A"/>
    <w:rsid w:val="3D3D1A5C"/>
    <w:rsid w:val="3DB47F64"/>
    <w:rsid w:val="3E5E6D23"/>
    <w:rsid w:val="3E7F3351"/>
    <w:rsid w:val="3EBDB8CF"/>
    <w:rsid w:val="3EE17638"/>
    <w:rsid w:val="3EE32D96"/>
    <w:rsid w:val="3EE90B18"/>
    <w:rsid w:val="3EFB1BB9"/>
    <w:rsid w:val="3F7C08AE"/>
    <w:rsid w:val="3FCF6C95"/>
    <w:rsid w:val="3FEFDF5B"/>
    <w:rsid w:val="3FF9F762"/>
    <w:rsid w:val="3FFDB276"/>
    <w:rsid w:val="3FFFF330"/>
    <w:rsid w:val="414032D5"/>
    <w:rsid w:val="415D2A6E"/>
    <w:rsid w:val="417A0C4F"/>
    <w:rsid w:val="43170066"/>
    <w:rsid w:val="45304D83"/>
    <w:rsid w:val="4646138E"/>
    <w:rsid w:val="46C904EB"/>
    <w:rsid w:val="48E21F94"/>
    <w:rsid w:val="498512F7"/>
    <w:rsid w:val="4A986C8B"/>
    <w:rsid w:val="4B4962F2"/>
    <w:rsid w:val="4B4D16FC"/>
    <w:rsid w:val="4B8F4026"/>
    <w:rsid w:val="4BEF0C61"/>
    <w:rsid w:val="4C9269AF"/>
    <w:rsid w:val="4D502AF2"/>
    <w:rsid w:val="4E735C1F"/>
    <w:rsid w:val="4E873F7C"/>
    <w:rsid w:val="4EFA68DB"/>
    <w:rsid w:val="4FE243F3"/>
    <w:rsid w:val="4FEF178F"/>
    <w:rsid w:val="50D77086"/>
    <w:rsid w:val="50EF7798"/>
    <w:rsid w:val="515EDD2D"/>
    <w:rsid w:val="533A5D49"/>
    <w:rsid w:val="5477202E"/>
    <w:rsid w:val="54C55FF2"/>
    <w:rsid w:val="567D3ADC"/>
    <w:rsid w:val="56DD4949"/>
    <w:rsid w:val="56FC960B"/>
    <w:rsid w:val="570A264E"/>
    <w:rsid w:val="59590097"/>
    <w:rsid w:val="59D36F3C"/>
    <w:rsid w:val="5A923F80"/>
    <w:rsid w:val="5AB439E5"/>
    <w:rsid w:val="5AC7DE57"/>
    <w:rsid w:val="5B6B6D49"/>
    <w:rsid w:val="5B8D65ED"/>
    <w:rsid w:val="5BFF3752"/>
    <w:rsid w:val="5CB87D6C"/>
    <w:rsid w:val="5DBFB90F"/>
    <w:rsid w:val="5DEF0C77"/>
    <w:rsid w:val="5DFDF8BA"/>
    <w:rsid w:val="5DFE1F66"/>
    <w:rsid w:val="5EB7A35B"/>
    <w:rsid w:val="5FBB4668"/>
    <w:rsid w:val="5FDDD2F5"/>
    <w:rsid w:val="5FEBE35B"/>
    <w:rsid w:val="5FFD5EAD"/>
    <w:rsid w:val="615328F4"/>
    <w:rsid w:val="64EF2079"/>
    <w:rsid w:val="663B3D5D"/>
    <w:rsid w:val="66AF54E6"/>
    <w:rsid w:val="66F0259B"/>
    <w:rsid w:val="66FB6307"/>
    <w:rsid w:val="673BB787"/>
    <w:rsid w:val="67FDEFD3"/>
    <w:rsid w:val="68237E39"/>
    <w:rsid w:val="682A4171"/>
    <w:rsid w:val="692A0243"/>
    <w:rsid w:val="69DEF63B"/>
    <w:rsid w:val="6A9B4F1F"/>
    <w:rsid w:val="6B073028"/>
    <w:rsid w:val="6CEB5237"/>
    <w:rsid w:val="6CFD3319"/>
    <w:rsid w:val="6D679B0D"/>
    <w:rsid w:val="6DEA7432"/>
    <w:rsid w:val="6DF753C9"/>
    <w:rsid w:val="6E4F64DC"/>
    <w:rsid w:val="6EBF4F8A"/>
    <w:rsid w:val="6EDF73DA"/>
    <w:rsid w:val="6F036C35"/>
    <w:rsid w:val="6F7B5140"/>
    <w:rsid w:val="6F9FEA43"/>
    <w:rsid w:val="6FBF6F54"/>
    <w:rsid w:val="6FCFA0A6"/>
    <w:rsid w:val="6FF440BA"/>
    <w:rsid w:val="6FFFCD49"/>
    <w:rsid w:val="704F5065"/>
    <w:rsid w:val="70736FE5"/>
    <w:rsid w:val="71FFC2A6"/>
    <w:rsid w:val="734DA11A"/>
    <w:rsid w:val="739A3943"/>
    <w:rsid w:val="745C2B9A"/>
    <w:rsid w:val="74E946C7"/>
    <w:rsid w:val="750951B1"/>
    <w:rsid w:val="759023D9"/>
    <w:rsid w:val="75A5DEE1"/>
    <w:rsid w:val="75BF7A73"/>
    <w:rsid w:val="75FA0524"/>
    <w:rsid w:val="75FB32FF"/>
    <w:rsid w:val="76CED265"/>
    <w:rsid w:val="77362267"/>
    <w:rsid w:val="773FC5AB"/>
    <w:rsid w:val="777EEA2C"/>
    <w:rsid w:val="77B059BA"/>
    <w:rsid w:val="77CF399B"/>
    <w:rsid w:val="77EF94FD"/>
    <w:rsid w:val="77FBD52F"/>
    <w:rsid w:val="78EF1C69"/>
    <w:rsid w:val="78FF21E9"/>
    <w:rsid w:val="79536FE2"/>
    <w:rsid w:val="79872B48"/>
    <w:rsid w:val="799022FC"/>
    <w:rsid w:val="7A530EBB"/>
    <w:rsid w:val="7A9CAB67"/>
    <w:rsid w:val="7AF366E7"/>
    <w:rsid w:val="7AFF054C"/>
    <w:rsid w:val="7B74C8C9"/>
    <w:rsid w:val="7B7FDF4A"/>
    <w:rsid w:val="7B940CA8"/>
    <w:rsid w:val="7BB33367"/>
    <w:rsid w:val="7BF7736E"/>
    <w:rsid w:val="7BF92497"/>
    <w:rsid w:val="7C0C60CD"/>
    <w:rsid w:val="7C280612"/>
    <w:rsid w:val="7D9E78FB"/>
    <w:rsid w:val="7DBD9B77"/>
    <w:rsid w:val="7DC92A10"/>
    <w:rsid w:val="7DCBAD31"/>
    <w:rsid w:val="7DDF2BF4"/>
    <w:rsid w:val="7E3583E0"/>
    <w:rsid w:val="7E3F26B4"/>
    <w:rsid w:val="7EF545A5"/>
    <w:rsid w:val="7F3EB763"/>
    <w:rsid w:val="7F4FD05B"/>
    <w:rsid w:val="7F571A56"/>
    <w:rsid w:val="7F5E892F"/>
    <w:rsid w:val="7F5F2267"/>
    <w:rsid w:val="7F725AE3"/>
    <w:rsid w:val="7F75948D"/>
    <w:rsid w:val="7F7BD60E"/>
    <w:rsid w:val="7F9AFE4F"/>
    <w:rsid w:val="7FA766DF"/>
    <w:rsid w:val="7FAD72B7"/>
    <w:rsid w:val="7FBFFA4E"/>
    <w:rsid w:val="7FEDD5C3"/>
    <w:rsid w:val="7FEF8595"/>
    <w:rsid w:val="7FF23CEC"/>
    <w:rsid w:val="7FF26B35"/>
    <w:rsid w:val="7FFC1346"/>
    <w:rsid w:val="7FFDE3A3"/>
    <w:rsid w:val="7FFF2A30"/>
    <w:rsid w:val="7FFF2BD2"/>
    <w:rsid w:val="875F6FB1"/>
    <w:rsid w:val="8FFF1B62"/>
    <w:rsid w:val="937D0EA5"/>
    <w:rsid w:val="945ECF3E"/>
    <w:rsid w:val="9BFFE5B2"/>
    <w:rsid w:val="9DF76A51"/>
    <w:rsid w:val="9EBF6BC3"/>
    <w:rsid w:val="9FABD472"/>
    <w:rsid w:val="9FBDBB40"/>
    <w:rsid w:val="9FEDA794"/>
    <w:rsid w:val="AD393FFF"/>
    <w:rsid w:val="ADDFD2CD"/>
    <w:rsid w:val="AEFE72C5"/>
    <w:rsid w:val="B5FEFE6D"/>
    <w:rsid w:val="B7FBAC41"/>
    <w:rsid w:val="B96D8B6D"/>
    <w:rsid w:val="BB4FAF54"/>
    <w:rsid w:val="BB7EB2EC"/>
    <w:rsid w:val="BC7FD8AD"/>
    <w:rsid w:val="BCE31EED"/>
    <w:rsid w:val="BCF6EFD9"/>
    <w:rsid w:val="BD5AEC78"/>
    <w:rsid w:val="BDB7BEE8"/>
    <w:rsid w:val="BDFE56F7"/>
    <w:rsid w:val="BE2E2288"/>
    <w:rsid w:val="BEFF3B18"/>
    <w:rsid w:val="BF9F4FD8"/>
    <w:rsid w:val="BFA0F2F1"/>
    <w:rsid w:val="BFCE3D10"/>
    <w:rsid w:val="BFDFC0B6"/>
    <w:rsid w:val="BFF6F921"/>
    <w:rsid w:val="BFFB7365"/>
    <w:rsid w:val="BFFC8AB5"/>
    <w:rsid w:val="BFFE4C08"/>
    <w:rsid w:val="CFABCA51"/>
    <w:rsid w:val="CFB70A40"/>
    <w:rsid w:val="CFDF5F6D"/>
    <w:rsid w:val="CFEEE5D5"/>
    <w:rsid w:val="CFFF8A08"/>
    <w:rsid w:val="D3DEC6C8"/>
    <w:rsid w:val="D5FB929D"/>
    <w:rsid w:val="D6C6BA59"/>
    <w:rsid w:val="D76F42EF"/>
    <w:rsid w:val="D7FE6068"/>
    <w:rsid w:val="DA755713"/>
    <w:rsid w:val="DB3C29E3"/>
    <w:rsid w:val="DBF29830"/>
    <w:rsid w:val="DEEDE370"/>
    <w:rsid w:val="DF59A0A8"/>
    <w:rsid w:val="DFDFDAC0"/>
    <w:rsid w:val="DFF3896C"/>
    <w:rsid w:val="DFFF04F5"/>
    <w:rsid w:val="DFFF9A39"/>
    <w:rsid w:val="E7BD9AB2"/>
    <w:rsid w:val="E7DDC0CF"/>
    <w:rsid w:val="E7FF454B"/>
    <w:rsid w:val="E9FDC3C5"/>
    <w:rsid w:val="EBAF4E64"/>
    <w:rsid w:val="EBBF670D"/>
    <w:rsid w:val="EC777BA2"/>
    <w:rsid w:val="ED1445CF"/>
    <w:rsid w:val="EDBF97FF"/>
    <w:rsid w:val="EDEB7600"/>
    <w:rsid w:val="EDFF5CB6"/>
    <w:rsid w:val="EEDE5BF8"/>
    <w:rsid w:val="EFDB9B1B"/>
    <w:rsid w:val="EFEFD888"/>
    <w:rsid w:val="EFFCE5EF"/>
    <w:rsid w:val="EFFD75AC"/>
    <w:rsid w:val="EFFFE3BC"/>
    <w:rsid w:val="F3EBF10F"/>
    <w:rsid w:val="F3F7B3A8"/>
    <w:rsid w:val="F5B9DBB1"/>
    <w:rsid w:val="F5F8A2BC"/>
    <w:rsid w:val="F5FFF11A"/>
    <w:rsid w:val="F6EF26E6"/>
    <w:rsid w:val="F77D3D7C"/>
    <w:rsid w:val="F7DFA6F4"/>
    <w:rsid w:val="F7EBD30B"/>
    <w:rsid w:val="F7FF7779"/>
    <w:rsid w:val="F7FFB097"/>
    <w:rsid w:val="F7FFCA8A"/>
    <w:rsid w:val="F8ACB6CF"/>
    <w:rsid w:val="FA7B8A22"/>
    <w:rsid w:val="FAF47217"/>
    <w:rsid w:val="FAFE07C4"/>
    <w:rsid w:val="FB695C38"/>
    <w:rsid w:val="FB78E0C5"/>
    <w:rsid w:val="FB79E872"/>
    <w:rsid w:val="FBEFADCE"/>
    <w:rsid w:val="FBF63202"/>
    <w:rsid w:val="FBF71CCF"/>
    <w:rsid w:val="FBFCA4C0"/>
    <w:rsid w:val="FBFF8944"/>
    <w:rsid w:val="FC7D20B0"/>
    <w:rsid w:val="FCEFB9A6"/>
    <w:rsid w:val="FD77D449"/>
    <w:rsid w:val="FDB742A2"/>
    <w:rsid w:val="FDF74899"/>
    <w:rsid w:val="FDF752C6"/>
    <w:rsid w:val="FE7DC9AF"/>
    <w:rsid w:val="FEBB75DA"/>
    <w:rsid w:val="FEFF57A8"/>
    <w:rsid w:val="FEFF5DC3"/>
    <w:rsid w:val="FF185C9C"/>
    <w:rsid w:val="FF4FD70D"/>
    <w:rsid w:val="FF7F4B6A"/>
    <w:rsid w:val="FFAF528C"/>
    <w:rsid w:val="FFD99B74"/>
    <w:rsid w:val="FFE6521D"/>
    <w:rsid w:val="FFEBB7FF"/>
    <w:rsid w:val="FFF3F9FD"/>
    <w:rsid w:val="FFF522CD"/>
    <w:rsid w:val="FFFE6F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000000"/>
      <w:kern w:val="1"/>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sz w:val="44"/>
      <w:szCs w:val="44"/>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paragraph" w:styleId="5">
    <w:name w:val="heading 4"/>
    <w:basedOn w:val="1"/>
    <w:next w:val="1"/>
    <w:qFormat/>
    <w:uiPriority w:val="0"/>
    <w:pPr>
      <w:keepNext/>
      <w:keepLines/>
      <w:spacing w:before="280" w:after="290" w:line="376" w:lineRule="auto"/>
      <w:outlineLvl w:val="3"/>
    </w:pPr>
    <w:rPr>
      <w:rFonts w:ascii="Cambria" w:hAnsi="Cambria"/>
      <w:b/>
      <w:bCs/>
      <w:color w:val="auto"/>
      <w:kern w:val="2"/>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6">
    <w:name w:val="annotation text"/>
    <w:basedOn w:val="1"/>
    <w:qFormat/>
    <w:uiPriority w:val="0"/>
    <w:pPr>
      <w:jc w:val="left"/>
    </w:pPr>
  </w:style>
  <w:style w:type="paragraph" w:styleId="7">
    <w:name w:val="Body Text Indent"/>
    <w:basedOn w:val="1"/>
    <w:qFormat/>
    <w:uiPriority w:val="0"/>
    <w:pPr>
      <w:ind w:firstLine="830"/>
    </w:pPr>
    <w:rPr>
      <w:rFonts w:ascii="仿宋_GB2312" w:hAnsi="仿宋_GB2312" w:eastAsia="仿宋_GB2312"/>
      <w:sz w:val="32"/>
      <w:szCs w:val="20"/>
    </w:rPr>
  </w:style>
  <w:style w:type="paragraph" w:styleId="8">
    <w:name w:val="Plain Text"/>
    <w:basedOn w:val="1"/>
    <w:next w:val="3"/>
    <w:qFormat/>
    <w:uiPriority w:val="0"/>
    <w:rPr>
      <w:rFonts w:ascii="宋体" w:hAnsi="宋体" w:cs="Courier New"/>
      <w:szCs w:val="21"/>
    </w:rPr>
  </w:style>
  <w:style w:type="paragraph" w:styleId="9">
    <w:name w:val="Body Text Indent 2"/>
    <w:basedOn w:val="1"/>
    <w:qFormat/>
    <w:uiPriority w:val="0"/>
    <w:pPr>
      <w:ind w:firstLine="630"/>
    </w:pPr>
    <w:rPr>
      <w:sz w:val="32"/>
      <w:szCs w:val="20"/>
    </w:rPr>
  </w:style>
  <w:style w:type="paragraph" w:styleId="10">
    <w:name w:val="footer"/>
    <w:basedOn w:val="1"/>
    <w:qFormat/>
    <w:uiPriority w:val="99"/>
    <w:pPr>
      <w:tabs>
        <w:tab w:val="center" w:pos="4153"/>
        <w:tab w:val="right" w:pos="8306"/>
      </w:tabs>
      <w:jc w:val="left"/>
    </w:pPr>
    <w:rPr>
      <w:sz w:val="18"/>
      <w:szCs w:val="18"/>
    </w:rPr>
  </w:style>
  <w:style w:type="paragraph" w:styleId="11">
    <w:name w:val="header"/>
    <w:basedOn w:val="1"/>
    <w:qFormat/>
    <w:uiPriority w:val="99"/>
    <w:pPr>
      <w:pBdr>
        <w:bottom w:val="single" w:color="000000" w:sz="6" w:space="1"/>
      </w:pBdr>
      <w:tabs>
        <w:tab w:val="center" w:pos="4153"/>
        <w:tab w:val="right" w:pos="8306"/>
      </w:tabs>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color w:val="auto"/>
      <w:kern w:val="0"/>
      <w:sz w:val="24"/>
    </w:rPr>
  </w:style>
  <w:style w:type="paragraph" w:styleId="13">
    <w:name w:val="index 1"/>
    <w:basedOn w:val="1"/>
    <w:next w:val="1"/>
    <w:qFormat/>
    <w:uiPriority w:val="0"/>
    <w:pPr>
      <w:spacing w:line="400" w:lineRule="exact"/>
      <w:ind w:firstLine="420" w:firstLineChars="200"/>
    </w:pPr>
    <w:rPr>
      <w:rFonts w:ascii="宋体" w:hAnsi="Courier New"/>
      <w:b/>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Emphasis"/>
    <w:basedOn w:val="16"/>
    <w:qFormat/>
    <w:uiPriority w:val="0"/>
    <w:rPr>
      <w:i/>
    </w:rPr>
  </w:style>
  <w:style w:type="character" w:styleId="19">
    <w:name w:val="annotation reference"/>
    <w:basedOn w:val="16"/>
    <w:qFormat/>
    <w:uiPriority w:val="0"/>
    <w:rPr>
      <w:sz w:val="21"/>
      <w:szCs w:val="21"/>
    </w:rPr>
  </w:style>
  <w:style w:type="character" w:customStyle="1" w:styleId="20">
    <w:name w:val="bookmark-item uuid-1595987359344 code-00004 addword single-line-text-input-box-cls"/>
    <w:qFormat/>
    <w:uiPriority w:val="6"/>
  </w:style>
  <w:style w:type="paragraph" w:customStyle="1" w:styleId="21">
    <w:name w:val="1"/>
    <w:basedOn w:val="1"/>
    <w:next w:val="8"/>
    <w:qFormat/>
    <w:uiPriority w:val="0"/>
    <w:rPr>
      <w:rFonts w:ascii="宋体" w:hAnsi="宋体"/>
      <w:szCs w:val="20"/>
    </w:rPr>
  </w:style>
  <w:style w:type="character" w:customStyle="1" w:styleId="22">
    <w:name w:val="font31"/>
    <w:basedOn w:val="16"/>
    <w:qFormat/>
    <w:uiPriority w:val="0"/>
    <w:rPr>
      <w:rFonts w:hint="eastAsia" w:ascii="宋体" w:hAnsi="宋体" w:eastAsia="宋体" w:cs="宋体"/>
      <w:color w:val="FF0000"/>
      <w:sz w:val="20"/>
      <w:szCs w:val="20"/>
      <w:u w:val="none"/>
    </w:rPr>
  </w:style>
  <w:style w:type="paragraph" w:customStyle="1" w:styleId="23">
    <w:name w:val="BodyText"/>
    <w:basedOn w:val="1"/>
    <w:qFormat/>
    <w:uiPriority w:val="0"/>
    <w:pPr>
      <w:spacing w:line="380" w:lineRule="exact"/>
      <w:textAlignment w:val="baseline"/>
    </w:pPr>
    <w:rPr>
      <w:sz w:val="24"/>
    </w:rPr>
  </w:style>
  <w:style w:type="paragraph" w:customStyle="1" w:styleId="24">
    <w:name w:val="Body text|1"/>
    <w:basedOn w:val="1"/>
    <w:qFormat/>
    <w:uiPriority w:val="0"/>
    <w:pPr>
      <w:spacing w:line="353" w:lineRule="auto"/>
      <w:ind w:firstLine="400"/>
      <w:jc w:val="left"/>
    </w:pPr>
    <w:rPr>
      <w:rFonts w:ascii="宋体" w:hAnsi="宋体"/>
      <w:color w:val="auto"/>
      <w:kern w:val="0"/>
      <w:sz w:val="30"/>
      <w:szCs w:val="30"/>
    </w:rPr>
  </w:style>
  <w:style w:type="paragraph" w:customStyle="1" w:styleId="25">
    <w:name w:val="Body text|3"/>
    <w:basedOn w:val="1"/>
    <w:qFormat/>
    <w:uiPriority w:val="0"/>
    <w:pPr>
      <w:spacing w:after="460"/>
      <w:jc w:val="center"/>
    </w:pPr>
    <w:rPr>
      <w:rFonts w:ascii="宋体" w:hAnsi="宋体"/>
      <w:color w:val="auto"/>
      <w:kern w:val="0"/>
      <w:sz w:val="34"/>
      <w:szCs w:val="34"/>
    </w:rPr>
  </w:style>
  <w:style w:type="character" w:customStyle="1" w:styleId="26">
    <w:name w:val="NormalCharacter"/>
    <w:semiHidden/>
    <w:qFormat/>
    <w:uiPriority w:val="0"/>
  </w:style>
  <w:style w:type="paragraph" w:customStyle="1" w:styleId="27">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kern w:val="0"/>
      <w:sz w:val="22"/>
      <w:szCs w:val="22"/>
      <w:lang w:eastAsia="en-US"/>
    </w:rPr>
  </w:style>
  <w:style w:type="character" w:customStyle="1" w:styleId="28">
    <w:name w:val="15"/>
    <w:basedOn w:val="16"/>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16554</Words>
  <Characters>18335</Characters>
  <Lines>0</Lines>
  <Paragraphs>0</Paragraphs>
  <TotalTime>6</TotalTime>
  <ScaleCrop>false</ScaleCrop>
  <LinksUpToDate>false</LinksUpToDate>
  <CharactersWithSpaces>18922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2025-01-05T11:20:00Z</dcterms:created>
  <dc:creator>村长（牛哥）</dc:creator>
  <cp:lastModifiedBy>chen '</cp:lastModifiedBy>
  <cp:lastPrinted>2025-01-05T11:28:00Z</cp:lastPrinted>
  <dcterms:modified xsi:type="dcterms:W3CDTF">2025-09-17T09:22:42Z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EB843A155CE844F8985C1ABF44B0AE55_13</vt:lpwstr>
  </property>
  <property fmtid="{D5CDD505-2E9C-101B-9397-08002B2CF9AE}" pid="4" name="KSOTemplateDocerSaveRecord">
    <vt:lpwstr>eyJoZGlkIjoiMjRmMjc2YjgyODExOWY4NjNkYjAyYzJmNmZlYzU0NGYiLCJ1c2VySWQiOiIyNzcyNTgxOTIifQ==</vt:lpwstr>
  </property>
</Properties>
</file>