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仿宋_GB2312" w:hAnsi="仿宋_GB2312" w:eastAsia="仿宋_GB2312"/>
          <w:b w:val="0"/>
          <w:bCs w:val="0"/>
          <w:color w:val="auto"/>
          <w:sz w:val="32"/>
          <w:szCs w:val="32"/>
          <w:highlight w:val="none"/>
        </w:rPr>
      </w:pPr>
      <w:r>
        <w:rPr>
          <w:rFonts w:hint="eastAsia" w:ascii="仿宋_GB2312" w:hAnsi="仿宋_GB2312" w:eastAsia="仿宋_GB2312"/>
          <w:b w:val="0"/>
          <w:bCs w:val="0"/>
          <w:color w:val="auto"/>
          <w:sz w:val="32"/>
          <w:szCs w:val="32"/>
          <w:highlight w:val="none"/>
        </w:rPr>
        <w:t xml:space="preserve">  </w:t>
      </w:r>
    </w:p>
    <w:p>
      <w:pPr>
        <w:spacing w:line="400" w:lineRule="exact"/>
        <w:jc w:val="center"/>
        <w:rPr>
          <w:rFonts w:ascii="仿宋_GB2312" w:hAnsi="仿宋_GB2312" w:eastAsia="仿宋_GB2312"/>
          <w:b w:val="0"/>
          <w:bCs w:val="0"/>
          <w:color w:val="auto"/>
          <w:sz w:val="72"/>
          <w:szCs w:val="72"/>
          <w:highlight w:val="none"/>
        </w:rPr>
      </w:pPr>
    </w:p>
    <w:p>
      <w:pPr>
        <w:spacing w:line="400" w:lineRule="exact"/>
        <w:jc w:val="center"/>
        <w:rPr>
          <w:rFonts w:ascii="仿宋_GB2312" w:hAnsi="仿宋_GB2312" w:eastAsia="仿宋_GB2312"/>
          <w:b w:val="0"/>
          <w:bCs w:val="0"/>
          <w:color w:val="auto"/>
          <w:sz w:val="72"/>
          <w:szCs w:val="72"/>
          <w:highlight w:val="none"/>
        </w:rPr>
      </w:pPr>
    </w:p>
    <w:p>
      <w:pPr>
        <w:spacing w:line="400" w:lineRule="exact"/>
        <w:jc w:val="center"/>
        <w:rPr>
          <w:rFonts w:ascii="仿宋_GB2312" w:hAnsi="仿宋_GB2312" w:eastAsia="仿宋_GB2312"/>
          <w:b w:val="0"/>
          <w:bCs w:val="0"/>
          <w:color w:val="auto"/>
          <w:sz w:val="72"/>
          <w:szCs w:val="72"/>
          <w:highlight w:val="none"/>
        </w:rPr>
      </w:pPr>
    </w:p>
    <w:p>
      <w:pPr>
        <w:jc w:val="center"/>
        <w:rPr>
          <w:rFonts w:ascii="仿宋_GB2312" w:hAnsi="仿宋_GB2312" w:eastAsia="仿宋_GB2312"/>
          <w:b w:val="0"/>
          <w:bCs w:val="0"/>
          <w:color w:val="auto"/>
          <w:sz w:val="72"/>
          <w:szCs w:val="72"/>
          <w:highlight w:val="none"/>
        </w:rPr>
      </w:pPr>
      <w:r>
        <w:rPr>
          <w:rFonts w:hint="eastAsia" w:ascii="仿宋_GB2312" w:hAnsi="仿宋_GB2312" w:eastAsia="仿宋_GB2312"/>
          <w:b w:val="0"/>
          <w:bCs w:val="0"/>
          <w:color w:val="auto"/>
          <w:sz w:val="72"/>
          <w:szCs w:val="72"/>
          <w:highlight w:val="none"/>
          <w:lang w:val="en-US" w:eastAsia="zh-CN"/>
        </w:rPr>
        <w:t xml:space="preserve"> </w:t>
      </w:r>
      <w:r>
        <w:rPr>
          <w:rFonts w:hint="eastAsia" w:ascii="仿宋_GB2312" w:hAnsi="仿宋_GB2312" w:eastAsia="仿宋_GB2312"/>
          <w:b w:val="0"/>
          <w:bCs w:val="0"/>
          <w:color w:val="auto"/>
          <w:sz w:val="72"/>
          <w:szCs w:val="72"/>
          <w:highlight w:val="none"/>
        </w:rPr>
        <w:t>竞争性谈判文件</w:t>
      </w:r>
    </w:p>
    <w:p>
      <w:pPr>
        <w:pStyle w:val="8"/>
        <w:spacing w:before="120" w:after="120" w:line="360" w:lineRule="auto"/>
        <w:ind w:firstLine="151"/>
        <w:rPr>
          <w:rFonts w:ascii="仿宋_GB2312" w:hAnsi="仿宋_GB2312" w:eastAsia="仿宋_GB2312"/>
          <w:b w:val="0"/>
          <w:bCs w:val="0"/>
          <w:color w:val="auto"/>
          <w:sz w:val="30"/>
          <w:szCs w:val="30"/>
          <w:highlight w:val="none"/>
        </w:rPr>
      </w:pPr>
    </w:p>
    <w:p>
      <w:pPr>
        <w:pStyle w:val="8"/>
        <w:spacing w:before="120" w:after="120" w:line="360" w:lineRule="auto"/>
        <w:ind w:firstLine="151"/>
        <w:rPr>
          <w:rFonts w:ascii="仿宋_GB2312" w:hAnsi="仿宋_GB2312" w:eastAsia="仿宋_GB2312"/>
          <w:b w:val="0"/>
          <w:bCs w:val="0"/>
          <w:color w:val="auto"/>
          <w:sz w:val="30"/>
          <w:szCs w:val="30"/>
          <w:highlight w:val="none"/>
        </w:rPr>
      </w:pPr>
    </w:p>
    <w:p>
      <w:pPr>
        <w:pStyle w:val="8"/>
        <w:spacing w:before="120" w:after="120" w:line="360" w:lineRule="auto"/>
        <w:ind w:firstLine="151"/>
        <w:rPr>
          <w:rFonts w:hint="eastAsia"/>
          <w:b w:val="0"/>
          <w:bCs w:val="0"/>
          <w:color w:val="auto"/>
          <w:sz w:val="30"/>
          <w:szCs w:val="30"/>
          <w:highlight w:val="none"/>
        </w:rPr>
      </w:pPr>
    </w:p>
    <w:p>
      <w:pPr>
        <w:pStyle w:val="8"/>
        <w:spacing w:before="120" w:after="120" w:line="360" w:lineRule="auto"/>
        <w:ind w:firstLine="151"/>
        <w:rPr>
          <w:rFonts w:hint="eastAsia"/>
          <w:b w:val="0"/>
          <w:bCs w:val="0"/>
          <w:color w:val="auto"/>
          <w:sz w:val="30"/>
          <w:szCs w:val="30"/>
          <w:highlight w:val="none"/>
        </w:rPr>
      </w:pPr>
    </w:p>
    <w:p>
      <w:pPr>
        <w:pStyle w:val="8"/>
        <w:spacing w:before="120" w:after="120" w:line="360" w:lineRule="auto"/>
        <w:ind w:firstLine="2127"/>
        <w:rPr>
          <w:b w:val="0"/>
          <w:bCs w:val="0"/>
          <w:color w:val="auto"/>
          <w:sz w:val="30"/>
          <w:szCs w:val="30"/>
          <w:highlight w:val="none"/>
          <w:lang w:val="en"/>
        </w:rPr>
      </w:pPr>
      <w:r>
        <w:rPr>
          <w:rFonts w:hint="eastAsia"/>
          <w:b w:val="0"/>
          <w:bCs w:val="0"/>
          <w:color w:val="auto"/>
          <w:sz w:val="30"/>
          <w:szCs w:val="30"/>
          <w:highlight w:val="none"/>
        </w:rPr>
        <w:t>项目编号：</w:t>
      </w:r>
      <w:r>
        <w:rPr>
          <w:rFonts w:hint="eastAsia"/>
          <w:b w:val="0"/>
          <w:bCs w:val="0"/>
          <w:color w:val="auto"/>
          <w:sz w:val="30"/>
          <w:szCs w:val="72"/>
          <w:highlight w:val="none"/>
        </w:rPr>
        <w:t>GXZC2025-J1-002343-CGZX</w:t>
      </w:r>
    </w:p>
    <w:p>
      <w:pPr>
        <w:pStyle w:val="8"/>
        <w:spacing w:before="120" w:after="120" w:line="360" w:lineRule="auto"/>
        <w:ind w:firstLine="2127"/>
        <w:rPr>
          <w:rFonts w:hint="eastAsia"/>
          <w:b w:val="0"/>
          <w:bCs w:val="0"/>
          <w:color w:val="auto"/>
          <w:sz w:val="30"/>
          <w:szCs w:val="72"/>
          <w:highlight w:val="none"/>
          <w:lang w:val="en-US" w:eastAsia="zh-CN"/>
        </w:rPr>
      </w:pPr>
      <w:r>
        <w:rPr>
          <w:rFonts w:hint="eastAsia"/>
          <w:b w:val="0"/>
          <w:bCs w:val="0"/>
          <w:color w:val="auto"/>
          <w:sz w:val="30"/>
          <w:szCs w:val="72"/>
          <w:highlight w:val="none"/>
        </w:rPr>
        <w:t>项目名称：</w:t>
      </w:r>
      <w:r>
        <w:rPr>
          <w:rFonts w:hint="eastAsia"/>
          <w:b w:val="0"/>
          <w:bCs w:val="0"/>
          <w:color w:val="auto"/>
          <w:sz w:val="30"/>
          <w:szCs w:val="72"/>
          <w:highlight w:val="none"/>
          <w:lang w:val="en-US" w:eastAsia="zh-CN"/>
        </w:rPr>
        <w:t>广西壮族自治区疾病预防控制中心</w:t>
      </w:r>
    </w:p>
    <w:p>
      <w:pPr>
        <w:pStyle w:val="8"/>
        <w:spacing w:before="120" w:after="120" w:line="360" w:lineRule="auto"/>
        <w:ind w:firstLine="2127"/>
        <w:rPr>
          <w:rFonts w:hint="eastAsia"/>
          <w:b w:val="0"/>
          <w:bCs w:val="0"/>
          <w:color w:val="auto"/>
          <w:sz w:val="30"/>
          <w:szCs w:val="72"/>
          <w:highlight w:val="none"/>
        </w:rPr>
      </w:pPr>
      <w:r>
        <w:rPr>
          <w:rFonts w:hint="eastAsia" w:cs="Courier New"/>
          <w:b w:val="0"/>
          <w:bCs w:val="0"/>
          <w:strike w:val="0"/>
          <w:color w:val="auto"/>
          <w:spacing w:val="0"/>
          <w:kern w:val="1"/>
          <w:sz w:val="30"/>
          <w:szCs w:val="72"/>
          <w:highlight w:val="none"/>
          <w:lang w:val="en-US" w:eastAsia="zh-CN" w:bidi="ar-SA"/>
        </w:rPr>
        <w:t xml:space="preserve">          </w:t>
      </w:r>
      <w:r>
        <w:rPr>
          <w:rFonts w:hint="eastAsia" w:ascii="宋体" w:hAnsi="宋体" w:eastAsia="宋体" w:cs="Courier New"/>
          <w:b w:val="0"/>
          <w:bCs w:val="0"/>
          <w:strike w:val="0"/>
          <w:color w:val="auto"/>
          <w:spacing w:val="0"/>
          <w:kern w:val="1"/>
          <w:sz w:val="30"/>
          <w:szCs w:val="72"/>
          <w:highlight w:val="none"/>
          <w:lang w:val="en-US" w:eastAsia="zh-CN" w:bidi="ar-SA"/>
        </w:rPr>
        <w:t>礼堂座椅及地毯采购</w:t>
      </w:r>
    </w:p>
    <w:p>
      <w:pPr>
        <w:pStyle w:val="8"/>
        <w:spacing w:before="120" w:after="120" w:line="360" w:lineRule="auto"/>
        <w:ind w:firstLine="2127"/>
        <w:rPr>
          <w:b w:val="0"/>
          <w:bCs w:val="0"/>
          <w:color w:val="auto"/>
          <w:sz w:val="30"/>
          <w:szCs w:val="72"/>
          <w:highlight w:val="none"/>
        </w:rPr>
      </w:pPr>
      <w:r>
        <w:rPr>
          <w:rFonts w:hint="eastAsia"/>
          <w:b w:val="0"/>
          <w:bCs w:val="0"/>
          <w:color w:val="auto"/>
          <w:sz w:val="30"/>
          <w:szCs w:val="72"/>
          <w:highlight w:val="none"/>
        </w:rPr>
        <w:t>采 购 人：广西壮族自治区疾病预防控制中心</w:t>
      </w:r>
    </w:p>
    <w:p>
      <w:pPr>
        <w:spacing w:line="360" w:lineRule="auto"/>
        <w:ind w:firstLine="450"/>
        <w:rPr>
          <w:rFonts w:ascii="仿宋_GB2312" w:hAnsi="仿宋_GB2312" w:eastAsia="仿宋_GB2312"/>
          <w:b w:val="0"/>
          <w:bCs w:val="0"/>
          <w:color w:val="auto"/>
          <w:sz w:val="30"/>
          <w:szCs w:val="72"/>
          <w:highlight w:val="none"/>
        </w:rPr>
      </w:pPr>
    </w:p>
    <w:p>
      <w:pPr>
        <w:spacing w:line="360" w:lineRule="auto"/>
        <w:ind w:firstLine="450"/>
        <w:rPr>
          <w:rFonts w:ascii="仿宋_GB2312" w:hAnsi="仿宋_GB2312" w:eastAsia="仿宋_GB2312"/>
          <w:b w:val="0"/>
          <w:bCs w:val="0"/>
          <w:color w:val="auto"/>
          <w:sz w:val="30"/>
          <w:szCs w:val="72"/>
          <w:highlight w:val="none"/>
        </w:rPr>
      </w:pPr>
    </w:p>
    <w:p>
      <w:pPr>
        <w:spacing w:line="360" w:lineRule="auto"/>
        <w:ind w:firstLine="450"/>
        <w:rPr>
          <w:rFonts w:ascii="仿宋_GB2312" w:hAnsi="仿宋_GB2312" w:eastAsia="仿宋_GB2312"/>
          <w:b w:val="0"/>
          <w:bCs w:val="0"/>
          <w:color w:val="auto"/>
          <w:sz w:val="30"/>
          <w:szCs w:val="72"/>
          <w:highlight w:val="none"/>
        </w:rPr>
      </w:pPr>
    </w:p>
    <w:p>
      <w:pPr>
        <w:spacing w:line="360" w:lineRule="auto"/>
        <w:ind w:firstLine="450"/>
        <w:rPr>
          <w:rFonts w:ascii="仿宋_GB2312" w:hAnsi="仿宋_GB2312" w:eastAsia="仿宋_GB2312"/>
          <w:b w:val="0"/>
          <w:bCs w:val="0"/>
          <w:color w:val="auto"/>
          <w:sz w:val="30"/>
          <w:szCs w:val="72"/>
          <w:highlight w:val="none"/>
        </w:rPr>
      </w:pPr>
    </w:p>
    <w:p>
      <w:pPr>
        <w:spacing w:line="360" w:lineRule="auto"/>
        <w:ind w:firstLine="450"/>
        <w:rPr>
          <w:rFonts w:ascii="仿宋_GB2312" w:hAnsi="仿宋_GB2312" w:eastAsia="仿宋_GB2312"/>
          <w:b w:val="0"/>
          <w:bCs w:val="0"/>
          <w:color w:val="auto"/>
          <w:sz w:val="30"/>
          <w:szCs w:val="72"/>
          <w:highlight w:val="none"/>
        </w:rPr>
      </w:pPr>
    </w:p>
    <w:p>
      <w:pPr>
        <w:spacing w:line="360" w:lineRule="auto"/>
        <w:ind w:firstLine="450"/>
        <w:rPr>
          <w:rFonts w:ascii="仿宋_GB2312" w:hAnsi="仿宋_GB2312" w:eastAsia="仿宋_GB2312"/>
          <w:b w:val="0"/>
          <w:bCs w:val="0"/>
          <w:color w:val="auto"/>
          <w:sz w:val="30"/>
          <w:szCs w:val="72"/>
          <w:highlight w:val="none"/>
        </w:rPr>
      </w:pPr>
    </w:p>
    <w:p>
      <w:pPr>
        <w:pStyle w:val="2"/>
        <w:rPr>
          <w:rFonts w:ascii="仿宋_GB2312" w:hAnsi="仿宋_GB2312" w:eastAsia="仿宋_GB2312"/>
          <w:b w:val="0"/>
          <w:bCs w:val="0"/>
          <w:color w:val="auto"/>
          <w:sz w:val="30"/>
          <w:szCs w:val="72"/>
          <w:highlight w:val="none"/>
        </w:rPr>
      </w:pPr>
    </w:p>
    <w:p>
      <w:pPr>
        <w:rPr>
          <w:b w:val="0"/>
          <w:bCs w:val="0"/>
          <w:color w:val="auto"/>
          <w:highlight w:val="none"/>
        </w:rPr>
      </w:pPr>
    </w:p>
    <w:p>
      <w:pPr>
        <w:pStyle w:val="2"/>
        <w:rPr>
          <w:b w:val="0"/>
          <w:bCs w:val="0"/>
          <w:color w:val="auto"/>
          <w:highlight w:val="none"/>
        </w:rPr>
      </w:pPr>
    </w:p>
    <w:p>
      <w:pPr>
        <w:spacing w:line="360" w:lineRule="auto"/>
        <w:jc w:val="center"/>
        <w:rPr>
          <w:rFonts w:ascii="宋体" w:hAnsi="宋体"/>
          <w:b w:val="0"/>
          <w:bCs w:val="0"/>
          <w:color w:val="auto"/>
          <w:sz w:val="30"/>
          <w:szCs w:val="72"/>
          <w:highlight w:val="none"/>
        </w:rPr>
      </w:pPr>
      <w:r>
        <w:rPr>
          <w:rFonts w:hint="eastAsia" w:ascii="宋体" w:hAnsi="宋体"/>
          <w:b w:val="0"/>
          <w:bCs w:val="0"/>
          <w:color w:val="auto"/>
          <w:sz w:val="30"/>
          <w:szCs w:val="72"/>
          <w:highlight w:val="none"/>
        </w:rPr>
        <w:t>采购代理机构：广西壮族自治区政府采购中心</w:t>
      </w:r>
    </w:p>
    <w:p>
      <w:pPr>
        <w:spacing w:line="360" w:lineRule="auto"/>
        <w:jc w:val="center"/>
        <w:rPr>
          <w:rFonts w:hint="eastAsia" w:ascii="宋体" w:hAnsi="宋体"/>
          <w:b w:val="0"/>
          <w:bCs w:val="0"/>
          <w:color w:val="auto"/>
          <w:sz w:val="30"/>
          <w:szCs w:val="72"/>
          <w:highlight w:val="none"/>
        </w:rPr>
      </w:pPr>
      <w:r>
        <w:rPr>
          <w:rFonts w:ascii="宋体" w:hAnsi="宋体"/>
          <w:b w:val="0"/>
          <w:bCs w:val="0"/>
          <w:color w:val="auto"/>
          <w:sz w:val="30"/>
          <w:szCs w:val="72"/>
          <w:highlight w:val="none"/>
          <w:lang w:val="en"/>
        </w:rPr>
        <w:t>202</w:t>
      </w:r>
      <w:r>
        <w:rPr>
          <w:rFonts w:hint="eastAsia" w:ascii="宋体" w:hAnsi="宋体"/>
          <w:b w:val="0"/>
          <w:bCs w:val="0"/>
          <w:color w:val="auto"/>
          <w:sz w:val="30"/>
          <w:szCs w:val="72"/>
          <w:highlight w:val="none"/>
        </w:rPr>
        <w:t>5年</w:t>
      </w:r>
      <w:r>
        <w:rPr>
          <w:rFonts w:hint="eastAsia" w:ascii="宋体" w:hAnsi="宋体"/>
          <w:b w:val="0"/>
          <w:bCs w:val="0"/>
          <w:color w:val="auto"/>
          <w:sz w:val="30"/>
          <w:szCs w:val="72"/>
          <w:highlight w:val="none"/>
          <w:lang w:val="en-US" w:eastAsia="zh-CN"/>
        </w:rPr>
        <w:t>８</w:t>
      </w:r>
      <w:r>
        <w:rPr>
          <w:rFonts w:hint="eastAsia" w:ascii="宋体" w:hAnsi="宋体"/>
          <w:b w:val="0"/>
          <w:bCs w:val="0"/>
          <w:color w:val="auto"/>
          <w:sz w:val="30"/>
          <w:szCs w:val="72"/>
          <w:highlight w:val="none"/>
        </w:rPr>
        <w:t>月</w:t>
      </w:r>
    </w:p>
    <w:p>
      <w:pPr>
        <w:pageBreakBefore/>
        <w:spacing w:line="400" w:lineRule="exact"/>
        <w:jc w:val="center"/>
        <w:rPr>
          <w:rFonts w:ascii="仿宋_GB2312" w:hAnsi="仿宋_GB2312" w:eastAsia="仿宋_GB2312"/>
          <w:b w:val="0"/>
          <w:bCs w:val="0"/>
          <w:color w:val="auto"/>
          <w:sz w:val="32"/>
          <w:szCs w:val="32"/>
          <w:highlight w:val="none"/>
        </w:rPr>
      </w:pPr>
    </w:p>
    <w:p>
      <w:pPr>
        <w:spacing w:line="600" w:lineRule="exact"/>
        <w:jc w:val="center"/>
        <w:rPr>
          <w:rFonts w:ascii="宋体" w:hAnsi="宋体"/>
          <w:b w:val="0"/>
          <w:bCs w:val="0"/>
          <w:color w:val="auto"/>
          <w:sz w:val="44"/>
          <w:szCs w:val="44"/>
          <w:highlight w:val="none"/>
        </w:rPr>
      </w:pPr>
      <w:r>
        <w:rPr>
          <w:rFonts w:hint="eastAsia" w:ascii="宋体" w:hAnsi="宋体"/>
          <w:b w:val="0"/>
          <w:bCs w:val="0"/>
          <w:color w:val="auto"/>
          <w:sz w:val="44"/>
          <w:szCs w:val="44"/>
          <w:highlight w:val="none"/>
        </w:rPr>
        <w:t>目 录</w:t>
      </w:r>
    </w:p>
    <w:p>
      <w:pPr>
        <w:pStyle w:val="2"/>
        <w:tabs>
          <w:tab w:val="right" w:leader="dot" w:pos="10456"/>
        </w:tabs>
        <w:spacing w:line="480" w:lineRule="exact"/>
        <w:rPr>
          <w:rFonts w:ascii="宋体" w:hAnsi="宋体"/>
          <w:b w:val="0"/>
          <w:bCs w:val="0"/>
          <w:color w:val="auto"/>
          <w:sz w:val="28"/>
          <w:szCs w:val="28"/>
          <w:highlight w:val="none"/>
        </w:rPr>
      </w:pPr>
    </w:p>
    <w:p>
      <w:pPr>
        <w:pStyle w:val="2"/>
        <w:tabs>
          <w:tab w:val="right" w:leader="dot" w:pos="10456"/>
        </w:tabs>
        <w:spacing w:line="480" w:lineRule="exact"/>
        <w:rPr>
          <w:b w:val="0"/>
          <w:bCs w:val="0"/>
          <w:color w:val="auto"/>
          <w:sz w:val="28"/>
          <w:szCs w:val="28"/>
          <w:highlight w:val="none"/>
        </w:rPr>
      </w:pPr>
      <w:r>
        <w:rPr>
          <w:b w:val="0"/>
          <w:bCs w:val="0"/>
          <w:color w:val="auto"/>
          <w:sz w:val="28"/>
          <w:szCs w:val="28"/>
          <w:highlight w:val="none"/>
        </w:rPr>
        <w:fldChar w:fldCharType="begin"/>
      </w:r>
      <w:r>
        <w:rPr>
          <w:b w:val="0"/>
          <w:bCs w:val="0"/>
          <w:color w:val="auto"/>
          <w:sz w:val="28"/>
          <w:szCs w:val="28"/>
          <w:highlight w:val="none"/>
        </w:rPr>
        <w:instrText xml:space="preserve"> TOC \o "1-3" \h \z \u </w:instrText>
      </w:r>
      <w:r>
        <w:rPr>
          <w:b w:val="0"/>
          <w:bCs w:val="0"/>
          <w:color w:val="auto"/>
          <w:sz w:val="28"/>
          <w:szCs w:val="28"/>
          <w:highlight w:val="none"/>
        </w:rPr>
        <w:fldChar w:fldCharType="separate"/>
      </w:r>
      <w:r>
        <w:rPr>
          <w:b w:val="0"/>
          <w:bCs w:val="0"/>
          <w:color w:val="auto"/>
          <w:sz w:val="28"/>
          <w:szCs w:val="28"/>
          <w:highlight w:val="none"/>
        </w:rPr>
        <w:fldChar w:fldCharType="begin"/>
      </w:r>
      <w:r>
        <w:rPr>
          <w:b w:val="0"/>
          <w:bCs w:val="0"/>
          <w:color w:val="auto"/>
          <w:sz w:val="28"/>
          <w:szCs w:val="28"/>
          <w:highlight w:val="none"/>
        </w:rPr>
        <w:instrText xml:space="preserve"> HYPERLINK \l "_Toc46136756" </w:instrText>
      </w:r>
      <w:r>
        <w:rPr>
          <w:b w:val="0"/>
          <w:bCs w:val="0"/>
          <w:color w:val="auto"/>
          <w:sz w:val="28"/>
          <w:szCs w:val="28"/>
          <w:highlight w:val="none"/>
        </w:rPr>
        <w:fldChar w:fldCharType="separate"/>
      </w:r>
      <w:r>
        <w:rPr>
          <w:b w:val="0"/>
          <w:bCs w:val="0"/>
          <w:color w:val="auto"/>
          <w:sz w:val="28"/>
          <w:szCs w:val="28"/>
          <w:highlight w:val="none"/>
        </w:rPr>
        <w:t>第一章  竞争性谈判公告</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_Toc46136756 \h </w:instrText>
      </w:r>
      <w:r>
        <w:rPr>
          <w:b w:val="0"/>
          <w:bCs w:val="0"/>
          <w:color w:val="auto"/>
          <w:sz w:val="28"/>
          <w:szCs w:val="28"/>
          <w:highlight w:val="none"/>
        </w:rPr>
        <w:fldChar w:fldCharType="separate"/>
      </w:r>
      <w:r>
        <w:rPr>
          <w:b w:val="0"/>
          <w:bCs w:val="0"/>
          <w:color w:val="auto"/>
          <w:sz w:val="28"/>
          <w:szCs w:val="28"/>
          <w:highlight w:val="none"/>
        </w:rPr>
        <w:t>2</w:t>
      </w:r>
      <w:r>
        <w:rPr>
          <w:b w:val="0"/>
          <w:bCs w:val="0"/>
          <w:color w:val="auto"/>
          <w:sz w:val="28"/>
          <w:szCs w:val="28"/>
          <w:highlight w:val="none"/>
        </w:rPr>
        <w:fldChar w:fldCharType="end"/>
      </w:r>
      <w:r>
        <w:rPr>
          <w:b w:val="0"/>
          <w:bCs w:val="0"/>
          <w:color w:val="auto"/>
          <w:sz w:val="28"/>
          <w:szCs w:val="28"/>
          <w:highlight w:val="none"/>
        </w:rPr>
        <w:fldChar w:fldCharType="end"/>
      </w:r>
    </w:p>
    <w:p>
      <w:pPr>
        <w:pStyle w:val="2"/>
        <w:tabs>
          <w:tab w:val="right" w:leader="dot" w:pos="10456"/>
        </w:tabs>
        <w:spacing w:line="480" w:lineRule="exact"/>
        <w:rPr>
          <w:b w:val="0"/>
          <w:bCs w:val="0"/>
          <w:color w:val="auto"/>
          <w:sz w:val="28"/>
          <w:szCs w:val="28"/>
          <w:highlight w:val="none"/>
        </w:rPr>
      </w:pPr>
    </w:p>
    <w:p>
      <w:pPr>
        <w:pStyle w:val="2"/>
        <w:tabs>
          <w:tab w:val="right" w:leader="dot" w:pos="10456"/>
        </w:tabs>
        <w:spacing w:line="480" w:lineRule="exact"/>
        <w:rPr>
          <w:b w:val="0"/>
          <w:bCs w:val="0"/>
          <w:color w:val="auto"/>
          <w:sz w:val="28"/>
          <w:szCs w:val="28"/>
          <w:highlight w:val="none"/>
        </w:rPr>
      </w:pPr>
      <w:r>
        <w:rPr>
          <w:b w:val="0"/>
          <w:bCs w:val="0"/>
          <w:color w:val="auto"/>
          <w:sz w:val="28"/>
          <w:szCs w:val="28"/>
          <w:highlight w:val="none"/>
        </w:rPr>
        <w:fldChar w:fldCharType="begin"/>
      </w:r>
      <w:r>
        <w:rPr>
          <w:b w:val="0"/>
          <w:bCs w:val="0"/>
          <w:color w:val="auto"/>
          <w:sz w:val="28"/>
          <w:szCs w:val="28"/>
          <w:highlight w:val="none"/>
        </w:rPr>
        <w:instrText xml:space="preserve"> HYPERLINK \l "_Toc46136757" </w:instrText>
      </w:r>
      <w:r>
        <w:rPr>
          <w:b w:val="0"/>
          <w:bCs w:val="0"/>
          <w:color w:val="auto"/>
          <w:sz w:val="28"/>
          <w:szCs w:val="28"/>
          <w:highlight w:val="none"/>
        </w:rPr>
        <w:fldChar w:fldCharType="separate"/>
      </w:r>
      <w:r>
        <w:rPr>
          <w:b w:val="0"/>
          <w:bCs w:val="0"/>
          <w:color w:val="auto"/>
          <w:sz w:val="28"/>
          <w:szCs w:val="28"/>
          <w:highlight w:val="none"/>
        </w:rPr>
        <w:t>第二章  谈判供应商须知</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_Toc46136757 \h </w:instrText>
      </w:r>
      <w:r>
        <w:rPr>
          <w:b w:val="0"/>
          <w:bCs w:val="0"/>
          <w:color w:val="auto"/>
          <w:sz w:val="28"/>
          <w:szCs w:val="28"/>
          <w:highlight w:val="none"/>
        </w:rPr>
        <w:fldChar w:fldCharType="separate"/>
      </w:r>
      <w:r>
        <w:rPr>
          <w:b w:val="0"/>
          <w:bCs w:val="0"/>
          <w:color w:val="auto"/>
          <w:sz w:val="28"/>
          <w:szCs w:val="28"/>
          <w:highlight w:val="none"/>
        </w:rPr>
        <w:t>6</w:t>
      </w:r>
      <w:r>
        <w:rPr>
          <w:b w:val="0"/>
          <w:bCs w:val="0"/>
          <w:color w:val="auto"/>
          <w:sz w:val="28"/>
          <w:szCs w:val="28"/>
          <w:highlight w:val="none"/>
        </w:rPr>
        <w:fldChar w:fldCharType="end"/>
      </w:r>
      <w:r>
        <w:rPr>
          <w:b w:val="0"/>
          <w:bCs w:val="0"/>
          <w:color w:val="auto"/>
          <w:sz w:val="28"/>
          <w:szCs w:val="28"/>
          <w:highlight w:val="none"/>
        </w:rPr>
        <w:fldChar w:fldCharType="end"/>
      </w:r>
    </w:p>
    <w:p>
      <w:pPr>
        <w:pStyle w:val="2"/>
        <w:tabs>
          <w:tab w:val="right" w:leader="dot" w:pos="10456"/>
        </w:tabs>
        <w:spacing w:line="480" w:lineRule="exact"/>
        <w:rPr>
          <w:b w:val="0"/>
          <w:bCs w:val="0"/>
          <w:color w:val="auto"/>
          <w:sz w:val="28"/>
          <w:szCs w:val="28"/>
          <w:highlight w:val="none"/>
        </w:rPr>
      </w:pPr>
    </w:p>
    <w:p>
      <w:pPr>
        <w:pStyle w:val="2"/>
        <w:tabs>
          <w:tab w:val="right" w:leader="dot" w:pos="10456"/>
        </w:tabs>
        <w:spacing w:line="480" w:lineRule="exact"/>
        <w:rPr>
          <w:b w:val="0"/>
          <w:bCs w:val="0"/>
          <w:color w:val="auto"/>
          <w:sz w:val="28"/>
          <w:szCs w:val="28"/>
          <w:highlight w:val="none"/>
        </w:rPr>
      </w:pPr>
      <w:r>
        <w:rPr>
          <w:b w:val="0"/>
          <w:bCs w:val="0"/>
          <w:color w:val="auto"/>
          <w:sz w:val="28"/>
          <w:szCs w:val="28"/>
          <w:highlight w:val="none"/>
        </w:rPr>
        <w:fldChar w:fldCharType="begin"/>
      </w:r>
      <w:r>
        <w:rPr>
          <w:b w:val="0"/>
          <w:bCs w:val="0"/>
          <w:color w:val="auto"/>
          <w:sz w:val="28"/>
          <w:szCs w:val="28"/>
          <w:highlight w:val="none"/>
        </w:rPr>
        <w:instrText xml:space="preserve"> HYPERLINK \l "_Toc46136758" </w:instrText>
      </w:r>
      <w:r>
        <w:rPr>
          <w:b w:val="0"/>
          <w:bCs w:val="0"/>
          <w:color w:val="auto"/>
          <w:sz w:val="28"/>
          <w:szCs w:val="28"/>
          <w:highlight w:val="none"/>
        </w:rPr>
        <w:fldChar w:fldCharType="separate"/>
      </w:r>
      <w:r>
        <w:rPr>
          <w:b w:val="0"/>
          <w:bCs w:val="0"/>
          <w:color w:val="auto"/>
          <w:sz w:val="28"/>
          <w:szCs w:val="28"/>
          <w:highlight w:val="none"/>
        </w:rPr>
        <w:t>第三章  采购需求</w:t>
      </w:r>
      <w:bookmarkStart w:id="0" w:name="_Hlt49957165"/>
      <w:bookmarkStart w:id="1" w:name="_Hlt49957164"/>
      <w:r>
        <w:rPr>
          <w:b w:val="0"/>
          <w:bCs w:val="0"/>
          <w:color w:val="auto"/>
          <w:sz w:val="28"/>
          <w:szCs w:val="28"/>
          <w:highlight w:val="none"/>
        </w:rPr>
        <w:tab/>
      </w:r>
      <w:bookmarkEnd w:id="0"/>
      <w:bookmarkEnd w:id="1"/>
      <w:r>
        <w:rPr>
          <w:b w:val="0"/>
          <w:bCs w:val="0"/>
          <w:color w:val="auto"/>
          <w:sz w:val="28"/>
          <w:szCs w:val="28"/>
          <w:highlight w:val="none"/>
        </w:rPr>
        <w:fldChar w:fldCharType="begin"/>
      </w:r>
      <w:r>
        <w:rPr>
          <w:b w:val="0"/>
          <w:bCs w:val="0"/>
          <w:color w:val="auto"/>
          <w:sz w:val="28"/>
          <w:szCs w:val="28"/>
          <w:highlight w:val="none"/>
        </w:rPr>
        <w:instrText xml:space="preserve"> PAGEREF _Toc46136758 \h </w:instrText>
      </w:r>
      <w:r>
        <w:rPr>
          <w:b w:val="0"/>
          <w:bCs w:val="0"/>
          <w:color w:val="auto"/>
          <w:sz w:val="28"/>
          <w:szCs w:val="28"/>
          <w:highlight w:val="none"/>
        </w:rPr>
        <w:fldChar w:fldCharType="separate"/>
      </w:r>
      <w:r>
        <w:rPr>
          <w:b w:val="0"/>
          <w:bCs w:val="0"/>
          <w:color w:val="auto"/>
          <w:sz w:val="28"/>
          <w:szCs w:val="28"/>
          <w:highlight w:val="none"/>
        </w:rPr>
        <w:t>16</w:t>
      </w:r>
      <w:r>
        <w:rPr>
          <w:b w:val="0"/>
          <w:bCs w:val="0"/>
          <w:color w:val="auto"/>
          <w:sz w:val="28"/>
          <w:szCs w:val="28"/>
          <w:highlight w:val="none"/>
        </w:rPr>
        <w:fldChar w:fldCharType="end"/>
      </w:r>
      <w:r>
        <w:rPr>
          <w:b w:val="0"/>
          <w:bCs w:val="0"/>
          <w:color w:val="auto"/>
          <w:sz w:val="28"/>
          <w:szCs w:val="28"/>
          <w:highlight w:val="none"/>
        </w:rPr>
        <w:fldChar w:fldCharType="end"/>
      </w:r>
    </w:p>
    <w:p>
      <w:pPr>
        <w:pStyle w:val="2"/>
        <w:tabs>
          <w:tab w:val="right" w:leader="dot" w:pos="10456"/>
        </w:tabs>
        <w:spacing w:line="480" w:lineRule="exact"/>
        <w:rPr>
          <w:b w:val="0"/>
          <w:bCs w:val="0"/>
          <w:color w:val="auto"/>
          <w:sz w:val="28"/>
          <w:szCs w:val="28"/>
          <w:highlight w:val="none"/>
        </w:rPr>
      </w:pPr>
    </w:p>
    <w:p>
      <w:pPr>
        <w:pStyle w:val="2"/>
        <w:tabs>
          <w:tab w:val="right" w:leader="dot" w:pos="10456"/>
        </w:tabs>
        <w:spacing w:line="480" w:lineRule="exact"/>
        <w:rPr>
          <w:rFonts w:hint="default" w:eastAsia="宋体"/>
          <w:b w:val="0"/>
          <w:bCs w:val="0"/>
          <w:color w:val="auto"/>
          <w:sz w:val="28"/>
          <w:szCs w:val="28"/>
          <w:highlight w:val="none"/>
          <w:lang w:val="en-US" w:eastAsia="zh-CN"/>
        </w:rPr>
      </w:pPr>
      <w:r>
        <w:rPr>
          <w:b w:val="0"/>
          <w:bCs w:val="0"/>
          <w:color w:val="auto"/>
          <w:sz w:val="28"/>
          <w:szCs w:val="28"/>
          <w:highlight w:val="none"/>
        </w:rPr>
        <w:fldChar w:fldCharType="begin"/>
      </w:r>
      <w:r>
        <w:rPr>
          <w:b w:val="0"/>
          <w:bCs w:val="0"/>
          <w:color w:val="auto"/>
          <w:sz w:val="28"/>
          <w:szCs w:val="28"/>
          <w:highlight w:val="none"/>
        </w:rPr>
        <w:instrText xml:space="preserve"> HYPERLINK \l "_Toc46136759" </w:instrText>
      </w:r>
      <w:r>
        <w:rPr>
          <w:b w:val="0"/>
          <w:bCs w:val="0"/>
          <w:color w:val="auto"/>
          <w:sz w:val="28"/>
          <w:szCs w:val="28"/>
          <w:highlight w:val="none"/>
        </w:rPr>
        <w:fldChar w:fldCharType="separate"/>
      </w:r>
      <w:r>
        <w:rPr>
          <w:b w:val="0"/>
          <w:bCs w:val="0"/>
          <w:color w:val="auto"/>
          <w:sz w:val="28"/>
          <w:szCs w:val="28"/>
          <w:highlight w:val="none"/>
        </w:rPr>
        <w:t>第四章  竞争性谈判响应文件格式</w:t>
      </w:r>
      <w:r>
        <w:rPr>
          <w:b w:val="0"/>
          <w:bCs w:val="0"/>
          <w:color w:val="auto"/>
          <w:sz w:val="28"/>
          <w:szCs w:val="28"/>
          <w:highlight w:val="none"/>
        </w:rPr>
        <w:tab/>
      </w:r>
      <w:r>
        <w:rPr>
          <w:b w:val="0"/>
          <w:bCs w:val="0"/>
          <w:color w:val="auto"/>
          <w:sz w:val="28"/>
          <w:szCs w:val="28"/>
          <w:highlight w:val="none"/>
        </w:rPr>
        <w:fldChar w:fldCharType="end"/>
      </w:r>
      <w:r>
        <w:rPr>
          <w:rFonts w:hint="eastAsia"/>
          <w:b w:val="0"/>
          <w:bCs w:val="0"/>
          <w:color w:val="auto"/>
          <w:sz w:val="28"/>
          <w:szCs w:val="28"/>
          <w:highlight w:val="none"/>
          <w:lang w:val="en-US" w:eastAsia="zh-CN"/>
        </w:rPr>
        <w:t>27</w:t>
      </w:r>
    </w:p>
    <w:p>
      <w:pPr>
        <w:pStyle w:val="2"/>
        <w:tabs>
          <w:tab w:val="right" w:leader="dot" w:pos="10456"/>
        </w:tabs>
        <w:spacing w:line="480" w:lineRule="exact"/>
        <w:rPr>
          <w:b w:val="0"/>
          <w:bCs w:val="0"/>
          <w:color w:val="auto"/>
          <w:sz w:val="28"/>
          <w:szCs w:val="28"/>
          <w:highlight w:val="none"/>
        </w:rPr>
      </w:pPr>
    </w:p>
    <w:p>
      <w:pPr>
        <w:pStyle w:val="2"/>
        <w:tabs>
          <w:tab w:val="right" w:leader="dot" w:pos="10456"/>
        </w:tabs>
        <w:spacing w:line="480" w:lineRule="exact"/>
        <w:rPr>
          <w:rFonts w:hint="default" w:eastAsia="宋体"/>
          <w:b w:val="0"/>
          <w:bCs w:val="0"/>
          <w:color w:val="auto"/>
          <w:sz w:val="28"/>
          <w:szCs w:val="28"/>
          <w:highlight w:val="none"/>
          <w:lang w:val="en-US" w:eastAsia="zh-CN"/>
        </w:rPr>
      </w:pPr>
      <w:r>
        <w:rPr>
          <w:b w:val="0"/>
          <w:bCs w:val="0"/>
          <w:color w:val="auto"/>
          <w:sz w:val="28"/>
          <w:szCs w:val="28"/>
          <w:highlight w:val="none"/>
        </w:rPr>
        <w:fldChar w:fldCharType="begin"/>
      </w:r>
      <w:r>
        <w:rPr>
          <w:b w:val="0"/>
          <w:bCs w:val="0"/>
          <w:color w:val="auto"/>
          <w:sz w:val="28"/>
          <w:szCs w:val="28"/>
          <w:highlight w:val="none"/>
        </w:rPr>
        <w:instrText xml:space="preserve"> HYPERLINK \l "_Toc46136760" </w:instrText>
      </w:r>
      <w:r>
        <w:rPr>
          <w:b w:val="0"/>
          <w:bCs w:val="0"/>
          <w:color w:val="auto"/>
          <w:sz w:val="28"/>
          <w:szCs w:val="28"/>
          <w:highlight w:val="none"/>
        </w:rPr>
        <w:fldChar w:fldCharType="separate"/>
      </w:r>
      <w:r>
        <w:rPr>
          <w:b w:val="0"/>
          <w:bCs w:val="0"/>
          <w:color w:val="auto"/>
          <w:sz w:val="28"/>
          <w:szCs w:val="28"/>
          <w:highlight w:val="none"/>
        </w:rPr>
        <w:t>第五章  合同主要条款</w:t>
      </w:r>
      <w:r>
        <w:rPr>
          <w:b w:val="0"/>
          <w:bCs w:val="0"/>
          <w:color w:val="auto"/>
          <w:sz w:val="28"/>
          <w:szCs w:val="28"/>
          <w:highlight w:val="none"/>
        </w:rPr>
        <w:tab/>
      </w:r>
      <w:r>
        <w:rPr>
          <w:b w:val="0"/>
          <w:bCs w:val="0"/>
          <w:color w:val="auto"/>
          <w:sz w:val="28"/>
          <w:szCs w:val="28"/>
          <w:highlight w:val="none"/>
        </w:rPr>
        <w:fldChar w:fldCharType="end"/>
      </w:r>
      <w:r>
        <w:rPr>
          <w:rFonts w:hint="eastAsia"/>
          <w:b w:val="0"/>
          <w:bCs w:val="0"/>
          <w:color w:val="auto"/>
          <w:sz w:val="28"/>
          <w:szCs w:val="28"/>
          <w:highlight w:val="none"/>
          <w:lang w:val="en-US" w:eastAsia="zh-CN"/>
        </w:rPr>
        <w:t>35</w:t>
      </w:r>
    </w:p>
    <w:p>
      <w:pPr>
        <w:pStyle w:val="2"/>
        <w:tabs>
          <w:tab w:val="right" w:leader="dot" w:pos="10456"/>
        </w:tabs>
        <w:spacing w:line="480" w:lineRule="exact"/>
        <w:rPr>
          <w:b w:val="0"/>
          <w:bCs w:val="0"/>
          <w:color w:val="auto"/>
          <w:sz w:val="28"/>
          <w:szCs w:val="28"/>
          <w:highlight w:val="none"/>
        </w:rPr>
      </w:pPr>
    </w:p>
    <w:p>
      <w:pPr>
        <w:pStyle w:val="2"/>
        <w:tabs>
          <w:tab w:val="right" w:leader="dot" w:pos="10456"/>
        </w:tabs>
        <w:spacing w:line="480" w:lineRule="exact"/>
        <w:rPr>
          <w:rFonts w:hint="default" w:ascii="宋体" w:hAnsi="宋体" w:eastAsia="宋体"/>
          <w:b w:val="0"/>
          <w:bCs w:val="0"/>
          <w:color w:val="auto"/>
          <w:sz w:val="28"/>
          <w:szCs w:val="28"/>
          <w:highlight w:val="none"/>
          <w:lang w:val="en-US" w:eastAsia="zh-CN"/>
        </w:rPr>
      </w:pPr>
      <w:r>
        <w:rPr>
          <w:b w:val="0"/>
          <w:bCs w:val="0"/>
          <w:color w:val="auto"/>
          <w:sz w:val="28"/>
          <w:szCs w:val="28"/>
          <w:highlight w:val="none"/>
        </w:rPr>
        <w:fldChar w:fldCharType="begin"/>
      </w:r>
      <w:r>
        <w:rPr>
          <w:b w:val="0"/>
          <w:bCs w:val="0"/>
          <w:color w:val="auto"/>
          <w:sz w:val="28"/>
          <w:szCs w:val="28"/>
          <w:highlight w:val="none"/>
        </w:rPr>
        <w:instrText xml:space="preserve"> HYPERLINK \l "_Toc46136761" </w:instrText>
      </w:r>
      <w:r>
        <w:rPr>
          <w:b w:val="0"/>
          <w:bCs w:val="0"/>
          <w:color w:val="auto"/>
          <w:sz w:val="28"/>
          <w:szCs w:val="28"/>
          <w:highlight w:val="none"/>
        </w:rPr>
        <w:fldChar w:fldCharType="separate"/>
      </w:r>
      <w:r>
        <w:rPr>
          <w:b w:val="0"/>
          <w:bCs w:val="0"/>
          <w:color w:val="auto"/>
          <w:sz w:val="28"/>
          <w:szCs w:val="28"/>
          <w:highlight w:val="none"/>
        </w:rPr>
        <w:t>第六章  评定标准</w:t>
      </w:r>
      <w:r>
        <w:rPr>
          <w:b w:val="0"/>
          <w:bCs w:val="0"/>
          <w:color w:val="auto"/>
          <w:sz w:val="28"/>
          <w:szCs w:val="28"/>
          <w:highlight w:val="none"/>
        </w:rPr>
        <w:tab/>
      </w:r>
      <w:r>
        <w:rPr>
          <w:b w:val="0"/>
          <w:bCs w:val="0"/>
          <w:color w:val="auto"/>
          <w:sz w:val="28"/>
          <w:szCs w:val="28"/>
          <w:highlight w:val="none"/>
        </w:rPr>
        <w:fldChar w:fldCharType="end"/>
      </w:r>
      <w:r>
        <w:rPr>
          <w:b w:val="0"/>
          <w:bCs w:val="0"/>
          <w:color w:val="auto"/>
          <w:sz w:val="28"/>
          <w:szCs w:val="28"/>
          <w:highlight w:val="none"/>
        </w:rPr>
        <w:fldChar w:fldCharType="end"/>
      </w:r>
      <w:r>
        <w:rPr>
          <w:rFonts w:hint="eastAsia"/>
          <w:b w:val="0"/>
          <w:bCs w:val="0"/>
          <w:color w:val="auto"/>
          <w:sz w:val="28"/>
          <w:szCs w:val="28"/>
          <w:highlight w:val="none"/>
          <w:lang w:val="en-US" w:eastAsia="zh-CN"/>
        </w:rPr>
        <w:t>41</w:t>
      </w:r>
    </w:p>
    <w:p>
      <w:pPr>
        <w:spacing w:line="400" w:lineRule="exact"/>
        <w:jc w:val="center"/>
        <w:rPr>
          <w:rFonts w:ascii="仿宋_GB2312" w:hAnsi="仿宋_GB2312" w:eastAsia="仿宋_GB2312"/>
          <w:b w:val="0"/>
          <w:bCs w:val="0"/>
          <w:color w:val="auto"/>
          <w:sz w:val="32"/>
          <w:szCs w:val="32"/>
          <w:highlight w:val="none"/>
        </w:rPr>
      </w:pPr>
    </w:p>
    <w:p>
      <w:pPr>
        <w:pageBreakBefore/>
        <w:spacing w:line="400" w:lineRule="exact"/>
        <w:jc w:val="center"/>
        <w:rPr>
          <w:rFonts w:ascii="仿宋_GB2312" w:hAnsi="仿宋_GB2312" w:eastAsia="仿宋_GB2312"/>
          <w:b w:val="0"/>
          <w:bCs w:val="0"/>
          <w:color w:val="auto"/>
          <w:sz w:val="32"/>
          <w:szCs w:val="32"/>
          <w:highlight w:val="none"/>
        </w:rPr>
      </w:pPr>
    </w:p>
    <w:p>
      <w:pPr>
        <w:spacing w:line="400" w:lineRule="exact"/>
        <w:jc w:val="center"/>
        <w:rPr>
          <w:rFonts w:ascii="黑体" w:hAnsi="黑体" w:eastAsia="黑体"/>
          <w:b w:val="0"/>
          <w:bCs w:val="0"/>
          <w:color w:val="auto"/>
          <w:sz w:val="32"/>
          <w:szCs w:val="32"/>
          <w:highlight w:val="none"/>
        </w:rPr>
      </w:pPr>
    </w:p>
    <w:p>
      <w:pPr>
        <w:spacing w:line="400" w:lineRule="exact"/>
        <w:jc w:val="center"/>
        <w:rPr>
          <w:rFonts w:ascii="黑体" w:hAnsi="黑体" w:eastAsia="黑体"/>
          <w:b w:val="0"/>
          <w:bCs w:val="0"/>
          <w:color w:val="auto"/>
          <w:sz w:val="32"/>
          <w:szCs w:val="32"/>
          <w:highlight w:val="none"/>
        </w:rPr>
      </w:pPr>
    </w:p>
    <w:p>
      <w:pPr>
        <w:spacing w:line="400" w:lineRule="exact"/>
        <w:jc w:val="center"/>
        <w:rPr>
          <w:rFonts w:ascii="黑体" w:hAnsi="黑体" w:eastAsia="黑体"/>
          <w:b w:val="0"/>
          <w:bCs w:val="0"/>
          <w:color w:val="auto"/>
          <w:sz w:val="32"/>
          <w:szCs w:val="32"/>
          <w:highlight w:val="none"/>
        </w:rPr>
      </w:pPr>
    </w:p>
    <w:p>
      <w:pPr>
        <w:spacing w:line="400" w:lineRule="exact"/>
        <w:jc w:val="center"/>
        <w:rPr>
          <w:rFonts w:ascii="黑体" w:hAnsi="黑体" w:eastAsia="黑体"/>
          <w:b w:val="0"/>
          <w:bCs w:val="0"/>
          <w:color w:val="auto"/>
          <w:sz w:val="32"/>
          <w:szCs w:val="32"/>
          <w:highlight w:val="none"/>
        </w:rPr>
      </w:pPr>
    </w:p>
    <w:p>
      <w:pPr>
        <w:spacing w:line="400" w:lineRule="exact"/>
        <w:jc w:val="center"/>
        <w:rPr>
          <w:rFonts w:ascii="黑体" w:hAnsi="黑体" w:eastAsia="黑体"/>
          <w:b w:val="0"/>
          <w:bCs w:val="0"/>
          <w:color w:val="auto"/>
          <w:sz w:val="32"/>
          <w:szCs w:val="32"/>
          <w:highlight w:val="none"/>
        </w:rPr>
      </w:pPr>
    </w:p>
    <w:p>
      <w:pPr>
        <w:spacing w:line="400" w:lineRule="exact"/>
        <w:jc w:val="center"/>
        <w:rPr>
          <w:rFonts w:ascii="黑体" w:hAnsi="黑体" w:eastAsia="黑体"/>
          <w:b w:val="0"/>
          <w:bCs w:val="0"/>
          <w:color w:val="auto"/>
          <w:sz w:val="32"/>
          <w:szCs w:val="32"/>
          <w:highlight w:val="none"/>
        </w:rPr>
      </w:pPr>
    </w:p>
    <w:p>
      <w:pPr>
        <w:spacing w:line="400" w:lineRule="exact"/>
        <w:jc w:val="center"/>
        <w:rPr>
          <w:rFonts w:ascii="黑体" w:hAnsi="黑体" w:eastAsia="黑体"/>
          <w:b w:val="0"/>
          <w:bCs w:val="0"/>
          <w:color w:val="auto"/>
          <w:sz w:val="32"/>
          <w:szCs w:val="32"/>
          <w:highlight w:val="none"/>
        </w:rPr>
      </w:pPr>
    </w:p>
    <w:p>
      <w:pPr>
        <w:spacing w:line="400" w:lineRule="exact"/>
        <w:jc w:val="center"/>
        <w:rPr>
          <w:rFonts w:ascii="黑体" w:hAnsi="黑体" w:eastAsia="黑体"/>
          <w:b w:val="0"/>
          <w:bCs w:val="0"/>
          <w:color w:val="auto"/>
          <w:sz w:val="32"/>
          <w:szCs w:val="32"/>
          <w:highlight w:val="none"/>
        </w:rPr>
      </w:pPr>
    </w:p>
    <w:p>
      <w:pPr>
        <w:spacing w:line="400" w:lineRule="exact"/>
        <w:jc w:val="center"/>
        <w:rPr>
          <w:rFonts w:ascii="黑体" w:hAnsi="黑体" w:eastAsia="黑体"/>
          <w:b w:val="0"/>
          <w:bCs w:val="0"/>
          <w:color w:val="auto"/>
          <w:sz w:val="32"/>
          <w:szCs w:val="32"/>
          <w:highlight w:val="none"/>
        </w:rPr>
      </w:pPr>
    </w:p>
    <w:p>
      <w:pPr>
        <w:spacing w:line="400" w:lineRule="exact"/>
        <w:jc w:val="center"/>
        <w:rPr>
          <w:rFonts w:ascii="黑体" w:hAnsi="黑体" w:eastAsia="黑体"/>
          <w:b w:val="0"/>
          <w:bCs w:val="0"/>
          <w:color w:val="auto"/>
          <w:sz w:val="32"/>
          <w:szCs w:val="32"/>
          <w:highlight w:val="none"/>
        </w:rPr>
      </w:pPr>
    </w:p>
    <w:p>
      <w:pPr>
        <w:spacing w:line="400" w:lineRule="exact"/>
        <w:jc w:val="center"/>
        <w:rPr>
          <w:rFonts w:ascii="黑体" w:hAnsi="黑体" w:eastAsia="黑体"/>
          <w:b w:val="0"/>
          <w:bCs w:val="0"/>
          <w:color w:val="auto"/>
          <w:sz w:val="32"/>
          <w:szCs w:val="32"/>
          <w:highlight w:val="none"/>
        </w:rPr>
      </w:pPr>
    </w:p>
    <w:p>
      <w:pPr>
        <w:spacing w:line="600" w:lineRule="exact"/>
        <w:jc w:val="center"/>
        <w:rPr>
          <w:rFonts w:ascii="仿宋_GB2312" w:hAnsi="仿宋_GB2312" w:eastAsia="仿宋_GB2312"/>
          <w:b w:val="0"/>
          <w:bCs w:val="0"/>
          <w:color w:val="auto"/>
          <w:sz w:val="44"/>
          <w:szCs w:val="44"/>
          <w:highlight w:val="none"/>
        </w:rPr>
      </w:pPr>
    </w:p>
    <w:p>
      <w:pPr>
        <w:spacing w:line="600" w:lineRule="exact"/>
        <w:jc w:val="center"/>
        <w:rPr>
          <w:rFonts w:ascii="仿宋_GB2312" w:hAnsi="仿宋_GB2312" w:eastAsia="仿宋_GB2312"/>
          <w:b w:val="0"/>
          <w:bCs w:val="0"/>
          <w:color w:val="auto"/>
          <w:sz w:val="44"/>
          <w:szCs w:val="44"/>
          <w:highlight w:val="none"/>
        </w:rPr>
      </w:pPr>
    </w:p>
    <w:p>
      <w:pPr>
        <w:pStyle w:val="3"/>
        <w:jc w:val="center"/>
        <w:rPr>
          <w:b w:val="0"/>
          <w:bCs w:val="0"/>
          <w:color w:val="auto"/>
          <w:highlight w:val="none"/>
        </w:rPr>
      </w:pPr>
      <w:bookmarkStart w:id="2" w:name="_Toc46136756"/>
      <w:r>
        <w:rPr>
          <w:rFonts w:hint="eastAsia"/>
          <w:b w:val="0"/>
          <w:bCs w:val="0"/>
          <w:color w:val="auto"/>
          <w:highlight w:val="none"/>
        </w:rPr>
        <w:t>第一章  竞争性谈判公告</w:t>
      </w:r>
      <w:bookmarkEnd w:id="2"/>
    </w:p>
    <w:p>
      <w:pPr>
        <w:spacing w:line="400" w:lineRule="exact"/>
        <w:jc w:val="center"/>
        <w:rPr>
          <w:rFonts w:ascii="黑体" w:hAnsi="黑体" w:eastAsia="黑体"/>
          <w:b w:val="0"/>
          <w:bCs w:val="0"/>
          <w:color w:val="auto"/>
          <w:sz w:val="32"/>
          <w:szCs w:val="32"/>
          <w:highlight w:val="none"/>
        </w:rPr>
      </w:pPr>
    </w:p>
    <w:p>
      <w:pPr>
        <w:spacing w:line="400" w:lineRule="exact"/>
        <w:jc w:val="center"/>
        <w:rPr>
          <w:rFonts w:ascii="黑体" w:hAnsi="黑体" w:eastAsia="黑体"/>
          <w:b w:val="0"/>
          <w:bCs w:val="0"/>
          <w:color w:val="auto"/>
          <w:sz w:val="32"/>
          <w:szCs w:val="32"/>
          <w:highlight w:val="none"/>
        </w:rPr>
      </w:pPr>
    </w:p>
    <w:p>
      <w:pPr>
        <w:spacing w:line="400" w:lineRule="exact"/>
        <w:jc w:val="center"/>
        <w:rPr>
          <w:rFonts w:ascii="黑体" w:hAnsi="黑体" w:eastAsia="黑体"/>
          <w:b w:val="0"/>
          <w:bCs w:val="0"/>
          <w:color w:val="auto"/>
          <w:sz w:val="32"/>
          <w:szCs w:val="32"/>
          <w:highlight w:val="none"/>
        </w:rPr>
      </w:pPr>
    </w:p>
    <w:p>
      <w:pPr>
        <w:spacing w:line="400" w:lineRule="exact"/>
        <w:jc w:val="center"/>
        <w:rPr>
          <w:rFonts w:ascii="黑体" w:hAnsi="黑体" w:eastAsia="黑体"/>
          <w:b w:val="0"/>
          <w:bCs w:val="0"/>
          <w:color w:val="auto"/>
          <w:sz w:val="32"/>
          <w:szCs w:val="32"/>
          <w:highlight w:val="none"/>
        </w:rPr>
      </w:pPr>
    </w:p>
    <w:p>
      <w:pPr>
        <w:spacing w:line="400" w:lineRule="exact"/>
        <w:jc w:val="center"/>
        <w:rPr>
          <w:rFonts w:ascii="黑体" w:hAnsi="黑体" w:eastAsia="黑体"/>
          <w:b w:val="0"/>
          <w:bCs w:val="0"/>
          <w:color w:val="auto"/>
          <w:sz w:val="32"/>
          <w:szCs w:val="32"/>
          <w:highlight w:val="none"/>
        </w:rPr>
      </w:pPr>
    </w:p>
    <w:p>
      <w:pPr>
        <w:spacing w:line="400" w:lineRule="exact"/>
        <w:jc w:val="center"/>
        <w:rPr>
          <w:rFonts w:ascii="黑体" w:hAnsi="黑体" w:eastAsia="黑体"/>
          <w:b w:val="0"/>
          <w:bCs w:val="0"/>
          <w:color w:val="auto"/>
          <w:sz w:val="32"/>
          <w:szCs w:val="32"/>
          <w:highlight w:val="none"/>
        </w:rPr>
      </w:pPr>
    </w:p>
    <w:p>
      <w:pPr>
        <w:rPr>
          <w:rFonts w:ascii="仿宋" w:hAnsi="仿宋" w:eastAsia="仿宋"/>
          <w:b w:val="0"/>
          <w:bCs w:val="0"/>
          <w:color w:val="auto"/>
          <w:sz w:val="28"/>
          <w:szCs w:val="28"/>
          <w:highlight w:val="none"/>
        </w:rPr>
      </w:pPr>
    </w:p>
    <w:p>
      <w:pPr>
        <w:pageBreakBefore/>
        <w:jc w:val="center"/>
        <w:rPr>
          <w:b w:val="0"/>
          <w:bCs w:val="0"/>
          <w:color w:val="auto"/>
          <w:sz w:val="44"/>
          <w:szCs w:val="44"/>
          <w:highlight w:val="none"/>
        </w:rPr>
      </w:pPr>
      <w:bookmarkStart w:id="3" w:name="_Toc35393797"/>
      <w:bookmarkEnd w:id="3"/>
      <w:bookmarkStart w:id="4" w:name="_Toc28359011"/>
      <w:bookmarkEnd w:id="4"/>
      <w:r>
        <w:rPr>
          <w:rFonts w:hint="eastAsia"/>
          <w:b w:val="0"/>
          <w:bCs w:val="0"/>
          <w:color w:val="auto"/>
          <w:sz w:val="44"/>
          <w:szCs w:val="44"/>
          <w:highlight w:val="none"/>
        </w:rPr>
        <w:t>第一章  竞争性谈判公告</w:t>
      </w:r>
    </w:p>
    <w:p>
      <w:pPr>
        <w:spacing w:line="320" w:lineRule="exact"/>
        <w:rPr>
          <w:b w:val="0"/>
          <w:bCs w:val="0"/>
          <w:color w:val="auto"/>
          <w:highlight w:val="none"/>
        </w:rPr>
      </w:pPr>
    </w:p>
    <w:p>
      <w:pPr>
        <w:pBdr>
          <w:top w:val="single" w:color="000000" w:sz="4" w:space="1"/>
          <w:left w:val="single" w:color="000000" w:sz="4" w:space="4"/>
          <w:bottom w:val="single" w:color="000000" w:sz="4" w:space="1"/>
          <w:right w:val="single" w:color="000000" w:sz="4" w:space="4"/>
        </w:pBdr>
        <w:spacing w:line="360" w:lineRule="exact"/>
        <w:rPr>
          <w:rFonts w:hint="eastAsia" w:ascii="宋体" w:hAnsi="宋体" w:cs="宋体"/>
          <w:b w:val="0"/>
          <w:bCs w:val="0"/>
          <w:color w:val="auto"/>
          <w:highlight w:val="none"/>
          <w:u w:val="none"/>
        </w:rPr>
      </w:pPr>
      <w:r>
        <w:rPr>
          <w:rFonts w:hint="eastAsia" w:ascii="宋体" w:hAnsi="宋体" w:cs="宋体"/>
          <w:b w:val="0"/>
          <w:bCs w:val="0"/>
          <w:color w:val="auto"/>
          <w:highlight w:val="none"/>
          <w:u w:val="none"/>
        </w:rPr>
        <w:t>项目概况</w:t>
      </w:r>
      <w:bookmarkStart w:id="68" w:name="_GoBack"/>
      <w:bookmarkEnd w:id="68"/>
    </w:p>
    <w:p>
      <w:pPr>
        <w:pBdr>
          <w:top w:val="single" w:color="000000" w:sz="4" w:space="1"/>
          <w:left w:val="single" w:color="000000" w:sz="4" w:space="4"/>
          <w:bottom w:val="single" w:color="000000" w:sz="4" w:space="1"/>
          <w:right w:val="single" w:color="000000" w:sz="4" w:space="4"/>
        </w:pBdr>
        <w:spacing w:line="360" w:lineRule="exact"/>
        <w:rPr>
          <w:rFonts w:ascii="Calibri Light" w:hAnsi="Calibri Light"/>
          <w:b w:val="0"/>
          <w:bCs w:val="0"/>
          <w:color w:val="auto"/>
          <w:szCs w:val="21"/>
          <w:highlight w:val="none"/>
        </w:rPr>
      </w:pPr>
      <w:r>
        <w:rPr>
          <w:rFonts w:hint="eastAsia" w:ascii="仿宋" w:hAnsi="仿宋" w:cs="Arial"/>
          <w:b w:val="0"/>
          <w:bCs w:val="0"/>
          <w:color w:val="auto"/>
          <w:kern w:val="0"/>
          <w:szCs w:val="21"/>
          <w:highlight w:val="none"/>
        </w:rPr>
        <w:t xml:space="preserve">   </w:t>
      </w:r>
      <w:r>
        <w:rPr>
          <w:rFonts w:hint="eastAsia" w:ascii="仿宋" w:hAnsi="仿宋" w:cs="Arial"/>
          <w:b/>
          <w:bCs/>
          <w:color w:val="auto"/>
          <w:kern w:val="0"/>
          <w:szCs w:val="21"/>
          <w:highlight w:val="none"/>
        </w:rPr>
        <w:t xml:space="preserve"> </w:t>
      </w:r>
      <w:r>
        <w:rPr>
          <w:rFonts w:hint="eastAsia" w:ascii="仿宋" w:hAnsi="仿宋" w:cs="Arial"/>
          <w:b/>
          <w:bCs/>
          <w:color w:val="auto"/>
          <w:kern w:val="0"/>
          <w:szCs w:val="21"/>
          <w:highlight w:val="none"/>
          <w:lang w:val="en-US" w:eastAsia="zh-CN"/>
        </w:rPr>
        <w:t>广西壮族自治区疾病预防控制中心</w:t>
      </w:r>
      <w:r>
        <w:rPr>
          <w:rFonts w:hint="eastAsia" w:ascii="仿宋" w:hAnsi="仿宋" w:eastAsia="宋体" w:cs="宋体"/>
          <w:b/>
          <w:bCs/>
          <w:strike w:val="0"/>
          <w:color w:val="auto"/>
          <w:spacing w:val="0"/>
          <w:kern w:val="0"/>
          <w:sz w:val="21"/>
          <w:szCs w:val="21"/>
          <w:highlight w:val="none"/>
          <w:lang w:val="en-US" w:eastAsia="zh-CN" w:bidi="ar-SA"/>
        </w:rPr>
        <w:t>礼堂座椅及地毯采购</w:t>
      </w:r>
      <w:r>
        <w:rPr>
          <w:rFonts w:ascii="仿宋" w:hAnsi="仿宋" w:cs="Arial"/>
          <w:b w:val="0"/>
          <w:bCs w:val="0"/>
          <w:color w:val="auto"/>
          <w:kern w:val="0"/>
          <w:szCs w:val="21"/>
          <w:highlight w:val="none"/>
        </w:rPr>
        <w:t>项目的潜在供应商应在</w:t>
      </w:r>
      <w:r>
        <w:rPr>
          <w:rFonts w:hint="eastAsia" w:ascii="仿宋" w:hAnsi="仿宋" w:cs="Arial"/>
          <w:b w:val="0"/>
          <w:bCs w:val="0"/>
          <w:color w:val="auto"/>
          <w:kern w:val="0"/>
          <w:szCs w:val="21"/>
          <w:highlight w:val="none"/>
        </w:rPr>
        <w:t>广西政府采购云平台线上获取采购文件</w:t>
      </w:r>
      <w:r>
        <w:rPr>
          <w:rFonts w:hint="eastAsia" w:ascii="宋体" w:hAnsi="宋体" w:cs="宋体"/>
          <w:b w:val="0"/>
          <w:bCs w:val="0"/>
          <w:color w:val="auto"/>
          <w:highlight w:val="none"/>
        </w:rPr>
        <w:t>，并于</w:t>
      </w:r>
      <w:r>
        <w:rPr>
          <w:rFonts w:hint="eastAsia" w:ascii="宋体" w:hAnsi="宋体" w:cs="宋体"/>
          <w:b w:val="0"/>
          <w:bCs w:val="0"/>
          <w:color w:val="auto"/>
          <w:highlight w:val="none"/>
          <w:u w:val="single"/>
        </w:rPr>
        <w:t>2025年</w:t>
      </w:r>
      <w:r>
        <w:rPr>
          <w:rFonts w:hint="eastAsia" w:ascii="宋体" w:hAnsi="宋体" w:cs="宋体"/>
          <w:b w:val="0"/>
          <w:bCs w:val="0"/>
          <w:color w:val="auto"/>
          <w:highlight w:val="none"/>
          <w:u w:val="single"/>
          <w:lang w:val="en-US" w:eastAsia="zh-CN"/>
        </w:rPr>
        <w:t>８</w:t>
      </w:r>
      <w:r>
        <w:rPr>
          <w:rFonts w:ascii="仿宋" w:hAnsi="仿宋" w:cs="Arial"/>
          <w:b w:val="0"/>
          <w:bCs w:val="0"/>
          <w:color w:val="auto"/>
          <w:kern w:val="0"/>
          <w:szCs w:val="21"/>
          <w:highlight w:val="none"/>
          <w:u w:val="single"/>
        </w:rPr>
        <w:t>月</w:t>
      </w:r>
      <w:r>
        <w:rPr>
          <w:rFonts w:hint="eastAsia" w:ascii="仿宋" w:hAnsi="仿宋" w:cs="Arial"/>
          <w:b w:val="0"/>
          <w:bCs w:val="0"/>
          <w:color w:val="auto"/>
          <w:kern w:val="0"/>
          <w:szCs w:val="21"/>
          <w:highlight w:val="none"/>
          <w:u w:val="single"/>
          <w:lang w:val="en-US" w:eastAsia="zh-CN"/>
        </w:rPr>
        <w:t>21</w:t>
      </w:r>
      <w:r>
        <w:rPr>
          <w:rFonts w:ascii="仿宋" w:hAnsi="仿宋" w:cs="Arial"/>
          <w:b w:val="0"/>
          <w:bCs w:val="0"/>
          <w:color w:val="auto"/>
          <w:kern w:val="0"/>
          <w:szCs w:val="21"/>
          <w:highlight w:val="none"/>
          <w:u w:val="single"/>
        </w:rPr>
        <w:t>日</w:t>
      </w:r>
      <w:r>
        <w:rPr>
          <w:rFonts w:ascii="仿宋" w:hAnsi="仿宋" w:cs="Arial"/>
          <w:b w:val="0"/>
          <w:bCs w:val="0"/>
          <w:color w:val="auto"/>
          <w:kern w:val="0"/>
          <w:szCs w:val="21"/>
          <w:highlight w:val="none"/>
        </w:rPr>
        <w:t xml:space="preserve"> 10:00（北京时间）前提交响应文件。</w:t>
      </w:r>
    </w:p>
    <w:p>
      <w:pPr>
        <w:widowControl/>
        <w:spacing w:before="60" w:after="60" w:line="360" w:lineRule="exact"/>
        <w:ind w:firstLine="324"/>
        <w:jc w:val="left"/>
        <w:rPr>
          <w:rFonts w:hint="eastAsia" w:ascii="仿宋" w:hAnsi="仿宋" w:cs="宋体"/>
          <w:b w:val="0"/>
          <w:bCs w:val="0"/>
          <w:color w:val="auto"/>
          <w:kern w:val="0"/>
          <w:szCs w:val="21"/>
          <w:highlight w:val="none"/>
        </w:rPr>
      </w:pPr>
      <w:bookmarkStart w:id="5" w:name="_Toc28359012"/>
      <w:bookmarkEnd w:id="5"/>
      <w:bookmarkStart w:id="6" w:name="_Toc35393629"/>
      <w:bookmarkEnd w:id="6"/>
      <w:bookmarkStart w:id="7" w:name="_Toc35393798"/>
      <w:bookmarkEnd w:id="7"/>
      <w:bookmarkStart w:id="8" w:name="_Toc28359089"/>
      <w:bookmarkEnd w:id="8"/>
      <w:r>
        <w:rPr>
          <w:rFonts w:hint="eastAsia" w:ascii="仿宋" w:hAnsi="仿宋" w:cs="宋体"/>
          <w:b w:val="0"/>
          <w:bCs w:val="0"/>
          <w:color w:val="auto"/>
          <w:kern w:val="0"/>
          <w:szCs w:val="21"/>
          <w:highlight w:val="none"/>
        </w:rPr>
        <w:t xml:space="preserve">一、项目基本情况                                            </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 xml:space="preserve">项目编号：GXZC2025-J1-002343-CGZX </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 xml:space="preserve">项目名称：广西壮族自治区疾病预防控制中心礼堂座椅及地毯采购 </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 xml:space="preserve">采购方式：竞争性谈判 </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 xml:space="preserve">预算总金额（元）：378000 </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采购需求：</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标项名称:广西壮族自治区疾病预防控制中心礼堂座椅及地毯采购</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数量:1</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预算金额（元）:378000</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简要规格描述或项目基本概况介绍、用途：礼堂椅314位；地毯320平方米；条桌4张；条桌3张；条桌1张</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最高限价（如有）：/</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合同履约期限：自合同签订之日起至项目履约完毕</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本项目（否）接受联合体投标</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备注：本项目为线上电子招标项目，有意向参与本项目的供应商应当做好参与全流程电子招竞标交易的充分准备</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二、申请人的资格要求：</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 xml:space="preserve">    1.满足《中华人民共和国政府采购法》第二十二条规定；</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 xml:space="preserve">    2.落实政府采购政策需满足的资格要求：分标1：无 </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 xml:space="preserve">    3.本项目的特定资格要求：无 </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三、获取采购文件</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 xml:space="preserve">    时间：2025年08月15日至2025年08月20日，每天上午00:00至12:00，下午12:00至23:59（北京时间，法定节假日除外）</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 xml:space="preserve">    地点（网址）：广西政府采购云平台线上获取  </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 xml:space="preserve">    方式：供应商登录广西政府采购云平台https://www.gcy.zfcg.gxzf.gov.cn/在线申请获取采购文件（进入“项目采购”应用，在获取采购文件菜单中选择项目，申请获取采购文件）  </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 xml:space="preserve">    售价（元）：0 </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四、响应文件提交</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 xml:space="preserve">    截止时间：2025年08月21日 10:00（北京时间）</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 xml:space="preserve">    地点（网址）：请登录广西政府采购云平台投标客户端投标 </w:t>
      </w:r>
    </w:p>
    <w:p>
      <w:pPr>
        <w:widowControl/>
        <w:spacing w:before="60" w:after="60" w:line="360" w:lineRule="exact"/>
        <w:ind w:firstLine="324"/>
        <w:jc w:val="left"/>
        <w:rPr>
          <w:rFonts w:hint="eastAsia" w:ascii="仿宋" w:hAnsi="仿宋" w:cs="宋体"/>
          <w:b w:val="0"/>
          <w:bCs w:val="0"/>
          <w:color w:val="auto"/>
          <w:kern w:val="0"/>
          <w:szCs w:val="21"/>
          <w:highlight w:val="none"/>
        </w:rPr>
      </w:pP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 xml:space="preserve">五、响应文件开启 </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 xml:space="preserve">    开启时间：2025年08月21日 10:00（北京时间）</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 xml:space="preserve">    地点：广西壮族自治区南宁市青秀区星湖路22号K304-01,02,03广西壮族自治区政府采购中心开标室 </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 xml:space="preserve">六、公告期限 </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 xml:space="preserve">    自本公告发布之日起3个工作日。</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 xml:space="preserve">七、其他补充事宜 </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 xml:space="preserve">   1.竞标保证金（人民币）：分标1：</w:t>
      </w:r>
      <w:r>
        <w:rPr>
          <w:rFonts w:hint="eastAsia" w:ascii="仿宋" w:hAnsi="仿宋" w:cs="宋体"/>
          <w:b w:val="0"/>
          <w:bCs w:val="0"/>
          <w:color w:val="auto"/>
          <w:kern w:val="0"/>
          <w:szCs w:val="21"/>
          <w:highlight w:val="none"/>
          <w:u w:val="single"/>
        </w:rPr>
        <w:t xml:space="preserve"> 0.3 </w:t>
      </w:r>
      <w:r>
        <w:rPr>
          <w:rFonts w:hint="eastAsia" w:ascii="仿宋" w:hAnsi="仿宋" w:cs="宋体"/>
          <w:b w:val="0"/>
          <w:bCs w:val="0"/>
          <w:color w:val="auto"/>
          <w:kern w:val="0"/>
          <w:szCs w:val="21"/>
          <w:highlight w:val="none"/>
        </w:rPr>
        <w:t>万元。(必须足额交纳)</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（1）竞标保证金交纳形式：支票、汇票、本票、网上银行或者金融机构、担保机构出具的保函等非现金形</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式。</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（2）采用网上银行转账形式的，供应商应于提交响应文件截止时间前将竞标保证金交至以下账户。</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开户名称：广西壮族自治区政府采购中心</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开户银行：中国农业银行股份有限公司南宁市古城支行</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 xml:space="preserve">银行账号：20009101040051648 </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（3）采用支票、汇票、本票或者保函等形式的，竞标人应于提交竞标文件截止时间前递交单独密封的支票、</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汇票、本票或者保函（电子保函除外）原件至我中心财务处。</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（4）本中心财务处联系方式：地址：广西南宁市星湖路22号广西壮族自治区政府采购中心综合楼3楼306</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室；电话：0771-8600309。</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2.本项目需要落实的政府采购政策：政府采购促进中小企业发展；政府采购支持采用本国产品的政策；强</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制采购节能产品；优先采购节能产品、环境标志产品；政府采购促进残疾人就业政策；政府采购支持监狱企业</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发展；政府采购扶持不发达地区和少数民族地区等。</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3.网上公告媒体查询：中国政府采购网（www.ccgp.gov.cn）、广西壮族自治区政府采购网</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（zfcg.gxzf.gov.cn）、广西壮族自治区公共资源交易中心网站（gxggzy.gxzf.gov.cn）。</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4.其他注意事项：</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（1）本项目实行电子竞标，供应商应按照本项目招标文件和广西政府采购云平台的要求编制、加密并提交投</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标文件。供应商在使用系统参与竞标过程中遇到涉及平台使用的任何问题，可致电广西政府采购云平台技术支</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持热线咨询，联系方式：95763。</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（2）供应商应及时熟悉掌握电子标系统操作指南（见政采云电子卖场首页右上角—服务中心—帮助文档—项</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目采购）：https://helpcenter.zcygov.cn/document/#/document/dashboard?siteCode=gx。</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（3）供应商应及时完成CA申领和绑定（见广西壮族自治区政府采购网—办事服务—下载专区-政采云CA证书</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办理操作指南）。</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（4）供应商通过政采云竞标客户端软件制作竞标文件，政采云竞标客户端软件请供应商自行前往下载并安装</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（见广西壮族自治区政府采购网—办事服务—下载专区-广西壮族自治区全流程电子招竞标项目管理系统--供</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应商客户端）。</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（5）因未注册入库、未办理CA数字证书、CA证书故障、操作不当等原因造成无法竞标或竞标失败等后果由供</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应商自行承担。</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（6）竞标文件网上提交截止后，政采云（电子标系统）自动提取所有竞标文件，各供应商须在开标开始后30</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分钟内对上传政采云的竞标文件进行解密，所有供应商在规定的解密时限内解密完成或解密时限结束后，本中</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 xml:space="preserve">心开启竞标文件；供应商超过解密时限未完成解密的，系统默认其自动放弃。   </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lang w:val="en-US" w:eastAsia="zh-CN"/>
        </w:rPr>
        <w:t xml:space="preserve">  </w:t>
      </w:r>
      <w:r>
        <w:rPr>
          <w:rFonts w:hint="eastAsia" w:ascii="仿宋" w:hAnsi="仿宋" w:cs="宋体"/>
          <w:b w:val="0"/>
          <w:bCs w:val="0"/>
          <w:color w:val="auto"/>
          <w:kern w:val="0"/>
          <w:szCs w:val="21"/>
          <w:highlight w:val="none"/>
        </w:rPr>
        <w:t>八、凡对本次招标提出询问，请按以下方式联系</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 xml:space="preserve">    1.采购人信息 </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 xml:space="preserve">    名    称：广西壮族自治区疾病预防控制中心 </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 xml:space="preserve">    地    址：南宁市金洲路18号 </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 xml:space="preserve">    项目联系人：蒙婧婷 </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 xml:space="preserve">    项目联系方式：0771-2521500 </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 xml:space="preserve">    2.采购代理机构信息</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 xml:space="preserve">    名    称：广西壮族自治区政府采购中心 </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 xml:space="preserve">    地    址：广西南宁市星湖路22号 </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 xml:space="preserve">    项目联系人（询问）：陈立斌 </w:t>
      </w:r>
    </w:p>
    <w:p>
      <w:pPr>
        <w:widowControl/>
        <w:spacing w:before="60" w:after="60" w:line="360" w:lineRule="exact"/>
        <w:ind w:firstLine="324"/>
        <w:jc w:val="left"/>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 xml:space="preserve">    项目联系方式（询问）：0771-8600433 </w:t>
      </w:r>
    </w:p>
    <w:p>
      <w:pPr>
        <w:widowControl/>
        <w:spacing w:before="60" w:after="60" w:line="360" w:lineRule="exact"/>
        <w:ind w:firstLine="324"/>
        <w:jc w:val="left"/>
        <w:rPr>
          <w:rFonts w:hint="eastAsia" w:ascii="仿宋" w:hAnsi="仿宋" w:cs="宋体"/>
          <w:b w:val="0"/>
          <w:bCs w:val="0"/>
          <w:color w:val="auto"/>
          <w:kern w:val="0"/>
          <w:szCs w:val="21"/>
          <w:highlight w:val="none"/>
        </w:rPr>
      </w:pPr>
    </w:p>
    <w:p>
      <w:pPr>
        <w:widowControl/>
        <w:spacing w:before="60" w:after="60" w:line="360" w:lineRule="exact"/>
        <w:ind w:firstLine="324"/>
        <w:jc w:val="left"/>
        <w:rPr>
          <w:rFonts w:hint="eastAsia" w:ascii="仿宋" w:hAnsi="仿宋" w:cs="宋体"/>
          <w:b w:val="0"/>
          <w:bCs w:val="0"/>
          <w:color w:val="auto"/>
          <w:kern w:val="0"/>
          <w:szCs w:val="21"/>
          <w:highlight w:val="none"/>
        </w:rPr>
      </w:pPr>
    </w:p>
    <w:p>
      <w:pPr>
        <w:widowControl/>
        <w:spacing w:before="60" w:after="60" w:line="360" w:lineRule="exact"/>
        <w:ind w:firstLine="324"/>
        <w:jc w:val="left"/>
        <w:rPr>
          <w:rFonts w:hint="eastAsia" w:ascii="仿宋" w:hAnsi="仿宋" w:cs="宋体"/>
          <w:b w:val="0"/>
          <w:bCs w:val="0"/>
          <w:color w:val="auto"/>
          <w:kern w:val="0"/>
          <w:szCs w:val="21"/>
          <w:highlight w:val="none"/>
        </w:rPr>
      </w:pPr>
    </w:p>
    <w:p>
      <w:pPr>
        <w:widowControl/>
        <w:spacing w:before="60" w:after="60" w:line="360" w:lineRule="exact"/>
        <w:ind w:firstLine="324"/>
        <w:jc w:val="left"/>
        <w:rPr>
          <w:rFonts w:hint="eastAsia" w:ascii="仿宋" w:hAnsi="仿宋" w:cs="宋体"/>
          <w:b w:val="0"/>
          <w:bCs w:val="0"/>
          <w:color w:val="auto"/>
          <w:kern w:val="0"/>
          <w:szCs w:val="21"/>
          <w:highlight w:val="none"/>
        </w:rPr>
      </w:pPr>
    </w:p>
    <w:p>
      <w:pPr>
        <w:pStyle w:val="2"/>
        <w:rPr>
          <w:rFonts w:hint="eastAsia" w:ascii="仿宋" w:hAnsi="仿宋" w:cs="宋体"/>
          <w:b w:val="0"/>
          <w:bCs w:val="0"/>
          <w:color w:val="auto"/>
          <w:kern w:val="0"/>
          <w:szCs w:val="21"/>
          <w:highlight w:val="none"/>
        </w:rPr>
      </w:pPr>
    </w:p>
    <w:p>
      <w:pPr>
        <w:rPr>
          <w:rFonts w:hint="eastAsia"/>
          <w:b w:val="0"/>
          <w:bCs w:val="0"/>
          <w:color w:val="auto"/>
          <w:highlight w:val="none"/>
        </w:rPr>
      </w:pPr>
    </w:p>
    <w:p>
      <w:pPr>
        <w:widowControl/>
        <w:spacing w:before="60" w:after="60" w:line="360" w:lineRule="exact"/>
        <w:ind w:firstLine="324"/>
        <w:jc w:val="left"/>
        <w:rPr>
          <w:rFonts w:hint="eastAsia" w:ascii="仿宋" w:hAnsi="仿宋" w:cs="宋体"/>
          <w:b w:val="0"/>
          <w:bCs w:val="0"/>
          <w:color w:val="auto"/>
          <w:kern w:val="0"/>
          <w:szCs w:val="21"/>
          <w:highlight w:val="none"/>
        </w:rPr>
      </w:pPr>
    </w:p>
    <w:p>
      <w:pPr>
        <w:snapToGrid w:val="0"/>
        <w:spacing w:line="360" w:lineRule="exact"/>
        <w:ind w:left="238"/>
        <w:jc w:val="right"/>
        <w:rPr>
          <w:rFonts w:ascii="宋体" w:cs="宋体"/>
          <w:b w:val="0"/>
          <w:bCs w:val="0"/>
          <w:color w:val="auto"/>
          <w:szCs w:val="21"/>
          <w:highlight w:val="none"/>
        </w:rPr>
      </w:pPr>
      <w:r>
        <w:rPr>
          <w:rFonts w:hint="eastAsia" w:ascii="仿宋" w:hAnsi="仿宋" w:cs="宋体"/>
          <w:b w:val="0"/>
          <w:bCs w:val="0"/>
          <w:color w:val="auto"/>
          <w:kern w:val="0"/>
          <w:szCs w:val="21"/>
          <w:highlight w:val="none"/>
        </w:rPr>
        <w:t xml:space="preserve">                                                        </w:t>
      </w:r>
      <w:r>
        <w:rPr>
          <w:rFonts w:hint="eastAsia" w:ascii="宋体" w:hAnsi="宋体" w:cs="宋体"/>
          <w:b w:val="0"/>
          <w:bCs w:val="0"/>
          <w:color w:val="auto"/>
          <w:szCs w:val="21"/>
          <w:highlight w:val="none"/>
        </w:rPr>
        <w:t>广西壮族自治区政府采购中心</w:t>
      </w:r>
    </w:p>
    <w:p>
      <w:pPr>
        <w:widowControl/>
        <w:wordWrap w:val="0"/>
        <w:adjustRightInd w:val="0"/>
        <w:snapToGrid w:val="0"/>
        <w:spacing w:line="360" w:lineRule="exact"/>
        <w:ind w:right="384" w:rightChars="183"/>
        <w:jc w:val="right"/>
        <w:rPr>
          <w:rFonts w:ascii="仿宋" w:hAnsi="仿宋" w:eastAsia="仿宋"/>
          <w:b w:val="0"/>
          <w:bCs w:val="0"/>
          <w:color w:val="auto"/>
          <w:szCs w:val="21"/>
          <w:highlight w:val="none"/>
        </w:rPr>
      </w:pPr>
      <w:r>
        <w:rPr>
          <w:rFonts w:ascii="宋体" w:hAnsi="宋体" w:cs="宋体"/>
          <w:b w:val="0"/>
          <w:bCs w:val="0"/>
          <w:color w:val="auto"/>
          <w:szCs w:val="21"/>
          <w:highlight w:val="none"/>
          <w:lang w:val="en"/>
        </w:rPr>
        <w:t>202</w:t>
      </w:r>
      <w:r>
        <w:rPr>
          <w:rFonts w:hint="eastAsia" w:ascii="宋体" w:hAnsi="宋体" w:cs="宋体"/>
          <w:b w:val="0"/>
          <w:bCs w:val="0"/>
          <w:color w:val="auto"/>
          <w:szCs w:val="21"/>
          <w:highlight w:val="none"/>
        </w:rPr>
        <w:t>5年</w:t>
      </w:r>
      <w:r>
        <w:rPr>
          <w:rFonts w:hint="eastAsia" w:ascii="宋体" w:hAnsi="宋体" w:cs="宋体"/>
          <w:b w:val="0"/>
          <w:bCs w:val="0"/>
          <w:color w:val="auto"/>
          <w:szCs w:val="21"/>
          <w:highlight w:val="none"/>
          <w:lang w:val="en-US" w:eastAsia="zh-CN"/>
        </w:rPr>
        <w:t>８</w:t>
      </w:r>
      <w:r>
        <w:rPr>
          <w:rFonts w:hint="eastAsia" w:ascii="宋体" w:hAnsi="宋体" w:cs="宋体"/>
          <w:b w:val="0"/>
          <w:bCs w:val="0"/>
          <w:color w:val="auto"/>
          <w:szCs w:val="21"/>
          <w:highlight w:val="none"/>
        </w:rPr>
        <w:t>月</w:t>
      </w:r>
      <w:r>
        <w:rPr>
          <w:rFonts w:hint="default" w:ascii="宋体" w:hAnsi="宋体" w:cs="宋体"/>
          <w:b w:val="0"/>
          <w:bCs w:val="0"/>
          <w:color w:val="auto"/>
          <w:szCs w:val="21"/>
          <w:highlight w:val="none"/>
          <w:lang w:val="en" w:eastAsia="zh-CN"/>
        </w:rPr>
        <w:t>1</w:t>
      </w:r>
      <w:r>
        <w:rPr>
          <w:rFonts w:hint="eastAsia" w:ascii="宋体" w:hAnsi="宋体" w:cs="宋体"/>
          <w:b w:val="0"/>
          <w:bCs w:val="0"/>
          <w:color w:val="auto"/>
          <w:szCs w:val="21"/>
          <w:highlight w:val="none"/>
          <w:lang w:val="en-US" w:eastAsia="zh-CN"/>
        </w:rPr>
        <w:t>5</w:t>
      </w:r>
      <w:r>
        <w:rPr>
          <w:rFonts w:hint="eastAsia" w:ascii="宋体" w:hAnsi="宋体" w:cs="宋体"/>
          <w:b w:val="0"/>
          <w:bCs w:val="0"/>
          <w:color w:val="auto"/>
          <w:szCs w:val="21"/>
          <w:highlight w:val="none"/>
        </w:rPr>
        <w:t>日</w:t>
      </w:r>
    </w:p>
    <w:p>
      <w:pPr>
        <w:pageBreakBefore/>
        <w:spacing w:line="600" w:lineRule="exact"/>
        <w:jc w:val="center"/>
        <w:rPr>
          <w:rFonts w:ascii="仿宋_GB2312" w:hAnsi="仿宋_GB2312" w:eastAsia="仿宋_GB2312"/>
          <w:b w:val="0"/>
          <w:bCs w:val="0"/>
          <w:color w:val="auto"/>
          <w:sz w:val="44"/>
          <w:szCs w:val="44"/>
          <w:highlight w:val="none"/>
        </w:rPr>
      </w:pPr>
    </w:p>
    <w:p>
      <w:pPr>
        <w:spacing w:line="600" w:lineRule="exact"/>
        <w:jc w:val="center"/>
        <w:rPr>
          <w:rFonts w:ascii="仿宋_GB2312" w:hAnsi="仿宋_GB2312" w:eastAsia="仿宋_GB2312"/>
          <w:b w:val="0"/>
          <w:bCs w:val="0"/>
          <w:color w:val="auto"/>
          <w:sz w:val="44"/>
          <w:szCs w:val="44"/>
          <w:highlight w:val="none"/>
        </w:rPr>
      </w:pPr>
    </w:p>
    <w:p>
      <w:pPr>
        <w:spacing w:line="600" w:lineRule="exact"/>
        <w:jc w:val="center"/>
        <w:rPr>
          <w:rFonts w:ascii="仿宋_GB2312" w:hAnsi="仿宋_GB2312" w:eastAsia="仿宋_GB2312"/>
          <w:b w:val="0"/>
          <w:bCs w:val="0"/>
          <w:color w:val="auto"/>
          <w:sz w:val="44"/>
          <w:szCs w:val="44"/>
          <w:highlight w:val="none"/>
        </w:rPr>
      </w:pPr>
    </w:p>
    <w:p>
      <w:pPr>
        <w:spacing w:line="600" w:lineRule="exact"/>
        <w:jc w:val="center"/>
        <w:rPr>
          <w:rFonts w:ascii="仿宋_GB2312" w:hAnsi="仿宋_GB2312" w:eastAsia="仿宋_GB2312"/>
          <w:b w:val="0"/>
          <w:bCs w:val="0"/>
          <w:color w:val="auto"/>
          <w:sz w:val="44"/>
          <w:szCs w:val="44"/>
          <w:highlight w:val="none"/>
        </w:rPr>
      </w:pPr>
    </w:p>
    <w:p>
      <w:pPr>
        <w:spacing w:line="600" w:lineRule="exact"/>
        <w:jc w:val="center"/>
        <w:rPr>
          <w:rFonts w:ascii="仿宋_GB2312" w:hAnsi="仿宋_GB2312" w:eastAsia="仿宋_GB2312"/>
          <w:b w:val="0"/>
          <w:bCs w:val="0"/>
          <w:color w:val="auto"/>
          <w:sz w:val="44"/>
          <w:szCs w:val="44"/>
          <w:highlight w:val="none"/>
        </w:rPr>
      </w:pPr>
    </w:p>
    <w:p>
      <w:pPr>
        <w:spacing w:line="600" w:lineRule="exact"/>
        <w:jc w:val="center"/>
        <w:rPr>
          <w:rFonts w:ascii="仿宋_GB2312" w:hAnsi="仿宋_GB2312" w:eastAsia="仿宋_GB2312"/>
          <w:b w:val="0"/>
          <w:bCs w:val="0"/>
          <w:color w:val="auto"/>
          <w:sz w:val="44"/>
          <w:szCs w:val="44"/>
          <w:highlight w:val="none"/>
        </w:rPr>
      </w:pPr>
    </w:p>
    <w:p>
      <w:pPr>
        <w:spacing w:line="600" w:lineRule="exact"/>
        <w:jc w:val="center"/>
        <w:rPr>
          <w:rFonts w:ascii="仿宋_GB2312" w:hAnsi="仿宋_GB2312" w:eastAsia="仿宋_GB2312"/>
          <w:b w:val="0"/>
          <w:bCs w:val="0"/>
          <w:color w:val="auto"/>
          <w:sz w:val="44"/>
          <w:szCs w:val="44"/>
          <w:highlight w:val="none"/>
        </w:rPr>
      </w:pPr>
    </w:p>
    <w:p>
      <w:pPr>
        <w:spacing w:line="600" w:lineRule="exact"/>
        <w:jc w:val="center"/>
        <w:rPr>
          <w:rFonts w:ascii="仿宋_GB2312" w:hAnsi="仿宋_GB2312" w:eastAsia="仿宋_GB2312"/>
          <w:b w:val="0"/>
          <w:bCs w:val="0"/>
          <w:color w:val="auto"/>
          <w:sz w:val="44"/>
          <w:szCs w:val="44"/>
          <w:highlight w:val="none"/>
        </w:rPr>
      </w:pPr>
    </w:p>
    <w:p>
      <w:pPr>
        <w:spacing w:line="600" w:lineRule="exact"/>
        <w:jc w:val="center"/>
        <w:rPr>
          <w:rFonts w:ascii="仿宋_GB2312" w:hAnsi="仿宋_GB2312" w:eastAsia="仿宋_GB2312"/>
          <w:b w:val="0"/>
          <w:bCs w:val="0"/>
          <w:color w:val="auto"/>
          <w:sz w:val="44"/>
          <w:szCs w:val="44"/>
          <w:highlight w:val="none"/>
        </w:rPr>
      </w:pPr>
    </w:p>
    <w:p>
      <w:pPr>
        <w:spacing w:line="600" w:lineRule="exact"/>
        <w:jc w:val="center"/>
        <w:rPr>
          <w:rFonts w:ascii="仿宋_GB2312" w:hAnsi="仿宋_GB2312" w:eastAsia="仿宋_GB2312"/>
          <w:b w:val="0"/>
          <w:bCs w:val="0"/>
          <w:color w:val="auto"/>
          <w:sz w:val="44"/>
          <w:szCs w:val="44"/>
          <w:highlight w:val="none"/>
        </w:rPr>
      </w:pPr>
    </w:p>
    <w:p>
      <w:pPr>
        <w:pStyle w:val="3"/>
        <w:jc w:val="center"/>
        <w:rPr>
          <w:b w:val="0"/>
          <w:bCs w:val="0"/>
          <w:color w:val="auto"/>
          <w:highlight w:val="none"/>
        </w:rPr>
      </w:pPr>
      <w:bookmarkStart w:id="9" w:name="_Toc46136757"/>
      <w:r>
        <w:rPr>
          <w:rFonts w:hint="eastAsia"/>
          <w:b w:val="0"/>
          <w:bCs w:val="0"/>
          <w:color w:val="auto"/>
          <w:highlight w:val="none"/>
        </w:rPr>
        <w:t>第二章  谈判供应商须知</w:t>
      </w:r>
      <w:bookmarkEnd w:id="9"/>
    </w:p>
    <w:p>
      <w:pPr>
        <w:spacing w:line="400" w:lineRule="exact"/>
        <w:jc w:val="center"/>
        <w:rPr>
          <w:rFonts w:ascii="仿宋_GB2312" w:hAnsi="仿宋_GB2312" w:eastAsia="仿宋_GB2312"/>
          <w:b w:val="0"/>
          <w:bCs w:val="0"/>
          <w:color w:val="auto"/>
          <w:sz w:val="32"/>
          <w:szCs w:val="32"/>
          <w:highlight w:val="none"/>
        </w:rPr>
      </w:pPr>
    </w:p>
    <w:p>
      <w:pPr>
        <w:spacing w:line="600" w:lineRule="exact"/>
        <w:rPr>
          <w:rFonts w:hint="eastAsia" w:ascii="仿宋_GB2312" w:hAnsi="仿宋_GB2312" w:eastAsia="仿宋_GB2312"/>
          <w:b w:val="0"/>
          <w:bCs w:val="0"/>
          <w:color w:val="auto"/>
          <w:sz w:val="32"/>
          <w:szCs w:val="32"/>
          <w:highlight w:val="none"/>
        </w:rPr>
      </w:pPr>
    </w:p>
    <w:p>
      <w:pPr>
        <w:spacing w:line="600" w:lineRule="exact"/>
        <w:rPr>
          <w:rFonts w:hint="eastAsia" w:ascii="仿宋_GB2312" w:hAnsi="仿宋_GB2312" w:eastAsia="仿宋_GB2312"/>
          <w:b w:val="0"/>
          <w:bCs w:val="0"/>
          <w:color w:val="auto"/>
          <w:sz w:val="32"/>
          <w:szCs w:val="32"/>
          <w:highlight w:val="none"/>
        </w:rPr>
      </w:pPr>
    </w:p>
    <w:p>
      <w:pPr>
        <w:spacing w:line="600" w:lineRule="exact"/>
        <w:rPr>
          <w:rFonts w:hint="eastAsia" w:ascii="仿宋_GB2312" w:hAnsi="仿宋_GB2312" w:eastAsia="仿宋_GB2312"/>
          <w:b w:val="0"/>
          <w:bCs w:val="0"/>
          <w:color w:val="auto"/>
          <w:sz w:val="32"/>
          <w:szCs w:val="32"/>
          <w:highlight w:val="none"/>
        </w:rPr>
      </w:pPr>
    </w:p>
    <w:p>
      <w:pPr>
        <w:spacing w:line="600" w:lineRule="exact"/>
        <w:rPr>
          <w:rFonts w:hint="eastAsia" w:ascii="仿宋_GB2312" w:hAnsi="仿宋_GB2312" w:eastAsia="仿宋_GB2312"/>
          <w:b w:val="0"/>
          <w:bCs w:val="0"/>
          <w:color w:val="auto"/>
          <w:sz w:val="32"/>
          <w:szCs w:val="32"/>
          <w:highlight w:val="none"/>
        </w:rPr>
      </w:pPr>
    </w:p>
    <w:p>
      <w:pPr>
        <w:spacing w:line="600" w:lineRule="exact"/>
        <w:rPr>
          <w:rFonts w:hint="eastAsia" w:ascii="仿宋_GB2312" w:hAnsi="仿宋_GB2312" w:eastAsia="仿宋_GB2312"/>
          <w:b w:val="0"/>
          <w:bCs w:val="0"/>
          <w:color w:val="auto"/>
          <w:sz w:val="32"/>
          <w:szCs w:val="32"/>
          <w:highlight w:val="none"/>
        </w:rPr>
      </w:pPr>
    </w:p>
    <w:p>
      <w:pPr>
        <w:spacing w:line="600" w:lineRule="exact"/>
        <w:rPr>
          <w:rFonts w:hint="eastAsia" w:ascii="仿宋_GB2312" w:hAnsi="仿宋_GB2312" w:eastAsia="仿宋_GB2312"/>
          <w:b w:val="0"/>
          <w:bCs w:val="0"/>
          <w:color w:val="auto"/>
          <w:sz w:val="32"/>
          <w:szCs w:val="32"/>
          <w:highlight w:val="none"/>
        </w:rPr>
      </w:pPr>
    </w:p>
    <w:p>
      <w:pPr>
        <w:spacing w:line="600" w:lineRule="exact"/>
        <w:rPr>
          <w:rFonts w:hint="eastAsia" w:ascii="仿宋_GB2312" w:hAnsi="仿宋_GB2312" w:eastAsia="仿宋_GB2312"/>
          <w:b w:val="0"/>
          <w:bCs w:val="0"/>
          <w:color w:val="auto"/>
          <w:sz w:val="32"/>
          <w:szCs w:val="32"/>
          <w:highlight w:val="none"/>
        </w:rPr>
      </w:pPr>
    </w:p>
    <w:p>
      <w:pPr>
        <w:spacing w:line="600" w:lineRule="exact"/>
        <w:rPr>
          <w:rFonts w:hint="eastAsia" w:ascii="仿宋_GB2312" w:hAnsi="仿宋_GB2312" w:eastAsia="仿宋_GB2312"/>
          <w:b w:val="0"/>
          <w:bCs w:val="0"/>
          <w:color w:val="auto"/>
          <w:sz w:val="32"/>
          <w:szCs w:val="32"/>
          <w:highlight w:val="none"/>
        </w:rPr>
      </w:pPr>
    </w:p>
    <w:p>
      <w:pPr>
        <w:spacing w:line="600" w:lineRule="exact"/>
        <w:rPr>
          <w:rFonts w:hint="eastAsia" w:ascii="仿宋_GB2312" w:hAnsi="仿宋_GB2312" w:eastAsia="仿宋_GB2312"/>
          <w:b w:val="0"/>
          <w:bCs w:val="0"/>
          <w:color w:val="auto"/>
          <w:sz w:val="32"/>
          <w:szCs w:val="32"/>
          <w:highlight w:val="none"/>
        </w:rPr>
      </w:pPr>
    </w:p>
    <w:p>
      <w:pPr>
        <w:spacing w:line="600" w:lineRule="exact"/>
        <w:rPr>
          <w:rFonts w:hint="eastAsia" w:ascii="仿宋_GB2312" w:hAnsi="仿宋_GB2312" w:eastAsia="仿宋_GB2312"/>
          <w:b w:val="0"/>
          <w:bCs w:val="0"/>
          <w:color w:val="auto"/>
          <w:sz w:val="32"/>
          <w:szCs w:val="32"/>
          <w:highlight w:val="none"/>
        </w:rPr>
      </w:pPr>
    </w:p>
    <w:p>
      <w:pPr>
        <w:spacing w:line="600" w:lineRule="exact"/>
        <w:jc w:val="center"/>
        <w:rPr>
          <w:rFonts w:ascii="仿宋_GB2312" w:hAnsi="仿宋_GB2312" w:eastAsia="仿宋_GB2312"/>
          <w:b w:val="0"/>
          <w:bCs w:val="0"/>
          <w:color w:val="auto"/>
          <w:sz w:val="32"/>
          <w:szCs w:val="32"/>
          <w:highlight w:val="none"/>
        </w:rPr>
      </w:pPr>
      <w:r>
        <w:rPr>
          <w:rFonts w:hint="eastAsia" w:ascii="仿宋_GB2312" w:hAnsi="仿宋_GB2312" w:eastAsia="仿宋_GB2312"/>
          <w:b w:val="0"/>
          <w:bCs w:val="0"/>
          <w:color w:val="auto"/>
          <w:sz w:val="32"/>
          <w:szCs w:val="32"/>
          <w:highlight w:val="none"/>
        </w:rPr>
        <w:t>谈判供应商须知前附表</w:t>
      </w:r>
    </w:p>
    <w:tbl>
      <w:tblPr>
        <w:tblStyle w:val="15"/>
        <w:tblpPr w:leftFromText="180" w:rightFromText="180" w:vertAnchor="text" w:horzAnchor="page" w:tblpX="829" w:tblpY="229"/>
        <w:tblOverlap w:val="never"/>
        <w:tblW w:w="0" w:type="auto"/>
        <w:tblInd w:w="0" w:type="dxa"/>
        <w:tblLayout w:type="fixed"/>
        <w:tblCellMar>
          <w:top w:w="0" w:type="dxa"/>
          <w:left w:w="108" w:type="dxa"/>
          <w:bottom w:w="0" w:type="dxa"/>
          <w:right w:w="108" w:type="dxa"/>
        </w:tblCellMar>
      </w:tblPr>
      <w:tblGrid>
        <w:gridCol w:w="790"/>
        <w:gridCol w:w="8855"/>
      </w:tblGrid>
      <w:tr>
        <w:tblPrEx>
          <w:tblCellMar>
            <w:top w:w="0" w:type="dxa"/>
            <w:left w:w="108" w:type="dxa"/>
            <w:bottom w:w="0" w:type="dxa"/>
            <w:right w:w="108" w:type="dxa"/>
          </w:tblCellMar>
        </w:tblPrEx>
        <w:trPr>
          <w:trHeight w:val="321" w:hRule="atLeast"/>
        </w:trPr>
        <w:tc>
          <w:tcPr>
            <w:tcW w:w="790" w:type="dxa"/>
            <w:tcBorders>
              <w:top w:val="single" w:color="000000" w:sz="4" w:space="0"/>
              <w:left w:val="single" w:color="000000" w:sz="4" w:space="0"/>
              <w:bottom w:val="single" w:color="000000" w:sz="4" w:space="0"/>
              <w:right w:val="single" w:color="000000" w:sz="4" w:space="0"/>
            </w:tcBorders>
            <w:noWrap w:val="0"/>
            <w:vAlign w:val="top"/>
          </w:tcPr>
          <w:p>
            <w:pPr>
              <w:pStyle w:val="21"/>
              <w:spacing w:line="320" w:lineRule="exact"/>
              <w:jc w:val="center"/>
              <w:rPr>
                <w:b w:val="0"/>
                <w:bCs w:val="0"/>
                <w:color w:val="auto"/>
                <w:highlight w:val="none"/>
              </w:rPr>
            </w:pPr>
            <w:r>
              <w:rPr>
                <w:rFonts w:hint="eastAsia"/>
                <w:b w:val="0"/>
                <w:bCs w:val="0"/>
                <w:color w:val="auto"/>
                <w:highlight w:val="none"/>
              </w:rPr>
              <w:t>序号</w:t>
            </w:r>
          </w:p>
        </w:tc>
        <w:tc>
          <w:tcPr>
            <w:tcW w:w="8855" w:type="dxa"/>
            <w:tcBorders>
              <w:top w:val="single" w:color="000000" w:sz="4" w:space="0"/>
              <w:left w:val="single" w:color="000000" w:sz="4" w:space="0"/>
              <w:bottom w:val="single" w:color="000000" w:sz="4" w:space="0"/>
              <w:right w:val="single" w:color="000000" w:sz="4" w:space="0"/>
            </w:tcBorders>
            <w:noWrap w:val="0"/>
            <w:vAlign w:val="top"/>
          </w:tcPr>
          <w:p>
            <w:pPr>
              <w:pStyle w:val="21"/>
              <w:spacing w:line="320" w:lineRule="exact"/>
              <w:jc w:val="center"/>
              <w:rPr>
                <w:b w:val="0"/>
                <w:bCs w:val="0"/>
                <w:color w:val="auto"/>
                <w:highlight w:val="none"/>
              </w:rPr>
            </w:pPr>
            <w:r>
              <w:rPr>
                <w:rFonts w:hint="eastAsia"/>
                <w:b w:val="0"/>
                <w:bCs w:val="0"/>
                <w:color w:val="auto"/>
                <w:highlight w:val="none"/>
              </w:rPr>
              <w:t>内    容</w:t>
            </w:r>
          </w:p>
        </w:tc>
      </w:tr>
      <w:tr>
        <w:tblPrEx>
          <w:tblCellMar>
            <w:top w:w="0" w:type="dxa"/>
            <w:left w:w="108" w:type="dxa"/>
            <w:bottom w:w="0" w:type="dxa"/>
            <w:right w:w="108" w:type="dxa"/>
          </w:tblCellMar>
        </w:tblPrEx>
        <w:trPr>
          <w:trHeight w:val="40" w:hRule="atLeast"/>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pStyle w:val="21"/>
              <w:spacing w:line="320" w:lineRule="exact"/>
              <w:jc w:val="center"/>
              <w:rPr>
                <w:b w:val="0"/>
                <w:bCs w:val="0"/>
                <w:color w:val="auto"/>
                <w:highlight w:val="none"/>
              </w:rPr>
            </w:pPr>
            <w:r>
              <w:rPr>
                <w:rFonts w:hint="eastAsia"/>
                <w:b w:val="0"/>
                <w:bCs w:val="0"/>
                <w:color w:val="auto"/>
                <w:highlight w:val="none"/>
              </w:rPr>
              <w:t>1</w:t>
            </w:r>
          </w:p>
        </w:tc>
        <w:tc>
          <w:tcPr>
            <w:tcW w:w="8855" w:type="dxa"/>
            <w:tcBorders>
              <w:top w:val="single" w:color="000000" w:sz="4" w:space="0"/>
              <w:left w:val="single" w:color="000000" w:sz="4" w:space="0"/>
              <w:bottom w:val="single" w:color="000000" w:sz="4" w:space="0"/>
              <w:right w:val="single" w:color="000000" w:sz="4" w:space="0"/>
            </w:tcBorders>
            <w:noWrap w:val="0"/>
            <w:vAlign w:val="center"/>
          </w:tcPr>
          <w:p>
            <w:pPr>
              <w:pStyle w:val="21"/>
              <w:spacing w:line="320" w:lineRule="exact"/>
              <w:rPr>
                <w:b w:val="0"/>
                <w:bCs w:val="0"/>
                <w:color w:val="auto"/>
                <w:highlight w:val="none"/>
              </w:rPr>
            </w:pPr>
            <w:r>
              <w:rPr>
                <w:rFonts w:hint="eastAsia"/>
                <w:b w:val="0"/>
                <w:bCs w:val="0"/>
                <w:color w:val="auto"/>
                <w:highlight w:val="none"/>
              </w:rPr>
              <w:t>项目名称：广西壮族自治区疾病预防控制中心</w:t>
            </w:r>
            <w:r>
              <w:rPr>
                <w:rFonts w:hint="eastAsia" w:ascii="仿宋" w:hAnsi="仿宋" w:eastAsia="宋体" w:cs="宋体"/>
                <w:b w:val="0"/>
                <w:bCs w:val="0"/>
                <w:strike w:val="0"/>
                <w:color w:val="auto"/>
                <w:spacing w:val="0"/>
                <w:kern w:val="0"/>
                <w:sz w:val="21"/>
                <w:szCs w:val="21"/>
                <w:highlight w:val="none"/>
                <w:lang w:val="en-US" w:eastAsia="zh-CN" w:bidi="ar-SA"/>
              </w:rPr>
              <w:t>礼堂座椅及地毯采购</w:t>
            </w:r>
            <w:r>
              <w:rPr>
                <w:rFonts w:hint="eastAsia"/>
                <w:b w:val="0"/>
                <w:bCs w:val="0"/>
                <w:color w:val="auto"/>
                <w:highlight w:val="none"/>
              </w:rPr>
              <w:t xml:space="preserve">   </w:t>
            </w:r>
          </w:p>
          <w:p>
            <w:pPr>
              <w:pStyle w:val="21"/>
              <w:spacing w:line="320" w:lineRule="exact"/>
              <w:rPr>
                <w:rFonts w:hint="eastAsia"/>
                <w:b w:val="0"/>
                <w:bCs w:val="0"/>
                <w:color w:val="auto"/>
                <w:highlight w:val="none"/>
                <w:u w:val="single"/>
              </w:rPr>
            </w:pPr>
            <w:r>
              <w:rPr>
                <w:rFonts w:hint="eastAsia"/>
                <w:b w:val="0"/>
                <w:bCs w:val="0"/>
                <w:color w:val="auto"/>
                <w:highlight w:val="none"/>
              </w:rPr>
              <w:t>项目编号：GXZC2025-J1-002343-CGZX</w:t>
            </w:r>
          </w:p>
        </w:tc>
      </w:tr>
      <w:tr>
        <w:tblPrEx>
          <w:tblCellMar>
            <w:top w:w="0" w:type="dxa"/>
            <w:left w:w="108" w:type="dxa"/>
            <w:bottom w:w="0" w:type="dxa"/>
            <w:right w:w="108" w:type="dxa"/>
          </w:tblCellMar>
        </w:tblPrEx>
        <w:trPr>
          <w:trHeight w:val="604" w:hRule="atLeast"/>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pStyle w:val="21"/>
              <w:spacing w:line="320" w:lineRule="exact"/>
              <w:jc w:val="center"/>
              <w:rPr>
                <w:b w:val="0"/>
                <w:bCs w:val="0"/>
                <w:color w:val="auto"/>
                <w:highlight w:val="none"/>
              </w:rPr>
            </w:pPr>
            <w:r>
              <w:rPr>
                <w:rFonts w:hint="eastAsia"/>
                <w:b w:val="0"/>
                <w:bCs w:val="0"/>
                <w:color w:val="auto"/>
                <w:highlight w:val="none"/>
              </w:rPr>
              <w:t>2</w:t>
            </w:r>
          </w:p>
        </w:tc>
        <w:tc>
          <w:tcPr>
            <w:tcW w:w="8855" w:type="dxa"/>
            <w:tcBorders>
              <w:top w:val="single" w:color="000000" w:sz="4" w:space="0"/>
              <w:left w:val="single" w:color="000000" w:sz="4" w:space="0"/>
              <w:bottom w:val="single" w:color="000000" w:sz="4" w:space="0"/>
              <w:right w:val="single" w:color="000000" w:sz="4" w:space="0"/>
            </w:tcBorders>
            <w:noWrap w:val="0"/>
            <w:vAlign w:val="center"/>
          </w:tcPr>
          <w:p>
            <w:pPr>
              <w:pStyle w:val="21"/>
              <w:spacing w:line="320" w:lineRule="exact"/>
              <w:ind w:left="-36" w:firstLine="36"/>
              <w:rPr>
                <w:b w:val="0"/>
                <w:bCs w:val="0"/>
                <w:color w:val="auto"/>
                <w:highlight w:val="none"/>
              </w:rPr>
            </w:pPr>
            <w:r>
              <w:rPr>
                <w:rFonts w:hint="eastAsia"/>
                <w:b w:val="0"/>
                <w:bCs w:val="0"/>
                <w:color w:val="auto"/>
                <w:highlight w:val="none"/>
              </w:rPr>
              <w:t>谈判供应商资格：</w:t>
            </w:r>
            <w:r>
              <w:rPr>
                <w:rFonts w:hint="eastAsia"/>
                <w:b w:val="0"/>
                <w:bCs w:val="0"/>
                <w:color w:val="auto"/>
                <w:highlight w:val="none"/>
                <w:u w:val="single"/>
              </w:rPr>
              <w:t xml:space="preserve">详见《第一章 </w:t>
            </w:r>
            <w:r>
              <w:rPr>
                <w:rFonts w:hint="eastAsia" w:ascii="Times New Roman" w:hAnsi="Times New Roman"/>
                <w:b w:val="0"/>
                <w:bCs w:val="0"/>
                <w:color w:val="auto"/>
                <w:szCs w:val="24"/>
                <w:highlight w:val="none"/>
                <w:u w:val="single"/>
              </w:rPr>
              <w:t>竞争性谈判公告</w:t>
            </w:r>
            <w:r>
              <w:rPr>
                <w:rFonts w:hint="eastAsia"/>
                <w:b w:val="0"/>
                <w:bCs w:val="0"/>
                <w:color w:val="auto"/>
                <w:highlight w:val="none"/>
                <w:u w:val="single"/>
              </w:rPr>
              <w:t>》</w:t>
            </w:r>
            <w:r>
              <w:rPr>
                <w:rFonts w:hint="eastAsia"/>
                <w:b w:val="0"/>
                <w:bCs w:val="0"/>
                <w:color w:val="auto"/>
                <w:highlight w:val="none"/>
              </w:rPr>
              <w:t>。</w:t>
            </w:r>
          </w:p>
        </w:tc>
      </w:tr>
      <w:tr>
        <w:tblPrEx>
          <w:tblCellMar>
            <w:top w:w="0" w:type="dxa"/>
            <w:left w:w="108" w:type="dxa"/>
            <w:bottom w:w="0" w:type="dxa"/>
            <w:right w:w="108" w:type="dxa"/>
          </w:tblCellMar>
        </w:tblPrEx>
        <w:trPr>
          <w:trHeight w:val="570" w:hRule="atLeast"/>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pStyle w:val="21"/>
              <w:spacing w:line="320" w:lineRule="exact"/>
              <w:jc w:val="center"/>
              <w:rPr>
                <w:b w:val="0"/>
                <w:bCs w:val="0"/>
                <w:color w:val="auto"/>
                <w:highlight w:val="none"/>
              </w:rPr>
            </w:pPr>
            <w:r>
              <w:rPr>
                <w:rFonts w:hint="eastAsia"/>
                <w:b w:val="0"/>
                <w:bCs w:val="0"/>
                <w:color w:val="auto"/>
                <w:highlight w:val="none"/>
              </w:rPr>
              <w:t>3</w:t>
            </w:r>
          </w:p>
        </w:tc>
        <w:tc>
          <w:tcPr>
            <w:tcW w:w="885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宋体" w:hAnsi="宋体"/>
                <w:b w:val="0"/>
                <w:bCs w:val="0"/>
                <w:color w:val="auto"/>
                <w:szCs w:val="21"/>
                <w:highlight w:val="none"/>
              </w:rPr>
            </w:pPr>
            <w:r>
              <w:rPr>
                <w:rFonts w:hint="eastAsia"/>
                <w:b w:val="0"/>
                <w:bCs w:val="0"/>
                <w:color w:val="auto"/>
                <w:highlight w:val="none"/>
              </w:rPr>
              <w:t>报价：</w:t>
            </w:r>
            <w:r>
              <w:rPr>
                <w:rFonts w:hint="eastAsia" w:ascii="宋体" w:hAnsi="宋体"/>
                <w:b w:val="0"/>
                <w:bCs w:val="0"/>
                <w:color w:val="auto"/>
                <w:highlight w:val="none"/>
              </w:rPr>
              <w:t>竞标人可就《采购需求》中的货物和服务内容做完整唯一报价。</w:t>
            </w:r>
          </w:p>
        </w:tc>
      </w:tr>
      <w:tr>
        <w:tblPrEx>
          <w:tblCellMar>
            <w:top w:w="0" w:type="dxa"/>
            <w:left w:w="108" w:type="dxa"/>
            <w:bottom w:w="0" w:type="dxa"/>
            <w:right w:w="108" w:type="dxa"/>
          </w:tblCellMar>
        </w:tblPrEx>
        <w:trPr>
          <w:trHeight w:val="678" w:hRule="atLeast"/>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pStyle w:val="21"/>
              <w:spacing w:line="320" w:lineRule="exact"/>
              <w:jc w:val="center"/>
              <w:rPr>
                <w:b w:val="0"/>
                <w:bCs w:val="0"/>
                <w:color w:val="auto"/>
                <w:highlight w:val="none"/>
              </w:rPr>
            </w:pPr>
            <w:r>
              <w:rPr>
                <w:rFonts w:hint="eastAsia"/>
                <w:b w:val="0"/>
                <w:bCs w:val="0"/>
                <w:color w:val="auto"/>
                <w:highlight w:val="none"/>
              </w:rPr>
              <w:t>4</w:t>
            </w:r>
          </w:p>
        </w:tc>
        <w:tc>
          <w:tcPr>
            <w:tcW w:w="8855"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320" w:lineRule="exact"/>
              <w:rPr>
                <w:b w:val="0"/>
                <w:bCs w:val="0"/>
                <w:color w:val="auto"/>
                <w:highlight w:val="none"/>
              </w:rPr>
            </w:pPr>
            <w:r>
              <w:rPr>
                <w:rFonts w:hint="eastAsia"/>
                <w:b w:val="0"/>
                <w:bCs w:val="0"/>
                <w:color w:val="auto"/>
                <w:highlight w:val="none"/>
              </w:rPr>
              <w:t>响应文件的上传和提交：本项目通过“广西政府采购云平台（http://www.gcy.</w:t>
            </w:r>
            <w:r>
              <w:rPr>
                <w:rFonts w:hint="eastAsia"/>
                <w:b w:val="0"/>
                <w:bCs w:val="0"/>
                <w:color w:val="auto"/>
                <w:highlight w:val="none"/>
                <w:lang w:val="en"/>
              </w:rPr>
              <w:t>zfcg.gxzf.gov.</w:t>
            </w:r>
            <w:r>
              <w:rPr>
                <w:rFonts w:hint="eastAsia"/>
                <w:b w:val="0"/>
                <w:bCs w:val="0"/>
                <w:color w:val="auto"/>
                <w:highlight w:val="none"/>
              </w:rPr>
              <w:t>cn</w:t>
            </w:r>
            <w:r>
              <w:rPr>
                <w:rFonts w:hint="eastAsia"/>
                <w:b w:val="0"/>
                <w:bCs w:val="0"/>
                <w:color w:val="auto"/>
                <w:highlight w:val="none"/>
                <w:lang w:val="en"/>
              </w:rPr>
              <w:t>/</w:t>
            </w:r>
            <w:r>
              <w:rPr>
                <w:b w:val="0"/>
                <w:bCs w:val="0"/>
                <w:color w:val="auto"/>
                <w:highlight w:val="none"/>
              </w:rPr>
              <w:t>）”实行在线</w:t>
            </w:r>
            <w:r>
              <w:rPr>
                <w:rFonts w:hint="eastAsia"/>
                <w:b w:val="0"/>
                <w:bCs w:val="0"/>
                <w:color w:val="auto"/>
                <w:highlight w:val="none"/>
              </w:rPr>
              <w:t>竞标</w:t>
            </w:r>
            <w:r>
              <w:rPr>
                <w:b w:val="0"/>
                <w:bCs w:val="0"/>
                <w:color w:val="auto"/>
                <w:highlight w:val="none"/>
              </w:rPr>
              <w:t>响应（电子标），</w:t>
            </w:r>
            <w:r>
              <w:rPr>
                <w:rFonts w:hint="eastAsia"/>
                <w:b w:val="0"/>
                <w:bCs w:val="0"/>
                <w:color w:val="auto"/>
                <w:highlight w:val="none"/>
              </w:rPr>
              <w:t>竞标</w:t>
            </w:r>
            <w:r>
              <w:rPr>
                <w:b w:val="0"/>
                <w:bCs w:val="0"/>
                <w:color w:val="auto"/>
                <w:highlight w:val="none"/>
              </w:rPr>
              <w:t>供应商应当在</w:t>
            </w:r>
            <w:r>
              <w:rPr>
                <w:rFonts w:hint="eastAsia"/>
                <w:b w:val="0"/>
                <w:bCs w:val="0"/>
                <w:color w:val="auto"/>
                <w:highlight w:val="none"/>
              </w:rPr>
              <w:t>上传响应文件截止时间</w:t>
            </w:r>
            <w:r>
              <w:rPr>
                <w:b w:val="0"/>
                <w:bCs w:val="0"/>
                <w:color w:val="auto"/>
                <w:highlight w:val="none"/>
              </w:rPr>
              <w:t>前，将生成的“电子加密</w:t>
            </w:r>
            <w:r>
              <w:rPr>
                <w:rFonts w:hint="eastAsia"/>
                <w:b w:val="0"/>
                <w:bCs w:val="0"/>
                <w:color w:val="auto"/>
                <w:highlight w:val="none"/>
              </w:rPr>
              <w:t>响应</w:t>
            </w:r>
            <w:r>
              <w:rPr>
                <w:b w:val="0"/>
                <w:bCs w:val="0"/>
                <w:color w:val="auto"/>
                <w:highlight w:val="none"/>
              </w:rPr>
              <w:t>文件”上传</w:t>
            </w:r>
            <w:r>
              <w:rPr>
                <w:rFonts w:hint="eastAsia"/>
                <w:b w:val="0"/>
                <w:bCs w:val="0"/>
                <w:color w:val="auto"/>
                <w:highlight w:val="none"/>
              </w:rPr>
              <w:t>提交</w:t>
            </w:r>
            <w:r>
              <w:rPr>
                <w:b w:val="0"/>
                <w:bCs w:val="0"/>
                <w:color w:val="auto"/>
                <w:highlight w:val="none"/>
              </w:rPr>
              <w:t>至“</w:t>
            </w:r>
            <w:r>
              <w:rPr>
                <w:rFonts w:hint="eastAsia"/>
                <w:b w:val="0"/>
                <w:bCs w:val="0"/>
                <w:color w:val="auto"/>
                <w:highlight w:val="none"/>
              </w:rPr>
              <w:t>广西政府采购云平台</w:t>
            </w:r>
            <w:r>
              <w:rPr>
                <w:b w:val="0"/>
                <w:bCs w:val="0"/>
                <w:color w:val="auto"/>
                <w:highlight w:val="none"/>
              </w:rPr>
              <w:t>”。</w:t>
            </w:r>
          </w:p>
          <w:p>
            <w:pPr>
              <w:pStyle w:val="8"/>
              <w:spacing w:line="320" w:lineRule="exact"/>
              <w:rPr>
                <w:b w:val="0"/>
                <w:bCs w:val="0"/>
                <w:color w:val="auto"/>
                <w:highlight w:val="none"/>
              </w:rPr>
            </w:pPr>
            <w:r>
              <w:rPr>
                <w:rFonts w:hint="eastAsia"/>
                <w:b w:val="0"/>
                <w:bCs w:val="0"/>
                <w:color w:val="auto"/>
                <w:highlight w:val="none"/>
              </w:rPr>
              <w:t>“电子加密响应文件”的上传、提交：</w:t>
            </w:r>
          </w:p>
          <w:p>
            <w:pPr>
              <w:pStyle w:val="8"/>
              <w:spacing w:line="320" w:lineRule="exact"/>
              <w:rPr>
                <w:b w:val="0"/>
                <w:bCs w:val="0"/>
                <w:color w:val="auto"/>
                <w:highlight w:val="none"/>
              </w:rPr>
            </w:pPr>
            <w:r>
              <w:rPr>
                <w:rFonts w:hint="eastAsia"/>
                <w:b w:val="0"/>
                <w:bCs w:val="0"/>
                <w:color w:val="auto"/>
                <w:highlight w:val="none"/>
              </w:rPr>
              <w:t>a.谈判供应商应在上传响应文件截止时间前将“电子加密响应文件”成功上传提交至“广西政府采购云平台”，否则谈判无效。</w:t>
            </w:r>
          </w:p>
          <w:p>
            <w:pPr>
              <w:pStyle w:val="8"/>
              <w:spacing w:line="320" w:lineRule="exact"/>
              <w:rPr>
                <w:b w:val="0"/>
                <w:bCs w:val="0"/>
                <w:color w:val="auto"/>
                <w:highlight w:val="none"/>
              </w:rPr>
            </w:pPr>
            <w:r>
              <w:rPr>
                <w:rFonts w:hint="eastAsia"/>
                <w:b w:val="0"/>
                <w:bCs w:val="0"/>
                <w:color w:val="auto"/>
                <w:highlight w:val="none"/>
              </w:rPr>
              <w:t>b.“电子加密谈判响应文件”成功上传提交后，供应商可自行打印响应文件接收回执。</w:t>
            </w:r>
          </w:p>
        </w:tc>
      </w:tr>
      <w:tr>
        <w:tblPrEx>
          <w:tblCellMar>
            <w:top w:w="0" w:type="dxa"/>
            <w:left w:w="108" w:type="dxa"/>
            <w:bottom w:w="0" w:type="dxa"/>
            <w:right w:w="108" w:type="dxa"/>
          </w:tblCellMar>
        </w:tblPrEx>
        <w:trPr>
          <w:trHeight w:val="511" w:hRule="atLeast"/>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pStyle w:val="21"/>
              <w:spacing w:line="320" w:lineRule="exact"/>
              <w:jc w:val="center"/>
              <w:rPr>
                <w:b w:val="0"/>
                <w:bCs w:val="0"/>
                <w:color w:val="auto"/>
                <w:highlight w:val="none"/>
              </w:rPr>
            </w:pPr>
            <w:r>
              <w:rPr>
                <w:rFonts w:hint="eastAsia"/>
                <w:b w:val="0"/>
                <w:bCs w:val="0"/>
                <w:color w:val="auto"/>
                <w:highlight w:val="none"/>
              </w:rPr>
              <w:t>5</w:t>
            </w:r>
          </w:p>
        </w:tc>
        <w:tc>
          <w:tcPr>
            <w:tcW w:w="8855"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320" w:lineRule="exact"/>
              <w:rPr>
                <w:b w:val="0"/>
                <w:bCs w:val="0"/>
                <w:color w:val="auto"/>
                <w:highlight w:val="none"/>
              </w:rPr>
            </w:pPr>
            <w:r>
              <w:rPr>
                <w:rFonts w:hint="eastAsia"/>
                <w:b w:val="0"/>
                <w:bCs w:val="0"/>
                <w:color w:val="auto"/>
                <w:highlight w:val="none"/>
              </w:rPr>
              <w:t>提交响应文件截止时间：见竞争性谈判公告。</w:t>
            </w:r>
          </w:p>
        </w:tc>
      </w:tr>
      <w:tr>
        <w:tblPrEx>
          <w:tblCellMar>
            <w:top w:w="0" w:type="dxa"/>
            <w:left w:w="108" w:type="dxa"/>
            <w:bottom w:w="0" w:type="dxa"/>
            <w:right w:w="108" w:type="dxa"/>
          </w:tblCellMar>
        </w:tblPrEx>
        <w:trPr>
          <w:trHeight w:val="492" w:hRule="atLeast"/>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pStyle w:val="21"/>
              <w:spacing w:line="320" w:lineRule="exact"/>
              <w:jc w:val="center"/>
              <w:rPr>
                <w:b w:val="0"/>
                <w:bCs w:val="0"/>
                <w:color w:val="auto"/>
                <w:highlight w:val="none"/>
              </w:rPr>
            </w:pPr>
            <w:r>
              <w:rPr>
                <w:rFonts w:hint="eastAsia"/>
                <w:b w:val="0"/>
                <w:bCs w:val="0"/>
                <w:color w:val="auto"/>
                <w:highlight w:val="none"/>
              </w:rPr>
              <w:t>6</w:t>
            </w:r>
          </w:p>
        </w:tc>
        <w:tc>
          <w:tcPr>
            <w:tcW w:w="8855" w:type="dxa"/>
            <w:tcBorders>
              <w:top w:val="single" w:color="000000" w:sz="4" w:space="0"/>
              <w:left w:val="single" w:color="000000" w:sz="4" w:space="0"/>
              <w:bottom w:val="single" w:color="000000" w:sz="4" w:space="0"/>
              <w:right w:val="single" w:color="000000" w:sz="4" w:space="0"/>
            </w:tcBorders>
            <w:noWrap w:val="0"/>
            <w:vAlign w:val="center"/>
          </w:tcPr>
          <w:p>
            <w:pPr>
              <w:pStyle w:val="21"/>
              <w:spacing w:line="320" w:lineRule="exact"/>
              <w:rPr>
                <w:b w:val="0"/>
                <w:bCs w:val="0"/>
                <w:color w:val="auto"/>
                <w:highlight w:val="none"/>
              </w:rPr>
            </w:pPr>
            <w:r>
              <w:rPr>
                <w:rFonts w:hint="eastAsia"/>
                <w:b w:val="0"/>
                <w:bCs w:val="0"/>
                <w:color w:val="auto"/>
                <w:highlight w:val="none"/>
              </w:rPr>
              <w:t>响应文件有效期：响应文件提交截止日期后六十日。</w:t>
            </w:r>
          </w:p>
        </w:tc>
      </w:tr>
      <w:tr>
        <w:tblPrEx>
          <w:tblCellMar>
            <w:top w:w="0" w:type="dxa"/>
            <w:left w:w="108" w:type="dxa"/>
            <w:bottom w:w="0" w:type="dxa"/>
            <w:right w:w="108" w:type="dxa"/>
          </w:tblCellMar>
        </w:tblPrEx>
        <w:trPr>
          <w:trHeight w:val="452" w:hRule="atLeast"/>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pStyle w:val="21"/>
              <w:spacing w:line="320" w:lineRule="exact"/>
              <w:jc w:val="center"/>
              <w:rPr>
                <w:b w:val="0"/>
                <w:bCs w:val="0"/>
                <w:color w:val="auto"/>
                <w:highlight w:val="none"/>
              </w:rPr>
            </w:pPr>
            <w:r>
              <w:rPr>
                <w:rFonts w:hint="eastAsia"/>
                <w:b w:val="0"/>
                <w:bCs w:val="0"/>
                <w:color w:val="auto"/>
                <w:highlight w:val="none"/>
              </w:rPr>
              <w:t>7</w:t>
            </w:r>
          </w:p>
        </w:tc>
        <w:tc>
          <w:tcPr>
            <w:tcW w:w="8855"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320" w:lineRule="exact"/>
              <w:rPr>
                <w:b w:val="0"/>
                <w:bCs w:val="0"/>
                <w:color w:val="auto"/>
                <w:highlight w:val="none"/>
              </w:rPr>
            </w:pPr>
            <w:r>
              <w:rPr>
                <w:rFonts w:hint="eastAsia"/>
                <w:b w:val="0"/>
                <w:bCs w:val="0"/>
                <w:color w:val="auto"/>
                <w:highlight w:val="none"/>
              </w:rPr>
              <w:t>保证金（人民币）：</w:t>
            </w:r>
            <w:r>
              <w:rPr>
                <w:rFonts w:hint="eastAsia"/>
                <w:b w:val="0"/>
                <w:bCs w:val="0"/>
                <w:color w:val="auto"/>
                <w:highlight w:val="none"/>
                <w:u w:val="single"/>
              </w:rPr>
              <w:t xml:space="preserve">    详见《第一章 竞争性谈判公告》  </w:t>
            </w:r>
          </w:p>
        </w:tc>
      </w:tr>
      <w:tr>
        <w:tblPrEx>
          <w:tblCellMar>
            <w:top w:w="0" w:type="dxa"/>
            <w:left w:w="108" w:type="dxa"/>
            <w:bottom w:w="0" w:type="dxa"/>
            <w:right w:w="108" w:type="dxa"/>
          </w:tblCellMar>
        </w:tblPrEx>
        <w:trPr>
          <w:trHeight w:val="570" w:hRule="atLeast"/>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pStyle w:val="21"/>
              <w:spacing w:line="320" w:lineRule="exact"/>
              <w:jc w:val="center"/>
              <w:rPr>
                <w:b w:val="0"/>
                <w:bCs w:val="0"/>
                <w:color w:val="auto"/>
                <w:highlight w:val="none"/>
              </w:rPr>
            </w:pPr>
            <w:r>
              <w:rPr>
                <w:rFonts w:hint="eastAsia"/>
                <w:b w:val="0"/>
                <w:bCs w:val="0"/>
                <w:color w:val="auto"/>
                <w:highlight w:val="none"/>
              </w:rPr>
              <w:t>8</w:t>
            </w:r>
          </w:p>
        </w:tc>
        <w:tc>
          <w:tcPr>
            <w:tcW w:w="8855" w:type="dxa"/>
            <w:tcBorders>
              <w:top w:val="single" w:color="000000" w:sz="4" w:space="0"/>
              <w:left w:val="single" w:color="000000" w:sz="4" w:space="0"/>
              <w:bottom w:val="single" w:color="000000" w:sz="4" w:space="0"/>
              <w:right w:val="single" w:color="000000" w:sz="4" w:space="0"/>
            </w:tcBorders>
            <w:noWrap w:val="0"/>
            <w:vAlign w:val="center"/>
          </w:tcPr>
          <w:p>
            <w:pPr>
              <w:pStyle w:val="21"/>
              <w:spacing w:line="320" w:lineRule="exact"/>
              <w:rPr>
                <w:b w:val="0"/>
                <w:bCs w:val="0"/>
                <w:color w:val="auto"/>
                <w:highlight w:val="none"/>
              </w:rPr>
            </w:pPr>
            <w:r>
              <w:rPr>
                <w:rFonts w:hint="eastAsia"/>
                <w:b w:val="0"/>
                <w:bCs w:val="0"/>
                <w:color w:val="auto"/>
                <w:highlight w:val="none"/>
              </w:rPr>
              <w:t>谈判时间：</w:t>
            </w:r>
            <w:r>
              <w:rPr>
                <w:rFonts w:ascii="仿宋" w:hAnsi="仿宋" w:cs="宋体"/>
                <w:b w:val="0"/>
                <w:bCs w:val="0"/>
                <w:color w:val="auto"/>
                <w:kern w:val="0"/>
                <w:szCs w:val="21"/>
                <w:highlight w:val="none"/>
                <w:lang w:val="en"/>
              </w:rPr>
              <w:t>202</w:t>
            </w:r>
            <w:r>
              <w:rPr>
                <w:rFonts w:hint="eastAsia" w:ascii="仿宋" w:hAnsi="仿宋" w:cs="宋体"/>
                <w:b w:val="0"/>
                <w:bCs w:val="0"/>
                <w:color w:val="auto"/>
                <w:kern w:val="0"/>
                <w:szCs w:val="21"/>
                <w:highlight w:val="none"/>
              </w:rPr>
              <w:t>5</w:t>
            </w:r>
            <w:r>
              <w:rPr>
                <w:rFonts w:ascii="仿宋" w:hAnsi="仿宋" w:cs="宋体"/>
                <w:b w:val="0"/>
                <w:bCs w:val="0"/>
                <w:color w:val="auto"/>
                <w:kern w:val="0"/>
                <w:szCs w:val="21"/>
                <w:highlight w:val="none"/>
              </w:rPr>
              <w:t>年</w:t>
            </w:r>
            <w:r>
              <w:rPr>
                <w:rFonts w:hint="eastAsia" w:ascii="仿宋" w:hAnsi="仿宋" w:cs="宋体"/>
                <w:b w:val="0"/>
                <w:bCs w:val="0"/>
                <w:color w:val="auto"/>
                <w:kern w:val="0"/>
                <w:szCs w:val="21"/>
                <w:highlight w:val="none"/>
                <w:lang w:val="en-US" w:eastAsia="zh-CN"/>
              </w:rPr>
              <w:t>８</w:t>
            </w:r>
            <w:r>
              <w:rPr>
                <w:rFonts w:ascii="仿宋" w:hAnsi="仿宋" w:cs="宋体"/>
                <w:b w:val="0"/>
                <w:bCs w:val="0"/>
                <w:color w:val="auto"/>
                <w:kern w:val="0"/>
                <w:szCs w:val="21"/>
                <w:highlight w:val="none"/>
              </w:rPr>
              <w:t>月</w:t>
            </w:r>
            <w:r>
              <w:rPr>
                <w:rFonts w:hint="default" w:ascii="仿宋" w:hAnsi="仿宋" w:cs="宋体"/>
                <w:b w:val="0"/>
                <w:bCs w:val="0"/>
                <w:color w:val="auto"/>
                <w:kern w:val="0"/>
                <w:szCs w:val="21"/>
                <w:highlight w:val="none"/>
                <w:lang w:val="en" w:eastAsia="zh-CN"/>
              </w:rPr>
              <w:t>2</w:t>
            </w:r>
            <w:r>
              <w:rPr>
                <w:rFonts w:hint="eastAsia" w:ascii="仿宋" w:hAnsi="仿宋" w:cs="宋体"/>
                <w:b w:val="0"/>
                <w:bCs w:val="0"/>
                <w:color w:val="auto"/>
                <w:kern w:val="0"/>
                <w:szCs w:val="21"/>
                <w:highlight w:val="none"/>
                <w:lang w:val="en-US" w:eastAsia="zh-CN"/>
              </w:rPr>
              <w:t>1</w:t>
            </w:r>
            <w:r>
              <w:rPr>
                <w:rFonts w:ascii="仿宋" w:hAnsi="仿宋" w:cs="宋体"/>
                <w:b w:val="0"/>
                <w:bCs w:val="0"/>
                <w:color w:val="auto"/>
                <w:kern w:val="0"/>
                <w:szCs w:val="21"/>
                <w:highlight w:val="none"/>
              </w:rPr>
              <w:t>日</w:t>
            </w:r>
            <w:r>
              <w:rPr>
                <w:rFonts w:hint="eastAsia"/>
                <w:b w:val="0"/>
                <w:bCs w:val="0"/>
                <w:color w:val="auto"/>
                <w:highlight w:val="none"/>
              </w:rPr>
              <w:t>10时截标后（如有变更，具体变更时间由广西壮族自治区政府采购中心另行通知）</w:t>
            </w:r>
          </w:p>
          <w:p>
            <w:pPr>
              <w:pStyle w:val="21"/>
              <w:spacing w:line="320" w:lineRule="exact"/>
              <w:rPr>
                <w:rFonts w:hint="eastAsia"/>
                <w:b w:val="0"/>
                <w:bCs w:val="0"/>
                <w:color w:val="auto"/>
                <w:highlight w:val="none"/>
              </w:rPr>
            </w:pPr>
            <w:r>
              <w:rPr>
                <w:rFonts w:hint="eastAsia"/>
                <w:b w:val="0"/>
                <w:bCs w:val="0"/>
                <w:color w:val="auto"/>
                <w:highlight w:val="none"/>
              </w:rPr>
              <w:t>谈判地点：南宁市星湖路22号广西壮族自治区政府采购中心开标室</w:t>
            </w:r>
            <w:r>
              <w:rPr>
                <w:rFonts w:hint="eastAsia" w:cs="宋体"/>
                <w:b w:val="0"/>
                <w:bCs w:val="0"/>
                <w:color w:val="auto"/>
                <w:szCs w:val="21"/>
                <w:highlight w:val="none"/>
              </w:rPr>
              <w:t>，广西壮族自治区政府采购中心</w:t>
            </w:r>
            <w:r>
              <w:rPr>
                <w:rFonts w:hint="eastAsia" w:ascii="Calibri Light" w:hAnsi="Calibri Light"/>
                <w:b w:val="0"/>
                <w:bCs w:val="0"/>
                <w:color w:val="auto"/>
                <w:szCs w:val="21"/>
                <w:highlight w:val="none"/>
              </w:rPr>
              <w:t>评标室。</w:t>
            </w:r>
            <w:r>
              <w:rPr>
                <w:rFonts w:hint="eastAsia"/>
                <w:b w:val="0"/>
                <w:bCs w:val="0"/>
                <w:color w:val="auto"/>
                <w:highlight w:val="none"/>
              </w:rPr>
              <w:t>（</w:t>
            </w:r>
            <w:r>
              <w:rPr>
                <w:rFonts w:hint="eastAsia"/>
                <w:b w:val="0"/>
                <w:bCs w:val="0"/>
                <w:color w:val="auto"/>
                <w:sz w:val="22"/>
                <w:highlight w:val="none"/>
              </w:rPr>
              <w:t>本项目采用全流程电子标方式，供应商无须前往谈判地点</w:t>
            </w:r>
            <w:r>
              <w:rPr>
                <w:rFonts w:hint="eastAsia"/>
                <w:b w:val="0"/>
                <w:bCs w:val="0"/>
                <w:color w:val="auto"/>
                <w:highlight w:val="none"/>
              </w:rPr>
              <w:t>）</w:t>
            </w:r>
          </w:p>
        </w:tc>
      </w:tr>
      <w:tr>
        <w:tblPrEx>
          <w:tblCellMar>
            <w:top w:w="0" w:type="dxa"/>
            <w:left w:w="108" w:type="dxa"/>
            <w:bottom w:w="0" w:type="dxa"/>
            <w:right w:w="108" w:type="dxa"/>
          </w:tblCellMar>
        </w:tblPrEx>
        <w:trPr>
          <w:trHeight w:val="570" w:hRule="atLeast"/>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pStyle w:val="21"/>
              <w:spacing w:line="320" w:lineRule="exact"/>
              <w:jc w:val="center"/>
              <w:rPr>
                <w:b w:val="0"/>
                <w:bCs w:val="0"/>
                <w:color w:val="auto"/>
                <w:highlight w:val="none"/>
              </w:rPr>
            </w:pPr>
            <w:r>
              <w:rPr>
                <w:rFonts w:hint="eastAsia"/>
                <w:b w:val="0"/>
                <w:bCs w:val="0"/>
                <w:color w:val="auto"/>
                <w:highlight w:val="none"/>
              </w:rPr>
              <w:t>9</w:t>
            </w:r>
          </w:p>
        </w:tc>
        <w:tc>
          <w:tcPr>
            <w:tcW w:w="8855" w:type="dxa"/>
            <w:tcBorders>
              <w:top w:val="single" w:color="000000" w:sz="4" w:space="0"/>
              <w:left w:val="single" w:color="000000" w:sz="4" w:space="0"/>
              <w:bottom w:val="single" w:color="000000" w:sz="4" w:space="0"/>
              <w:right w:val="single" w:color="000000" w:sz="4" w:space="0"/>
            </w:tcBorders>
            <w:noWrap w:val="0"/>
            <w:vAlign w:val="center"/>
          </w:tcPr>
          <w:p>
            <w:pPr>
              <w:pStyle w:val="21"/>
              <w:spacing w:line="320" w:lineRule="exact"/>
              <w:rPr>
                <w:b w:val="0"/>
                <w:bCs w:val="0"/>
                <w:color w:val="auto"/>
                <w:highlight w:val="none"/>
              </w:rPr>
            </w:pPr>
            <w:r>
              <w:rPr>
                <w:rFonts w:hint="eastAsia"/>
                <w:b w:val="0"/>
                <w:bCs w:val="0"/>
                <w:color w:val="auto"/>
                <w:highlight w:val="none"/>
              </w:rPr>
              <w:t>评标方法：最低评标价法（详细见第六章）</w:t>
            </w:r>
          </w:p>
        </w:tc>
      </w:tr>
      <w:tr>
        <w:tblPrEx>
          <w:tblCellMar>
            <w:top w:w="0" w:type="dxa"/>
            <w:left w:w="108" w:type="dxa"/>
            <w:bottom w:w="0" w:type="dxa"/>
            <w:right w:w="108" w:type="dxa"/>
          </w:tblCellMar>
        </w:tblPrEx>
        <w:trPr>
          <w:trHeight w:val="570" w:hRule="atLeast"/>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pStyle w:val="21"/>
              <w:spacing w:line="320" w:lineRule="exact"/>
              <w:jc w:val="center"/>
              <w:rPr>
                <w:rFonts w:hint="eastAsia"/>
                <w:b w:val="0"/>
                <w:bCs w:val="0"/>
                <w:color w:val="auto"/>
                <w:highlight w:val="none"/>
              </w:rPr>
            </w:pPr>
            <w:r>
              <w:rPr>
                <w:rFonts w:hint="eastAsia"/>
                <w:b w:val="0"/>
                <w:bCs w:val="0"/>
                <w:color w:val="auto"/>
                <w:highlight w:val="none"/>
              </w:rPr>
              <w:t>10</w:t>
            </w:r>
          </w:p>
        </w:tc>
        <w:tc>
          <w:tcPr>
            <w:tcW w:w="885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宋体"/>
                <w:b w:val="0"/>
                <w:bCs w:val="0"/>
                <w:snapToGrid w:val="0"/>
                <w:color w:val="auto"/>
                <w:sz w:val="22"/>
                <w:highlight w:val="none"/>
              </w:rPr>
            </w:pPr>
            <w:r>
              <w:rPr>
                <w:rFonts w:hint="eastAsia" w:ascii="宋体" w:hAnsi="宋体"/>
                <w:b w:val="0"/>
                <w:bCs w:val="0"/>
                <w:color w:val="auto"/>
                <w:highlight w:val="none"/>
              </w:rPr>
              <w:t>响应文件形式：</w:t>
            </w:r>
            <w:r>
              <w:rPr>
                <w:rFonts w:hint="eastAsia" w:ascii="宋体"/>
                <w:b w:val="0"/>
                <w:bCs w:val="0"/>
                <w:snapToGrid w:val="0"/>
                <w:color w:val="auto"/>
                <w:sz w:val="22"/>
                <w:highlight w:val="none"/>
              </w:rPr>
              <w:t>谈判供应商应准备电子响应文件。</w:t>
            </w:r>
          </w:p>
          <w:p>
            <w:pPr>
              <w:pStyle w:val="21"/>
              <w:spacing w:line="320" w:lineRule="exact"/>
              <w:rPr>
                <w:rFonts w:hint="eastAsia"/>
                <w:b w:val="0"/>
                <w:bCs w:val="0"/>
                <w:color w:val="auto"/>
                <w:highlight w:val="none"/>
              </w:rPr>
            </w:pPr>
            <w:r>
              <w:rPr>
                <w:rFonts w:hint="eastAsia"/>
                <w:b w:val="0"/>
                <w:bCs w:val="0"/>
                <w:snapToGrid w:val="0"/>
                <w:color w:val="auto"/>
                <w:sz w:val="22"/>
                <w:highlight w:val="none"/>
              </w:rPr>
              <w:t>电子响应文件是指通过“政采云电子</w:t>
            </w:r>
            <w:r>
              <w:rPr>
                <w:b w:val="0"/>
                <w:bCs w:val="0"/>
                <w:snapToGrid w:val="0"/>
                <w:color w:val="auto"/>
                <w:sz w:val="22"/>
                <w:highlight w:val="none"/>
                <w:lang w:val="en"/>
              </w:rPr>
              <w:t>竞标</w:t>
            </w:r>
            <w:r>
              <w:rPr>
                <w:rFonts w:hint="eastAsia"/>
                <w:b w:val="0"/>
                <w:bCs w:val="0"/>
                <w:snapToGrid w:val="0"/>
                <w:color w:val="auto"/>
                <w:sz w:val="22"/>
                <w:highlight w:val="none"/>
              </w:rPr>
              <w:t>客户端”完成响应文件编制后生成并加密的数据电文形式的电子加密响应文件。</w:t>
            </w:r>
          </w:p>
        </w:tc>
      </w:tr>
      <w:tr>
        <w:tblPrEx>
          <w:tblCellMar>
            <w:top w:w="0" w:type="dxa"/>
            <w:left w:w="108" w:type="dxa"/>
            <w:bottom w:w="0" w:type="dxa"/>
            <w:right w:w="108" w:type="dxa"/>
          </w:tblCellMar>
        </w:tblPrEx>
        <w:trPr>
          <w:trHeight w:val="570" w:hRule="atLeast"/>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pStyle w:val="21"/>
              <w:spacing w:line="320" w:lineRule="exact"/>
              <w:jc w:val="center"/>
              <w:rPr>
                <w:rFonts w:hint="eastAsia"/>
                <w:b w:val="0"/>
                <w:bCs w:val="0"/>
                <w:color w:val="auto"/>
                <w:highlight w:val="none"/>
              </w:rPr>
            </w:pPr>
            <w:r>
              <w:rPr>
                <w:rFonts w:hint="eastAsia"/>
                <w:b w:val="0"/>
                <w:bCs w:val="0"/>
                <w:color w:val="auto"/>
                <w:highlight w:val="none"/>
              </w:rPr>
              <w:t>11</w:t>
            </w:r>
          </w:p>
        </w:tc>
        <w:tc>
          <w:tcPr>
            <w:tcW w:w="8855" w:type="dxa"/>
            <w:tcBorders>
              <w:top w:val="single" w:color="000000" w:sz="4" w:space="0"/>
              <w:left w:val="single" w:color="000000" w:sz="4" w:space="0"/>
              <w:bottom w:val="single" w:color="000000" w:sz="4" w:space="0"/>
              <w:right w:val="single" w:color="000000" w:sz="4" w:space="0"/>
            </w:tcBorders>
            <w:noWrap w:val="0"/>
            <w:vAlign w:val="center"/>
          </w:tcPr>
          <w:p>
            <w:pPr>
              <w:pStyle w:val="21"/>
              <w:spacing w:line="320" w:lineRule="exact"/>
              <w:rPr>
                <w:rFonts w:hint="eastAsia"/>
                <w:b w:val="0"/>
                <w:bCs w:val="0"/>
                <w:color w:val="auto"/>
                <w:highlight w:val="none"/>
              </w:rPr>
            </w:pPr>
            <w:r>
              <w:rPr>
                <w:rFonts w:hint="eastAsia"/>
                <w:b w:val="0"/>
                <w:bCs w:val="0"/>
                <w:snapToGrid w:val="0"/>
                <w:color w:val="auto"/>
                <w:sz w:val="22"/>
                <w:highlight w:val="none"/>
              </w:rPr>
              <w:t>响应文件的编制：供应商应先安装“政采云电子</w:t>
            </w:r>
            <w:r>
              <w:rPr>
                <w:b w:val="0"/>
                <w:bCs w:val="0"/>
                <w:snapToGrid w:val="0"/>
                <w:color w:val="auto"/>
                <w:sz w:val="22"/>
                <w:highlight w:val="none"/>
                <w:lang w:val="en"/>
              </w:rPr>
              <w:t>竞标</w:t>
            </w:r>
            <w:r>
              <w:rPr>
                <w:rFonts w:hint="eastAsia"/>
                <w:b w:val="0"/>
                <w:bCs w:val="0"/>
                <w:snapToGrid w:val="0"/>
                <w:color w:val="auto"/>
                <w:sz w:val="22"/>
                <w:highlight w:val="none"/>
              </w:rPr>
              <w:t>客户端”，并按照本竞争性谈判文件和“广西政府采购云平台”的要求，通过“政采云电子</w:t>
            </w:r>
            <w:r>
              <w:rPr>
                <w:b w:val="0"/>
                <w:bCs w:val="0"/>
                <w:snapToGrid w:val="0"/>
                <w:color w:val="auto"/>
                <w:sz w:val="22"/>
                <w:highlight w:val="none"/>
                <w:lang w:val="en"/>
              </w:rPr>
              <w:t>竞标</w:t>
            </w:r>
            <w:r>
              <w:rPr>
                <w:rFonts w:hint="eastAsia"/>
                <w:b w:val="0"/>
                <w:bCs w:val="0"/>
                <w:snapToGrid w:val="0"/>
                <w:color w:val="auto"/>
                <w:sz w:val="22"/>
                <w:highlight w:val="none"/>
              </w:rPr>
              <w:t>客户端”编制并加密响应文件。</w:t>
            </w:r>
          </w:p>
        </w:tc>
      </w:tr>
      <w:tr>
        <w:tblPrEx>
          <w:tblCellMar>
            <w:top w:w="0" w:type="dxa"/>
            <w:left w:w="108" w:type="dxa"/>
            <w:bottom w:w="0" w:type="dxa"/>
            <w:right w:w="108" w:type="dxa"/>
          </w:tblCellMar>
        </w:tblPrEx>
        <w:trPr>
          <w:trHeight w:val="570" w:hRule="atLeast"/>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pStyle w:val="21"/>
              <w:spacing w:line="320" w:lineRule="exact"/>
              <w:jc w:val="center"/>
              <w:rPr>
                <w:rFonts w:hint="eastAsia"/>
                <w:b w:val="0"/>
                <w:bCs w:val="0"/>
                <w:color w:val="auto"/>
                <w:highlight w:val="none"/>
              </w:rPr>
            </w:pPr>
            <w:r>
              <w:rPr>
                <w:rFonts w:hint="eastAsia"/>
                <w:b w:val="0"/>
                <w:bCs w:val="0"/>
                <w:color w:val="auto"/>
                <w:highlight w:val="none"/>
              </w:rPr>
              <w:t>12</w:t>
            </w:r>
          </w:p>
        </w:tc>
        <w:tc>
          <w:tcPr>
            <w:tcW w:w="8855" w:type="dxa"/>
            <w:tcBorders>
              <w:top w:val="single" w:color="000000" w:sz="4" w:space="0"/>
              <w:left w:val="single" w:color="000000" w:sz="4" w:space="0"/>
              <w:bottom w:val="single" w:color="000000" w:sz="4" w:space="0"/>
              <w:right w:val="single" w:color="000000" w:sz="4" w:space="0"/>
            </w:tcBorders>
            <w:noWrap w:val="0"/>
            <w:vAlign w:val="center"/>
          </w:tcPr>
          <w:p>
            <w:pPr>
              <w:pStyle w:val="21"/>
              <w:spacing w:line="320" w:lineRule="exact"/>
              <w:rPr>
                <w:rFonts w:hint="eastAsia"/>
                <w:b w:val="0"/>
                <w:bCs w:val="0"/>
                <w:color w:val="auto"/>
                <w:highlight w:val="none"/>
              </w:rPr>
            </w:pPr>
            <w:r>
              <w:rPr>
                <w:rFonts w:hint="eastAsia"/>
                <w:b w:val="0"/>
                <w:bCs w:val="0"/>
                <w:snapToGrid w:val="0"/>
                <w:color w:val="auto"/>
                <w:sz w:val="22"/>
                <w:highlight w:val="none"/>
              </w:rPr>
              <w:t>响应文件的盖章：响应文件中所涉及的加盖公章均采用CA电子签章。</w:t>
            </w:r>
          </w:p>
        </w:tc>
      </w:tr>
      <w:tr>
        <w:tblPrEx>
          <w:tblCellMar>
            <w:top w:w="0" w:type="dxa"/>
            <w:left w:w="108" w:type="dxa"/>
            <w:bottom w:w="0" w:type="dxa"/>
            <w:right w:w="108" w:type="dxa"/>
          </w:tblCellMar>
        </w:tblPrEx>
        <w:trPr>
          <w:trHeight w:val="570" w:hRule="atLeast"/>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pStyle w:val="21"/>
              <w:spacing w:line="320" w:lineRule="exact"/>
              <w:jc w:val="center"/>
              <w:rPr>
                <w:rFonts w:hint="eastAsia"/>
                <w:b w:val="0"/>
                <w:bCs w:val="0"/>
                <w:color w:val="auto"/>
                <w:highlight w:val="none"/>
              </w:rPr>
            </w:pPr>
            <w:r>
              <w:rPr>
                <w:rFonts w:hint="eastAsia"/>
                <w:b w:val="0"/>
                <w:bCs w:val="0"/>
                <w:color w:val="auto"/>
                <w:highlight w:val="none"/>
              </w:rPr>
              <w:t>13</w:t>
            </w:r>
          </w:p>
        </w:tc>
        <w:tc>
          <w:tcPr>
            <w:tcW w:w="8855" w:type="dxa"/>
            <w:tcBorders>
              <w:top w:val="single" w:color="000000" w:sz="4" w:space="0"/>
              <w:left w:val="single" w:color="000000" w:sz="4" w:space="0"/>
              <w:bottom w:val="single" w:color="000000" w:sz="4" w:space="0"/>
              <w:right w:val="single" w:color="000000" w:sz="4" w:space="0"/>
            </w:tcBorders>
            <w:noWrap w:val="0"/>
            <w:vAlign w:val="center"/>
          </w:tcPr>
          <w:p>
            <w:pPr>
              <w:pStyle w:val="21"/>
              <w:spacing w:line="320" w:lineRule="exact"/>
              <w:rPr>
                <w:rFonts w:hint="eastAsia"/>
                <w:b w:val="0"/>
                <w:bCs w:val="0"/>
                <w:color w:val="auto"/>
                <w:highlight w:val="none"/>
              </w:rPr>
            </w:pPr>
            <w:r>
              <w:rPr>
                <w:rFonts w:hint="eastAsia"/>
                <w:b w:val="0"/>
                <w:bCs w:val="0"/>
                <w:snapToGrid w:val="0"/>
                <w:color w:val="auto"/>
                <w:sz w:val="22"/>
                <w:highlight w:val="none"/>
              </w:rPr>
              <w:t>法定代表人或其授权代表</w:t>
            </w:r>
            <w:r>
              <w:rPr>
                <w:rFonts w:hint="default"/>
                <w:b w:val="0"/>
                <w:bCs w:val="0"/>
                <w:snapToGrid w:val="0"/>
                <w:color w:val="auto"/>
                <w:sz w:val="22"/>
                <w:highlight w:val="none"/>
                <w:lang w:val="en"/>
              </w:rPr>
              <w:t>签字或签章</w:t>
            </w:r>
            <w:r>
              <w:rPr>
                <w:rFonts w:hint="eastAsia"/>
                <w:b w:val="0"/>
                <w:bCs w:val="0"/>
                <w:snapToGrid w:val="0"/>
                <w:color w:val="auto"/>
                <w:sz w:val="22"/>
                <w:highlight w:val="none"/>
              </w:rPr>
              <w:t>：本竞争性谈判文件所涉及的法定代表人或其授权代表</w:t>
            </w:r>
            <w:r>
              <w:rPr>
                <w:rFonts w:hint="default"/>
                <w:b w:val="0"/>
                <w:bCs w:val="0"/>
                <w:snapToGrid w:val="0"/>
                <w:color w:val="auto"/>
                <w:sz w:val="22"/>
                <w:highlight w:val="none"/>
                <w:lang w:val="en"/>
              </w:rPr>
              <w:t>签字或签章</w:t>
            </w:r>
            <w:r>
              <w:rPr>
                <w:rFonts w:hint="eastAsia"/>
                <w:b w:val="0"/>
                <w:bCs w:val="0"/>
                <w:snapToGrid w:val="0"/>
                <w:color w:val="auto"/>
                <w:sz w:val="22"/>
                <w:highlight w:val="none"/>
              </w:rPr>
              <w:t>的内容，如果谈判供应商没有法定代表人电子签章，涉及到法定代表人或其授权代表</w:t>
            </w:r>
            <w:r>
              <w:rPr>
                <w:rFonts w:hint="default"/>
                <w:b w:val="0"/>
                <w:bCs w:val="0"/>
                <w:snapToGrid w:val="0"/>
                <w:color w:val="auto"/>
                <w:sz w:val="22"/>
                <w:highlight w:val="none"/>
                <w:lang w:val="en"/>
              </w:rPr>
              <w:t>签字或签章</w:t>
            </w:r>
            <w:r>
              <w:rPr>
                <w:rFonts w:hint="eastAsia"/>
                <w:b w:val="0"/>
                <w:bCs w:val="0"/>
                <w:snapToGrid w:val="0"/>
                <w:color w:val="auto"/>
                <w:sz w:val="22"/>
                <w:highlight w:val="none"/>
              </w:rPr>
              <w:t>的内容，谈判供应商可以线下</w:t>
            </w:r>
            <w:r>
              <w:rPr>
                <w:rFonts w:hint="default"/>
                <w:b w:val="0"/>
                <w:bCs w:val="0"/>
                <w:snapToGrid w:val="0"/>
                <w:color w:val="auto"/>
                <w:sz w:val="22"/>
                <w:highlight w:val="none"/>
                <w:lang w:val="en"/>
              </w:rPr>
              <w:t>签字或签章</w:t>
            </w:r>
            <w:r>
              <w:rPr>
                <w:rFonts w:hint="eastAsia"/>
                <w:b w:val="0"/>
                <w:bCs w:val="0"/>
                <w:snapToGrid w:val="0"/>
                <w:color w:val="auto"/>
                <w:sz w:val="22"/>
                <w:highlight w:val="none"/>
              </w:rPr>
              <w:t>后扫描上传。</w:t>
            </w:r>
          </w:p>
        </w:tc>
      </w:tr>
      <w:tr>
        <w:tblPrEx>
          <w:tblCellMar>
            <w:top w:w="0" w:type="dxa"/>
            <w:left w:w="108" w:type="dxa"/>
            <w:bottom w:w="0" w:type="dxa"/>
            <w:right w:w="108" w:type="dxa"/>
          </w:tblCellMar>
        </w:tblPrEx>
        <w:trPr>
          <w:trHeight w:val="570" w:hRule="atLeast"/>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pStyle w:val="21"/>
              <w:spacing w:line="320" w:lineRule="exact"/>
              <w:jc w:val="center"/>
              <w:rPr>
                <w:rFonts w:hint="eastAsia"/>
                <w:b w:val="0"/>
                <w:bCs w:val="0"/>
                <w:color w:val="auto"/>
                <w:highlight w:val="none"/>
              </w:rPr>
            </w:pPr>
            <w:r>
              <w:rPr>
                <w:rFonts w:hint="eastAsia"/>
                <w:b w:val="0"/>
                <w:bCs w:val="0"/>
                <w:color w:val="auto"/>
                <w:highlight w:val="none"/>
              </w:rPr>
              <w:t>14</w:t>
            </w:r>
          </w:p>
        </w:tc>
        <w:tc>
          <w:tcPr>
            <w:tcW w:w="8855" w:type="dxa"/>
            <w:tcBorders>
              <w:top w:val="single" w:color="000000" w:sz="4" w:space="0"/>
              <w:left w:val="single" w:color="000000" w:sz="4" w:space="0"/>
              <w:bottom w:val="single" w:color="000000" w:sz="4" w:space="0"/>
              <w:right w:val="single" w:color="000000" w:sz="4" w:space="0"/>
            </w:tcBorders>
            <w:noWrap w:val="0"/>
            <w:vAlign w:val="center"/>
          </w:tcPr>
          <w:p>
            <w:pPr>
              <w:pStyle w:val="21"/>
              <w:spacing w:line="320" w:lineRule="exact"/>
              <w:rPr>
                <w:rFonts w:hint="eastAsia"/>
                <w:b w:val="0"/>
                <w:bCs w:val="0"/>
                <w:color w:val="auto"/>
                <w:highlight w:val="none"/>
              </w:rPr>
            </w:pPr>
            <w:r>
              <w:rPr>
                <w:rFonts w:hint="eastAsia"/>
                <w:b w:val="0"/>
                <w:bCs w:val="0"/>
                <w:snapToGrid w:val="0"/>
                <w:color w:val="auto"/>
                <w:sz w:val="22"/>
                <w:highlight w:val="none"/>
              </w:rPr>
              <w:t>响应文件份数：电子加密响应文件在线上传提交一份。</w:t>
            </w:r>
          </w:p>
        </w:tc>
      </w:tr>
      <w:tr>
        <w:tblPrEx>
          <w:tblCellMar>
            <w:top w:w="0" w:type="dxa"/>
            <w:left w:w="108" w:type="dxa"/>
            <w:bottom w:w="0" w:type="dxa"/>
            <w:right w:w="108" w:type="dxa"/>
          </w:tblCellMar>
        </w:tblPrEx>
        <w:trPr>
          <w:trHeight w:val="570" w:hRule="atLeast"/>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pStyle w:val="21"/>
              <w:spacing w:line="320" w:lineRule="exact"/>
              <w:jc w:val="center"/>
              <w:rPr>
                <w:rFonts w:hint="eastAsia"/>
                <w:b w:val="0"/>
                <w:bCs w:val="0"/>
                <w:color w:val="auto"/>
                <w:highlight w:val="none"/>
              </w:rPr>
            </w:pPr>
            <w:r>
              <w:rPr>
                <w:rFonts w:hint="eastAsia"/>
                <w:b w:val="0"/>
                <w:bCs w:val="0"/>
                <w:color w:val="auto"/>
                <w:highlight w:val="none"/>
              </w:rPr>
              <w:t>15</w:t>
            </w:r>
          </w:p>
        </w:tc>
        <w:tc>
          <w:tcPr>
            <w:tcW w:w="8855" w:type="dxa"/>
            <w:tcBorders>
              <w:top w:val="single" w:color="000000" w:sz="4" w:space="0"/>
              <w:left w:val="single" w:color="000000" w:sz="4" w:space="0"/>
              <w:bottom w:val="single" w:color="000000" w:sz="4" w:space="0"/>
              <w:right w:val="single" w:color="000000" w:sz="4" w:space="0"/>
            </w:tcBorders>
            <w:noWrap w:val="0"/>
            <w:vAlign w:val="center"/>
          </w:tcPr>
          <w:p>
            <w:pPr>
              <w:pStyle w:val="21"/>
              <w:spacing w:line="320" w:lineRule="exact"/>
              <w:rPr>
                <w:rFonts w:hint="eastAsia"/>
                <w:b w:val="0"/>
                <w:bCs w:val="0"/>
                <w:snapToGrid w:val="0"/>
                <w:color w:val="auto"/>
                <w:sz w:val="22"/>
                <w:highlight w:val="none"/>
              </w:rPr>
            </w:pPr>
            <w:r>
              <w:rPr>
                <w:rFonts w:hint="eastAsia"/>
                <w:b w:val="0"/>
                <w:bCs w:val="0"/>
                <w:snapToGrid w:val="0"/>
                <w:color w:val="auto"/>
                <w:sz w:val="22"/>
                <w:highlight w:val="none"/>
              </w:rPr>
              <w:t>电子加密响应文件的解密：</w:t>
            </w:r>
          </w:p>
          <w:p>
            <w:pPr>
              <w:pStyle w:val="21"/>
              <w:spacing w:line="320" w:lineRule="exact"/>
              <w:rPr>
                <w:rFonts w:hint="eastAsia"/>
                <w:b w:val="0"/>
                <w:bCs w:val="0"/>
                <w:snapToGrid w:val="0"/>
                <w:color w:val="auto"/>
                <w:sz w:val="22"/>
                <w:highlight w:val="none"/>
              </w:rPr>
            </w:pPr>
            <w:r>
              <w:rPr>
                <w:rFonts w:hint="eastAsia"/>
                <w:b w:val="0"/>
                <w:bCs w:val="0"/>
                <w:snapToGrid w:val="0"/>
                <w:color w:val="auto"/>
                <w:sz w:val="22"/>
                <w:highlight w:val="none"/>
              </w:rPr>
              <w:t>谈判响应文件开启后，本中心将向各参与谈判供应商发出“电子加密响应文件”的解密通知，各谈判供应商代表应当在接到解密通知后30分钟内自行完成“电子加密响应文件”的在线解密。</w:t>
            </w:r>
          </w:p>
        </w:tc>
      </w:tr>
      <w:tr>
        <w:tblPrEx>
          <w:tblCellMar>
            <w:top w:w="0" w:type="dxa"/>
            <w:left w:w="108" w:type="dxa"/>
            <w:bottom w:w="0" w:type="dxa"/>
            <w:right w:w="108" w:type="dxa"/>
          </w:tblCellMar>
        </w:tblPrEx>
        <w:trPr>
          <w:trHeight w:val="570" w:hRule="atLeast"/>
        </w:trPr>
        <w:tc>
          <w:tcPr>
            <w:tcW w:w="790" w:type="dxa"/>
            <w:vMerge w:val="restart"/>
            <w:tcBorders>
              <w:top w:val="single" w:color="000000" w:sz="4" w:space="0"/>
              <w:left w:val="single" w:color="000000" w:sz="4" w:space="0"/>
              <w:right w:val="single" w:color="000000" w:sz="4" w:space="0"/>
            </w:tcBorders>
            <w:noWrap w:val="0"/>
            <w:vAlign w:val="center"/>
          </w:tcPr>
          <w:p>
            <w:pPr>
              <w:pStyle w:val="21"/>
              <w:spacing w:line="320" w:lineRule="exact"/>
              <w:jc w:val="center"/>
              <w:rPr>
                <w:b w:val="0"/>
                <w:bCs w:val="0"/>
                <w:color w:val="auto"/>
                <w:highlight w:val="none"/>
              </w:rPr>
            </w:pPr>
            <w:r>
              <w:rPr>
                <w:rFonts w:hint="eastAsia"/>
                <w:b w:val="0"/>
                <w:bCs w:val="0"/>
                <w:color w:val="auto"/>
                <w:highlight w:val="none"/>
              </w:rPr>
              <w:t>16</w:t>
            </w:r>
          </w:p>
        </w:tc>
        <w:tc>
          <w:tcPr>
            <w:tcW w:w="885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exact"/>
              <w:rPr>
                <w:rFonts w:hint="eastAsia"/>
                <w:b w:val="0"/>
                <w:bCs w:val="0"/>
                <w:snapToGrid w:val="0"/>
                <w:color w:val="auto"/>
                <w:sz w:val="22"/>
                <w:highlight w:val="none"/>
              </w:rPr>
            </w:pPr>
            <w:r>
              <w:rPr>
                <w:rFonts w:hint="eastAsia" w:ascii="宋体" w:hAnsi="宋体"/>
                <w:b w:val="0"/>
                <w:bCs w:val="0"/>
                <w:color w:val="auto"/>
                <w:szCs w:val="21"/>
                <w:highlight w:val="none"/>
              </w:rPr>
              <w:t>对竞争性谈判文件、采购过程或者成交结果的质疑由采购人接收或采购代理机构代为接收，由采购人负责答复。</w:t>
            </w:r>
          </w:p>
        </w:tc>
      </w:tr>
      <w:tr>
        <w:tblPrEx>
          <w:tblCellMar>
            <w:top w:w="0" w:type="dxa"/>
            <w:left w:w="108" w:type="dxa"/>
            <w:bottom w:w="0" w:type="dxa"/>
            <w:right w:w="108" w:type="dxa"/>
          </w:tblCellMar>
        </w:tblPrEx>
        <w:trPr>
          <w:trHeight w:val="570" w:hRule="atLeast"/>
        </w:trPr>
        <w:tc>
          <w:tcPr>
            <w:tcW w:w="790" w:type="dxa"/>
            <w:vMerge w:val="continue"/>
            <w:tcBorders>
              <w:left w:val="single" w:color="000000" w:sz="4" w:space="0"/>
              <w:right w:val="single" w:color="000000" w:sz="4" w:space="0"/>
            </w:tcBorders>
            <w:noWrap w:val="0"/>
            <w:vAlign w:val="center"/>
          </w:tcPr>
          <w:p>
            <w:pPr>
              <w:pStyle w:val="21"/>
              <w:spacing w:line="320" w:lineRule="exact"/>
              <w:jc w:val="center"/>
              <w:rPr>
                <w:rFonts w:hint="eastAsia"/>
                <w:b w:val="0"/>
                <w:bCs w:val="0"/>
                <w:color w:val="auto"/>
                <w:highlight w:val="none"/>
              </w:rPr>
            </w:pPr>
          </w:p>
        </w:tc>
        <w:tc>
          <w:tcPr>
            <w:tcW w:w="885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exact"/>
              <w:rPr>
                <w:rFonts w:hint="eastAsia"/>
                <w:b w:val="0"/>
                <w:bCs w:val="0"/>
                <w:snapToGrid w:val="0"/>
                <w:color w:val="auto"/>
                <w:sz w:val="22"/>
                <w:highlight w:val="none"/>
              </w:rPr>
            </w:pPr>
            <w:r>
              <w:rPr>
                <w:rFonts w:hint="eastAsia" w:ascii="宋体" w:hAnsi="宋体"/>
                <w:b w:val="0"/>
                <w:bCs w:val="0"/>
                <w:color w:val="auto"/>
                <w:szCs w:val="21"/>
                <w:highlight w:val="none"/>
              </w:rPr>
              <w:t>接收质疑函方式：以书面形式。</w:t>
            </w:r>
          </w:p>
        </w:tc>
      </w:tr>
      <w:tr>
        <w:tblPrEx>
          <w:tblCellMar>
            <w:top w:w="0" w:type="dxa"/>
            <w:left w:w="108" w:type="dxa"/>
            <w:bottom w:w="0" w:type="dxa"/>
            <w:right w:w="108" w:type="dxa"/>
          </w:tblCellMar>
        </w:tblPrEx>
        <w:trPr>
          <w:trHeight w:val="570" w:hRule="atLeast"/>
        </w:trPr>
        <w:tc>
          <w:tcPr>
            <w:tcW w:w="790" w:type="dxa"/>
            <w:vMerge w:val="continue"/>
            <w:tcBorders>
              <w:left w:val="single" w:color="000000" w:sz="4" w:space="0"/>
              <w:right w:val="single" w:color="000000" w:sz="4" w:space="0"/>
            </w:tcBorders>
            <w:noWrap w:val="0"/>
            <w:vAlign w:val="center"/>
          </w:tcPr>
          <w:p>
            <w:pPr>
              <w:pStyle w:val="21"/>
              <w:spacing w:line="320" w:lineRule="exact"/>
              <w:jc w:val="center"/>
              <w:rPr>
                <w:rFonts w:hint="eastAsia"/>
                <w:b w:val="0"/>
                <w:bCs w:val="0"/>
                <w:color w:val="auto"/>
                <w:highlight w:val="none"/>
              </w:rPr>
            </w:pPr>
          </w:p>
        </w:tc>
        <w:tc>
          <w:tcPr>
            <w:tcW w:w="885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exact"/>
              <w:rPr>
                <w:rFonts w:hint="eastAsia"/>
                <w:b w:val="0"/>
                <w:bCs w:val="0"/>
                <w:color w:val="auto"/>
                <w:highlight w:val="none"/>
              </w:rPr>
            </w:pPr>
            <w:r>
              <w:rPr>
                <w:rFonts w:hint="eastAsia"/>
                <w:b w:val="0"/>
                <w:bCs w:val="0"/>
                <w:color w:val="auto"/>
                <w:highlight w:val="none"/>
              </w:rPr>
              <w:t>质疑联系部门及联系方式：</w:t>
            </w:r>
          </w:p>
          <w:p>
            <w:pPr>
              <w:snapToGrid w:val="0"/>
              <w:spacing w:line="360" w:lineRule="exact"/>
              <w:rPr>
                <w:rFonts w:hint="eastAsia"/>
                <w:b w:val="0"/>
                <w:bCs w:val="0"/>
                <w:color w:val="auto"/>
                <w:highlight w:val="none"/>
              </w:rPr>
            </w:pPr>
            <w:r>
              <w:rPr>
                <w:rFonts w:hint="eastAsia"/>
                <w:b w:val="0"/>
                <w:bCs w:val="0"/>
                <w:color w:val="auto"/>
                <w:highlight w:val="none"/>
              </w:rPr>
              <w:t xml:space="preserve">（1）广西壮族自治区政府采购中心内审科     </w:t>
            </w:r>
          </w:p>
          <w:p>
            <w:pPr>
              <w:snapToGrid w:val="0"/>
              <w:spacing w:line="360" w:lineRule="exact"/>
              <w:ind w:firstLine="420" w:firstLineChars="200"/>
              <w:rPr>
                <w:rFonts w:hint="eastAsia"/>
                <w:b w:val="0"/>
                <w:bCs w:val="0"/>
                <w:color w:val="auto"/>
                <w:highlight w:val="none"/>
              </w:rPr>
            </w:pPr>
            <w:r>
              <w:rPr>
                <w:rFonts w:hint="eastAsia"/>
                <w:b w:val="0"/>
                <w:bCs w:val="0"/>
                <w:color w:val="auto"/>
                <w:highlight w:val="none"/>
              </w:rPr>
              <w:t>电话：0771-8600453</w:t>
            </w:r>
          </w:p>
          <w:p>
            <w:pPr>
              <w:snapToGrid w:val="0"/>
              <w:spacing w:line="360" w:lineRule="exact"/>
              <w:ind w:firstLine="420" w:firstLineChars="200"/>
              <w:rPr>
                <w:rFonts w:hint="eastAsia"/>
                <w:b w:val="0"/>
                <w:bCs w:val="0"/>
                <w:color w:val="auto"/>
                <w:highlight w:val="none"/>
              </w:rPr>
            </w:pPr>
            <w:r>
              <w:rPr>
                <w:rFonts w:hint="eastAsia"/>
                <w:b w:val="0"/>
                <w:bCs w:val="0"/>
                <w:color w:val="auto"/>
                <w:highlight w:val="none"/>
              </w:rPr>
              <w:t>地址：广西南宁市星湖路22号</w:t>
            </w:r>
          </w:p>
          <w:p>
            <w:pPr>
              <w:snapToGrid w:val="0"/>
              <w:spacing w:line="360" w:lineRule="exact"/>
              <w:rPr>
                <w:rFonts w:hint="eastAsia"/>
                <w:b w:val="0"/>
                <w:bCs w:val="0"/>
                <w:color w:val="auto"/>
                <w:highlight w:val="none"/>
              </w:rPr>
            </w:pPr>
            <w:r>
              <w:rPr>
                <w:rFonts w:hint="eastAsia"/>
                <w:b w:val="0"/>
                <w:bCs w:val="0"/>
                <w:color w:val="auto"/>
                <w:highlight w:val="none"/>
              </w:rPr>
              <w:t xml:space="preserve">（2）名   称：广西壮族自治区疾病预防控制中心 </w:t>
            </w:r>
          </w:p>
          <w:p>
            <w:pPr>
              <w:snapToGrid w:val="0"/>
              <w:spacing w:line="360" w:lineRule="exact"/>
              <w:ind w:firstLine="420" w:firstLineChars="200"/>
              <w:rPr>
                <w:rFonts w:hint="eastAsia"/>
                <w:b w:val="0"/>
                <w:bCs w:val="0"/>
                <w:color w:val="auto"/>
                <w:highlight w:val="none"/>
              </w:rPr>
            </w:pPr>
            <w:r>
              <w:rPr>
                <w:rFonts w:hint="eastAsia"/>
                <w:b w:val="0"/>
                <w:bCs w:val="0"/>
                <w:color w:val="auto"/>
                <w:highlight w:val="none"/>
              </w:rPr>
              <w:t xml:space="preserve"> 地   址：</w:t>
            </w:r>
            <w:r>
              <w:rPr>
                <w:rFonts w:hint="eastAsia"/>
                <w:b w:val="0"/>
                <w:bCs w:val="0"/>
                <w:color w:val="auto"/>
                <w:highlight w:val="none"/>
                <w:lang w:eastAsia="zh-CN"/>
              </w:rPr>
              <w:t>南宁市金洲路</w:t>
            </w:r>
            <w:r>
              <w:rPr>
                <w:rFonts w:hint="eastAsia"/>
                <w:b w:val="0"/>
                <w:bCs w:val="0"/>
                <w:color w:val="auto"/>
                <w:highlight w:val="none"/>
                <w:lang w:val="en-US" w:eastAsia="zh-CN"/>
              </w:rPr>
              <w:t>18号</w:t>
            </w:r>
            <w:r>
              <w:rPr>
                <w:rFonts w:hint="eastAsia"/>
                <w:b w:val="0"/>
                <w:bCs w:val="0"/>
                <w:color w:val="auto"/>
                <w:highlight w:val="none"/>
              </w:rPr>
              <w:t xml:space="preserve"> </w:t>
            </w:r>
          </w:p>
          <w:p>
            <w:pPr>
              <w:snapToGrid w:val="0"/>
              <w:spacing w:line="360" w:lineRule="exact"/>
              <w:ind w:firstLine="420" w:firstLineChars="200"/>
              <w:rPr>
                <w:rFonts w:hint="eastAsia"/>
                <w:b w:val="0"/>
                <w:bCs w:val="0"/>
                <w:color w:val="auto"/>
                <w:highlight w:val="none"/>
              </w:rPr>
            </w:pPr>
            <w:r>
              <w:rPr>
                <w:rFonts w:hint="eastAsia"/>
                <w:b w:val="0"/>
                <w:bCs w:val="0"/>
                <w:color w:val="auto"/>
                <w:highlight w:val="none"/>
              </w:rPr>
              <w:t>  项目联系人：</w:t>
            </w:r>
            <w:r>
              <w:rPr>
                <w:rFonts w:hint="eastAsia"/>
                <w:b w:val="0"/>
                <w:bCs w:val="0"/>
                <w:color w:val="auto"/>
                <w:highlight w:val="none"/>
                <w:lang w:eastAsia="zh-CN"/>
              </w:rPr>
              <w:t>黎少豪</w:t>
            </w:r>
            <w:r>
              <w:rPr>
                <w:rFonts w:hint="eastAsia"/>
                <w:b w:val="0"/>
                <w:bCs w:val="0"/>
                <w:color w:val="auto"/>
                <w:highlight w:val="none"/>
              </w:rPr>
              <w:t xml:space="preserve"> </w:t>
            </w:r>
          </w:p>
          <w:p>
            <w:pPr>
              <w:snapToGrid w:val="0"/>
              <w:spacing w:line="360" w:lineRule="exact"/>
              <w:ind w:firstLine="420" w:firstLineChars="200"/>
              <w:rPr>
                <w:rFonts w:hint="default" w:eastAsia="宋体"/>
                <w:b w:val="0"/>
                <w:bCs w:val="0"/>
                <w:color w:val="auto"/>
                <w:highlight w:val="none"/>
                <w:lang w:val="en-US" w:eastAsia="zh-CN"/>
              </w:rPr>
            </w:pPr>
            <w:r>
              <w:rPr>
                <w:rFonts w:hint="eastAsia" w:hAnsi="宋体" w:cs="宋体"/>
                <w:b w:val="0"/>
                <w:bCs w:val="0"/>
                <w:color w:val="auto"/>
                <w:kern w:val="0"/>
                <w:szCs w:val="21"/>
                <w:highlight w:val="none"/>
              </w:rPr>
              <w:t xml:space="preserve"> </w:t>
            </w:r>
            <w:r>
              <w:rPr>
                <w:rFonts w:hAnsi="宋体" w:cs="宋体"/>
                <w:b w:val="0"/>
                <w:bCs w:val="0"/>
                <w:color w:val="auto"/>
                <w:kern w:val="0"/>
                <w:szCs w:val="21"/>
                <w:highlight w:val="none"/>
              </w:rPr>
              <w:t>项目联系方式：</w:t>
            </w:r>
            <w:r>
              <w:rPr>
                <w:rFonts w:hint="eastAsia" w:hAnsi="宋体" w:cs="宋体"/>
                <w:b w:val="0"/>
                <w:bCs w:val="0"/>
                <w:color w:val="auto"/>
                <w:kern w:val="0"/>
                <w:szCs w:val="21"/>
                <w:highlight w:val="none"/>
                <w:lang w:val="en-US" w:eastAsia="zh-CN"/>
              </w:rPr>
              <w:t>0771-2521502</w:t>
            </w:r>
          </w:p>
        </w:tc>
      </w:tr>
      <w:tr>
        <w:tblPrEx>
          <w:tblCellMar>
            <w:top w:w="0" w:type="dxa"/>
            <w:left w:w="108" w:type="dxa"/>
            <w:bottom w:w="0" w:type="dxa"/>
            <w:right w:w="108" w:type="dxa"/>
          </w:tblCellMar>
        </w:tblPrEx>
        <w:trPr>
          <w:trHeight w:val="570" w:hRule="atLeast"/>
        </w:trPr>
        <w:tc>
          <w:tcPr>
            <w:tcW w:w="790" w:type="dxa"/>
            <w:vMerge w:val="continue"/>
            <w:tcBorders>
              <w:left w:val="single" w:color="000000" w:sz="4" w:space="0"/>
              <w:bottom w:val="single" w:color="000000" w:sz="4" w:space="0"/>
              <w:right w:val="single" w:color="000000" w:sz="4" w:space="0"/>
            </w:tcBorders>
            <w:noWrap w:val="0"/>
            <w:vAlign w:val="center"/>
          </w:tcPr>
          <w:p>
            <w:pPr>
              <w:pStyle w:val="21"/>
              <w:spacing w:line="320" w:lineRule="exact"/>
              <w:jc w:val="center"/>
              <w:rPr>
                <w:rFonts w:hint="eastAsia"/>
                <w:b w:val="0"/>
                <w:bCs w:val="0"/>
                <w:color w:val="auto"/>
                <w:highlight w:val="none"/>
              </w:rPr>
            </w:pPr>
          </w:p>
        </w:tc>
        <w:tc>
          <w:tcPr>
            <w:tcW w:w="885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exact"/>
              <w:rPr>
                <w:rFonts w:hint="eastAsia"/>
                <w:b w:val="0"/>
                <w:bCs w:val="0"/>
                <w:snapToGrid w:val="0"/>
                <w:color w:val="auto"/>
                <w:sz w:val="22"/>
                <w:highlight w:val="none"/>
              </w:rPr>
            </w:pPr>
            <w:r>
              <w:rPr>
                <w:rFonts w:hint="eastAsia" w:ascii="宋体" w:hAnsi="宋体"/>
                <w:b w:val="0"/>
                <w:bCs w:val="0"/>
                <w:color w:val="auto"/>
                <w:szCs w:val="21"/>
                <w:highlight w:val="none"/>
              </w:rPr>
              <w:t>现场提交质疑办理业务时间：质疑期内每个工作日采购人或采购代理机构正常工作时间（其中采购代理机构为9：00-12：00，14：00-17：00）</w:t>
            </w:r>
          </w:p>
        </w:tc>
      </w:tr>
    </w:tbl>
    <w:p>
      <w:pPr>
        <w:spacing w:line="400" w:lineRule="exact"/>
        <w:jc w:val="center"/>
        <w:rPr>
          <w:rFonts w:ascii="仿宋_GB2312" w:hAnsi="仿宋_GB2312" w:eastAsia="仿宋_GB2312"/>
          <w:b w:val="0"/>
          <w:bCs w:val="0"/>
          <w:color w:val="auto"/>
          <w:sz w:val="32"/>
          <w:szCs w:val="32"/>
          <w:highlight w:val="none"/>
        </w:rPr>
      </w:pPr>
    </w:p>
    <w:p>
      <w:pPr>
        <w:pageBreakBefore/>
        <w:spacing w:line="600" w:lineRule="exact"/>
        <w:jc w:val="center"/>
        <w:rPr>
          <w:rFonts w:ascii="仿宋_GB2312" w:hAnsi="仿宋_GB2312" w:eastAsia="仿宋_GB2312"/>
          <w:b w:val="0"/>
          <w:bCs w:val="0"/>
          <w:color w:val="auto"/>
          <w:sz w:val="32"/>
          <w:szCs w:val="32"/>
          <w:highlight w:val="none"/>
        </w:rPr>
      </w:pPr>
      <w:r>
        <w:rPr>
          <w:rFonts w:hint="eastAsia" w:ascii="仿宋_GB2312" w:hAnsi="仿宋_GB2312" w:eastAsia="仿宋_GB2312"/>
          <w:b w:val="0"/>
          <w:bCs w:val="0"/>
          <w:color w:val="auto"/>
          <w:sz w:val="32"/>
          <w:szCs w:val="32"/>
          <w:highlight w:val="none"/>
        </w:rPr>
        <w:t>谈判供应商须知</w:t>
      </w:r>
    </w:p>
    <w:p>
      <w:pPr>
        <w:spacing w:line="400" w:lineRule="exact"/>
        <w:rPr>
          <w:rFonts w:ascii="仿宋_GB2312" w:hAnsi="仿宋_GB2312" w:eastAsia="仿宋_GB2312"/>
          <w:b w:val="0"/>
          <w:bCs w:val="0"/>
          <w:color w:val="auto"/>
          <w:szCs w:val="21"/>
          <w:highlight w:val="none"/>
        </w:rPr>
      </w:pPr>
    </w:p>
    <w:p>
      <w:pPr>
        <w:spacing w:line="400" w:lineRule="exact"/>
        <w:ind w:firstLine="422"/>
        <w:rPr>
          <w:rFonts w:ascii="宋体" w:hAnsi="宋体"/>
          <w:b/>
          <w:bCs/>
          <w:color w:val="auto"/>
          <w:szCs w:val="21"/>
          <w:highlight w:val="none"/>
        </w:rPr>
      </w:pPr>
      <w:r>
        <w:rPr>
          <w:rFonts w:hint="eastAsia" w:ascii="宋体" w:hAnsi="宋体"/>
          <w:b/>
          <w:bCs/>
          <w:color w:val="auto"/>
          <w:szCs w:val="21"/>
          <w:highlight w:val="none"/>
        </w:rPr>
        <w:t>一、总　则</w:t>
      </w:r>
    </w:p>
    <w:p>
      <w:pPr>
        <w:spacing w:line="400" w:lineRule="exact"/>
        <w:ind w:firstLine="420"/>
        <w:rPr>
          <w:rFonts w:ascii="宋体" w:hAnsi="宋体"/>
          <w:b w:val="0"/>
          <w:bCs w:val="0"/>
          <w:color w:val="auto"/>
          <w:szCs w:val="21"/>
          <w:highlight w:val="none"/>
        </w:rPr>
      </w:pPr>
      <w:r>
        <w:rPr>
          <w:rFonts w:hint="eastAsia" w:ascii="宋体" w:hAnsi="宋体"/>
          <w:b w:val="0"/>
          <w:bCs w:val="0"/>
          <w:color w:val="auto"/>
          <w:szCs w:val="21"/>
          <w:highlight w:val="none"/>
        </w:rPr>
        <w:t>1. 适用范围</w:t>
      </w:r>
    </w:p>
    <w:p>
      <w:pPr>
        <w:spacing w:line="400" w:lineRule="exact"/>
        <w:ind w:firstLine="420"/>
        <w:rPr>
          <w:rFonts w:ascii="宋体" w:hAnsi="宋体"/>
          <w:b w:val="0"/>
          <w:bCs w:val="0"/>
          <w:color w:val="auto"/>
          <w:szCs w:val="21"/>
          <w:highlight w:val="none"/>
        </w:rPr>
      </w:pPr>
      <w:r>
        <w:rPr>
          <w:rFonts w:hint="eastAsia" w:ascii="宋体" w:hAnsi="宋体"/>
          <w:b w:val="0"/>
          <w:bCs w:val="0"/>
          <w:color w:val="auto"/>
          <w:szCs w:val="21"/>
          <w:highlight w:val="none"/>
        </w:rPr>
        <w:t>1.1项目名称：广西壮族自治区疾病预防控制中心</w:t>
      </w:r>
      <w:r>
        <w:rPr>
          <w:rFonts w:hint="eastAsia" w:ascii="仿宋" w:hAnsi="仿宋" w:eastAsia="宋体" w:cs="宋体"/>
          <w:b w:val="0"/>
          <w:bCs w:val="0"/>
          <w:strike w:val="0"/>
          <w:color w:val="auto"/>
          <w:spacing w:val="0"/>
          <w:kern w:val="0"/>
          <w:sz w:val="21"/>
          <w:szCs w:val="21"/>
          <w:highlight w:val="none"/>
          <w:lang w:val="en-US" w:eastAsia="zh-CN" w:bidi="ar-SA"/>
        </w:rPr>
        <w:t>礼堂座椅及地毯采购</w:t>
      </w:r>
      <w:r>
        <w:rPr>
          <w:rFonts w:hint="eastAsia" w:ascii="宋体" w:hAnsi="宋体"/>
          <w:b w:val="0"/>
          <w:bCs w:val="0"/>
          <w:color w:val="auto"/>
          <w:szCs w:val="21"/>
          <w:highlight w:val="none"/>
        </w:rPr>
        <w:t xml:space="preserve">  </w:t>
      </w:r>
      <w:r>
        <w:rPr>
          <w:rFonts w:ascii="宋体" w:hAnsi="宋体"/>
          <w:b w:val="0"/>
          <w:bCs w:val="0"/>
          <w:color w:val="auto"/>
          <w:szCs w:val="21"/>
          <w:highlight w:val="none"/>
        </w:rPr>
        <w:t xml:space="preserve"> </w:t>
      </w:r>
    </w:p>
    <w:p>
      <w:pPr>
        <w:spacing w:line="400" w:lineRule="exact"/>
        <w:ind w:firstLine="420"/>
        <w:rPr>
          <w:rFonts w:ascii="宋体" w:hAnsi="宋体"/>
          <w:b w:val="0"/>
          <w:bCs w:val="0"/>
          <w:color w:val="auto"/>
          <w:szCs w:val="21"/>
          <w:highlight w:val="none"/>
        </w:rPr>
      </w:pPr>
      <w:r>
        <w:rPr>
          <w:rFonts w:hint="eastAsia" w:ascii="宋体" w:hAnsi="宋体"/>
          <w:b w:val="0"/>
          <w:bCs w:val="0"/>
          <w:color w:val="auto"/>
          <w:szCs w:val="21"/>
          <w:highlight w:val="none"/>
        </w:rPr>
        <w:t>本文件仅适用于本文件中所叙述的货物类政府采购项目。</w:t>
      </w:r>
    </w:p>
    <w:p>
      <w:pPr>
        <w:spacing w:line="400" w:lineRule="exact"/>
        <w:ind w:firstLine="420"/>
        <w:rPr>
          <w:rFonts w:ascii="宋体" w:hAnsi="宋体"/>
          <w:b w:val="0"/>
          <w:bCs w:val="0"/>
          <w:color w:val="auto"/>
          <w:szCs w:val="21"/>
          <w:highlight w:val="none"/>
        </w:rPr>
      </w:pPr>
      <w:r>
        <w:rPr>
          <w:rFonts w:hint="eastAsia" w:ascii="宋体" w:hAnsi="宋体"/>
          <w:b w:val="0"/>
          <w:bCs w:val="0"/>
          <w:color w:val="auto"/>
          <w:szCs w:val="21"/>
          <w:highlight w:val="none"/>
        </w:rPr>
        <w:t>2. 定义</w:t>
      </w:r>
    </w:p>
    <w:p>
      <w:pPr>
        <w:spacing w:line="400" w:lineRule="exact"/>
        <w:ind w:firstLine="420"/>
        <w:rPr>
          <w:rFonts w:ascii="宋体" w:hAnsi="宋体"/>
          <w:b w:val="0"/>
          <w:bCs w:val="0"/>
          <w:color w:val="auto"/>
          <w:szCs w:val="21"/>
          <w:highlight w:val="none"/>
          <w:lang w:val="en"/>
        </w:rPr>
      </w:pPr>
      <w:r>
        <w:rPr>
          <w:rFonts w:hint="eastAsia" w:ascii="宋体" w:hAnsi="宋体"/>
          <w:b w:val="0"/>
          <w:bCs w:val="0"/>
          <w:color w:val="auto"/>
          <w:szCs w:val="21"/>
          <w:highlight w:val="none"/>
        </w:rPr>
        <w:t>2.1“采购人”是指：</w:t>
      </w:r>
      <w:r>
        <w:rPr>
          <w:rFonts w:hint="eastAsia" w:ascii="宋体" w:hAnsi="宋体"/>
          <w:b/>
          <w:bCs/>
          <w:color w:val="auto"/>
          <w:szCs w:val="21"/>
          <w:highlight w:val="none"/>
        </w:rPr>
        <w:t>广西壮族自治区疾病预防控制中心</w:t>
      </w:r>
      <w:r>
        <w:rPr>
          <w:rFonts w:ascii="宋体" w:hAnsi="宋体"/>
          <w:b w:val="0"/>
          <w:bCs w:val="0"/>
          <w:color w:val="auto"/>
          <w:szCs w:val="21"/>
          <w:highlight w:val="none"/>
        </w:rPr>
        <w:t xml:space="preserve"> </w:t>
      </w:r>
    </w:p>
    <w:p>
      <w:pPr>
        <w:spacing w:line="400" w:lineRule="exact"/>
        <w:ind w:firstLine="420"/>
        <w:rPr>
          <w:rFonts w:ascii="宋体" w:hAnsi="宋体"/>
          <w:b w:val="0"/>
          <w:bCs w:val="0"/>
          <w:color w:val="auto"/>
          <w:szCs w:val="21"/>
          <w:highlight w:val="none"/>
        </w:rPr>
      </w:pPr>
      <w:r>
        <w:rPr>
          <w:rFonts w:hint="eastAsia" w:ascii="宋体" w:hAnsi="宋体"/>
          <w:b w:val="0"/>
          <w:bCs w:val="0"/>
          <w:color w:val="auto"/>
          <w:szCs w:val="21"/>
          <w:highlight w:val="none"/>
        </w:rPr>
        <w:t>2.2“采购代理机构”是指：</w:t>
      </w:r>
      <w:r>
        <w:rPr>
          <w:rFonts w:hint="eastAsia"/>
          <w:b w:val="0"/>
          <w:bCs w:val="0"/>
          <w:color w:val="auto"/>
          <w:highlight w:val="none"/>
        </w:rPr>
        <w:t>广西壮族自治区政府采购中心(以下简称“本中心”)。</w:t>
      </w:r>
    </w:p>
    <w:p>
      <w:pPr>
        <w:spacing w:line="400" w:lineRule="exact"/>
        <w:ind w:firstLine="420"/>
        <w:rPr>
          <w:rFonts w:ascii="宋体" w:hAnsi="宋体"/>
          <w:b w:val="0"/>
          <w:bCs w:val="0"/>
          <w:color w:val="auto"/>
          <w:szCs w:val="21"/>
          <w:highlight w:val="none"/>
        </w:rPr>
      </w:pPr>
      <w:r>
        <w:rPr>
          <w:rFonts w:hint="eastAsia" w:ascii="宋体" w:hAnsi="宋体"/>
          <w:b w:val="0"/>
          <w:bCs w:val="0"/>
          <w:color w:val="auto"/>
          <w:szCs w:val="21"/>
          <w:highlight w:val="none"/>
        </w:rPr>
        <w:t>2.3“谈判供应商”是指响应本文件要求，参加谈判的法人或者其他组织和自然人。如果该供应商在本次谈判中成交,即成为“成交供应商”。</w:t>
      </w:r>
    </w:p>
    <w:p>
      <w:pPr>
        <w:spacing w:line="400" w:lineRule="exact"/>
        <w:ind w:firstLine="420"/>
        <w:rPr>
          <w:rFonts w:ascii="宋体" w:hAnsi="宋体"/>
          <w:b w:val="0"/>
          <w:bCs w:val="0"/>
          <w:color w:val="auto"/>
          <w:szCs w:val="21"/>
          <w:highlight w:val="none"/>
        </w:rPr>
      </w:pPr>
      <w:r>
        <w:rPr>
          <w:rFonts w:hint="eastAsia" w:ascii="宋体" w:hAnsi="宋体"/>
          <w:b w:val="0"/>
          <w:bCs w:val="0"/>
          <w:color w:val="auto"/>
          <w:szCs w:val="21"/>
          <w:highlight w:val="none"/>
        </w:rPr>
        <w:t>2.4“货物”是指各种形态和种类的物品，包括原材料、燃料、设备、产品等。</w:t>
      </w:r>
    </w:p>
    <w:p>
      <w:pPr>
        <w:spacing w:line="400" w:lineRule="exact"/>
        <w:ind w:firstLine="420"/>
        <w:rPr>
          <w:rFonts w:ascii="宋体" w:hAnsi="宋体"/>
          <w:b w:val="0"/>
          <w:bCs w:val="0"/>
          <w:color w:val="auto"/>
          <w:szCs w:val="21"/>
          <w:highlight w:val="none"/>
        </w:rPr>
      </w:pPr>
      <w:r>
        <w:rPr>
          <w:rFonts w:hint="eastAsia" w:ascii="宋体" w:hAnsi="宋体"/>
          <w:b w:val="0"/>
          <w:bCs w:val="0"/>
          <w:color w:val="auto"/>
          <w:szCs w:val="21"/>
          <w:highlight w:val="none"/>
        </w:rPr>
        <w:t>2.5“服务”是指除货物和工程以外的其他政府采购对象。</w:t>
      </w:r>
    </w:p>
    <w:p>
      <w:pPr>
        <w:spacing w:line="400" w:lineRule="exact"/>
        <w:ind w:firstLine="420"/>
        <w:rPr>
          <w:rFonts w:ascii="宋体" w:hAnsi="宋体"/>
          <w:b w:val="0"/>
          <w:bCs w:val="0"/>
          <w:color w:val="auto"/>
          <w:szCs w:val="21"/>
          <w:highlight w:val="none"/>
        </w:rPr>
      </w:pPr>
      <w:r>
        <w:rPr>
          <w:rFonts w:hint="eastAsia" w:ascii="宋体" w:hAnsi="宋体"/>
          <w:b w:val="0"/>
          <w:bCs w:val="0"/>
          <w:color w:val="auto"/>
          <w:szCs w:val="21"/>
          <w:highlight w:val="none"/>
        </w:rPr>
        <w:t>2.6“竞争性谈判响应文件”是指：供应商根据本文件要求，编制包含报价、技术和服务等所有内容的文件。</w:t>
      </w:r>
    </w:p>
    <w:p>
      <w:pPr>
        <w:spacing w:line="400" w:lineRule="exact"/>
        <w:ind w:firstLine="422"/>
        <w:rPr>
          <w:rFonts w:ascii="宋体" w:hAnsi="宋体"/>
          <w:b w:val="0"/>
          <w:bCs w:val="0"/>
          <w:color w:val="auto"/>
          <w:szCs w:val="21"/>
          <w:highlight w:val="none"/>
          <w:u w:val="single"/>
        </w:rPr>
      </w:pPr>
      <w:r>
        <w:rPr>
          <w:rFonts w:hint="eastAsia" w:ascii="宋体" w:hAnsi="宋体"/>
          <w:b w:val="0"/>
          <w:bCs w:val="0"/>
          <w:color w:val="auto"/>
          <w:szCs w:val="21"/>
          <w:highlight w:val="none"/>
        </w:rPr>
        <w:t>3. 谈判供应商资格：</w:t>
      </w:r>
      <w:r>
        <w:rPr>
          <w:rFonts w:hint="eastAsia" w:ascii="宋体" w:hAnsi="宋体"/>
          <w:b w:val="0"/>
          <w:bCs w:val="0"/>
          <w:color w:val="auto"/>
          <w:szCs w:val="21"/>
          <w:highlight w:val="none"/>
          <w:u w:val="single"/>
        </w:rPr>
        <w:t xml:space="preserve">   </w:t>
      </w:r>
      <w:r>
        <w:rPr>
          <w:rFonts w:hint="eastAsia"/>
          <w:b w:val="0"/>
          <w:bCs w:val="0"/>
          <w:color w:val="auto"/>
          <w:highlight w:val="none"/>
          <w:u w:val="single"/>
        </w:rPr>
        <w:t>详见《第一章 竞争性谈判公告》  。</w:t>
      </w:r>
    </w:p>
    <w:p>
      <w:pPr>
        <w:spacing w:line="600" w:lineRule="exact"/>
        <w:ind w:firstLine="413"/>
        <w:rPr>
          <w:rFonts w:ascii="宋体" w:hAnsi="宋体"/>
          <w:b w:val="0"/>
          <w:bCs w:val="0"/>
          <w:color w:val="auto"/>
          <w:szCs w:val="21"/>
          <w:highlight w:val="none"/>
        </w:rPr>
      </w:pPr>
      <w:r>
        <w:rPr>
          <w:rFonts w:hint="eastAsia" w:ascii="宋体" w:hAnsi="宋体"/>
          <w:b w:val="0"/>
          <w:bCs w:val="0"/>
          <w:color w:val="auto"/>
          <w:szCs w:val="21"/>
          <w:highlight w:val="none"/>
        </w:rPr>
        <w:t>4. 谈判费用、竞争性谈判公告、竞争性谈判文件的澄清和修改</w:t>
      </w:r>
    </w:p>
    <w:p>
      <w:pPr>
        <w:spacing w:line="400" w:lineRule="exact"/>
        <w:ind w:firstLine="420"/>
        <w:rPr>
          <w:rFonts w:ascii="宋体" w:hAnsi="宋体"/>
          <w:b w:val="0"/>
          <w:bCs w:val="0"/>
          <w:color w:val="auto"/>
          <w:szCs w:val="21"/>
          <w:highlight w:val="none"/>
        </w:rPr>
      </w:pPr>
      <w:r>
        <w:rPr>
          <w:rFonts w:hint="eastAsia" w:ascii="宋体" w:hAnsi="宋体"/>
          <w:b w:val="0"/>
          <w:bCs w:val="0"/>
          <w:color w:val="auto"/>
          <w:szCs w:val="21"/>
          <w:highlight w:val="none"/>
        </w:rPr>
        <w:t>4.1谈判费用：谈判供应商应自行承担所有与编写和提交竞争性谈判响应文件有关的费用，不论谈判结果如何，采购人和</w:t>
      </w:r>
      <w:r>
        <w:rPr>
          <w:rFonts w:hint="eastAsia" w:ascii="宋体" w:hAnsi="宋体"/>
          <w:b w:val="0"/>
          <w:bCs w:val="0"/>
          <w:color w:val="auto"/>
          <w:highlight w:val="none"/>
        </w:rPr>
        <w:t>本中心</w:t>
      </w:r>
      <w:r>
        <w:rPr>
          <w:rFonts w:hint="eastAsia" w:ascii="宋体" w:hAnsi="宋体"/>
          <w:b w:val="0"/>
          <w:bCs w:val="0"/>
          <w:color w:val="auto"/>
          <w:szCs w:val="21"/>
          <w:highlight w:val="none"/>
        </w:rPr>
        <w:t>在任何情况下无义务和责任承担此类费用。</w:t>
      </w:r>
    </w:p>
    <w:p>
      <w:pPr>
        <w:pStyle w:val="8"/>
        <w:spacing w:line="440" w:lineRule="exact"/>
        <w:ind w:firstLine="420"/>
        <w:rPr>
          <w:b w:val="0"/>
          <w:bCs w:val="0"/>
          <w:color w:val="auto"/>
          <w:highlight w:val="none"/>
        </w:rPr>
      </w:pPr>
      <w:r>
        <w:rPr>
          <w:rFonts w:hint="eastAsia"/>
          <w:b w:val="0"/>
          <w:bCs w:val="0"/>
          <w:color w:val="auto"/>
          <w:highlight w:val="none"/>
        </w:rPr>
        <w:t>4.2竞争性谈判公告：</w:t>
      </w:r>
      <w:r>
        <w:rPr>
          <w:rFonts w:hint="eastAsia"/>
          <w:b w:val="0"/>
          <w:bCs w:val="0"/>
          <w:color w:val="auto"/>
          <w:highlight w:val="none"/>
          <w:u w:val="single"/>
        </w:rPr>
        <w:t>见中国政府采购网(</w:t>
      </w:r>
      <w:r>
        <w:rPr>
          <w:b w:val="0"/>
          <w:bCs w:val="0"/>
          <w:color w:val="auto"/>
          <w:highlight w:val="none"/>
          <w:u w:val="single"/>
        </w:rPr>
        <w:fldChar w:fldCharType="begin"/>
      </w:r>
      <w:r>
        <w:rPr>
          <w:b w:val="0"/>
          <w:bCs w:val="0"/>
          <w:color w:val="auto"/>
          <w:highlight w:val="none"/>
          <w:u w:val="single"/>
        </w:rPr>
        <w:instrText xml:space="preserve"> HYPERLINK "http://www.ccgp.gov.cn" </w:instrText>
      </w:r>
      <w:r>
        <w:rPr>
          <w:b w:val="0"/>
          <w:bCs w:val="0"/>
          <w:color w:val="auto"/>
          <w:highlight w:val="none"/>
          <w:u w:val="single"/>
        </w:rPr>
        <w:fldChar w:fldCharType="separate"/>
      </w:r>
      <w:r>
        <w:rPr>
          <w:b w:val="0"/>
          <w:bCs w:val="0"/>
          <w:color w:val="auto"/>
          <w:highlight w:val="none"/>
          <w:u w:val="single"/>
        </w:rPr>
        <w:t>www.ccgp.gov.cn</w:t>
      </w:r>
      <w:r>
        <w:rPr>
          <w:b w:val="0"/>
          <w:bCs w:val="0"/>
          <w:color w:val="auto"/>
          <w:highlight w:val="none"/>
        </w:rPr>
        <w:fldChar w:fldCharType="end"/>
      </w:r>
      <w:r>
        <w:rPr>
          <w:rFonts w:hint="eastAsia"/>
          <w:b w:val="0"/>
          <w:bCs w:val="0"/>
          <w:color w:val="auto"/>
          <w:highlight w:val="none"/>
        </w:rPr>
        <w:t>)、广西壮族自治区政府采购网（</w:t>
      </w:r>
      <w:r>
        <w:rPr>
          <w:b w:val="0"/>
          <w:bCs w:val="0"/>
          <w:color w:val="auto"/>
          <w:highlight w:val="none"/>
        </w:rPr>
        <w:t>zfcg.gxzf.gov.cn</w:t>
      </w:r>
      <w:r>
        <w:rPr>
          <w:rFonts w:hint="eastAsia"/>
          <w:b w:val="0"/>
          <w:bCs w:val="0"/>
          <w:color w:val="auto"/>
          <w:highlight w:val="none"/>
        </w:rPr>
        <w:t>）及本中心网站（</w:t>
      </w:r>
      <w:r>
        <w:rPr>
          <w:b w:val="0"/>
          <w:bCs w:val="0"/>
          <w:color w:val="auto"/>
          <w:highlight w:val="none"/>
          <w:lang w:val="en"/>
        </w:rPr>
        <w:t>gxggzy.gxzf.gov.cn</w:t>
      </w:r>
      <w:r>
        <w:rPr>
          <w:rFonts w:hint="eastAsia"/>
          <w:b w:val="0"/>
          <w:bCs w:val="0"/>
          <w:color w:val="auto"/>
          <w:highlight w:val="none"/>
        </w:rPr>
        <w:t>）。</w:t>
      </w:r>
    </w:p>
    <w:p>
      <w:pPr>
        <w:spacing w:line="400" w:lineRule="exact"/>
        <w:ind w:firstLine="420"/>
        <w:rPr>
          <w:rFonts w:ascii="宋体" w:hAnsi="宋体"/>
          <w:b w:val="0"/>
          <w:bCs w:val="0"/>
          <w:color w:val="auto"/>
          <w:highlight w:val="none"/>
        </w:rPr>
      </w:pPr>
      <w:r>
        <w:rPr>
          <w:rFonts w:hint="eastAsia" w:ascii="宋体" w:hAnsi="宋体"/>
          <w:b w:val="0"/>
          <w:bCs w:val="0"/>
          <w:color w:val="auto"/>
          <w:szCs w:val="21"/>
          <w:highlight w:val="none"/>
        </w:rPr>
        <w:t>4.3竞争性</w:t>
      </w:r>
      <w:r>
        <w:rPr>
          <w:rFonts w:hint="eastAsia" w:ascii="宋体" w:hAnsi="宋体"/>
          <w:b w:val="0"/>
          <w:bCs w:val="0"/>
          <w:color w:val="auto"/>
          <w:highlight w:val="none"/>
        </w:rPr>
        <w:t>谈判文件的澄清和修改：</w:t>
      </w:r>
    </w:p>
    <w:p>
      <w:pPr>
        <w:pStyle w:val="8"/>
        <w:spacing w:line="400" w:lineRule="exact"/>
        <w:ind w:firstLine="420"/>
        <w:rPr>
          <w:b w:val="0"/>
          <w:bCs w:val="0"/>
          <w:color w:val="auto"/>
          <w:highlight w:val="none"/>
        </w:rPr>
      </w:pPr>
      <w:r>
        <w:rPr>
          <w:rFonts w:hint="eastAsia"/>
          <w:b w:val="0"/>
          <w:bCs w:val="0"/>
          <w:color w:val="auto"/>
          <w:highlight w:val="none"/>
        </w:rPr>
        <w:t>4.3.1谈判供应商应认真审核《采购需求》中的技术参数、配置及要求，如发现表中技术参数、配置有误或要求不合理的，谈判供应商必须在规定的时间前要求澄清，否则，由此产生的后果由谈判供应商负责。</w:t>
      </w:r>
    </w:p>
    <w:p>
      <w:pPr>
        <w:pStyle w:val="8"/>
        <w:spacing w:line="400" w:lineRule="exact"/>
        <w:ind w:firstLine="420"/>
        <w:rPr>
          <w:b w:val="0"/>
          <w:bCs w:val="0"/>
          <w:color w:val="auto"/>
          <w:highlight w:val="none"/>
        </w:rPr>
      </w:pPr>
      <w:r>
        <w:rPr>
          <w:rFonts w:hint="eastAsia"/>
          <w:b w:val="0"/>
          <w:bCs w:val="0"/>
          <w:color w:val="auto"/>
          <w:highlight w:val="none"/>
        </w:rPr>
        <w:t>4.3.2任何要求澄清竞争性谈判文件的谈判供应商，均应在响应文件提交截止日期3日前的正常工作时间以传真等书面形式通知本中心，同时认定其他澄清方式为无效。本中心将以书面形式予以答复。</w:t>
      </w:r>
    </w:p>
    <w:p>
      <w:pPr>
        <w:pStyle w:val="8"/>
        <w:spacing w:line="440" w:lineRule="exact"/>
        <w:ind w:firstLine="420"/>
        <w:rPr>
          <w:b w:val="0"/>
          <w:bCs w:val="0"/>
          <w:color w:val="auto"/>
          <w:highlight w:val="none"/>
        </w:rPr>
      </w:pPr>
      <w:r>
        <w:rPr>
          <w:rFonts w:hint="eastAsia"/>
          <w:b w:val="0"/>
          <w:bCs w:val="0"/>
          <w:color w:val="auto"/>
          <w:szCs w:val="20"/>
          <w:highlight w:val="none"/>
        </w:rPr>
        <w:t>4.3.3</w:t>
      </w:r>
      <w:r>
        <w:rPr>
          <w:rFonts w:hint="eastAsia"/>
          <w:b w:val="0"/>
          <w:bCs w:val="0"/>
          <w:color w:val="auto"/>
          <w:highlight w:val="none"/>
        </w:rPr>
        <w:t>本中心对已发出的谈判文件进行必要澄清或者修改的，在竞争性谈判文件要求提交竞争性谈判响应文件截止时间3个工作日前（不足3个工作日顺延），在</w:t>
      </w:r>
      <w:r>
        <w:rPr>
          <w:rFonts w:hint="eastAsia"/>
          <w:b w:val="0"/>
          <w:bCs w:val="0"/>
          <w:color w:val="auto"/>
          <w:highlight w:val="none"/>
          <w:u w:val="single"/>
        </w:rPr>
        <w:t>中国政府采购网(</w:t>
      </w:r>
      <w:r>
        <w:rPr>
          <w:b w:val="0"/>
          <w:bCs w:val="0"/>
          <w:color w:val="auto"/>
          <w:highlight w:val="none"/>
          <w:u w:val="single"/>
        </w:rPr>
        <w:t>www.ccgp.gov.cn</w:t>
      </w:r>
      <w:r>
        <w:rPr>
          <w:rFonts w:hint="eastAsia"/>
          <w:b w:val="0"/>
          <w:bCs w:val="0"/>
          <w:color w:val="auto"/>
          <w:highlight w:val="none"/>
          <w:u w:val="single"/>
        </w:rPr>
        <w:t>)、广西壮族自治区政府采购网（</w:t>
      </w:r>
      <w:r>
        <w:rPr>
          <w:b w:val="0"/>
          <w:bCs w:val="0"/>
          <w:color w:val="auto"/>
          <w:highlight w:val="none"/>
          <w:u w:val="single"/>
        </w:rPr>
        <w:t>zfcg.gxzf.gov.cn</w:t>
      </w:r>
      <w:r>
        <w:rPr>
          <w:rFonts w:hint="eastAsia"/>
          <w:b w:val="0"/>
          <w:bCs w:val="0"/>
          <w:color w:val="auto"/>
          <w:highlight w:val="none"/>
          <w:u w:val="single"/>
        </w:rPr>
        <w:t>）及本中心网站（</w:t>
      </w:r>
      <w:r>
        <w:rPr>
          <w:b w:val="0"/>
          <w:bCs w:val="0"/>
          <w:color w:val="auto"/>
          <w:highlight w:val="none"/>
          <w:u w:val="single"/>
          <w:lang w:val="en"/>
        </w:rPr>
        <w:t>gxggzy.gxzf.gov.cn</w:t>
      </w:r>
      <w:r>
        <w:rPr>
          <w:rFonts w:hint="eastAsia"/>
          <w:b w:val="0"/>
          <w:bCs w:val="0"/>
          <w:color w:val="auto"/>
          <w:highlight w:val="none"/>
          <w:u w:val="single"/>
        </w:rPr>
        <w:t>）</w:t>
      </w:r>
      <w:r>
        <w:rPr>
          <w:rFonts w:hint="eastAsia"/>
          <w:b w:val="0"/>
          <w:bCs w:val="0"/>
          <w:color w:val="auto"/>
          <w:highlight w:val="none"/>
        </w:rPr>
        <w:t>上发布更正公告，并以书面形式通知所有竞争性谈判文件收受人。该澄清或者修改的内容为竞争性谈判文件的组成部分。</w:t>
      </w:r>
    </w:p>
    <w:p>
      <w:pPr>
        <w:pStyle w:val="8"/>
        <w:spacing w:line="440" w:lineRule="exact"/>
        <w:ind w:firstLine="420"/>
        <w:rPr>
          <w:b w:val="0"/>
          <w:bCs w:val="0"/>
          <w:color w:val="auto"/>
          <w:highlight w:val="none"/>
        </w:rPr>
      </w:pPr>
      <w:r>
        <w:rPr>
          <w:rFonts w:hint="eastAsia"/>
          <w:b w:val="0"/>
          <w:bCs w:val="0"/>
          <w:color w:val="auto"/>
          <w:highlight w:val="none"/>
        </w:rPr>
        <w:t>4.3.4本中心可视具体情况，延长响应文件提交截止时间和开标时间。本中心至少在竞争性谈判文件要求提交竞争性谈判响应文件的截止时间一日前，将变更时间书面通知所有竞争性谈判文件收受人，并在</w:t>
      </w:r>
      <w:r>
        <w:rPr>
          <w:rFonts w:hint="eastAsia"/>
          <w:b w:val="0"/>
          <w:bCs w:val="0"/>
          <w:color w:val="auto"/>
          <w:highlight w:val="none"/>
          <w:u w:val="single"/>
        </w:rPr>
        <w:t>中国政府采购网(</w:t>
      </w:r>
      <w:r>
        <w:rPr>
          <w:b w:val="0"/>
          <w:bCs w:val="0"/>
          <w:color w:val="auto"/>
          <w:highlight w:val="none"/>
          <w:u w:val="single"/>
        </w:rPr>
        <w:t>www.ccgp.gov.cn</w:t>
      </w:r>
      <w:r>
        <w:rPr>
          <w:rFonts w:hint="eastAsia"/>
          <w:b w:val="0"/>
          <w:bCs w:val="0"/>
          <w:color w:val="auto"/>
          <w:highlight w:val="none"/>
          <w:u w:val="single"/>
        </w:rPr>
        <w:t>)、广西壮族自治区政府采购网（</w:t>
      </w:r>
      <w:r>
        <w:rPr>
          <w:b w:val="0"/>
          <w:bCs w:val="0"/>
          <w:color w:val="auto"/>
          <w:highlight w:val="none"/>
          <w:u w:val="single"/>
        </w:rPr>
        <w:t>zfcg.gxzf.gov.cn</w:t>
      </w:r>
      <w:r>
        <w:rPr>
          <w:rFonts w:hint="eastAsia"/>
          <w:b w:val="0"/>
          <w:bCs w:val="0"/>
          <w:color w:val="auto"/>
          <w:highlight w:val="none"/>
          <w:u w:val="single"/>
        </w:rPr>
        <w:t>）及本中心网站（</w:t>
      </w:r>
      <w:r>
        <w:rPr>
          <w:b w:val="0"/>
          <w:bCs w:val="0"/>
          <w:color w:val="auto"/>
          <w:highlight w:val="none"/>
          <w:u w:val="single"/>
          <w:lang w:val="en"/>
        </w:rPr>
        <w:t>gxggzy.gxzf.gov.cn</w:t>
      </w:r>
      <w:r>
        <w:rPr>
          <w:rFonts w:hint="eastAsia"/>
          <w:b w:val="0"/>
          <w:bCs w:val="0"/>
          <w:color w:val="auto"/>
          <w:highlight w:val="none"/>
          <w:u w:val="single"/>
        </w:rPr>
        <w:t>）</w:t>
      </w:r>
      <w:r>
        <w:rPr>
          <w:rFonts w:hint="eastAsia"/>
          <w:b w:val="0"/>
          <w:bCs w:val="0"/>
          <w:color w:val="auto"/>
          <w:highlight w:val="none"/>
        </w:rPr>
        <w:t>上发布变更公告。</w:t>
      </w:r>
    </w:p>
    <w:p>
      <w:pPr>
        <w:spacing w:line="400" w:lineRule="exact"/>
        <w:ind w:firstLine="422"/>
        <w:rPr>
          <w:rFonts w:ascii="宋体" w:hAnsi="宋体"/>
          <w:b/>
          <w:bCs/>
          <w:color w:val="auto"/>
          <w:szCs w:val="21"/>
          <w:highlight w:val="none"/>
        </w:rPr>
      </w:pPr>
      <w:r>
        <w:rPr>
          <w:rFonts w:hint="eastAsia" w:ascii="宋体" w:hAnsi="宋体"/>
          <w:b/>
          <w:bCs/>
          <w:color w:val="auto"/>
          <w:szCs w:val="21"/>
          <w:highlight w:val="none"/>
        </w:rPr>
        <w:t>二、竞争性谈判响应文件的编制</w:t>
      </w:r>
    </w:p>
    <w:p>
      <w:pPr>
        <w:spacing w:line="440" w:lineRule="exact"/>
        <w:ind w:firstLine="420" w:firstLineChars="200"/>
        <w:rPr>
          <w:rFonts w:hint="eastAsia" w:ascii="宋体" w:hAnsi="宋体"/>
          <w:b w:val="0"/>
          <w:bCs w:val="0"/>
          <w:color w:val="auto"/>
          <w:highlight w:val="none"/>
        </w:rPr>
      </w:pPr>
      <w:r>
        <w:rPr>
          <w:rFonts w:hint="eastAsia" w:ascii="宋体" w:hAnsi="宋体"/>
          <w:b w:val="0"/>
          <w:bCs w:val="0"/>
          <w:color w:val="auto"/>
          <w:highlight w:val="none"/>
        </w:rPr>
        <w:t>5. 竞争性谈判响应文件编制基本要求</w:t>
      </w:r>
    </w:p>
    <w:p>
      <w:pPr>
        <w:spacing w:line="440" w:lineRule="exact"/>
        <w:ind w:firstLine="420" w:firstLineChars="200"/>
        <w:rPr>
          <w:rFonts w:hint="eastAsia" w:ascii="宋体" w:hAnsi="宋体"/>
          <w:b w:val="0"/>
          <w:bCs w:val="0"/>
          <w:color w:val="auto"/>
          <w:highlight w:val="none"/>
        </w:rPr>
      </w:pPr>
      <w:r>
        <w:rPr>
          <w:rFonts w:hint="eastAsia" w:ascii="宋体" w:hAnsi="宋体"/>
          <w:b w:val="0"/>
          <w:bCs w:val="0"/>
          <w:color w:val="auto"/>
          <w:highlight w:val="none"/>
        </w:rPr>
        <w:t>5.1谈判供应商应按本竞争性谈判文件规定的格式和顺序编制并标注页码，响应文件内容不完整、编排混乱导致响应文件被误读、漏读或者查找不到相关内容的后果由谈判供应商承担。供应商应准确设置评审关联点。未设置或设置错误导致响应文件被误读、漏读或者查找不到相关内容的后果由谈判供应商承担。</w:t>
      </w:r>
    </w:p>
    <w:p>
      <w:pPr>
        <w:spacing w:line="440" w:lineRule="exact"/>
        <w:ind w:firstLine="420" w:firstLineChars="200"/>
        <w:rPr>
          <w:rFonts w:hint="eastAsia" w:ascii="宋体" w:hAnsi="宋体"/>
          <w:b w:val="0"/>
          <w:bCs w:val="0"/>
          <w:color w:val="auto"/>
          <w:highlight w:val="none"/>
        </w:rPr>
      </w:pPr>
      <w:r>
        <w:rPr>
          <w:rFonts w:hint="eastAsia" w:ascii="宋体" w:hAnsi="宋体"/>
          <w:b w:val="0"/>
          <w:bCs w:val="0"/>
          <w:color w:val="auto"/>
          <w:highlight w:val="none"/>
        </w:rPr>
        <w:t>5.2响应文件须由竞标供应商在规定位置盖章并由法定代表人或法定代表人的授权委托人</w:t>
      </w:r>
      <w:r>
        <w:rPr>
          <w:rFonts w:hint="eastAsia" w:ascii="宋体" w:hAnsi="宋体"/>
          <w:b w:val="0"/>
          <w:bCs w:val="0"/>
          <w:color w:val="auto"/>
          <w:highlight w:val="none"/>
          <w:lang w:eastAsia="zh-CN"/>
        </w:rPr>
        <w:t>签字或签章</w:t>
      </w:r>
      <w:r>
        <w:rPr>
          <w:rFonts w:hint="eastAsia" w:ascii="宋体" w:hAnsi="宋体"/>
          <w:b w:val="0"/>
          <w:bCs w:val="0"/>
          <w:color w:val="auto"/>
          <w:highlight w:val="none"/>
        </w:rPr>
        <w:t>，谈判供应商应写全称。</w:t>
      </w:r>
    </w:p>
    <w:p>
      <w:pPr>
        <w:spacing w:line="440" w:lineRule="exact"/>
        <w:ind w:firstLine="420" w:firstLineChars="200"/>
        <w:rPr>
          <w:rFonts w:hint="eastAsia" w:ascii="宋体" w:hAnsi="宋体"/>
          <w:b w:val="0"/>
          <w:bCs w:val="0"/>
          <w:color w:val="auto"/>
          <w:highlight w:val="none"/>
        </w:rPr>
      </w:pPr>
      <w:r>
        <w:rPr>
          <w:rFonts w:hint="eastAsia" w:ascii="宋体" w:hAnsi="宋体"/>
          <w:b w:val="0"/>
          <w:bCs w:val="0"/>
          <w:color w:val="auto"/>
          <w:highlight w:val="none"/>
        </w:rPr>
        <w:t>5.3响应文件不得涂改，若有修改错漏处，须加盖单位公章或者法定代表人或授权委托人</w:t>
      </w:r>
      <w:r>
        <w:rPr>
          <w:rFonts w:hint="default" w:ascii="宋体" w:hAnsi="宋体"/>
          <w:b w:val="0"/>
          <w:bCs w:val="0"/>
          <w:color w:val="auto"/>
          <w:highlight w:val="none"/>
          <w:lang w:val="en"/>
        </w:rPr>
        <w:t>签字或签章</w:t>
      </w:r>
      <w:r>
        <w:rPr>
          <w:rFonts w:hint="eastAsia" w:ascii="宋体" w:hAnsi="宋体"/>
          <w:b w:val="0"/>
          <w:bCs w:val="0"/>
          <w:color w:val="auto"/>
          <w:highlight w:val="none"/>
        </w:rPr>
        <w:t>。响应文件因扫描不清晰或乱码或表达不清所引起的后果由谈判供应商承担。</w:t>
      </w:r>
    </w:p>
    <w:p>
      <w:pPr>
        <w:spacing w:line="440" w:lineRule="exact"/>
        <w:ind w:firstLine="420" w:firstLineChars="200"/>
        <w:rPr>
          <w:rFonts w:hint="eastAsia" w:ascii="宋体" w:hAnsi="宋体"/>
          <w:b w:val="0"/>
          <w:bCs w:val="0"/>
          <w:color w:val="auto"/>
          <w:highlight w:val="none"/>
        </w:rPr>
      </w:pPr>
      <w:r>
        <w:rPr>
          <w:rFonts w:hint="eastAsia" w:ascii="宋体" w:hAnsi="宋体"/>
          <w:b w:val="0"/>
          <w:bCs w:val="0"/>
          <w:color w:val="auto"/>
          <w:highlight w:val="none"/>
        </w:rPr>
        <w:t>5.4竞争性谈判响应文件的组成：竞争性谈判响应文件应分为价格文件和商务技术文件两个部分组成。</w:t>
      </w:r>
    </w:p>
    <w:p>
      <w:pPr>
        <w:spacing w:line="400" w:lineRule="exact"/>
        <w:ind w:firstLine="422"/>
        <w:rPr>
          <w:rFonts w:ascii="宋体" w:hAnsi="宋体"/>
          <w:b w:val="0"/>
          <w:bCs w:val="0"/>
          <w:color w:val="auto"/>
          <w:szCs w:val="21"/>
          <w:highlight w:val="none"/>
        </w:rPr>
      </w:pPr>
      <w:r>
        <w:rPr>
          <w:rFonts w:hint="eastAsia" w:ascii="宋体" w:hAnsi="宋体"/>
          <w:b w:val="0"/>
          <w:bCs w:val="0"/>
          <w:color w:val="auto"/>
          <w:szCs w:val="21"/>
          <w:highlight w:val="none"/>
        </w:rPr>
        <w:t>5.5.1价格文件</w:t>
      </w:r>
    </w:p>
    <w:p>
      <w:pPr>
        <w:spacing w:line="400" w:lineRule="exact"/>
        <w:ind w:firstLine="420"/>
        <w:rPr>
          <w:rFonts w:ascii="宋体" w:hAnsi="宋体"/>
          <w:b w:val="0"/>
          <w:bCs w:val="0"/>
          <w:color w:val="auto"/>
          <w:szCs w:val="21"/>
          <w:highlight w:val="none"/>
        </w:rPr>
      </w:pPr>
      <w:r>
        <w:rPr>
          <w:rFonts w:hint="eastAsia" w:ascii="宋体" w:hAnsi="宋体"/>
          <w:b w:val="0"/>
          <w:bCs w:val="0"/>
          <w:color w:val="auto"/>
          <w:szCs w:val="21"/>
          <w:highlight w:val="none"/>
        </w:rPr>
        <w:t>1）报价表；（附件二）[必须提供]</w:t>
      </w:r>
    </w:p>
    <w:p>
      <w:pPr>
        <w:spacing w:line="400" w:lineRule="exact"/>
        <w:ind w:firstLine="422"/>
        <w:rPr>
          <w:rFonts w:ascii="宋体" w:hAnsi="宋体"/>
          <w:b w:val="0"/>
          <w:bCs w:val="0"/>
          <w:color w:val="auto"/>
          <w:szCs w:val="21"/>
          <w:highlight w:val="none"/>
        </w:rPr>
      </w:pPr>
      <w:r>
        <w:rPr>
          <w:rFonts w:hint="eastAsia" w:ascii="宋体" w:hAnsi="宋体"/>
          <w:b w:val="0"/>
          <w:bCs w:val="0"/>
          <w:color w:val="auto"/>
          <w:szCs w:val="21"/>
          <w:highlight w:val="none"/>
        </w:rPr>
        <w:t xml:space="preserve">5.5.2 商务技术文件（应该有的必须提供,如未提供,谈判小组有权拒绝其竞争性谈判响应文件） </w:t>
      </w:r>
    </w:p>
    <w:p>
      <w:pPr>
        <w:spacing w:line="400" w:lineRule="exact"/>
        <w:ind w:firstLine="420"/>
        <w:rPr>
          <w:rFonts w:ascii="宋体" w:hAnsi="宋体"/>
          <w:b w:val="0"/>
          <w:bCs w:val="0"/>
          <w:color w:val="auto"/>
          <w:szCs w:val="21"/>
          <w:highlight w:val="none"/>
        </w:rPr>
      </w:pPr>
      <w:r>
        <w:rPr>
          <w:rFonts w:hint="eastAsia" w:ascii="宋体" w:hAnsi="宋体"/>
          <w:b w:val="0"/>
          <w:bCs w:val="0"/>
          <w:color w:val="auto"/>
          <w:szCs w:val="21"/>
          <w:highlight w:val="none"/>
        </w:rPr>
        <w:t>1）谈判书；（附件一）[必须提供]</w:t>
      </w:r>
    </w:p>
    <w:p>
      <w:pPr>
        <w:spacing w:line="400" w:lineRule="exact"/>
        <w:ind w:firstLine="420"/>
        <w:rPr>
          <w:rFonts w:ascii="宋体" w:hAnsi="宋体"/>
          <w:b w:val="0"/>
          <w:bCs w:val="0"/>
          <w:color w:val="auto"/>
          <w:szCs w:val="21"/>
          <w:highlight w:val="none"/>
        </w:rPr>
      </w:pPr>
      <w:r>
        <w:rPr>
          <w:rFonts w:hint="eastAsia" w:ascii="宋体" w:hAnsi="宋体"/>
          <w:b w:val="0"/>
          <w:bCs w:val="0"/>
          <w:color w:val="auto"/>
          <w:szCs w:val="21"/>
          <w:highlight w:val="none"/>
        </w:rPr>
        <w:t>2）商务、技术响应、偏离情况说明表；（附件三）[必须提供]</w:t>
      </w:r>
    </w:p>
    <w:p>
      <w:pPr>
        <w:spacing w:line="360" w:lineRule="exact"/>
        <w:ind w:firstLine="412"/>
        <w:jc w:val="left"/>
        <w:rPr>
          <w:rFonts w:ascii="宋体" w:hAnsi="宋体"/>
          <w:b w:val="0"/>
          <w:bCs w:val="0"/>
          <w:color w:val="auto"/>
          <w:szCs w:val="21"/>
          <w:highlight w:val="none"/>
        </w:rPr>
      </w:pPr>
      <w:r>
        <w:rPr>
          <w:rFonts w:hint="eastAsia" w:ascii="宋体" w:hAnsi="宋体"/>
          <w:b w:val="0"/>
          <w:bCs w:val="0"/>
          <w:color w:val="auto"/>
          <w:szCs w:val="21"/>
          <w:highlight w:val="none"/>
        </w:rPr>
        <w:t>3）法定代表人授权委托书原件</w:t>
      </w:r>
      <w:r>
        <w:rPr>
          <w:rFonts w:hint="eastAsia" w:ascii="宋体" w:hAnsi="宋体"/>
          <w:b w:val="0"/>
          <w:bCs w:val="0"/>
          <w:color w:val="auto"/>
          <w:highlight w:val="none"/>
        </w:rPr>
        <w:t>、委托代理人身份证扫描件或其他电子文件；[委托代理时必须提供]</w:t>
      </w:r>
      <w:r>
        <w:rPr>
          <w:rFonts w:hint="eastAsia" w:ascii="宋体" w:hAnsi="宋体"/>
          <w:b w:val="0"/>
          <w:bCs w:val="0"/>
          <w:color w:val="auto"/>
          <w:szCs w:val="21"/>
          <w:highlight w:val="none"/>
        </w:rPr>
        <w:t xml:space="preserve">；[附件四]； </w:t>
      </w:r>
    </w:p>
    <w:p>
      <w:pPr>
        <w:spacing w:line="400" w:lineRule="exact"/>
        <w:ind w:firstLine="420"/>
        <w:rPr>
          <w:rFonts w:ascii="宋体" w:hAnsi="宋体"/>
          <w:b w:val="0"/>
          <w:bCs w:val="0"/>
          <w:color w:val="auto"/>
          <w:szCs w:val="21"/>
          <w:highlight w:val="none"/>
        </w:rPr>
      </w:pPr>
      <w:r>
        <w:rPr>
          <w:rFonts w:hint="eastAsia" w:ascii="宋体" w:hAnsi="宋体"/>
          <w:b w:val="0"/>
          <w:bCs w:val="0"/>
          <w:color w:val="auto"/>
          <w:szCs w:val="21"/>
          <w:highlight w:val="none"/>
        </w:rPr>
        <w:t>4）法定代表人身份证</w:t>
      </w:r>
      <w:r>
        <w:rPr>
          <w:rFonts w:hint="eastAsia" w:ascii="宋体" w:hAnsi="宋体"/>
          <w:b w:val="0"/>
          <w:bCs w:val="0"/>
          <w:color w:val="auto"/>
          <w:highlight w:val="none"/>
        </w:rPr>
        <w:t>扫描件或其他电子文件</w:t>
      </w:r>
      <w:r>
        <w:rPr>
          <w:rFonts w:hint="eastAsia" w:ascii="宋体" w:hAnsi="宋体"/>
          <w:b w:val="0"/>
          <w:bCs w:val="0"/>
          <w:color w:val="auto"/>
          <w:szCs w:val="21"/>
          <w:highlight w:val="none"/>
        </w:rPr>
        <w:t>；[法定代表人参加谈判时，必须提供]</w:t>
      </w:r>
    </w:p>
    <w:p>
      <w:pPr>
        <w:spacing w:line="400" w:lineRule="exact"/>
        <w:ind w:firstLine="420"/>
        <w:rPr>
          <w:rFonts w:ascii="宋体" w:hAnsi="宋体"/>
          <w:b w:val="0"/>
          <w:bCs w:val="0"/>
          <w:color w:val="auto"/>
          <w:szCs w:val="21"/>
          <w:highlight w:val="none"/>
        </w:rPr>
      </w:pPr>
      <w:r>
        <w:rPr>
          <w:rFonts w:hint="eastAsia" w:ascii="宋体" w:hAnsi="宋体"/>
          <w:b w:val="0"/>
          <w:bCs w:val="0"/>
          <w:color w:val="auto"/>
          <w:szCs w:val="21"/>
          <w:highlight w:val="none"/>
        </w:rPr>
        <w:t>5）有效的营业执照等证明文件</w:t>
      </w:r>
      <w:r>
        <w:rPr>
          <w:rFonts w:hint="eastAsia" w:ascii="宋体" w:hAnsi="宋体"/>
          <w:b w:val="0"/>
          <w:bCs w:val="0"/>
          <w:color w:val="auto"/>
          <w:highlight w:val="none"/>
        </w:rPr>
        <w:t>扫描件或其他电子文件</w:t>
      </w:r>
      <w:r>
        <w:rPr>
          <w:rFonts w:hint="eastAsia" w:ascii="宋体" w:hAnsi="宋体"/>
          <w:b w:val="0"/>
          <w:bCs w:val="0"/>
          <w:color w:val="auto"/>
          <w:szCs w:val="21"/>
          <w:highlight w:val="none"/>
        </w:rPr>
        <w:t>；</w:t>
      </w:r>
    </w:p>
    <w:p>
      <w:pPr>
        <w:pStyle w:val="8"/>
        <w:spacing w:line="440" w:lineRule="exact"/>
        <w:ind w:firstLine="410"/>
        <w:rPr>
          <w:b w:val="0"/>
          <w:bCs w:val="0"/>
          <w:color w:val="auto"/>
          <w:highlight w:val="none"/>
        </w:rPr>
      </w:pPr>
      <w:r>
        <w:rPr>
          <w:rFonts w:hint="eastAsia"/>
          <w:b w:val="0"/>
          <w:bCs w:val="0"/>
          <w:color w:val="auto"/>
          <w:highlight w:val="none"/>
        </w:rPr>
        <w:t>①谈判供应商有效的“营业执照”等证明文件扫描件或其他电子文件； [必须提供，原件备查]；</w:t>
      </w:r>
    </w:p>
    <w:p>
      <w:pPr>
        <w:spacing w:line="400" w:lineRule="exact"/>
        <w:ind w:firstLine="420"/>
        <w:rPr>
          <w:rFonts w:ascii="宋体" w:hAnsi="宋体"/>
          <w:b w:val="0"/>
          <w:bCs w:val="0"/>
          <w:color w:val="auto"/>
          <w:szCs w:val="21"/>
          <w:highlight w:val="none"/>
        </w:rPr>
      </w:pPr>
      <w:r>
        <w:rPr>
          <w:rFonts w:hint="eastAsia" w:ascii="宋体" w:hAnsi="宋体"/>
          <w:b w:val="0"/>
          <w:bCs w:val="0"/>
          <w:color w:val="auto"/>
          <w:highlight w:val="none"/>
        </w:rPr>
        <w:t>②对于有经营资质要求的，谈判供应商必须提供有效的经营资质证书副本内页扫描件或其他电子文件，要求清晰反映该谈判供应商本年度经营资质，同时要加盖单位公章。</w:t>
      </w:r>
      <w:r>
        <w:rPr>
          <w:rFonts w:hint="eastAsia" w:ascii="宋体" w:hAnsi="宋体"/>
          <w:b w:val="0"/>
          <w:bCs w:val="0"/>
          <w:color w:val="auto"/>
          <w:szCs w:val="21"/>
          <w:highlight w:val="none"/>
        </w:rPr>
        <w:t>[如有要求，</w:t>
      </w:r>
      <w:r>
        <w:rPr>
          <w:rFonts w:hint="eastAsia" w:ascii="宋体" w:hAnsi="宋体"/>
          <w:b w:val="0"/>
          <w:bCs w:val="0"/>
          <w:color w:val="auto"/>
          <w:highlight w:val="none"/>
        </w:rPr>
        <w:t>必须提供</w:t>
      </w:r>
      <w:r>
        <w:rPr>
          <w:rFonts w:hint="eastAsia" w:ascii="宋体" w:hAnsi="宋体"/>
          <w:b w:val="0"/>
          <w:bCs w:val="0"/>
          <w:color w:val="auto"/>
          <w:szCs w:val="21"/>
          <w:highlight w:val="none"/>
        </w:rPr>
        <w:t>]</w:t>
      </w:r>
      <w:r>
        <w:rPr>
          <w:rFonts w:hint="eastAsia" w:ascii="宋体" w:hAnsi="宋体"/>
          <w:b w:val="0"/>
          <w:bCs w:val="0"/>
          <w:color w:val="auto"/>
          <w:highlight w:val="none"/>
        </w:rPr>
        <w:t>；</w:t>
      </w:r>
    </w:p>
    <w:p>
      <w:pPr>
        <w:spacing w:line="400" w:lineRule="exact"/>
        <w:ind w:firstLine="420"/>
        <w:rPr>
          <w:rFonts w:ascii="宋体" w:hAnsi="宋体"/>
          <w:b w:val="0"/>
          <w:bCs w:val="0"/>
          <w:color w:val="auto"/>
          <w:szCs w:val="21"/>
          <w:highlight w:val="none"/>
        </w:rPr>
      </w:pPr>
      <w:r>
        <w:rPr>
          <w:rFonts w:hint="eastAsia" w:ascii="宋体" w:hAnsi="宋体"/>
          <w:b w:val="0"/>
          <w:bCs w:val="0"/>
          <w:color w:val="auto"/>
          <w:szCs w:val="21"/>
          <w:highlight w:val="none"/>
        </w:rPr>
        <w:t>6）财务状况报告[格式自拟，必须提供]；</w:t>
      </w:r>
    </w:p>
    <w:p>
      <w:pPr>
        <w:spacing w:line="360" w:lineRule="exact"/>
        <w:ind w:firstLine="412"/>
        <w:jc w:val="left"/>
        <w:rPr>
          <w:rFonts w:ascii="宋体" w:hAnsi="宋体"/>
          <w:b w:val="0"/>
          <w:bCs w:val="0"/>
          <w:color w:val="auto"/>
          <w:szCs w:val="21"/>
          <w:highlight w:val="none"/>
        </w:rPr>
      </w:pPr>
      <w:r>
        <w:rPr>
          <w:rFonts w:hint="eastAsia" w:ascii="宋体" w:hAnsi="宋体"/>
          <w:b w:val="0"/>
          <w:bCs w:val="0"/>
          <w:color w:val="auto"/>
          <w:szCs w:val="21"/>
          <w:highlight w:val="none"/>
        </w:rPr>
        <w:t>7）响应文件提交截止之日前半年内谈判供应商连续三个月的依法缴纳税费或依法免缴税费的证明[</w:t>
      </w:r>
      <w:r>
        <w:rPr>
          <w:rFonts w:hint="eastAsia" w:ascii="宋体" w:hAnsi="宋体"/>
          <w:b w:val="0"/>
          <w:bCs w:val="0"/>
          <w:color w:val="auto"/>
          <w:highlight w:val="none"/>
        </w:rPr>
        <w:t>扫描件或其他电子文件</w:t>
      </w:r>
      <w:r>
        <w:rPr>
          <w:rFonts w:hint="eastAsia" w:ascii="宋体" w:hAnsi="宋体"/>
          <w:b w:val="0"/>
          <w:bCs w:val="0"/>
          <w:color w:val="auto"/>
          <w:szCs w:val="21"/>
          <w:highlight w:val="none"/>
        </w:rPr>
        <w:t>，原件备查，格式自拟，必须提供]；无纳税记录的，应提供由谈判供应商所在地主管国税或地税部门出具的《依法纳税或依法免税证明》[格式自拟，</w:t>
      </w:r>
      <w:r>
        <w:rPr>
          <w:rFonts w:hint="eastAsia" w:ascii="宋体" w:hAnsi="宋体"/>
          <w:b w:val="0"/>
          <w:bCs w:val="0"/>
          <w:color w:val="auto"/>
          <w:highlight w:val="none"/>
        </w:rPr>
        <w:t>扫描件或其他电子文件</w:t>
      </w:r>
      <w:r>
        <w:rPr>
          <w:rFonts w:hint="eastAsia" w:ascii="宋体" w:hAnsi="宋体"/>
          <w:b w:val="0"/>
          <w:bCs w:val="0"/>
          <w:color w:val="auto"/>
          <w:szCs w:val="21"/>
          <w:highlight w:val="none"/>
        </w:rPr>
        <w:t>，原件备查]。</w:t>
      </w:r>
    </w:p>
    <w:p>
      <w:pPr>
        <w:spacing w:after="50" w:line="360" w:lineRule="exact"/>
        <w:rPr>
          <w:rFonts w:ascii="宋体" w:hAnsi="宋体"/>
          <w:b w:val="0"/>
          <w:bCs w:val="0"/>
          <w:color w:val="auto"/>
          <w:szCs w:val="21"/>
          <w:highlight w:val="none"/>
        </w:rPr>
      </w:pPr>
      <w:r>
        <w:rPr>
          <w:rFonts w:hint="eastAsia" w:ascii="宋体" w:hAnsi="宋体"/>
          <w:b w:val="0"/>
          <w:bCs w:val="0"/>
          <w:color w:val="auto"/>
          <w:szCs w:val="21"/>
          <w:highlight w:val="none"/>
        </w:rPr>
        <w:t xml:space="preserve">    8）响应文件提交截止之日前半年内谈判供应商连续三个月的依法缴纳社保费的缴费凭证（复印件，原件备查，格式自拟）[必须提供]；无缴费记录的，应提供由谈判供应商所在地社保部门出具的《依法缴纳或依法免缴社保费证明》[格式自拟，复印件，原件备查]。</w:t>
      </w:r>
    </w:p>
    <w:p>
      <w:pPr>
        <w:spacing w:line="360" w:lineRule="exact"/>
        <w:ind w:firstLine="413"/>
        <w:jc w:val="left"/>
        <w:rPr>
          <w:rFonts w:ascii="宋体" w:hAnsi="宋体" w:cs="宋体"/>
          <w:b w:val="0"/>
          <w:bCs w:val="0"/>
          <w:color w:val="auto"/>
          <w:szCs w:val="21"/>
          <w:highlight w:val="none"/>
        </w:rPr>
      </w:pPr>
      <w:r>
        <w:rPr>
          <w:rFonts w:hint="eastAsia" w:ascii="宋体" w:hAnsi="宋体" w:cs="宋体"/>
          <w:b w:val="0"/>
          <w:bCs w:val="0"/>
          <w:color w:val="auto"/>
          <w:szCs w:val="21"/>
          <w:highlight w:val="none"/>
        </w:rPr>
        <w:t>9）</w:t>
      </w:r>
      <w:r>
        <w:rPr>
          <w:rFonts w:ascii="宋体" w:hAnsi="宋体"/>
          <w:b w:val="0"/>
          <w:bCs w:val="0"/>
          <w:color w:val="auto"/>
          <w:szCs w:val="21"/>
          <w:highlight w:val="none"/>
        </w:rPr>
        <w:t>具备履行合同所必需的设备和专业技术能力的证明材料</w:t>
      </w:r>
      <w:r>
        <w:rPr>
          <w:rFonts w:hint="eastAsia" w:ascii="宋体" w:hAnsi="宋体"/>
          <w:b w:val="0"/>
          <w:bCs w:val="0"/>
          <w:color w:val="auto"/>
          <w:szCs w:val="21"/>
          <w:highlight w:val="none"/>
        </w:rPr>
        <w:t>[格式自拟，必须提供]</w:t>
      </w:r>
      <w:r>
        <w:rPr>
          <w:rFonts w:hint="eastAsia" w:ascii="宋体" w:hAnsi="宋体" w:cs="宋体"/>
          <w:b w:val="0"/>
          <w:bCs w:val="0"/>
          <w:color w:val="auto"/>
          <w:szCs w:val="21"/>
          <w:highlight w:val="none"/>
        </w:rPr>
        <w:t>；</w:t>
      </w:r>
    </w:p>
    <w:p>
      <w:pPr>
        <w:spacing w:line="360" w:lineRule="exact"/>
        <w:ind w:firstLine="413"/>
        <w:jc w:val="left"/>
        <w:rPr>
          <w:rFonts w:ascii="宋体" w:hAnsi="宋体"/>
          <w:b w:val="0"/>
          <w:bCs w:val="0"/>
          <w:color w:val="auto"/>
          <w:szCs w:val="21"/>
          <w:highlight w:val="none"/>
        </w:rPr>
      </w:pPr>
      <w:r>
        <w:rPr>
          <w:rFonts w:hint="eastAsia" w:ascii="宋体" w:hAnsi="宋体"/>
          <w:b w:val="0"/>
          <w:bCs w:val="0"/>
          <w:color w:val="auto"/>
          <w:szCs w:val="21"/>
          <w:highlight w:val="none"/>
        </w:rPr>
        <w:t>10）</w:t>
      </w:r>
      <w:r>
        <w:rPr>
          <w:rFonts w:hint="eastAsia" w:ascii="宋体" w:hAnsi="宋体" w:cs="宋体"/>
          <w:b w:val="0"/>
          <w:bCs w:val="0"/>
          <w:color w:val="auto"/>
          <w:szCs w:val="21"/>
          <w:highlight w:val="none"/>
        </w:rPr>
        <w:t>参加政府采购活动前三年内在经营活动中没有重大违法记录的书面声明</w:t>
      </w:r>
      <w:r>
        <w:rPr>
          <w:rFonts w:hint="eastAsia" w:ascii="宋体" w:hAnsi="宋体"/>
          <w:b w:val="0"/>
          <w:bCs w:val="0"/>
          <w:color w:val="auto"/>
          <w:szCs w:val="21"/>
          <w:highlight w:val="none"/>
        </w:rPr>
        <w:t>和信用记录查询方法；</w:t>
      </w:r>
    </w:p>
    <w:p>
      <w:pPr>
        <w:spacing w:line="360" w:lineRule="exact"/>
        <w:ind w:firstLine="412"/>
        <w:jc w:val="left"/>
        <w:rPr>
          <w:rFonts w:ascii="宋体" w:hAnsi="宋体"/>
          <w:b w:val="0"/>
          <w:bCs w:val="0"/>
          <w:color w:val="auto"/>
          <w:szCs w:val="21"/>
          <w:highlight w:val="none"/>
        </w:rPr>
      </w:pPr>
      <w:r>
        <w:rPr>
          <w:rFonts w:hint="eastAsia" w:ascii="宋体" w:hAnsi="宋体"/>
          <w:b w:val="0"/>
          <w:bCs w:val="0"/>
          <w:color w:val="auto"/>
          <w:szCs w:val="21"/>
          <w:highlight w:val="none"/>
        </w:rPr>
        <w:t>①</w:t>
      </w:r>
      <w:r>
        <w:rPr>
          <w:rFonts w:hint="eastAsia" w:ascii="宋体" w:hAnsi="宋体" w:cs="宋体"/>
          <w:b w:val="0"/>
          <w:bCs w:val="0"/>
          <w:color w:val="auto"/>
          <w:szCs w:val="21"/>
          <w:highlight w:val="none"/>
        </w:rPr>
        <w:t>参加政府采购活动前三年内在经营活动中没有重大违法记录的书面声明</w:t>
      </w:r>
      <w:r>
        <w:rPr>
          <w:rFonts w:hint="eastAsia" w:ascii="宋体" w:hAnsi="宋体"/>
          <w:b w:val="0"/>
          <w:bCs w:val="0"/>
          <w:color w:val="auto"/>
          <w:szCs w:val="21"/>
          <w:highlight w:val="none"/>
        </w:rPr>
        <w:t>（格式自拟，必须提供）[附件五]；</w:t>
      </w:r>
    </w:p>
    <w:p>
      <w:pPr>
        <w:spacing w:line="360" w:lineRule="exact"/>
        <w:ind w:firstLine="412"/>
        <w:jc w:val="left"/>
        <w:rPr>
          <w:rFonts w:ascii="宋体" w:hAnsi="宋体"/>
          <w:b w:val="0"/>
          <w:bCs w:val="0"/>
          <w:color w:val="auto"/>
          <w:szCs w:val="21"/>
          <w:highlight w:val="none"/>
        </w:rPr>
      </w:pPr>
      <w:r>
        <w:rPr>
          <w:rFonts w:hint="eastAsia" w:ascii="宋体" w:hAnsi="宋体"/>
          <w:b w:val="0"/>
          <w:bCs w:val="0"/>
          <w:color w:val="auto"/>
          <w:szCs w:val="21"/>
          <w:highlight w:val="none"/>
        </w:rPr>
        <w:t>②供应商可在“信用中国”网站（www.creditchina.gov.cn）、中国政府采购网（www.ccgp.gov.cn）查询相关供应商主体信用记录。</w:t>
      </w:r>
    </w:p>
    <w:p>
      <w:pPr>
        <w:spacing w:line="360" w:lineRule="exact"/>
        <w:ind w:firstLine="412"/>
        <w:jc w:val="left"/>
        <w:rPr>
          <w:rFonts w:ascii="宋体" w:hAnsi="宋体"/>
          <w:b w:val="0"/>
          <w:bCs w:val="0"/>
          <w:color w:val="auto"/>
          <w:szCs w:val="21"/>
          <w:highlight w:val="none"/>
        </w:rPr>
      </w:pPr>
      <w:r>
        <w:rPr>
          <w:rFonts w:hint="eastAsia" w:ascii="宋体" w:hAnsi="宋体"/>
          <w:b w:val="0"/>
          <w:bCs w:val="0"/>
          <w:color w:val="auto"/>
          <w:szCs w:val="21"/>
          <w:highlight w:val="none"/>
        </w:rPr>
        <w:t>“信用中国”网站查询方法：竞标人在本项目竞标截止时间前10日内,进入竞标人基本信息页面，点击“下载信用报告”后点击“下载”。</w:t>
      </w:r>
    </w:p>
    <w:p>
      <w:pPr>
        <w:spacing w:line="360" w:lineRule="exact"/>
        <w:ind w:firstLine="412"/>
        <w:jc w:val="left"/>
        <w:rPr>
          <w:rFonts w:ascii="宋体" w:hAnsi="宋体"/>
          <w:b w:val="0"/>
          <w:bCs w:val="0"/>
          <w:color w:val="auto"/>
          <w:szCs w:val="21"/>
          <w:highlight w:val="none"/>
        </w:rPr>
      </w:pPr>
      <w:r>
        <w:rPr>
          <w:rFonts w:hint="eastAsia" w:ascii="宋体" w:hAnsi="宋体"/>
          <w:b w:val="0"/>
          <w:bCs w:val="0"/>
          <w:color w:val="auto"/>
          <w:szCs w:val="21"/>
          <w:highlight w:val="none"/>
        </w:rPr>
        <w:t xml:space="preserve"> “中国政府采购网”的查询方法：点击“政府采购严重违法失信行为记录名单”进行查询。页面中的处罚日期不设置起始时间，只能设置截止时间，截止时间为本项目竞标截止时间前10日至竞标截止时间中任意一天。</w:t>
      </w:r>
    </w:p>
    <w:p>
      <w:pPr>
        <w:spacing w:line="360" w:lineRule="exact"/>
        <w:ind w:firstLine="412"/>
        <w:jc w:val="left"/>
        <w:rPr>
          <w:rFonts w:ascii="宋体" w:hAnsi="宋体"/>
          <w:b w:val="0"/>
          <w:bCs w:val="0"/>
          <w:color w:val="auto"/>
          <w:highlight w:val="none"/>
        </w:rPr>
      </w:pPr>
      <w:r>
        <w:rPr>
          <w:rFonts w:hint="eastAsia" w:ascii="宋体" w:hAnsi="宋体"/>
          <w:b w:val="0"/>
          <w:bCs w:val="0"/>
          <w:color w:val="auto"/>
          <w:szCs w:val="21"/>
          <w:highlight w:val="none"/>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pacing w:line="360" w:lineRule="exact"/>
        <w:ind w:firstLine="412"/>
        <w:jc w:val="left"/>
        <w:rPr>
          <w:rFonts w:hint="eastAsia" w:ascii="宋体" w:hAnsi="宋体"/>
          <w:b w:val="0"/>
          <w:bCs w:val="0"/>
          <w:color w:val="auto"/>
          <w:szCs w:val="21"/>
          <w:highlight w:val="none"/>
        </w:rPr>
      </w:pPr>
      <w:r>
        <w:rPr>
          <w:rFonts w:hint="eastAsia" w:ascii="宋体" w:hAnsi="宋体"/>
          <w:b w:val="0"/>
          <w:bCs w:val="0"/>
          <w:color w:val="auto"/>
          <w:szCs w:val="21"/>
          <w:highlight w:val="none"/>
        </w:rPr>
        <w:t>11）具备法律、行政法规规定的其他条件的证明材料[如有规定,则必须提供]；</w:t>
      </w:r>
    </w:p>
    <w:p>
      <w:pPr>
        <w:spacing w:line="400" w:lineRule="exact"/>
        <w:ind w:firstLine="420"/>
        <w:rPr>
          <w:rFonts w:ascii="宋体" w:hAnsi="宋体"/>
          <w:b w:val="0"/>
          <w:bCs w:val="0"/>
          <w:color w:val="auto"/>
          <w:szCs w:val="21"/>
          <w:highlight w:val="none"/>
        </w:rPr>
      </w:pPr>
      <w:r>
        <w:rPr>
          <w:rFonts w:hint="eastAsia" w:ascii="宋体" w:hAnsi="宋体"/>
          <w:b w:val="0"/>
          <w:bCs w:val="0"/>
          <w:color w:val="auto"/>
          <w:szCs w:val="21"/>
          <w:highlight w:val="none"/>
        </w:rPr>
        <w:t>12）售后服务承诺书（内容可以是提供的切实可行的售后服务和优惠承诺）[格式自拟，必须提供]；</w:t>
      </w:r>
    </w:p>
    <w:p>
      <w:pPr>
        <w:spacing w:line="400" w:lineRule="exact"/>
        <w:ind w:firstLine="420"/>
        <w:rPr>
          <w:rFonts w:hint="eastAsia" w:ascii="宋体" w:hAnsi="宋体"/>
          <w:b w:val="0"/>
          <w:bCs w:val="0"/>
          <w:color w:val="auto"/>
          <w:szCs w:val="21"/>
          <w:highlight w:val="none"/>
        </w:rPr>
      </w:pPr>
      <w:r>
        <w:rPr>
          <w:rFonts w:hint="eastAsia" w:ascii="宋体" w:hAnsi="宋体"/>
          <w:b w:val="0"/>
          <w:bCs w:val="0"/>
          <w:color w:val="auto"/>
          <w:szCs w:val="21"/>
          <w:highlight w:val="none"/>
        </w:rPr>
        <w:t>13）项目需求表中要求提供的文件[如有,则必须提供]；</w:t>
      </w:r>
    </w:p>
    <w:p>
      <w:pPr>
        <w:spacing w:line="400" w:lineRule="exact"/>
        <w:ind w:firstLine="420"/>
        <w:rPr>
          <w:rFonts w:ascii="宋体" w:hAnsi="宋体"/>
          <w:b w:val="0"/>
          <w:bCs w:val="0"/>
          <w:color w:val="auto"/>
          <w:szCs w:val="21"/>
          <w:highlight w:val="none"/>
        </w:rPr>
      </w:pPr>
      <w:r>
        <w:rPr>
          <w:rFonts w:hint="eastAsia" w:ascii="宋体" w:hAnsi="宋体"/>
          <w:b w:val="0"/>
          <w:bCs w:val="0"/>
          <w:color w:val="auto"/>
          <w:szCs w:val="21"/>
          <w:highlight w:val="none"/>
        </w:rPr>
        <w:t>14）生产、销售许可证（如国家实行强制性要求的）；</w:t>
      </w:r>
    </w:p>
    <w:p>
      <w:pPr>
        <w:spacing w:line="400" w:lineRule="exact"/>
        <w:ind w:firstLine="420"/>
        <w:rPr>
          <w:rFonts w:ascii="宋体" w:hAnsi="宋体"/>
          <w:b w:val="0"/>
          <w:bCs w:val="0"/>
          <w:color w:val="auto"/>
          <w:szCs w:val="21"/>
          <w:highlight w:val="none"/>
        </w:rPr>
      </w:pPr>
      <w:r>
        <w:rPr>
          <w:rFonts w:hint="eastAsia" w:ascii="宋体" w:hAnsi="宋体"/>
          <w:b w:val="0"/>
          <w:bCs w:val="0"/>
          <w:color w:val="auto"/>
          <w:szCs w:val="21"/>
          <w:highlight w:val="none"/>
        </w:rPr>
        <w:t>15）货物制造、检验、测试、验收执行的标准；</w:t>
      </w:r>
    </w:p>
    <w:p>
      <w:pPr>
        <w:spacing w:line="400" w:lineRule="exact"/>
        <w:ind w:firstLine="420"/>
        <w:rPr>
          <w:rFonts w:ascii="宋体" w:hAnsi="宋体"/>
          <w:b w:val="0"/>
          <w:bCs w:val="0"/>
          <w:color w:val="auto"/>
          <w:szCs w:val="21"/>
          <w:highlight w:val="none"/>
        </w:rPr>
      </w:pPr>
      <w:r>
        <w:rPr>
          <w:rFonts w:hint="eastAsia" w:ascii="宋体" w:hAnsi="宋体"/>
          <w:b w:val="0"/>
          <w:bCs w:val="0"/>
          <w:color w:val="auto"/>
          <w:szCs w:val="21"/>
          <w:highlight w:val="none"/>
        </w:rPr>
        <w:t>16）货物认证、检测报告、鉴定证书等；</w:t>
      </w:r>
    </w:p>
    <w:p>
      <w:pPr>
        <w:spacing w:line="400" w:lineRule="exact"/>
        <w:ind w:firstLine="420"/>
        <w:rPr>
          <w:rFonts w:ascii="宋体" w:hAnsi="宋体"/>
          <w:b w:val="0"/>
          <w:bCs w:val="0"/>
          <w:color w:val="auto"/>
          <w:szCs w:val="21"/>
          <w:highlight w:val="none"/>
        </w:rPr>
      </w:pPr>
      <w:r>
        <w:rPr>
          <w:rFonts w:hint="eastAsia" w:ascii="宋体" w:hAnsi="宋体"/>
          <w:b w:val="0"/>
          <w:bCs w:val="0"/>
          <w:color w:val="auto"/>
          <w:szCs w:val="21"/>
          <w:highlight w:val="none"/>
        </w:rPr>
        <w:t xml:space="preserve">17）产品获奖证书； </w:t>
      </w:r>
    </w:p>
    <w:p>
      <w:pPr>
        <w:spacing w:line="400" w:lineRule="exact"/>
        <w:ind w:firstLine="420"/>
        <w:rPr>
          <w:rFonts w:ascii="宋体" w:hAnsi="宋体"/>
          <w:b w:val="0"/>
          <w:bCs w:val="0"/>
          <w:color w:val="auto"/>
          <w:szCs w:val="21"/>
          <w:highlight w:val="none"/>
        </w:rPr>
      </w:pPr>
      <w:r>
        <w:rPr>
          <w:rFonts w:hint="eastAsia" w:ascii="宋体" w:hAnsi="宋体"/>
          <w:b w:val="0"/>
          <w:bCs w:val="0"/>
          <w:color w:val="auto"/>
          <w:szCs w:val="21"/>
          <w:highlight w:val="none"/>
        </w:rPr>
        <w:t>18）货物名称、型号、规格、数量、性能、内部配置、使用原材料，引进新技术、新工艺、新材料的等情况；</w:t>
      </w:r>
    </w:p>
    <w:p>
      <w:pPr>
        <w:spacing w:line="400" w:lineRule="exact"/>
        <w:ind w:firstLine="420"/>
        <w:rPr>
          <w:rFonts w:ascii="宋体" w:hAnsi="宋体"/>
          <w:b w:val="0"/>
          <w:bCs w:val="0"/>
          <w:color w:val="auto"/>
          <w:szCs w:val="21"/>
          <w:highlight w:val="none"/>
        </w:rPr>
      </w:pPr>
      <w:r>
        <w:rPr>
          <w:rFonts w:hint="eastAsia" w:ascii="宋体" w:hAnsi="宋体"/>
          <w:b w:val="0"/>
          <w:bCs w:val="0"/>
          <w:color w:val="auto"/>
          <w:szCs w:val="21"/>
          <w:highlight w:val="none"/>
        </w:rPr>
        <w:t>19）质量保证措施；</w:t>
      </w:r>
    </w:p>
    <w:p>
      <w:pPr>
        <w:spacing w:line="400" w:lineRule="exact"/>
        <w:ind w:firstLine="420"/>
        <w:rPr>
          <w:rFonts w:ascii="宋体" w:hAnsi="宋体"/>
          <w:b w:val="0"/>
          <w:bCs w:val="0"/>
          <w:color w:val="auto"/>
          <w:szCs w:val="21"/>
          <w:highlight w:val="none"/>
        </w:rPr>
      </w:pPr>
      <w:r>
        <w:rPr>
          <w:rFonts w:hint="eastAsia" w:ascii="宋体" w:hAnsi="宋体"/>
          <w:b w:val="0"/>
          <w:bCs w:val="0"/>
          <w:color w:val="auto"/>
          <w:szCs w:val="21"/>
          <w:highlight w:val="none"/>
        </w:rPr>
        <w:t>20）产品样本、使用保养说明书、图纸等技术资料；</w:t>
      </w:r>
    </w:p>
    <w:p>
      <w:pPr>
        <w:spacing w:line="400" w:lineRule="exact"/>
        <w:ind w:firstLine="420"/>
        <w:rPr>
          <w:rFonts w:hint="eastAsia" w:ascii="宋体" w:hAnsi="宋体"/>
          <w:b w:val="0"/>
          <w:bCs w:val="0"/>
          <w:color w:val="auto"/>
          <w:szCs w:val="21"/>
          <w:highlight w:val="none"/>
        </w:rPr>
      </w:pPr>
      <w:r>
        <w:rPr>
          <w:rFonts w:hint="eastAsia" w:ascii="宋体" w:hAnsi="宋体"/>
          <w:b w:val="0"/>
          <w:bCs w:val="0"/>
          <w:color w:val="auto"/>
          <w:szCs w:val="21"/>
          <w:highlight w:val="none"/>
        </w:rPr>
        <w:t>21）中小企业声明函；（</w:t>
      </w:r>
      <w:r>
        <w:rPr>
          <w:rFonts w:hint="eastAsia" w:ascii="宋体" w:hAnsi="宋体"/>
          <w:b w:val="0"/>
          <w:bCs w:val="0"/>
          <w:color w:val="auto"/>
          <w:szCs w:val="21"/>
          <w:highlight w:val="none"/>
          <w:lang w:eastAsia="zh-CN"/>
        </w:rPr>
        <w:t>如有，请</w:t>
      </w:r>
      <w:r>
        <w:rPr>
          <w:rFonts w:hint="eastAsia" w:ascii="宋体" w:hAnsi="宋体"/>
          <w:b w:val="0"/>
          <w:bCs w:val="0"/>
          <w:color w:val="auto"/>
          <w:szCs w:val="21"/>
          <w:highlight w:val="none"/>
        </w:rPr>
        <w:t>提供）[附件六]</w:t>
      </w:r>
    </w:p>
    <w:p>
      <w:pPr>
        <w:spacing w:line="400" w:lineRule="exact"/>
        <w:ind w:firstLine="420"/>
        <w:rPr>
          <w:rFonts w:ascii="宋体" w:hAnsi="宋体"/>
          <w:b w:val="0"/>
          <w:bCs w:val="0"/>
          <w:color w:val="auto"/>
          <w:szCs w:val="21"/>
          <w:highlight w:val="none"/>
        </w:rPr>
      </w:pPr>
      <w:r>
        <w:rPr>
          <w:rFonts w:hint="eastAsia" w:ascii="宋体" w:hAnsi="宋体"/>
          <w:b w:val="0"/>
          <w:bCs w:val="0"/>
          <w:color w:val="auto"/>
          <w:szCs w:val="21"/>
          <w:highlight w:val="none"/>
        </w:rPr>
        <w:t>22）谈判供应商认为需要提供的有关资料。</w:t>
      </w:r>
    </w:p>
    <w:p>
      <w:pPr>
        <w:spacing w:line="400" w:lineRule="exact"/>
        <w:ind w:firstLine="420"/>
        <w:rPr>
          <w:rFonts w:ascii="宋体" w:hAnsi="宋体"/>
          <w:b w:val="0"/>
          <w:bCs w:val="0"/>
          <w:color w:val="auto"/>
          <w:szCs w:val="21"/>
          <w:highlight w:val="none"/>
        </w:rPr>
      </w:pPr>
      <w:r>
        <w:rPr>
          <w:rFonts w:hint="eastAsia" w:ascii="宋体" w:hAnsi="宋体"/>
          <w:b w:val="0"/>
          <w:bCs w:val="0"/>
          <w:color w:val="auto"/>
          <w:szCs w:val="21"/>
          <w:highlight w:val="none"/>
        </w:rPr>
        <w:t>6. 计量单位</w:t>
      </w:r>
    </w:p>
    <w:p>
      <w:pPr>
        <w:spacing w:line="400" w:lineRule="exact"/>
        <w:ind w:firstLine="420"/>
        <w:rPr>
          <w:rFonts w:ascii="宋体" w:hAnsi="宋体"/>
          <w:b w:val="0"/>
          <w:bCs w:val="0"/>
          <w:color w:val="auto"/>
          <w:szCs w:val="21"/>
          <w:highlight w:val="none"/>
        </w:rPr>
      </w:pPr>
      <w:r>
        <w:rPr>
          <w:rFonts w:hint="eastAsia" w:ascii="宋体" w:hAnsi="宋体"/>
          <w:b w:val="0"/>
          <w:bCs w:val="0"/>
          <w:color w:val="auto"/>
          <w:szCs w:val="21"/>
          <w:highlight w:val="none"/>
        </w:rPr>
        <w:t>6.1除技术要求中另有规定外，本文件所要求使用的计量单位均应采用国家法定计量单位。</w:t>
      </w:r>
    </w:p>
    <w:p>
      <w:pPr>
        <w:spacing w:line="400" w:lineRule="exact"/>
        <w:ind w:firstLine="422"/>
        <w:rPr>
          <w:rFonts w:ascii="宋体" w:hAnsi="宋体"/>
          <w:b/>
          <w:bCs/>
          <w:color w:val="auto"/>
          <w:szCs w:val="21"/>
          <w:highlight w:val="none"/>
        </w:rPr>
      </w:pPr>
      <w:r>
        <w:rPr>
          <w:rFonts w:hint="eastAsia" w:ascii="宋体" w:hAnsi="宋体"/>
          <w:b/>
          <w:bCs/>
          <w:color w:val="auto"/>
          <w:szCs w:val="21"/>
          <w:highlight w:val="none"/>
        </w:rPr>
        <w:t>三、报价要求</w:t>
      </w:r>
    </w:p>
    <w:p>
      <w:pPr>
        <w:spacing w:line="400" w:lineRule="exact"/>
        <w:ind w:firstLine="420"/>
        <w:rPr>
          <w:rFonts w:ascii="宋体" w:hAnsi="宋体"/>
          <w:b w:val="0"/>
          <w:bCs w:val="0"/>
          <w:color w:val="auto"/>
          <w:szCs w:val="21"/>
          <w:highlight w:val="none"/>
        </w:rPr>
      </w:pPr>
      <w:r>
        <w:rPr>
          <w:rFonts w:hint="eastAsia" w:ascii="宋体" w:hAnsi="宋体"/>
          <w:b w:val="0"/>
          <w:bCs w:val="0"/>
          <w:color w:val="auto"/>
          <w:szCs w:val="21"/>
          <w:highlight w:val="none"/>
        </w:rPr>
        <w:t>7.1对于本文件中未列明，而谈判供应商认为必需的费用也需列入总报价。在合同实施时，采购人将不予支付成交供应商没有列入的项目费用，并认为此项目的费用已包括在总报价中。</w:t>
      </w:r>
    </w:p>
    <w:p>
      <w:pPr>
        <w:spacing w:line="400" w:lineRule="exact"/>
        <w:ind w:firstLine="420"/>
        <w:rPr>
          <w:rFonts w:ascii="宋体" w:hAnsi="宋体"/>
          <w:b w:val="0"/>
          <w:bCs w:val="0"/>
          <w:color w:val="auto"/>
          <w:szCs w:val="21"/>
          <w:highlight w:val="none"/>
        </w:rPr>
      </w:pPr>
      <w:r>
        <w:rPr>
          <w:rFonts w:hint="eastAsia" w:ascii="宋体" w:hAnsi="宋体"/>
          <w:b w:val="0"/>
          <w:bCs w:val="0"/>
          <w:color w:val="auto"/>
          <w:szCs w:val="21"/>
          <w:highlight w:val="none"/>
        </w:rPr>
        <w:t>7.2成交供应商负责本项目所需货物的制造、运输、售后服务等全部工作。</w:t>
      </w:r>
    </w:p>
    <w:p>
      <w:pPr>
        <w:pStyle w:val="8"/>
        <w:spacing w:line="420" w:lineRule="exact"/>
        <w:ind w:firstLine="420"/>
        <w:rPr>
          <w:b w:val="0"/>
          <w:bCs w:val="0"/>
          <w:color w:val="auto"/>
          <w:highlight w:val="none"/>
        </w:rPr>
      </w:pPr>
      <w:r>
        <w:rPr>
          <w:rFonts w:hint="eastAsia"/>
          <w:b w:val="0"/>
          <w:bCs w:val="0"/>
          <w:color w:val="auto"/>
          <w:highlight w:val="none"/>
        </w:rPr>
        <w:t>7.3谈判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谈判响应文件的解释发生异议的，以中文文本为准。除上述原因以外，如果因谈判供应商原因引起的报价失误，并在谈判时被接受，其后果由谈判供应商自负。</w:t>
      </w:r>
    </w:p>
    <w:p>
      <w:pPr>
        <w:spacing w:line="400" w:lineRule="exact"/>
        <w:ind w:firstLine="420"/>
        <w:rPr>
          <w:rFonts w:ascii="宋体" w:hAnsi="宋体"/>
          <w:b w:val="0"/>
          <w:bCs w:val="0"/>
          <w:color w:val="auto"/>
          <w:highlight w:val="none"/>
        </w:rPr>
      </w:pPr>
      <w:r>
        <w:rPr>
          <w:rFonts w:hint="eastAsia" w:ascii="宋体" w:hAnsi="宋体"/>
          <w:b w:val="0"/>
          <w:bCs w:val="0"/>
          <w:color w:val="auto"/>
          <w:highlight w:val="none"/>
        </w:rPr>
        <w:t>7.4</w:t>
      </w:r>
      <w:r>
        <w:rPr>
          <w:rFonts w:hint="eastAsia"/>
          <w:b w:val="0"/>
          <w:bCs w:val="0"/>
          <w:color w:val="auto"/>
          <w:highlight w:val="none"/>
        </w:rPr>
        <w:t>报价：</w:t>
      </w:r>
      <w:r>
        <w:rPr>
          <w:rFonts w:hint="eastAsia" w:ascii="宋体" w:hAnsi="宋体"/>
          <w:b w:val="0"/>
          <w:bCs w:val="0"/>
          <w:color w:val="auto"/>
          <w:highlight w:val="none"/>
        </w:rPr>
        <w:t>竞标人可就《采购需求》中的货物和服务内容做完整唯一报价。</w:t>
      </w:r>
    </w:p>
    <w:p>
      <w:pPr>
        <w:spacing w:line="400" w:lineRule="exact"/>
        <w:ind w:firstLine="422"/>
        <w:rPr>
          <w:rFonts w:ascii="宋体" w:hAnsi="宋体"/>
          <w:b/>
          <w:bCs/>
          <w:color w:val="auto"/>
          <w:szCs w:val="21"/>
          <w:highlight w:val="none"/>
        </w:rPr>
      </w:pPr>
      <w:r>
        <w:rPr>
          <w:rFonts w:hint="eastAsia" w:ascii="宋体" w:hAnsi="宋体"/>
          <w:b/>
          <w:bCs/>
          <w:color w:val="auto"/>
          <w:szCs w:val="21"/>
          <w:highlight w:val="none"/>
        </w:rPr>
        <w:t>四、竞争性谈判响应文件的份数、上传、提交、修改、撤回、解密</w:t>
      </w:r>
    </w:p>
    <w:p>
      <w:pPr>
        <w:spacing w:line="400" w:lineRule="exact"/>
        <w:ind w:firstLine="420"/>
        <w:rPr>
          <w:rFonts w:ascii="宋体" w:hAnsi="宋体"/>
          <w:b w:val="0"/>
          <w:bCs w:val="0"/>
          <w:color w:val="auto"/>
          <w:szCs w:val="21"/>
          <w:highlight w:val="none"/>
        </w:rPr>
      </w:pPr>
      <w:r>
        <w:rPr>
          <w:rFonts w:hint="eastAsia" w:ascii="宋体" w:hAnsi="宋体"/>
          <w:b w:val="0"/>
          <w:bCs w:val="0"/>
          <w:color w:val="auto"/>
          <w:szCs w:val="21"/>
          <w:highlight w:val="none"/>
        </w:rPr>
        <w:t>8. 竞争性谈判响应文件的份数、上传、提交、解密</w:t>
      </w:r>
    </w:p>
    <w:p>
      <w:pPr>
        <w:pStyle w:val="8"/>
        <w:spacing w:line="440" w:lineRule="exact"/>
        <w:ind w:firstLine="420"/>
        <w:rPr>
          <w:rFonts w:hint="eastAsia"/>
          <w:b w:val="0"/>
          <w:bCs w:val="0"/>
          <w:color w:val="auto"/>
          <w:highlight w:val="none"/>
        </w:rPr>
      </w:pPr>
      <w:r>
        <w:rPr>
          <w:rFonts w:hint="eastAsia"/>
          <w:b w:val="0"/>
          <w:bCs w:val="0"/>
          <w:color w:val="auto"/>
          <w:highlight w:val="none"/>
        </w:rPr>
        <w:t>见须知前附表</w:t>
      </w:r>
    </w:p>
    <w:p>
      <w:pPr>
        <w:spacing w:line="440" w:lineRule="exact"/>
        <w:ind w:firstLine="420" w:firstLineChars="200"/>
        <w:rPr>
          <w:rFonts w:hint="eastAsia" w:ascii="宋体" w:hAnsi="宋体"/>
          <w:b w:val="0"/>
          <w:bCs w:val="0"/>
          <w:color w:val="auto"/>
          <w:highlight w:val="none"/>
        </w:rPr>
      </w:pPr>
      <w:r>
        <w:rPr>
          <w:rFonts w:hint="eastAsia" w:ascii="宋体" w:hAnsi="宋体"/>
          <w:b w:val="0"/>
          <w:bCs w:val="0"/>
          <w:color w:val="auto"/>
          <w:szCs w:val="21"/>
          <w:highlight w:val="none"/>
        </w:rPr>
        <w:t>9. 竞争性谈判响应文件的修改和撤回：</w:t>
      </w:r>
      <w:r>
        <w:rPr>
          <w:rFonts w:hint="eastAsia" w:ascii="宋体" w:hAnsi="宋体"/>
          <w:b w:val="0"/>
          <w:bCs w:val="0"/>
          <w:color w:val="auto"/>
          <w:szCs w:val="20"/>
          <w:highlight w:val="none"/>
          <w:lang w:val="zh-CN"/>
        </w:rPr>
        <w:t>供应商应当在截止时间前完成响应文件的上传、提交，并可以补充、修改或者撤回响应文件。补充或者修改响应文件的，应当先行撤回原文件，补充、修改后重新上传、提交。截止时间前未完成上传、提交的，视为撤回响应文件。截止时间后提交的响应文件，“广西政府采购云平台”将予以拒收。截止时间后，供应商不得撤回、修改响应文件。</w:t>
      </w:r>
    </w:p>
    <w:p>
      <w:pPr>
        <w:widowControl/>
        <w:spacing w:line="440" w:lineRule="exact"/>
        <w:ind w:firstLine="420" w:firstLineChars="200"/>
        <w:jc w:val="left"/>
        <w:rPr>
          <w:rFonts w:hint="eastAsia" w:ascii="宋体" w:hAnsi="宋体"/>
          <w:b w:val="0"/>
          <w:bCs w:val="0"/>
          <w:color w:val="auto"/>
          <w:highlight w:val="none"/>
        </w:rPr>
      </w:pPr>
      <w:r>
        <w:rPr>
          <w:rFonts w:hint="eastAsia" w:ascii="宋体" w:hAnsi="宋体"/>
          <w:b w:val="0"/>
          <w:bCs w:val="0"/>
          <w:color w:val="auto"/>
          <w:highlight w:val="none"/>
        </w:rPr>
        <w:t>10.保证金说明及要求</w:t>
      </w:r>
    </w:p>
    <w:p>
      <w:pPr>
        <w:widowControl/>
        <w:spacing w:line="440" w:lineRule="exact"/>
        <w:ind w:firstLine="420" w:firstLineChars="200"/>
        <w:jc w:val="left"/>
        <w:rPr>
          <w:rFonts w:hint="eastAsia" w:ascii="宋体" w:hAnsi="宋体"/>
          <w:b w:val="0"/>
          <w:bCs w:val="0"/>
          <w:color w:val="auto"/>
          <w:highlight w:val="none"/>
        </w:rPr>
      </w:pPr>
      <w:r>
        <w:rPr>
          <w:rFonts w:hint="eastAsia" w:ascii="宋体" w:hAnsi="宋体"/>
          <w:b w:val="0"/>
          <w:bCs w:val="0"/>
          <w:color w:val="auto"/>
          <w:highlight w:val="none"/>
        </w:rPr>
        <w:t>10.1保证金应用人民币：具体金额详见采购公告。</w:t>
      </w:r>
    </w:p>
    <w:p>
      <w:pPr>
        <w:widowControl/>
        <w:spacing w:line="440" w:lineRule="exact"/>
        <w:ind w:firstLine="420" w:firstLineChars="200"/>
        <w:jc w:val="left"/>
        <w:rPr>
          <w:rFonts w:hint="eastAsia" w:ascii="宋体" w:hAnsi="宋体"/>
          <w:b w:val="0"/>
          <w:bCs w:val="0"/>
          <w:color w:val="auto"/>
          <w:highlight w:val="none"/>
        </w:rPr>
      </w:pPr>
      <w:r>
        <w:rPr>
          <w:rFonts w:hint="eastAsia" w:ascii="宋体" w:hAnsi="宋体"/>
          <w:b w:val="0"/>
          <w:bCs w:val="0"/>
          <w:color w:val="auto"/>
          <w:highlight w:val="none"/>
        </w:rPr>
        <w:t>10.2 保证金交纳方式：支票、汇票、本票、网上银行或者金融机构、担保机构出具的保函等非现金形式交纳。</w:t>
      </w:r>
    </w:p>
    <w:p>
      <w:pPr>
        <w:widowControl/>
        <w:spacing w:line="440" w:lineRule="exact"/>
        <w:ind w:firstLine="420" w:firstLineChars="200"/>
        <w:jc w:val="left"/>
        <w:rPr>
          <w:rFonts w:hint="eastAsia" w:ascii="宋体" w:hAnsi="宋体"/>
          <w:b w:val="0"/>
          <w:bCs w:val="0"/>
          <w:color w:val="auto"/>
          <w:highlight w:val="none"/>
        </w:rPr>
      </w:pPr>
      <w:r>
        <w:rPr>
          <w:rFonts w:hint="eastAsia" w:ascii="宋体" w:hAnsi="宋体"/>
          <w:b w:val="0"/>
          <w:bCs w:val="0"/>
          <w:color w:val="auto"/>
          <w:highlight w:val="none"/>
        </w:rPr>
        <w:t>10.3办理保证金手续时，请务必在银行相关票据（非现金）或凭证的用途或空白栏上注明项目名称及项目编号，以免耽误竞争性谈判。</w:t>
      </w:r>
    </w:p>
    <w:p>
      <w:pPr>
        <w:widowControl/>
        <w:spacing w:line="440" w:lineRule="exact"/>
        <w:ind w:firstLine="420" w:firstLineChars="200"/>
        <w:jc w:val="left"/>
        <w:rPr>
          <w:rFonts w:hint="eastAsia" w:ascii="宋体" w:hAnsi="宋体"/>
          <w:b w:val="0"/>
          <w:bCs w:val="0"/>
          <w:color w:val="auto"/>
          <w:highlight w:val="none"/>
        </w:rPr>
      </w:pPr>
      <w:r>
        <w:rPr>
          <w:rFonts w:hint="eastAsia" w:ascii="宋体" w:hAnsi="宋体"/>
          <w:b w:val="0"/>
          <w:bCs w:val="0"/>
          <w:color w:val="auto"/>
          <w:highlight w:val="none"/>
        </w:rPr>
        <w:t>10.4保证金相关事宜：电话：</w:t>
      </w:r>
      <w:r>
        <w:rPr>
          <w:rFonts w:hint="eastAsia" w:ascii="仿宋" w:hAnsi="仿宋" w:cs="宋体"/>
          <w:b w:val="0"/>
          <w:bCs w:val="0"/>
          <w:color w:val="auto"/>
          <w:kern w:val="0"/>
          <w:szCs w:val="21"/>
          <w:highlight w:val="none"/>
        </w:rPr>
        <w:t>0771-8600309</w:t>
      </w:r>
      <w:r>
        <w:rPr>
          <w:rFonts w:hint="eastAsia" w:ascii="宋体" w:hAnsi="宋体"/>
          <w:b w:val="0"/>
          <w:bCs w:val="0"/>
          <w:color w:val="auto"/>
          <w:highlight w:val="none"/>
        </w:rPr>
        <w:t>，</w:t>
      </w:r>
      <w:r>
        <w:rPr>
          <w:rFonts w:hint="eastAsia" w:ascii="仿宋" w:hAnsi="仿宋" w:cs="宋体"/>
          <w:b w:val="0"/>
          <w:bCs w:val="0"/>
          <w:color w:val="auto"/>
          <w:kern w:val="0"/>
          <w:szCs w:val="21"/>
          <w:highlight w:val="none"/>
        </w:rPr>
        <w:t>地址：广西南宁市星湖路22号广西壮族自治区政府采购中心综合楼3楼306室。</w:t>
      </w:r>
    </w:p>
    <w:p>
      <w:pPr>
        <w:widowControl/>
        <w:spacing w:line="440" w:lineRule="exact"/>
        <w:ind w:firstLine="420" w:firstLineChars="200"/>
        <w:jc w:val="left"/>
        <w:rPr>
          <w:rFonts w:hint="eastAsia" w:ascii="宋体" w:hAnsi="宋体"/>
          <w:b w:val="0"/>
          <w:bCs w:val="0"/>
          <w:color w:val="auto"/>
          <w:highlight w:val="none"/>
        </w:rPr>
      </w:pPr>
      <w:r>
        <w:rPr>
          <w:rFonts w:hint="eastAsia" w:ascii="宋体" w:hAnsi="宋体"/>
          <w:b w:val="0"/>
          <w:bCs w:val="0"/>
          <w:color w:val="auto"/>
          <w:highlight w:val="none"/>
        </w:rPr>
        <w:t>10.5未成交供应商的保证金，将在成交通知书发出后5个工作日内予以退还，不计利息。</w:t>
      </w:r>
    </w:p>
    <w:p>
      <w:pPr>
        <w:widowControl/>
        <w:spacing w:line="440" w:lineRule="exact"/>
        <w:ind w:firstLine="420" w:firstLineChars="200"/>
        <w:jc w:val="left"/>
        <w:rPr>
          <w:rFonts w:hint="eastAsia" w:ascii="宋体" w:hAnsi="宋体"/>
          <w:b w:val="0"/>
          <w:bCs w:val="0"/>
          <w:color w:val="auto"/>
          <w:highlight w:val="none"/>
        </w:rPr>
      </w:pPr>
      <w:r>
        <w:rPr>
          <w:rFonts w:hint="eastAsia" w:ascii="宋体" w:hAnsi="宋体"/>
          <w:b w:val="0"/>
          <w:bCs w:val="0"/>
          <w:color w:val="auto"/>
          <w:highlight w:val="none"/>
        </w:rPr>
        <w:t>竞标人的保证金在合同签订后5个工作日内退还（合同签订后送达本中心），不计利息。</w:t>
      </w:r>
    </w:p>
    <w:p>
      <w:pPr>
        <w:widowControl/>
        <w:spacing w:line="440" w:lineRule="exact"/>
        <w:ind w:firstLine="420" w:firstLineChars="200"/>
        <w:jc w:val="left"/>
        <w:rPr>
          <w:rFonts w:hint="eastAsia" w:ascii="宋体" w:hAnsi="宋体"/>
          <w:b w:val="0"/>
          <w:bCs w:val="0"/>
          <w:color w:val="auto"/>
          <w:highlight w:val="none"/>
        </w:rPr>
      </w:pPr>
      <w:r>
        <w:rPr>
          <w:rFonts w:hint="eastAsia" w:ascii="宋体" w:hAnsi="宋体"/>
          <w:b w:val="0"/>
          <w:bCs w:val="0"/>
          <w:color w:val="auto"/>
          <w:highlight w:val="none"/>
        </w:rPr>
        <w:t>10.6对应交未交保证金的竞争性谈判响应文件，将会在评审中按照无效竞争性谈判响应文件处理。</w:t>
      </w:r>
    </w:p>
    <w:p>
      <w:pPr>
        <w:pStyle w:val="8"/>
        <w:spacing w:line="380" w:lineRule="exact"/>
        <w:ind w:firstLine="420"/>
        <w:rPr>
          <w:b w:val="0"/>
          <w:bCs w:val="0"/>
          <w:color w:val="auto"/>
          <w:highlight w:val="none"/>
        </w:rPr>
      </w:pPr>
      <w:r>
        <w:rPr>
          <w:rFonts w:hint="eastAsia"/>
          <w:b w:val="0"/>
          <w:bCs w:val="0"/>
          <w:color w:val="auto"/>
          <w:highlight w:val="none"/>
        </w:rPr>
        <w:t>（说明：评审时，谈判小组将以本中心财务室编制的《采购项目报名名单及保证金收缴情况表》作为评审依据）。</w:t>
      </w:r>
    </w:p>
    <w:p>
      <w:pPr>
        <w:tabs>
          <w:tab w:val="left" w:pos="975"/>
        </w:tabs>
        <w:spacing w:line="360" w:lineRule="exact"/>
        <w:ind w:firstLine="413"/>
        <w:jc w:val="left"/>
        <w:rPr>
          <w:rFonts w:ascii="宋体" w:hAnsi="宋体"/>
          <w:b w:val="0"/>
          <w:bCs w:val="0"/>
          <w:color w:val="auto"/>
          <w:szCs w:val="21"/>
          <w:highlight w:val="none"/>
        </w:rPr>
      </w:pPr>
      <w:r>
        <w:rPr>
          <w:rFonts w:hint="eastAsia" w:ascii="宋体" w:hAnsi="宋体"/>
          <w:b w:val="0"/>
          <w:bCs w:val="0"/>
          <w:color w:val="auto"/>
          <w:szCs w:val="21"/>
          <w:highlight w:val="none"/>
        </w:rPr>
        <w:t>注：</w:t>
      </w:r>
      <w:r>
        <w:rPr>
          <w:rFonts w:hint="eastAsia" w:ascii="宋体" w:hAnsi="宋体" w:cs="宋体"/>
          <w:b w:val="0"/>
          <w:bCs w:val="0"/>
          <w:color w:val="auto"/>
          <w:szCs w:val="21"/>
          <w:highlight w:val="none"/>
        </w:rPr>
        <w:t>在采购过程中符合竞争要求的供应商或者报价未超过采购</w:t>
      </w:r>
      <w:r>
        <w:rPr>
          <w:b w:val="0"/>
          <w:bCs w:val="0"/>
          <w:color w:val="auto"/>
          <w:highlight w:val="none"/>
        </w:rPr>
        <w:t>预算（最高限价）</w:t>
      </w:r>
      <w:r>
        <w:rPr>
          <w:rFonts w:hint="eastAsia" w:ascii="宋体" w:hAnsi="宋体" w:cs="宋体"/>
          <w:b w:val="0"/>
          <w:bCs w:val="0"/>
          <w:color w:val="auto"/>
          <w:szCs w:val="21"/>
          <w:highlight w:val="none"/>
        </w:rPr>
        <w:t>的供应商不足3家的</w:t>
      </w:r>
      <w:r>
        <w:rPr>
          <w:rFonts w:hint="eastAsia" w:ascii="宋体" w:hAnsi="宋体"/>
          <w:b w:val="0"/>
          <w:bCs w:val="0"/>
          <w:color w:val="auto"/>
          <w:szCs w:val="21"/>
          <w:highlight w:val="none"/>
        </w:rPr>
        <w:t>，本中心将按政府采购管理的有关规定处理。</w:t>
      </w:r>
    </w:p>
    <w:p>
      <w:pPr>
        <w:spacing w:line="360" w:lineRule="exact"/>
        <w:ind w:firstLine="413"/>
        <w:jc w:val="left"/>
        <w:rPr>
          <w:rFonts w:ascii="宋体" w:hAnsi="宋体"/>
          <w:b w:val="0"/>
          <w:bCs w:val="0"/>
          <w:color w:val="auto"/>
          <w:szCs w:val="21"/>
          <w:highlight w:val="none"/>
        </w:rPr>
      </w:pPr>
      <w:r>
        <w:rPr>
          <w:rFonts w:hint="eastAsia" w:ascii="宋体" w:hAnsi="宋体"/>
          <w:b w:val="0"/>
          <w:bCs w:val="0"/>
          <w:color w:val="auto"/>
          <w:szCs w:val="21"/>
          <w:highlight w:val="none"/>
        </w:rPr>
        <w:t>10.7谈判供应商有下列情形之一的，保证金将不予退还：</w:t>
      </w:r>
    </w:p>
    <w:p>
      <w:pPr>
        <w:pStyle w:val="8"/>
        <w:spacing w:line="380" w:lineRule="exact"/>
        <w:ind w:firstLine="420"/>
        <w:rPr>
          <w:b w:val="0"/>
          <w:bCs w:val="0"/>
          <w:color w:val="auto"/>
          <w:highlight w:val="none"/>
        </w:rPr>
      </w:pPr>
      <w:r>
        <w:rPr>
          <w:rFonts w:hint="eastAsia"/>
          <w:b w:val="0"/>
          <w:bCs w:val="0"/>
          <w:color w:val="auto"/>
          <w:highlight w:val="none"/>
        </w:rPr>
        <w:t>（1）谈判供应商在竞争性谈判有效期内撤回竞争性谈判响应文件的；</w:t>
      </w:r>
    </w:p>
    <w:p>
      <w:pPr>
        <w:pStyle w:val="8"/>
        <w:spacing w:line="380" w:lineRule="exact"/>
        <w:ind w:firstLine="420"/>
        <w:rPr>
          <w:b w:val="0"/>
          <w:bCs w:val="0"/>
          <w:color w:val="auto"/>
          <w:highlight w:val="none"/>
        </w:rPr>
      </w:pPr>
      <w:r>
        <w:rPr>
          <w:rFonts w:hint="eastAsia"/>
          <w:b w:val="0"/>
          <w:bCs w:val="0"/>
          <w:color w:val="auto"/>
          <w:highlight w:val="none"/>
        </w:rPr>
        <w:t>（2）谈判供应商在竞争性谈判响应文件中提供虚假材料的；</w:t>
      </w:r>
    </w:p>
    <w:p>
      <w:pPr>
        <w:pStyle w:val="8"/>
        <w:spacing w:line="380" w:lineRule="exact"/>
        <w:ind w:firstLine="420"/>
        <w:rPr>
          <w:b w:val="0"/>
          <w:bCs w:val="0"/>
          <w:color w:val="auto"/>
          <w:highlight w:val="none"/>
        </w:rPr>
      </w:pPr>
      <w:r>
        <w:rPr>
          <w:rFonts w:hint="eastAsia"/>
          <w:b w:val="0"/>
          <w:bCs w:val="0"/>
          <w:color w:val="auto"/>
          <w:highlight w:val="none"/>
        </w:rPr>
        <w:t>（3）除因不可抗力或竞争性谈判文件认可的情形以外，成交供应商不与采购人签订合同的；</w:t>
      </w:r>
    </w:p>
    <w:p>
      <w:pPr>
        <w:pStyle w:val="8"/>
        <w:spacing w:line="380" w:lineRule="exact"/>
        <w:ind w:firstLine="420"/>
        <w:rPr>
          <w:rFonts w:hint="eastAsia"/>
          <w:b w:val="0"/>
          <w:bCs w:val="0"/>
          <w:color w:val="auto"/>
          <w:highlight w:val="none"/>
        </w:rPr>
      </w:pPr>
      <w:r>
        <w:rPr>
          <w:rFonts w:hint="eastAsia"/>
          <w:b w:val="0"/>
          <w:bCs w:val="0"/>
          <w:color w:val="auto"/>
          <w:highlight w:val="none"/>
        </w:rPr>
        <w:t>（4）谈判供应商与采购人、其他供应商或者采购代理机构恶意串通的。</w:t>
      </w:r>
    </w:p>
    <w:p>
      <w:pPr>
        <w:snapToGrid w:val="0"/>
        <w:spacing w:line="440" w:lineRule="exact"/>
        <w:ind w:firstLine="411" w:firstLineChars="196"/>
        <w:jc w:val="left"/>
        <w:rPr>
          <w:rFonts w:hint="eastAsia" w:ascii="宋体" w:hAnsi="宋体"/>
          <w:b w:val="0"/>
          <w:bCs w:val="0"/>
          <w:color w:val="auto"/>
          <w:highlight w:val="none"/>
        </w:rPr>
      </w:pPr>
      <w:r>
        <w:rPr>
          <w:rFonts w:hint="eastAsia" w:ascii="宋体" w:hAnsi="宋体"/>
          <w:b w:val="0"/>
          <w:bCs w:val="0"/>
          <w:color w:val="auto"/>
          <w:highlight w:val="none"/>
        </w:rPr>
        <w:t>（5） 谈判文件规定的其他情形。</w:t>
      </w:r>
    </w:p>
    <w:p>
      <w:pPr>
        <w:spacing w:line="380" w:lineRule="exact"/>
        <w:ind w:firstLine="420"/>
        <w:rPr>
          <w:rFonts w:ascii="宋体" w:hAnsi="宋体"/>
          <w:b w:val="0"/>
          <w:bCs w:val="0"/>
          <w:color w:val="auto"/>
          <w:highlight w:val="none"/>
        </w:rPr>
      </w:pPr>
      <w:r>
        <w:rPr>
          <w:rFonts w:hint="eastAsia" w:ascii="宋体" w:hAnsi="宋体"/>
          <w:b w:val="0"/>
          <w:bCs w:val="0"/>
          <w:color w:val="auto"/>
          <w:szCs w:val="21"/>
          <w:highlight w:val="none"/>
        </w:rPr>
        <w:t>注：</w:t>
      </w:r>
      <w:r>
        <w:rPr>
          <w:rFonts w:hint="eastAsia" w:ascii="宋体" w:hAnsi="宋体" w:cs="宋体"/>
          <w:b w:val="0"/>
          <w:bCs w:val="0"/>
          <w:color w:val="auto"/>
          <w:szCs w:val="21"/>
          <w:highlight w:val="none"/>
        </w:rPr>
        <w:t>谈判供应商</w:t>
      </w:r>
      <w:r>
        <w:rPr>
          <w:rFonts w:hint="eastAsia" w:ascii="宋体" w:hAnsi="宋体"/>
          <w:b w:val="0"/>
          <w:bCs w:val="0"/>
          <w:color w:val="auto"/>
          <w:highlight w:val="none"/>
        </w:rPr>
        <w:t>已经被推荐为第一成交候选人后撤回</w:t>
      </w:r>
      <w:r>
        <w:rPr>
          <w:rFonts w:hint="eastAsia" w:ascii="宋体" w:hAnsi="宋体"/>
          <w:b w:val="0"/>
          <w:bCs w:val="0"/>
          <w:color w:val="auto"/>
          <w:szCs w:val="21"/>
          <w:highlight w:val="none"/>
        </w:rPr>
        <w:t>竞争性谈判</w:t>
      </w:r>
      <w:r>
        <w:rPr>
          <w:rFonts w:hint="eastAsia" w:ascii="宋体" w:hAnsi="宋体" w:cs="宋体"/>
          <w:b w:val="0"/>
          <w:bCs w:val="0"/>
          <w:color w:val="auto"/>
          <w:szCs w:val="21"/>
          <w:highlight w:val="none"/>
        </w:rPr>
        <w:t>响应文件</w:t>
      </w:r>
      <w:r>
        <w:rPr>
          <w:rFonts w:hint="eastAsia" w:ascii="宋体" w:hAnsi="宋体"/>
          <w:b w:val="0"/>
          <w:bCs w:val="0"/>
          <w:color w:val="auto"/>
          <w:highlight w:val="none"/>
        </w:rPr>
        <w:t>或</w:t>
      </w:r>
      <w:r>
        <w:rPr>
          <w:rFonts w:hint="eastAsia" w:ascii="宋体" w:hAnsi="宋体" w:cs="宋体"/>
          <w:b w:val="0"/>
          <w:bCs w:val="0"/>
          <w:color w:val="auto"/>
          <w:szCs w:val="21"/>
          <w:highlight w:val="none"/>
        </w:rPr>
        <w:t>拒绝签订政府采购合同的</w:t>
      </w:r>
      <w:r>
        <w:rPr>
          <w:rFonts w:hint="eastAsia" w:ascii="宋体" w:hAnsi="宋体"/>
          <w:b w:val="0"/>
          <w:bCs w:val="0"/>
          <w:color w:val="auto"/>
          <w:highlight w:val="none"/>
        </w:rPr>
        <w:t>，</w:t>
      </w:r>
      <w:r>
        <w:rPr>
          <w:rFonts w:hint="eastAsia"/>
          <w:b w:val="0"/>
          <w:bCs w:val="0"/>
          <w:color w:val="auto"/>
          <w:highlight w:val="none"/>
        </w:rPr>
        <w:t>其保证金将不予退还，并上缴国库，给采购人造成其损失的，还应当赔偿损失，并作为不良行为记录在案</w:t>
      </w:r>
      <w:r>
        <w:rPr>
          <w:rFonts w:hint="eastAsia" w:ascii="宋体" w:hAnsi="宋体"/>
          <w:b w:val="0"/>
          <w:bCs w:val="0"/>
          <w:color w:val="auto"/>
          <w:highlight w:val="none"/>
        </w:rPr>
        <w:t>。</w:t>
      </w:r>
    </w:p>
    <w:p>
      <w:pPr>
        <w:spacing w:line="380" w:lineRule="exact"/>
        <w:ind w:firstLine="422"/>
        <w:rPr>
          <w:rFonts w:ascii="宋体" w:hAnsi="宋体"/>
          <w:b/>
          <w:bCs/>
          <w:color w:val="auto"/>
          <w:szCs w:val="21"/>
          <w:highlight w:val="none"/>
        </w:rPr>
      </w:pPr>
      <w:r>
        <w:rPr>
          <w:rFonts w:hint="eastAsia" w:ascii="宋体" w:hAnsi="宋体"/>
          <w:b/>
          <w:bCs/>
          <w:color w:val="auto"/>
          <w:szCs w:val="21"/>
          <w:highlight w:val="none"/>
        </w:rPr>
        <w:t>五</w:t>
      </w:r>
      <w:r>
        <w:rPr>
          <w:rFonts w:hint="eastAsia"/>
          <w:b/>
          <w:bCs/>
          <w:color w:val="auto"/>
          <w:highlight w:val="none"/>
        </w:rPr>
        <w:t>、谈判程序</w:t>
      </w:r>
      <w:r>
        <w:rPr>
          <w:rFonts w:hint="eastAsia" w:ascii="宋体" w:hAnsi="宋体"/>
          <w:b/>
          <w:bCs/>
          <w:color w:val="auto"/>
          <w:szCs w:val="21"/>
          <w:highlight w:val="none"/>
        </w:rPr>
        <w:t>及</w:t>
      </w:r>
      <w:r>
        <w:rPr>
          <w:rFonts w:hint="eastAsia"/>
          <w:b/>
          <w:bCs/>
          <w:color w:val="auto"/>
          <w:highlight w:val="none"/>
        </w:rPr>
        <w:t>评标方法</w:t>
      </w:r>
    </w:p>
    <w:p>
      <w:pPr>
        <w:spacing w:line="380" w:lineRule="exact"/>
        <w:ind w:firstLine="420"/>
        <w:rPr>
          <w:b w:val="0"/>
          <w:bCs w:val="0"/>
          <w:color w:val="auto"/>
          <w:highlight w:val="none"/>
        </w:rPr>
      </w:pPr>
      <w:r>
        <w:rPr>
          <w:rFonts w:hint="eastAsia"/>
          <w:b w:val="0"/>
          <w:bCs w:val="0"/>
          <w:color w:val="auto"/>
          <w:highlight w:val="none"/>
        </w:rPr>
        <w:t>（一）在谈判正式开始前由谈判小组对竞争性谈判文件进行确认，认可竞争性谈判文件的内容符合法律法规的规定、不存在歧视性或排他性内容。</w:t>
      </w:r>
    </w:p>
    <w:p>
      <w:pPr>
        <w:spacing w:line="380" w:lineRule="exact"/>
        <w:ind w:firstLine="420"/>
        <w:rPr>
          <w:b w:val="0"/>
          <w:bCs w:val="0"/>
          <w:color w:val="auto"/>
          <w:highlight w:val="none"/>
        </w:rPr>
      </w:pPr>
      <w:r>
        <w:rPr>
          <w:rFonts w:hint="eastAsia"/>
          <w:b w:val="0"/>
          <w:bCs w:val="0"/>
          <w:color w:val="auto"/>
          <w:highlight w:val="none"/>
        </w:rPr>
        <w:t>（二）竞争性谈判响应文件无效的情形：</w:t>
      </w:r>
    </w:p>
    <w:p>
      <w:pPr>
        <w:spacing w:line="380" w:lineRule="exact"/>
        <w:ind w:firstLine="420"/>
        <w:rPr>
          <w:b w:val="0"/>
          <w:bCs w:val="0"/>
          <w:color w:val="auto"/>
          <w:highlight w:val="none"/>
        </w:rPr>
      </w:pPr>
      <w:r>
        <w:rPr>
          <w:rFonts w:hint="eastAsia"/>
          <w:b w:val="0"/>
          <w:bCs w:val="0"/>
          <w:color w:val="auto"/>
          <w:highlight w:val="none"/>
        </w:rPr>
        <w:t>1.未实质性响应竞争性谈判文件的竞争性谈判响应文件按无效处理。</w:t>
      </w:r>
    </w:p>
    <w:p>
      <w:pPr>
        <w:spacing w:line="380" w:lineRule="exact"/>
        <w:ind w:firstLine="420"/>
        <w:rPr>
          <w:b w:val="0"/>
          <w:bCs w:val="0"/>
          <w:color w:val="auto"/>
          <w:highlight w:val="none"/>
        </w:rPr>
      </w:pPr>
      <w:r>
        <w:rPr>
          <w:rFonts w:hint="eastAsia"/>
          <w:b w:val="0"/>
          <w:bCs w:val="0"/>
          <w:color w:val="auto"/>
          <w:highlight w:val="none"/>
        </w:rPr>
        <w:t>2.有下列情形之一的视为供应商相互串通参与谈判活动，竞争性谈判响应文件将被视为无效：</w:t>
      </w:r>
    </w:p>
    <w:p>
      <w:pPr>
        <w:spacing w:line="380" w:lineRule="exact"/>
        <w:ind w:firstLine="420"/>
        <w:rPr>
          <w:b w:val="0"/>
          <w:bCs w:val="0"/>
          <w:color w:val="auto"/>
          <w:highlight w:val="none"/>
        </w:rPr>
      </w:pPr>
      <w:r>
        <w:rPr>
          <w:rFonts w:hint="eastAsia"/>
          <w:b w:val="0"/>
          <w:bCs w:val="0"/>
          <w:color w:val="auto"/>
          <w:highlight w:val="none"/>
        </w:rPr>
        <w:t>（1）不同供应商的竞争性谈判响应文件由同一单位或者个人编制；或不同供应商报名的IP地址一致的；</w:t>
      </w:r>
    </w:p>
    <w:p>
      <w:pPr>
        <w:spacing w:line="380" w:lineRule="exact"/>
        <w:ind w:firstLine="420"/>
        <w:rPr>
          <w:b w:val="0"/>
          <w:bCs w:val="0"/>
          <w:color w:val="auto"/>
          <w:highlight w:val="none"/>
        </w:rPr>
      </w:pPr>
      <w:r>
        <w:rPr>
          <w:rFonts w:hint="eastAsia"/>
          <w:b w:val="0"/>
          <w:bCs w:val="0"/>
          <w:color w:val="auto"/>
          <w:highlight w:val="none"/>
        </w:rPr>
        <w:t>（2）不同供应商委托同一单位或者个人办理谈判活动事宜；</w:t>
      </w:r>
    </w:p>
    <w:p>
      <w:pPr>
        <w:spacing w:line="380" w:lineRule="exact"/>
        <w:ind w:firstLine="420"/>
        <w:rPr>
          <w:b w:val="0"/>
          <w:bCs w:val="0"/>
          <w:color w:val="auto"/>
          <w:highlight w:val="none"/>
        </w:rPr>
      </w:pPr>
      <w:r>
        <w:rPr>
          <w:rFonts w:hint="eastAsia"/>
          <w:b w:val="0"/>
          <w:bCs w:val="0"/>
          <w:color w:val="auto"/>
          <w:highlight w:val="none"/>
        </w:rPr>
        <w:t>（3）不同的供应商的竞争性谈判响应文件载明的项目管理员为同一个人；</w:t>
      </w:r>
    </w:p>
    <w:p>
      <w:pPr>
        <w:spacing w:line="380" w:lineRule="exact"/>
        <w:ind w:firstLine="420"/>
        <w:rPr>
          <w:b w:val="0"/>
          <w:bCs w:val="0"/>
          <w:color w:val="auto"/>
          <w:highlight w:val="none"/>
        </w:rPr>
      </w:pPr>
      <w:r>
        <w:rPr>
          <w:rFonts w:hint="eastAsia"/>
          <w:b w:val="0"/>
          <w:bCs w:val="0"/>
          <w:color w:val="auto"/>
          <w:highlight w:val="none"/>
        </w:rPr>
        <w:t>（4）不同供应商的竞争性谈判响应文件异常一致或谈判报价呈规律性差异；</w:t>
      </w:r>
    </w:p>
    <w:p>
      <w:pPr>
        <w:spacing w:line="380" w:lineRule="exact"/>
        <w:ind w:firstLine="420"/>
        <w:rPr>
          <w:b w:val="0"/>
          <w:bCs w:val="0"/>
          <w:color w:val="auto"/>
          <w:highlight w:val="none"/>
        </w:rPr>
      </w:pPr>
      <w:r>
        <w:rPr>
          <w:rFonts w:hint="eastAsia"/>
          <w:b w:val="0"/>
          <w:bCs w:val="0"/>
          <w:color w:val="auto"/>
          <w:highlight w:val="none"/>
        </w:rPr>
        <w:t>（5）不同供应商的竞争性谈判响应文件相互混装；</w:t>
      </w:r>
    </w:p>
    <w:p>
      <w:pPr>
        <w:spacing w:line="380" w:lineRule="exact"/>
        <w:ind w:firstLine="420"/>
        <w:rPr>
          <w:b w:val="0"/>
          <w:bCs w:val="0"/>
          <w:color w:val="auto"/>
          <w:highlight w:val="none"/>
        </w:rPr>
      </w:pPr>
      <w:r>
        <w:rPr>
          <w:rFonts w:hint="eastAsia"/>
          <w:b w:val="0"/>
          <w:bCs w:val="0"/>
          <w:color w:val="auto"/>
          <w:highlight w:val="none"/>
        </w:rPr>
        <w:t>（6）不同供应商的保证金从同一单位或者个人账户转出。</w:t>
      </w:r>
    </w:p>
    <w:p>
      <w:pPr>
        <w:widowControl/>
        <w:spacing w:line="400" w:lineRule="exact"/>
        <w:ind w:firstLine="420" w:firstLineChars="200"/>
        <w:jc w:val="left"/>
        <w:rPr>
          <w:rFonts w:hint="eastAsia" w:ascii="宋体" w:hAnsi="宋体"/>
          <w:b w:val="0"/>
          <w:bCs w:val="0"/>
          <w:color w:val="auto"/>
          <w:kern w:val="0"/>
          <w:highlight w:val="none"/>
        </w:rPr>
      </w:pPr>
      <w:r>
        <w:rPr>
          <w:rFonts w:hint="eastAsia"/>
          <w:b w:val="0"/>
          <w:bCs w:val="0"/>
          <w:color w:val="auto"/>
          <w:highlight w:val="none"/>
        </w:rPr>
        <w:t>3.</w:t>
      </w:r>
      <w:r>
        <w:rPr>
          <w:rFonts w:hint="eastAsia" w:ascii="宋体" w:hAnsi="宋体"/>
          <w:b w:val="0"/>
          <w:bCs w:val="0"/>
          <w:color w:val="auto"/>
          <w:kern w:val="0"/>
          <w:highlight w:val="none"/>
        </w:rPr>
        <w:t>其他竞标无效的情形：</w:t>
      </w:r>
    </w:p>
    <w:p>
      <w:pPr>
        <w:widowControl/>
        <w:spacing w:line="400" w:lineRule="exact"/>
        <w:ind w:firstLine="420" w:firstLineChars="200"/>
        <w:jc w:val="left"/>
        <w:rPr>
          <w:rFonts w:hint="eastAsia" w:ascii="宋体" w:hAnsi="宋体"/>
          <w:b w:val="0"/>
          <w:bCs w:val="0"/>
          <w:color w:val="auto"/>
          <w:kern w:val="0"/>
          <w:highlight w:val="none"/>
        </w:rPr>
      </w:pPr>
      <w:r>
        <w:rPr>
          <w:rFonts w:hint="eastAsia" w:ascii="宋体" w:hAnsi="宋体"/>
          <w:b w:val="0"/>
          <w:bCs w:val="0"/>
          <w:color w:val="auto"/>
          <w:kern w:val="0"/>
          <w:highlight w:val="none"/>
        </w:rPr>
        <w:t>（1）竞争性谈判响应文件未按竞争性谈判文件要求签署或CA电子签章的；</w:t>
      </w:r>
    </w:p>
    <w:p>
      <w:pPr>
        <w:widowControl/>
        <w:spacing w:line="400" w:lineRule="exact"/>
        <w:ind w:firstLine="420" w:firstLineChars="200"/>
        <w:jc w:val="left"/>
        <w:rPr>
          <w:rFonts w:hint="eastAsia" w:ascii="宋体" w:hAnsi="宋体"/>
          <w:b w:val="0"/>
          <w:bCs w:val="0"/>
          <w:color w:val="auto"/>
          <w:kern w:val="0"/>
          <w:highlight w:val="none"/>
        </w:rPr>
      </w:pPr>
      <w:r>
        <w:rPr>
          <w:rFonts w:hint="eastAsia" w:ascii="宋体" w:hAnsi="宋体"/>
          <w:b w:val="0"/>
          <w:bCs w:val="0"/>
          <w:color w:val="auto"/>
          <w:kern w:val="0"/>
          <w:highlight w:val="none"/>
        </w:rPr>
        <w:t>（2）供应商提交2份或2份以上内容不同的竞争性谈判响应文件；</w:t>
      </w:r>
    </w:p>
    <w:p>
      <w:pPr>
        <w:widowControl/>
        <w:spacing w:line="400" w:lineRule="exact"/>
        <w:ind w:firstLine="420" w:firstLineChars="200"/>
        <w:jc w:val="left"/>
        <w:rPr>
          <w:rFonts w:ascii="宋体" w:hAnsi="宋体"/>
          <w:b w:val="0"/>
          <w:bCs w:val="0"/>
          <w:color w:val="auto"/>
          <w:kern w:val="0"/>
          <w:highlight w:val="none"/>
        </w:rPr>
      </w:pPr>
      <w:r>
        <w:rPr>
          <w:rFonts w:hint="eastAsia" w:ascii="宋体" w:hAnsi="宋体"/>
          <w:b w:val="0"/>
          <w:bCs w:val="0"/>
          <w:color w:val="auto"/>
          <w:kern w:val="0"/>
          <w:highlight w:val="none"/>
        </w:rPr>
        <w:t>（3）谈判</w:t>
      </w:r>
      <w:r>
        <w:rPr>
          <w:rFonts w:ascii="宋体" w:hAnsi="宋体"/>
          <w:b w:val="0"/>
          <w:bCs w:val="0"/>
          <w:color w:val="auto"/>
          <w:kern w:val="0"/>
          <w:highlight w:val="none"/>
        </w:rPr>
        <w:t>供应商在线制作</w:t>
      </w:r>
      <w:r>
        <w:rPr>
          <w:rFonts w:hint="eastAsia" w:ascii="宋体" w:hAnsi="宋体"/>
          <w:b w:val="0"/>
          <w:bCs w:val="0"/>
          <w:color w:val="auto"/>
          <w:kern w:val="0"/>
          <w:highlight w:val="none"/>
        </w:rPr>
        <w:t>竞争性谈判响应文件</w:t>
      </w:r>
      <w:r>
        <w:rPr>
          <w:rFonts w:ascii="宋体" w:hAnsi="宋体"/>
          <w:b w:val="0"/>
          <w:bCs w:val="0"/>
          <w:color w:val="auto"/>
          <w:kern w:val="0"/>
          <w:highlight w:val="none"/>
        </w:rPr>
        <w:t>时填写的</w:t>
      </w:r>
      <w:r>
        <w:rPr>
          <w:rFonts w:hint="eastAsia" w:ascii="宋体" w:hAnsi="宋体"/>
          <w:b w:val="0"/>
          <w:bCs w:val="0"/>
          <w:color w:val="auto"/>
          <w:kern w:val="0"/>
          <w:highlight w:val="none"/>
        </w:rPr>
        <w:t>报价</w:t>
      </w:r>
      <w:r>
        <w:rPr>
          <w:rFonts w:ascii="宋体" w:hAnsi="宋体"/>
          <w:b w:val="0"/>
          <w:bCs w:val="0"/>
          <w:color w:val="auto"/>
          <w:kern w:val="0"/>
          <w:highlight w:val="none"/>
        </w:rPr>
        <w:t>金额与解密后“电子加密</w:t>
      </w:r>
      <w:r>
        <w:rPr>
          <w:rFonts w:hint="eastAsia" w:ascii="宋体" w:hAnsi="宋体"/>
          <w:b w:val="0"/>
          <w:bCs w:val="0"/>
          <w:color w:val="auto"/>
          <w:kern w:val="0"/>
          <w:highlight w:val="none"/>
        </w:rPr>
        <w:t>响应</w:t>
      </w:r>
      <w:r>
        <w:rPr>
          <w:rFonts w:ascii="宋体" w:hAnsi="宋体"/>
          <w:b w:val="0"/>
          <w:bCs w:val="0"/>
          <w:color w:val="auto"/>
          <w:kern w:val="0"/>
          <w:highlight w:val="none"/>
        </w:rPr>
        <w:t>文件”中《</w:t>
      </w:r>
      <w:r>
        <w:rPr>
          <w:rFonts w:hint="eastAsia" w:ascii="宋体" w:hAnsi="宋体"/>
          <w:b w:val="0"/>
          <w:bCs w:val="0"/>
          <w:color w:val="auto"/>
          <w:kern w:val="0"/>
          <w:highlight w:val="none"/>
        </w:rPr>
        <w:t>报价文件</w:t>
      </w:r>
      <w:r>
        <w:rPr>
          <w:rFonts w:ascii="宋体" w:hAnsi="宋体"/>
          <w:b w:val="0"/>
          <w:bCs w:val="0"/>
          <w:color w:val="auto"/>
          <w:kern w:val="0"/>
          <w:highlight w:val="none"/>
        </w:rPr>
        <w:t>》填写的金额不一致并拒绝按</w:t>
      </w:r>
      <w:r>
        <w:rPr>
          <w:rFonts w:hint="eastAsia" w:ascii="宋体" w:hAnsi="宋体"/>
          <w:b w:val="0"/>
          <w:bCs w:val="0"/>
          <w:color w:val="auto"/>
          <w:kern w:val="0"/>
          <w:highlight w:val="none"/>
        </w:rPr>
        <w:t>采购</w:t>
      </w:r>
      <w:r>
        <w:rPr>
          <w:rFonts w:ascii="宋体" w:hAnsi="宋体"/>
          <w:b w:val="0"/>
          <w:bCs w:val="0"/>
          <w:color w:val="auto"/>
          <w:kern w:val="0"/>
          <w:highlight w:val="none"/>
        </w:rPr>
        <w:t>文件要求接受调整的；</w:t>
      </w:r>
    </w:p>
    <w:p>
      <w:pPr>
        <w:widowControl/>
        <w:spacing w:line="400" w:lineRule="exact"/>
        <w:ind w:firstLine="420" w:firstLineChars="200"/>
        <w:jc w:val="left"/>
        <w:rPr>
          <w:rFonts w:hint="eastAsia" w:ascii="宋体" w:hAnsi="宋体"/>
          <w:b w:val="0"/>
          <w:bCs w:val="0"/>
          <w:color w:val="auto"/>
          <w:kern w:val="0"/>
          <w:highlight w:val="none"/>
        </w:rPr>
      </w:pPr>
      <w:r>
        <w:rPr>
          <w:rFonts w:hint="eastAsia" w:ascii="宋体" w:hAnsi="宋体"/>
          <w:b w:val="0"/>
          <w:bCs w:val="0"/>
          <w:color w:val="auto"/>
          <w:kern w:val="0"/>
          <w:highlight w:val="none"/>
        </w:rPr>
        <w:t>（4）</w:t>
      </w:r>
      <w:r>
        <w:rPr>
          <w:rFonts w:ascii="宋体" w:hAnsi="宋体"/>
          <w:b w:val="0"/>
          <w:bCs w:val="0"/>
          <w:color w:val="auto"/>
          <w:kern w:val="0"/>
          <w:highlight w:val="none"/>
        </w:rPr>
        <w:t>法律、法规和</w:t>
      </w:r>
      <w:r>
        <w:rPr>
          <w:rFonts w:hint="eastAsia" w:ascii="宋体" w:hAnsi="宋体"/>
          <w:b w:val="0"/>
          <w:bCs w:val="0"/>
          <w:color w:val="auto"/>
          <w:kern w:val="0"/>
          <w:highlight w:val="none"/>
        </w:rPr>
        <w:t>采购</w:t>
      </w:r>
      <w:r>
        <w:rPr>
          <w:rFonts w:ascii="宋体" w:hAnsi="宋体"/>
          <w:b w:val="0"/>
          <w:bCs w:val="0"/>
          <w:color w:val="auto"/>
          <w:kern w:val="0"/>
          <w:highlight w:val="none"/>
        </w:rPr>
        <w:t>文件规定的其他无效情形（或出现重大偏差）。</w:t>
      </w:r>
    </w:p>
    <w:p>
      <w:pPr>
        <w:spacing w:line="380" w:lineRule="exact"/>
        <w:ind w:firstLine="420"/>
        <w:rPr>
          <w:b w:val="0"/>
          <w:bCs w:val="0"/>
          <w:color w:val="auto"/>
          <w:highlight w:val="none"/>
        </w:rPr>
      </w:pPr>
      <w:r>
        <w:rPr>
          <w:rFonts w:hint="eastAsia"/>
          <w:b w:val="0"/>
          <w:bCs w:val="0"/>
          <w:color w:val="auto"/>
          <w:highlight w:val="none"/>
        </w:rPr>
        <w:t>4.被拒绝的响应文件为无效。</w:t>
      </w:r>
    </w:p>
    <w:p>
      <w:pPr>
        <w:spacing w:line="380" w:lineRule="exact"/>
        <w:ind w:firstLine="422"/>
        <w:rPr>
          <w:b w:val="0"/>
          <w:bCs w:val="0"/>
          <w:color w:val="auto"/>
          <w:highlight w:val="none"/>
        </w:rPr>
      </w:pPr>
      <w:r>
        <w:rPr>
          <w:rFonts w:hint="eastAsia"/>
          <w:b w:val="0"/>
          <w:bCs w:val="0"/>
          <w:color w:val="auto"/>
          <w:highlight w:val="none"/>
        </w:rPr>
        <w:t xml:space="preserve">  谈判供应商竞争性谈判响应文件无效的，谈判小组应当告知有关供应商。</w:t>
      </w:r>
    </w:p>
    <w:p>
      <w:pPr>
        <w:widowControl/>
        <w:spacing w:line="400" w:lineRule="exact"/>
        <w:ind w:firstLine="420" w:firstLineChars="200"/>
        <w:jc w:val="left"/>
        <w:rPr>
          <w:rFonts w:hint="eastAsia" w:ascii="宋体" w:hAnsi="宋体"/>
          <w:b w:val="0"/>
          <w:bCs w:val="0"/>
          <w:color w:val="auto"/>
          <w:kern w:val="0"/>
          <w:highlight w:val="none"/>
        </w:rPr>
      </w:pPr>
      <w:r>
        <w:rPr>
          <w:rFonts w:hint="eastAsia" w:ascii="宋体" w:hAnsi="宋体"/>
          <w:b w:val="0"/>
          <w:bCs w:val="0"/>
          <w:color w:val="auto"/>
          <w:kern w:val="0"/>
          <w:highlight w:val="none"/>
        </w:rPr>
        <w:t>11.1第一轮谈判</w:t>
      </w:r>
    </w:p>
    <w:p>
      <w:pPr>
        <w:widowControl/>
        <w:spacing w:line="400" w:lineRule="exact"/>
        <w:ind w:firstLine="420" w:firstLineChars="200"/>
        <w:jc w:val="left"/>
        <w:rPr>
          <w:rFonts w:hint="eastAsia" w:ascii="宋体" w:hAnsi="宋体"/>
          <w:b w:val="0"/>
          <w:bCs w:val="0"/>
          <w:color w:val="auto"/>
          <w:kern w:val="0"/>
          <w:highlight w:val="none"/>
        </w:rPr>
      </w:pPr>
      <w:r>
        <w:rPr>
          <w:rFonts w:hint="eastAsia" w:ascii="宋体" w:hAnsi="宋体"/>
          <w:b w:val="0"/>
          <w:bCs w:val="0"/>
          <w:color w:val="auto"/>
          <w:kern w:val="0"/>
          <w:highlight w:val="none"/>
        </w:rPr>
        <w:t>（一）谈判准备</w:t>
      </w:r>
    </w:p>
    <w:p>
      <w:pPr>
        <w:widowControl/>
        <w:spacing w:line="400" w:lineRule="exact"/>
        <w:ind w:firstLine="420" w:firstLineChars="200"/>
        <w:jc w:val="left"/>
        <w:rPr>
          <w:rFonts w:hint="eastAsia" w:ascii="宋体" w:hAnsi="宋体"/>
          <w:b w:val="0"/>
          <w:bCs w:val="0"/>
          <w:color w:val="auto"/>
          <w:kern w:val="0"/>
          <w:highlight w:val="none"/>
        </w:rPr>
      </w:pPr>
      <w:r>
        <w:rPr>
          <w:rFonts w:hint="eastAsia" w:ascii="宋体" w:hAnsi="宋体"/>
          <w:b w:val="0"/>
          <w:bCs w:val="0"/>
          <w:color w:val="auto"/>
          <w:kern w:val="0"/>
          <w:highlight w:val="none"/>
        </w:rPr>
        <w:t>本中心将在规定的时间和地点进行电子谈判，谈判供应商的法定代表人或其委托代理人应做好谈判准备，准时在线参加电子谈判会议，随时关注谈判进度。</w:t>
      </w:r>
    </w:p>
    <w:p>
      <w:pPr>
        <w:widowControl/>
        <w:spacing w:line="400" w:lineRule="exact"/>
        <w:ind w:firstLine="420" w:firstLineChars="200"/>
        <w:jc w:val="left"/>
        <w:rPr>
          <w:rFonts w:hint="eastAsia" w:ascii="宋体" w:hAnsi="宋体"/>
          <w:b w:val="0"/>
          <w:bCs w:val="0"/>
          <w:color w:val="auto"/>
          <w:kern w:val="0"/>
          <w:highlight w:val="none"/>
        </w:rPr>
      </w:pPr>
      <w:r>
        <w:rPr>
          <w:rFonts w:hint="eastAsia" w:ascii="宋体" w:hAnsi="宋体"/>
          <w:b w:val="0"/>
          <w:bCs w:val="0"/>
          <w:color w:val="auto"/>
          <w:kern w:val="0"/>
          <w:highlight w:val="none"/>
        </w:rPr>
        <w:t>（二） 第一轮谈判程序：</w:t>
      </w:r>
    </w:p>
    <w:p>
      <w:pPr>
        <w:widowControl/>
        <w:spacing w:line="400" w:lineRule="exact"/>
        <w:ind w:firstLine="420" w:firstLineChars="200"/>
        <w:jc w:val="left"/>
        <w:rPr>
          <w:rFonts w:hint="eastAsia" w:ascii="宋体" w:hAnsi="宋体"/>
          <w:b w:val="0"/>
          <w:bCs w:val="0"/>
          <w:color w:val="auto"/>
          <w:kern w:val="0"/>
          <w:highlight w:val="none"/>
        </w:rPr>
      </w:pPr>
      <w:r>
        <w:rPr>
          <w:rFonts w:hint="eastAsia" w:ascii="宋体" w:hAnsi="宋体"/>
          <w:b w:val="0"/>
          <w:bCs w:val="0"/>
          <w:color w:val="auto"/>
          <w:kern w:val="0"/>
          <w:highlight w:val="none"/>
        </w:rPr>
        <w:t>1.谈判会由本中心主持，主持人宣布谈判会议开始；</w:t>
      </w:r>
    </w:p>
    <w:p>
      <w:pPr>
        <w:widowControl/>
        <w:spacing w:line="400" w:lineRule="exact"/>
        <w:ind w:firstLine="420" w:firstLineChars="200"/>
        <w:jc w:val="left"/>
        <w:rPr>
          <w:rFonts w:hint="eastAsia" w:ascii="宋体" w:hAnsi="宋体"/>
          <w:b w:val="0"/>
          <w:bCs w:val="0"/>
          <w:color w:val="auto"/>
          <w:kern w:val="0"/>
          <w:highlight w:val="none"/>
        </w:rPr>
      </w:pPr>
      <w:r>
        <w:rPr>
          <w:rFonts w:hint="eastAsia" w:ascii="宋体" w:hAnsi="宋体"/>
          <w:b w:val="0"/>
          <w:bCs w:val="0"/>
          <w:color w:val="auto"/>
          <w:kern w:val="0"/>
          <w:highlight w:val="none"/>
        </w:rPr>
        <w:t xml:space="preserve">2.主持人介绍参加谈判会的人员名单； </w:t>
      </w:r>
    </w:p>
    <w:p>
      <w:pPr>
        <w:widowControl/>
        <w:spacing w:line="400" w:lineRule="exact"/>
        <w:ind w:firstLine="420" w:firstLineChars="200"/>
        <w:jc w:val="left"/>
        <w:rPr>
          <w:rFonts w:hint="eastAsia" w:ascii="宋体" w:hAnsi="宋体"/>
          <w:b w:val="0"/>
          <w:bCs w:val="0"/>
          <w:color w:val="auto"/>
          <w:kern w:val="0"/>
          <w:highlight w:val="none"/>
        </w:rPr>
      </w:pPr>
      <w:r>
        <w:rPr>
          <w:rFonts w:hint="eastAsia" w:ascii="宋体" w:hAnsi="宋体"/>
          <w:b w:val="0"/>
          <w:bCs w:val="0"/>
          <w:color w:val="auto"/>
          <w:kern w:val="0"/>
          <w:highlight w:val="none"/>
        </w:rPr>
        <w:t>3.主持人宣布谈判会议纪律及评审期间的有关事项；告知应当回避的情形,提请有关人员回避；</w:t>
      </w:r>
    </w:p>
    <w:p>
      <w:pPr>
        <w:widowControl/>
        <w:spacing w:line="400" w:lineRule="exact"/>
        <w:ind w:firstLine="420" w:firstLineChars="200"/>
        <w:jc w:val="left"/>
        <w:rPr>
          <w:rFonts w:hint="eastAsia" w:ascii="宋体" w:hAnsi="宋体"/>
          <w:b w:val="0"/>
          <w:bCs w:val="0"/>
          <w:color w:val="auto"/>
          <w:kern w:val="0"/>
          <w:highlight w:val="none"/>
        </w:rPr>
      </w:pPr>
      <w:r>
        <w:rPr>
          <w:rFonts w:hint="eastAsia" w:ascii="宋体" w:hAnsi="宋体"/>
          <w:b w:val="0"/>
          <w:bCs w:val="0"/>
          <w:color w:val="auto"/>
          <w:kern w:val="0"/>
          <w:highlight w:val="none"/>
        </w:rPr>
        <w:t>4.谈判及评审程序</w:t>
      </w:r>
    </w:p>
    <w:p>
      <w:pPr>
        <w:widowControl/>
        <w:spacing w:line="400" w:lineRule="exact"/>
        <w:ind w:firstLine="420" w:firstLineChars="200"/>
        <w:jc w:val="left"/>
        <w:rPr>
          <w:rFonts w:hint="eastAsia" w:ascii="宋体" w:hAnsi="宋体"/>
          <w:b w:val="0"/>
          <w:bCs w:val="0"/>
          <w:color w:val="auto"/>
          <w:kern w:val="0"/>
          <w:highlight w:val="none"/>
        </w:rPr>
      </w:pPr>
      <w:r>
        <w:rPr>
          <w:rFonts w:hint="eastAsia" w:ascii="宋体" w:hAnsi="宋体"/>
          <w:b w:val="0"/>
          <w:bCs w:val="0"/>
          <w:color w:val="auto"/>
          <w:kern w:val="0"/>
          <w:highlight w:val="none"/>
        </w:rPr>
        <w:t>（1）在谈判开始时间截止后30分钟内由各供应商自行对谈判响应文件进行解密；</w:t>
      </w:r>
    </w:p>
    <w:p>
      <w:pPr>
        <w:widowControl/>
        <w:spacing w:line="400" w:lineRule="exact"/>
        <w:ind w:firstLine="420" w:firstLineChars="200"/>
        <w:jc w:val="left"/>
        <w:rPr>
          <w:rFonts w:hint="eastAsia" w:ascii="宋体" w:hAnsi="宋体"/>
          <w:b w:val="0"/>
          <w:bCs w:val="0"/>
          <w:color w:val="auto"/>
          <w:kern w:val="0"/>
          <w:highlight w:val="none"/>
        </w:rPr>
      </w:pPr>
      <w:r>
        <w:rPr>
          <w:rFonts w:hint="eastAsia" w:ascii="宋体" w:hAnsi="宋体"/>
          <w:b w:val="0"/>
          <w:bCs w:val="0"/>
          <w:color w:val="auto"/>
          <w:kern w:val="0"/>
          <w:highlight w:val="none"/>
        </w:rPr>
        <w:t>（2）由谈判小组进行资格审查和符合性审查，审查结束后，在线通知无效谈判供应商谈判响应文件无效理由，有效谈判供应商进入谈判程序。</w:t>
      </w:r>
    </w:p>
    <w:p>
      <w:pPr>
        <w:widowControl/>
        <w:spacing w:line="400" w:lineRule="exact"/>
        <w:ind w:firstLine="420" w:firstLineChars="200"/>
        <w:jc w:val="left"/>
        <w:rPr>
          <w:rFonts w:hint="eastAsia" w:ascii="宋体" w:hAnsi="宋体"/>
          <w:b w:val="0"/>
          <w:bCs w:val="0"/>
          <w:color w:val="auto"/>
          <w:kern w:val="0"/>
          <w:highlight w:val="none"/>
        </w:rPr>
      </w:pPr>
      <w:r>
        <w:rPr>
          <w:rFonts w:hint="eastAsia" w:ascii="宋体" w:hAnsi="宋体"/>
          <w:b w:val="0"/>
          <w:bCs w:val="0"/>
          <w:color w:val="auto"/>
          <w:kern w:val="0"/>
          <w:highlight w:val="none"/>
        </w:rPr>
        <w:t>（3）系统对各供应商的商务技术进行汇总；</w:t>
      </w:r>
    </w:p>
    <w:p>
      <w:pPr>
        <w:widowControl/>
        <w:spacing w:line="400" w:lineRule="exact"/>
        <w:ind w:firstLine="420" w:firstLineChars="200"/>
        <w:jc w:val="left"/>
        <w:rPr>
          <w:rFonts w:ascii="宋体" w:hAnsi="宋体"/>
          <w:b w:val="0"/>
          <w:bCs w:val="0"/>
          <w:color w:val="auto"/>
          <w:kern w:val="0"/>
          <w:highlight w:val="none"/>
        </w:rPr>
      </w:pPr>
      <w:r>
        <w:rPr>
          <w:rFonts w:hint="eastAsia" w:ascii="宋体" w:hAnsi="宋体"/>
          <w:b w:val="0"/>
          <w:bCs w:val="0"/>
          <w:color w:val="auto"/>
          <w:kern w:val="0"/>
          <w:highlight w:val="none"/>
        </w:rPr>
        <w:t>（4）谈判小组所有成员应当集中与单一供应商分别进行在线谈判，并给予所有参加谈判的供应商平等的谈判机会。</w:t>
      </w:r>
    </w:p>
    <w:p>
      <w:pPr>
        <w:widowControl/>
        <w:spacing w:line="400" w:lineRule="exact"/>
        <w:ind w:firstLine="420" w:firstLineChars="200"/>
        <w:jc w:val="left"/>
        <w:rPr>
          <w:rFonts w:hint="eastAsia" w:ascii="宋体" w:hAnsi="宋体"/>
          <w:b w:val="0"/>
          <w:bCs w:val="0"/>
          <w:color w:val="auto"/>
          <w:kern w:val="0"/>
          <w:highlight w:val="none"/>
        </w:rPr>
      </w:pPr>
      <w:r>
        <w:rPr>
          <w:rFonts w:hint="eastAsia" w:ascii="宋体" w:hAnsi="宋体"/>
          <w:b w:val="0"/>
          <w:bCs w:val="0"/>
          <w:color w:val="auto"/>
          <w:kern w:val="0"/>
          <w:highlight w:val="none"/>
        </w:rPr>
        <w:t>（5）当谈判小组一致确定供应商的竞争性谈判响应文件能够详细列明采购标的的技术、服务要求且符合竞争性谈判文件要求，无需再谈判的，谈判小组按竞争性谈判文件设定的11.4、11.6程序和评标方法确定成交候选供应商。第一轮谈判后竞争性谈判文件有实质性变动或仍需谈判的，谈判小组对竞争性谈判文件变动或提出谈判意见后进行第二轮谈判。</w:t>
      </w:r>
    </w:p>
    <w:p>
      <w:pPr>
        <w:widowControl/>
        <w:spacing w:line="400" w:lineRule="exact"/>
        <w:ind w:firstLine="420" w:firstLineChars="200"/>
        <w:jc w:val="left"/>
        <w:rPr>
          <w:rFonts w:hint="eastAsia" w:ascii="宋体" w:hAnsi="宋体"/>
          <w:b w:val="0"/>
          <w:bCs w:val="0"/>
          <w:color w:val="auto"/>
          <w:kern w:val="0"/>
          <w:highlight w:val="none"/>
        </w:rPr>
      </w:pPr>
      <w:r>
        <w:rPr>
          <w:rFonts w:hint="eastAsia" w:ascii="宋体" w:hAnsi="宋体"/>
          <w:b w:val="0"/>
          <w:bCs w:val="0"/>
          <w:color w:val="auto"/>
          <w:kern w:val="0"/>
          <w:highlight w:val="none"/>
        </w:rPr>
        <w:t>11.2竞争性谈判文件变动</w:t>
      </w:r>
    </w:p>
    <w:p>
      <w:pPr>
        <w:widowControl/>
        <w:spacing w:line="400" w:lineRule="exact"/>
        <w:ind w:firstLine="420" w:firstLineChars="200"/>
        <w:jc w:val="left"/>
        <w:rPr>
          <w:rFonts w:hint="eastAsia" w:ascii="宋体" w:hAnsi="宋体"/>
          <w:b w:val="0"/>
          <w:bCs w:val="0"/>
          <w:color w:val="auto"/>
          <w:kern w:val="0"/>
          <w:highlight w:val="none"/>
        </w:rPr>
      </w:pPr>
      <w:r>
        <w:rPr>
          <w:rFonts w:hint="eastAsia" w:ascii="宋体" w:hAnsi="宋体"/>
          <w:b w:val="0"/>
          <w:bCs w:val="0"/>
          <w:color w:val="auto"/>
          <w:kern w:val="0"/>
          <w:highlight w:val="none"/>
        </w:rPr>
        <w:t>⑴第一轮谈判结束后，由谈判小组组长主持，根据竞争性谈判文件和谈判情况结合第一轮谈判整体情况，可以对竞争性谈判文件采购需求中已事先明确的可能实质性变动采购需求中的技术、服务要求以及合同草案条款进行统一变动，但不得变动竞争性谈判文件中的其他内容。实质性变动的内容，须经采购人代表确认。</w:t>
      </w:r>
    </w:p>
    <w:p>
      <w:pPr>
        <w:widowControl/>
        <w:spacing w:line="400" w:lineRule="exact"/>
        <w:ind w:firstLine="420" w:firstLineChars="200"/>
        <w:jc w:val="left"/>
        <w:rPr>
          <w:rFonts w:ascii="宋体" w:hAnsi="宋体"/>
          <w:b w:val="0"/>
          <w:bCs w:val="0"/>
          <w:color w:val="auto"/>
          <w:kern w:val="0"/>
          <w:highlight w:val="none"/>
        </w:rPr>
      </w:pPr>
      <w:r>
        <w:rPr>
          <w:rFonts w:hint="eastAsia" w:ascii="宋体" w:hAnsi="宋体"/>
          <w:b w:val="0"/>
          <w:bCs w:val="0"/>
          <w:color w:val="auto"/>
          <w:kern w:val="0"/>
          <w:highlight w:val="none"/>
        </w:rPr>
        <w:t>对竞争性谈判文件作出的实质性变动是竞争性谈判文件的有效组成部分，谈判小组应当在询标规定时间内及时通知所有参加谈判的供应商，并要求供应商做出响应（需盖CA电子签章）。</w:t>
      </w:r>
    </w:p>
    <w:p>
      <w:pPr>
        <w:widowControl/>
        <w:spacing w:line="400" w:lineRule="exact"/>
        <w:ind w:firstLine="420" w:firstLineChars="200"/>
        <w:jc w:val="left"/>
        <w:rPr>
          <w:rFonts w:hint="eastAsia" w:ascii="宋体" w:hAnsi="宋体"/>
          <w:b w:val="0"/>
          <w:bCs w:val="0"/>
          <w:color w:val="auto"/>
          <w:kern w:val="0"/>
          <w:highlight w:val="none"/>
        </w:rPr>
      </w:pPr>
      <w:r>
        <w:rPr>
          <w:rFonts w:hint="eastAsia" w:ascii="宋体" w:hAnsi="宋体"/>
          <w:b w:val="0"/>
          <w:bCs w:val="0"/>
          <w:color w:val="auto"/>
          <w:kern w:val="0"/>
          <w:highlight w:val="none"/>
        </w:rPr>
        <w:t>11.3第二轮谈判</w:t>
      </w:r>
    </w:p>
    <w:p>
      <w:pPr>
        <w:widowControl/>
        <w:spacing w:line="400" w:lineRule="exact"/>
        <w:ind w:firstLine="420" w:firstLineChars="200"/>
        <w:jc w:val="left"/>
        <w:rPr>
          <w:rFonts w:ascii="宋体" w:hAnsi="宋体"/>
          <w:b w:val="0"/>
          <w:bCs w:val="0"/>
          <w:color w:val="auto"/>
          <w:kern w:val="0"/>
          <w:highlight w:val="none"/>
        </w:rPr>
      </w:pPr>
      <w:r>
        <w:rPr>
          <w:rFonts w:hint="eastAsia" w:ascii="宋体" w:hAnsi="宋体"/>
          <w:b w:val="0"/>
          <w:bCs w:val="0"/>
          <w:color w:val="auto"/>
          <w:kern w:val="0"/>
          <w:highlight w:val="none"/>
        </w:rPr>
        <w:t>谈判小组集中就重新提交的响应材料或谈判小组提出的谈判意见与单一响应供应商分别进行在线谈判。</w:t>
      </w:r>
    </w:p>
    <w:p>
      <w:pPr>
        <w:widowControl/>
        <w:spacing w:line="400" w:lineRule="exact"/>
        <w:ind w:firstLine="420" w:firstLineChars="200"/>
        <w:jc w:val="left"/>
        <w:rPr>
          <w:rFonts w:ascii="宋体" w:hAnsi="宋体"/>
          <w:b w:val="0"/>
          <w:bCs w:val="0"/>
          <w:color w:val="auto"/>
          <w:kern w:val="0"/>
          <w:highlight w:val="none"/>
        </w:rPr>
      </w:pPr>
      <w:r>
        <w:rPr>
          <w:rFonts w:hint="eastAsia" w:ascii="宋体" w:hAnsi="宋体"/>
          <w:b w:val="0"/>
          <w:bCs w:val="0"/>
          <w:color w:val="auto"/>
          <w:kern w:val="0"/>
          <w:highlight w:val="none"/>
        </w:rPr>
        <w:t>谈判后，在询标规定时间内供应商根据谈判小组统一整理的谈判记录要求做出承诺（需盖CA电子签章）。</w:t>
      </w:r>
    </w:p>
    <w:p>
      <w:pPr>
        <w:widowControl/>
        <w:spacing w:line="400" w:lineRule="exact"/>
        <w:ind w:firstLine="420" w:firstLineChars="200"/>
        <w:jc w:val="left"/>
        <w:rPr>
          <w:rFonts w:hint="eastAsia" w:ascii="宋体" w:hAnsi="宋体"/>
          <w:b w:val="0"/>
          <w:bCs w:val="0"/>
          <w:color w:val="auto"/>
          <w:kern w:val="0"/>
          <w:highlight w:val="none"/>
        </w:rPr>
      </w:pPr>
      <w:r>
        <w:rPr>
          <w:rFonts w:hint="eastAsia" w:ascii="宋体" w:hAnsi="宋体"/>
          <w:b w:val="0"/>
          <w:bCs w:val="0"/>
          <w:color w:val="auto"/>
          <w:kern w:val="0"/>
          <w:highlight w:val="none"/>
        </w:rPr>
        <w:t>当谈判小组一致确定供应商的竞争性谈判响应文件能够详细列明采购标的的技术、服务要求且符合竞争性谈判文件要求，无需再谈判的，谈判小组按竞争性谈判文件设定的11.4、11.6程序和评标方法确定成交候选供应商。第二轮谈判后竞争性谈判文件仍有实质性变动的或仍需谈判的，谈判小组对竞争性谈判文件变动或提出谈判意见后进行第三轮谈判。以此类推。</w:t>
      </w:r>
    </w:p>
    <w:p>
      <w:pPr>
        <w:widowControl/>
        <w:spacing w:line="400" w:lineRule="exact"/>
        <w:ind w:firstLine="420" w:firstLineChars="200"/>
        <w:jc w:val="left"/>
        <w:rPr>
          <w:rFonts w:hint="eastAsia" w:ascii="宋体" w:hAnsi="宋体"/>
          <w:b w:val="0"/>
          <w:bCs w:val="0"/>
          <w:color w:val="auto"/>
          <w:kern w:val="0"/>
          <w:highlight w:val="none"/>
        </w:rPr>
      </w:pPr>
      <w:r>
        <w:rPr>
          <w:rFonts w:hint="eastAsia" w:ascii="宋体" w:hAnsi="宋体"/>
          <w:b w:val="0"/>
          <w:bCs w:val="0"/>
          <w:color w:val="auto"/>
          <w:kern w:val="0"/>
          <w:highlight w:val="none"/>
        </w:rPr>
        <w:t>特别说明：</w:t>
      </w:r>
    </w:p>
    <w:p>
      <w:pPr>
        <w:widowControl/>
        <w:spacing w:line="400" w:lineRule="exact"/>
        <w:ind w:firstLine="420" w:firstLineChars="200"/>
        <w:jc w:val="left"/>
        <w:rPr>
          <w:rFonts w:hint="eastAsia" w:ascii="宋体" w:hAnsi="宋体"/>
          <w:b w:val="0"/>
          <w:bCs w:val="0"/>
          <w:color w:val="auto"/>
          <w:kern w:val="0"/>
          <w:highlight w:val="none"/>
        </w:rPr>
      </w:pPr>
      <w:r>
        <w:rPr>
          <w:rFonts w:hint="eastAsia" w:ascii="宋体" w:hAnsi="宋体"/>
          <w:b w:val="0"/>
          <w:bCs w:val="0"/>
          <w:color w:val="auto"/>
          <w:kern w:val="0"/>
          <w:highlight w:val="none"/>
        </w:rPr>
        <w:t>政采云公司如对电子化开标及评审程序有调整的，按调整后的程序操作。</w:t>
      </w:r>
    </w:p>
    <w:p>
      <w:pPr>
        <w:widowControl/>
        <w:spacing w:line="400" w:lineRule="exact"/>
        <w:ind w:firstLine="420" w:firstLineChars="200"/>
        <w:jc w:val="left"/>
        <w:rPr>
          <w:rFonts w:ascii="宋体" w:hAnsi="宋体"/>
          <w:b w:val="0"/>
          <w:bCs w:val="0"/>
          <w:color w:val="auto"/>
          <w:kern w:val="0"/>
          <w:highlight w:val="none"/>
        </w:rPr>
      </w:pPr>
      <w:r>
        <w:rPr>
          <w:rFonts w:hint="eastAsia" w:ascii="宋体" w:hAnsi="宋体"/>
          <w:b w:val="0"/>
          <w:bCs w:val="0"/>
          <w:color w:val="auto"/>
          <w:kern w:val="0"/>
          <w:highlight w:val="none"/>
        </w:rPr>
        <w:t>谈判评审在严格保密的情况下进行，谈判的任何一方不得透露与谈判有关的其他供应商的技术资料、价格和其他信息。</w:t>
      </w:r>
    </w:p>
    <w:p>
      <w:pPr>
        <w:widowControl/>
        <w:spacing w:line="400" w:lineRule="exact"/>
        <w:ind w:firstLine="420" w:firstLineChars="200"/>
        <w:jc w:val="left"/>
        <w:rPr>
          <w:rFonts w:hint="eastAsia" w:ascii="宋体" w:hAnsi="宋体"/>
          <w:b w:val="0"/>
          <w:bCs w:val="0"/>
          <w:color w:val="auto"/>
          <w:kern w:val="0"/>
          <w:highlight w:val="none"/>
        </w:rPr>
      </w:pPr>
      <w:r>
        <w:rPr>
          <w:rFonts w:hint="eastAsia" w:ascii="宋体" w:hAnsi="宋体"/>
          <w:b w:val="0"/>
          <w:bCs w:val="0"/>
          <w:color w:val="auto"/>
          <w:kern w:val="0"/>
          <w:highlight w:val="none"/>
        </w:rPr>
        <w:t>电子谈判过程中需要供应商在线确认的所有内容，供应商不予确认的应说明理由，超过规定时间未确认的，将被视为放弃确认或者无异议。</w:t>
      </w:r>
    </w:p>
    <w:p>
      <w:pPr>
        <w:widowControl/>
        <w:spacing w:line="400" w:lineRule="exact"/>
        <w:ind w:firstLine="420" w:firstLineChars="200"/>
        <w:jc w:val="left"/>
        <w:rPr>
          <w:rFonts w:hint="eastAsia" w:ascii="宋体" w:hAnsi="宋体"/>
          <w:b w:val="0"/>
          <w:bCs w:val="0"/>
          <w:color w:val="auto"/>
          <w:kern w:val="0"/>
          <w:highlight w:val="none"/>
        </w:rPr>
      </w:pPr>
      <w:r>
        <w:rPr>
          <w:rFonts w:hint="eastAsia" w:ascii="宋体" w:hAnsi="宋体"/>
          <w:b w:val="0"/>
          <w:bCs w:val="0"/>
          <w:color w:val="auto"/>
          <w:kern w:val="0"/>
          <w:highlight w:val="none"/>
        </w:rPr>
        <w:t>澄清问题的形式：对响应文件中含义不明确、同类问题表述不一致或者有明显文字和计算错误的内容，谈判小组可要求供应商作出必要的澄清、说明或者纠正，供应商应在询标规定时间内进行澄清或说明（需盖CA电子签章），并不得超出采购文件的范围或者改变谈判响应文件的实质性内容。</w:t>
      </w:r>
    </w:p>
    <w:p>
      <w:pPr>
        <w:widowControl/>
        <w:spacing w:line="400" w:lineRule="exact"/>
        <w:ind w:firstLine="420" w:firstLineChars="200"/>
        <w:jc w:val="left"/>
        <w:rPr>
          <w:rFonts w:hint="eastAsia" w:ascii="宋体" w:hAnsi="宋体"/>
          <w:b w:val="0"/>
          <w:bCs w:val="0"/>
          <w:color w:val="auto"/>
          <w:kern w:val="0"/>
          <w:highlight w:val="none"/>
        </w:rPr>
      </w:pPr>
      <w:r>
        <w:rPr>
          <w:rFonts w:hint="eastAsia" w:ascii="宋体" w:hAnsi="宋体"/>
          <w:b w:val="0"/>
          <w:bCs w:val="0"/>
          <w:color w:val="auto"/>
          <w:kern w:val="0"/>
          <w:highlight w:val="none"/>
        </w:rPr>
        <w:t>11.4最后报价及成交候选供应商推荐</w:t>
      </w:r>
    </w:p>
    <w:p>
      <w:pPr>
        <w:widowControl/>
        <w:spacing w:line="400" w:lineRule="exact"/>
        <w:ind w:firstLine="420" w:firstLineChars="200"/>
        <w:jc w:val="left"/>
        <w:rPr>
          <w:rFonts w:hint="eastAsia" w:ascii="宋体" w:hAnsi="宋体"/>
          <w:b w:val="0"/>
          <w:bCs w:val="0"/>
          <w:color w:val="auto"/>
          <w:kern w:val="0"/>
          <w:highlight w:val="none"/>
        </w:rPr>
      </w:pPr>
      <w:r>
        <w:rPr>
          <w:rFonts w:hint="eastAsia" w:ascii="宋体" w:hAnsi="宋体"/>
          <w:b w:val="0"/>
          <w:bCs w:val="0"/>
          <w:color w:val="auto"/>
          <w:kern w:val="0"/>
          <w:highlight w:val="none"/>
        </w:rPr>
        <w:t>谈判结束后，谈判小组要求所有继续参加谈判的供应商在规定时间内在线提交最后报价。继续参加谈判的供应商作最后报价，由其法定代表人(负责人)或授权代表CA电子签章后提交。</w:t>
      </w:r>
    </w:p>
    <w:p>
      <w:pPr>
        <w:widowControl/>
        <w:tabs>
          <w:tab w:val="left" w:pos="540"/>
        </w:tabs>
        <w:spacing w:line="360" w:lineRule="exact"/>
        <w:ind w:firstLine="420"/>
        <w:jc w:val="left"/>
        <w:rPr>
          <w:rFonts w:ascii="宋体" w:hAnsi="宋体" w:cs="宋体"/>
          <w:b w:val="0"/>
          <w:bCs w:val="0"/>
          <w:color w:val="auto"/>
          <w:szCs w:val="21"/>
          <w:highlight w:val="none"/>
        </w:rPr>
      </w:pPr>
      <w:r>
        <w:rPr>
          <w:rFonts w:hint="eastAsia" w:ascii="宋体" w:hAnsi="宋体"/>
          <w:b w:val="0"/>
          <w:bCs w:val="0"/>
          <w:color w:val="auto"/>
          <w:szCs w:val="21"/>
          <w:highlight w:val="none"/>
        </w:rPr>
        <w:t>谈判小组</w:t>
      </w:r>
      <w:r>
        <w:rPr>
          <w:rFonts w:hint="eastAsia" w:ascii="宋体" w:hAnsi="宋体" w:cs="宋体"/>
          <w:b w:val="0"/>
          <w:bCs w:val="0"/>
          <w:color w:val="auto"/>
          <w:szCs w:val="21"/>
          <w:highlight w:val="none"/>
        </w:rPr>
        <w:t>从质量和服务均能满足</w:t>
      </w:r>
      <w:r>
        <w:rPr>
          <w:rFonts w:hint="eastAsia" w:ascii="宋体" w:hAnsi="宋体"/>
          <w:b w:val="0"/>
          <w:bCs w:val="0"/>
          <w:color w:val="auto"/>
          <w:szCs w:val="21"/>
          <w:highlight w:val="none"/>
        </w:rPr>
        <w:t>竞争性</w:t>
      </w:r>
      <w:r>
        <w:rPr>
          <w:rFonts w:hint="eastAsia" w:ascii="宋体" w:hAnsi="宋体" w:cs="宋体"/>
          <w:b w:val="0"/>
          <w:bCs w:val="0"/>
          <w:color w:val="auto"/>
          <w:szCs w:val="21"/>
          <w:highlight w:val="none"/>
        </w:rPr>
        <w:t>谈判文件实质性响应要求的供应商中，按照最后报价由低到高的顺序提出3名以上成交候选人，</w:t>
      </w:r>
      <w:r>
        <w:rPr>
          <w:rFonts w:hint="eastAsia"/>
          <w:b w:val="0"/>
          <w:bCs w:val="0"/>
          <w:color w:val="auto"/>
          <w:highlight w:val="none"/>
        </w:rPr>
        <w:t>最后报价相同时，由谈判小组根据</w:t>
      </w:r>
      <w:r>
        <w:rPr>
          <w:rFonts w:hint="eastAsia" w:ascii="宋体" w:hAnsi="宋体"/>
          <w:b w:val="0"/>
          <w:bCs w:val="0"/>
          <w:color w:val="auto"/>
          <w:szCs w:val="21"/>
          <w:highlight w:val="none"/>
        </w:rPr>
        <w:t>竞争性谈判</w:t>
      </w:r>
      <w:r>
        <w:rPr>
          <w:rFonts w:hint="eastAsia"/>
          <w:b w:val="0"/>
          <w:bCs w:val="0"/>
          <w:color w:val="auto"/>
          <w:highlight w:val="none"/>
        </w:rPr>
        <w:t>响应文件中技术、服务、合同条款情况确定排序，按确定排序由低到高的原则推荐成交候选人，</w:t>
      </w:r>
      <w:r>
        <w:rPr>
          <w:rFonts w:hint="eastAsia" w:ascii="宋体" w:hAnsi="宋体" w:cs="宋体"/>
          <w:b w:val="0"/>
          <w:bCs w:val="0"/>
          <w:color w:val="auto"/>
          <w:szCs w:val="21"/>
          <w:highlight w:val="none"/>
        </w:rPr>
        <w:t>并编写评审报告。最后报价是供应商</w:t>
      </w:r>
      <w:r>
        <w:rPr>
          <w:rFonts w:hint="eastAsia" w:ascii="宋体" w:hAnsi="宋体"/>
          <w:b w:val="0"/>
          <w:bCs w:val="0"/>
          <w:color w:val="auto"/>
          <w:szCs w:val="21"/>
          <w:highlight w:val="none"/>
        </w:rPr>
        <w:t>竞争性谈判</w:t>
      </w:r>
      <w:r>
        <w:rPr>
          <w:rFonts w:hint="eastAsia" w:ascii="宋体" w:hAnsi="宋体" w:cs="宋体"/>
          <w:b w:val="0"/>
          <w:bCs w:val="0"/>
          <w:color w:val="auto"/>
          <w:szCs w:val="21"/>
          <w:highlight w:val="none"/>
        </w:rPr>
        <w:t>响应文件的有效组成部分。</w:t>
      </w:r>
    </w:p>
    <w:p>
      <w:pPr>
        <w:widowControl/>
        <w:spacing w:line="400" w:lineRule="exact"/>
        <w:ind w:firstLine="420" w:firstLineChars="200"/>
        <w:jc w:val="left"/>
        <w:rPr>
          <w:rFonts w:ascii="宋体" w:hAnsi="宋体"/>
          <w:b w:val="0"/>
          <w:bCs w:val="0"/>
          <w:color w:val="auto"/>
          <w:kern w:val="0"/>
          <w:highlight w:val="none"/>
        </w:rPr>
      </w:pPr>
      <w:r>
        <w:rPr>
          <w:rFonts w:hint="eastAsia" w:ascii="宋体" w:hAnsi="宋体"/>
          <w:b w:val="0"/>
          <w:bCs w:val="0"/>
          <w:color w:val="auto"/>
          <w:kern w:val="0"/>
          <w:highlight w:val="none"/>
        </w:rPr>
        <w:t>谈判小组按照少数服从多数的原则推荐成交候选供应商，采购程序继续进行。对评审报告有异议的谈判小组成员，应当明确不同意见并说明理由。谈判小组成员拒绝提出理由的，视为同意评审结果。</w:t>
      </w:r>
    </w:p>
    <w:p>
      <w:pPr>
        <w:widowControl/>
        <w:spacing w:line="400" w:lineRule="exact"/>
        <w:ind w:firstLine="420" w:firstLineChars="200"/>
        <w:jc w:val="left"/>
        <w:rPr>
          <w:rFonts w:hint="eastAsia" w:ascii="宋体" w:hAnsi="宋体"/>
          <w:b w:val="0"/>
          <w:bCs w:val="0"/>
          <w:color w:val="auto"/>
          <w:kern w:val="0"/>
          <w:highlight w:val="none"/>
        </w:rPr>
      </w:pPr>
      <w:r>
        <w:rPr>
          <w:rFonts w:hint="eastAsia" w:ascii="宋体" w:hAnsi="宋体"/>
          <w:b w:val="0"/>
          <w:bCs w:val="0"/>
          <w:color w:val="auto"/>
          <w:kern w:val="0"/>
          <w:highlight w:val="none"/>
        </w:rPr>
        <w:t>11.5供应商的报价均超过了政府采购最高限价，采购人不能支付的，谈判活动终止。</w:t>
      </w:r>
    </w:p>
    <w:p>
      <w:pPr>
        <w:widowControl/>
        <w:spacing w:line="400" w:lineRule="exact"/>
        <w:ind w:firstLine="420" w:firstLineChars="200"/>
        <w:jc w:val="left"/>
        <w:rPr>
          <w:rFonts w:hint="eastAsia" w:ascii="宋体" w:hAnsi="宋体"/>
          <w:b w:val="0"/>
          <w:bCs w:val="0"/>
          <w:color w:val="auto"/>
          <w:kern w:val="0"/>
          <w:highlight w:val="none"/>
        </w:rPr>
      </w:pPr>
      <w:r>
        <w:rPr>
          <w:rFonts w:hint="eastAsia" w:ascii="宋体" w:hAnsi="宋体"/>
          <w:b w:val="0"/>
          <w:bCs w:val="0"/>
          <w:color w:val="auto"/>
          <w:kern w:val="0"/>
          <w:highlight w:val="none"/>
        </w:rPr>
        <w:t>11.6</w:t>
      </w:r>
      <w:r>
        <w:rPr>
          <w:rFonts w:hint="eastAsia"/>
          <w:b w:val="0"/>
          <w:bCs w:val="0"/>
          <w:color w:val="auto"/>
          <w:highlight w:val="none"/>
        </w:rPr>
        <w:t>本采购项目的评审依据为竞争性谈判文件和竞争性谈判响应文件，采用的评标方法为</w:t>
      </w:r>
      <w:r>
        <w:rPr>
          <w:rFonts w:hint="eastAsia"/>
          <w:b w:val="0"/>
          <w:bCs w:val="0"/>
          <w:color w:val="auto"/>
          <w:szCs w:val="21"/>
          <w:highlight w:val="none"/>
        </w:rPr>
        <w:t>最低评标价法</w:t>
      </w:r>
      <w:r>
        <w:rPr>
          <w:rFonts w:hint="eastAsia"/>
          <w:b w:val="0"/>
          <w:bCs w:val="0"/>
          <w:color w:val="auto"/>
          <w:highlight w:val="none"/>
        </w:rPr>
        <w:t>。</w:t>
      </w:r>
    </w:p>
    <w:p>
      <w:pPr>
        <w:widowControl/>
        <w:spacing w:line="400" w:lineRule="exact"/>
        <w:ind w:firstLine="420" w:firstLineChars="200"/>
        <w:jc w:val="left"/>
        <w:rPr>
          <w:rFonts w:hint="eastAsia" w:ascii="宋体" w:hAnsi="宋体"/>
          <w:b w:val="0"/>
          <w:bCs w:val="0"/>
          <w:color w:val="auto"/>
          <w:kern w:val="0"/>
          <w:highlight w:val="none"/>
        </w:rPr>
      </w:pPr>
      <w:r>
        <w:rPr>
          <w:rFonts w:hint="eastAsia" w:ascii="宋体" w:hAnsi="宋体"/>
          <w:b w:val="0"/>
          <w:bCs w:val="0"/>
          <w:color w:val="auto"/>
          <w:kern w:val="0"/>
          <w:highlight w:val="none"/>
        </w:rPr>
        <w:t>11.7可中止电子交易活动的情形</w:t>
      </w:r>
    </w:p>
    <w:p>
      <w:pPr>
        <w:widowControl/>
        <w:spacing w:line="400" w:lineRule="exact"/>
        <w:ind w:firstLine="420" w:firstLineChars="200"/>
        <w:jc w:val="left"/>
        <w:rPr>
          <w:rFonts w:hint="eastAsia" w:ascii="宋体" w:hAnsi="宋体"/>
          <w:b w:val="0"/>
          <w:bCs w:val="0"/>
          <w:color w:val="auto"/>
          <w:kern w:val="0"/>
          <w:highlight w:val="none"/>
        </w:rPr>
      </w:pPr>
      <w:r>
        <w:rPr>
          <w:rFonts w:hint="eastAsia" w:ascii="宋体" w:hAnsi="宋体"/>
          <w:b w:val="0"/>
          <w:bCs w:val="0"/>
          <w:color w:val="auto"/>
          <w:kern w:val="0"/>
          <w:highlight w:val="none"/>
        </w:rPr>
        <w:t>采购过程中出现以下情形，导致电子交易平台无法正常运行，或者无法保证电子交易的公平、公正和安全时，本中心可中止电子标活动：</w:t>
      </w:r>
    </w:p>
    <w:p>
      <w:pPr>
        <w:widowControl/>
        <w:spacing w:line="400" w:lineRule="exact"/>
        <w:ind w:firstLine="420" w:firstLineChars="200"/>
        <w:jc w:val="left"/>
        <w:rPr>
          <w:rFonts w:hint="eastAsia" w:ascii="宋体" w:hAnsi="宋体"/>
          <w:b w:val="0"/>
          <w:bCs w:val="0"/>
          <w:color w:val="auto"/>
          <w:kern w:val="0"/>
          <w:highlight w:val="none"/>
        </w:rPr>
      </w:pPr>
      <w:r>
        <w:rPr>
          <w:rFonts w:ascii="宋体" w:hAnsi="宋体"/>
          <w:b w:val="0"/>
          <w:bCs w:val="0"/>
          <w:color w:val="auto"/>
          <w:kern w:val="0"/>
          <w:highlight w:val="none"/>
        </w:rPr>
        <w:t>(1)</w:t>
      </w:r>
      <w:r>
        <w:rPr>
          <w:rFonts w:hint="eastAsia" w:ascii="宋体" w:hAnsi="宋体"/>
          <w:b w:val="0"/>
          <w:bCs w:val="0"/>
          <w:color w:val="auto"/>
          <w:kern w:val="0"/>
          <w:highlight w:val="none"/>
        </w:rPr>
        <w:t>电子交易平台发生故障而无法登录访问的；</w:t>
      </w:r>
    </w:p>
    <w:p>
      <w:pPr>
        <w:widowControl/>
        <w:spacing w:line="400" w:lineRule="exact"/>
        <w:ind w:firstLine="420" w:firstLineChars="200"/>
        <w:jc w:val="left"/>
        <w:rPr>
          <w:rFonts w:hint="eastAsia" w:ascii="宋体" w:hAnsi="宋体"/>
          <w:b w:val="0"/>
          <w:bCs w:val="0"/>
          <w:color w:val="auto"/>
          <w:kern w:val="0"/>
          <w:highlight w:val="none"/>
        </w:rPr>
      </w:pPr>
      <w:r>
        <w:rPr>
          <w:rFonts w:ascii="宋体" w:hAnsi="宋体"/>
          <w:b w:val="0"/>
          <w:bCs w:val="0"/>
          <w:color w:val="auto"/>
          <w:kern w:val="0"/>
          <w:highlight w:val="none"/>
        </w:rPr>
        <w:t>(2)</w:t>
      </w:r>
      <w:r>
        <w:rPr>
          <w:rFonts w:hint="eastAsia" w:ascii="宋体" w:hAnsi="宋体"/>
          <w:b w:val="0"/>
          <w:bCs w:val="0"/>
          <w:color w:val="auto"/>
          <w:kern w:val="0"/>
          <w:highlight w:val="none"/>
        </w:rPr>
        <w:t>电子交易平台应用或数据库出现错误，不能进行正常操作的；</w:t>
      </w:r>
    </w:p>
    <w:p>
      <w:pPr>
        <w:widowControl/>
        <w:spacing w:line="400" w:lineRule="exact"/>
        <w:ind w:firstLine="420" w:firstLineChars="200"/>
        <w:jc w:val="left"/>
        <w:rPr>
          <w:rFonts w:hint="eastAsia" w:ascii="宋体" w:hAnsi="宋体"/>
          <w:b w:val="0"/>
          <w:bCs w:val="0"/>
          <w:color w:val="auto"/>
          <w:kern w:val="0"/>
          <w:highlight w:val="none"/>
        </w:rPr>
      </w:pPr>
      <w:r>
        <w:rPr>
          <w:rFonts w:ascii="宋体" w:hAnsi="宋体"/>
          <w:b w:val="0"/>
          <w:bCs w:val="0"/>
          <w:color w:val="auto"/>
          <w:kern w:val="0"/>
          <w:highlight w:val="none"/>
        </w:rPr>
        <w:t>(3)</w:t>
      </w:r>
      <w:r>
        <w:rPr>
          <w:rFonts w:hint="eastAsia" w:ascii="宋体" w:hAnsi="宋体"/>
          <w:b w:val="0"/>
          <w:bCs w:val="0"/>
          <w:color w:val="auto"/>
          <w:kern w:val="0"/>
          <w:highlight w:val="none"/>
        </w:rPr>
        <w:t>电子交易平台发现严重安全漏洞，有潜在泄密危险的；</w:t>
      </w:r>
    </w:p>
    <w:p>
      <w:pPr>
        <w:widowControl/>
        <w:spacing w:line="400" w:lineRule="exact"/>
        <w:ind w:firstLine="420" w:firstLineChars="200"/>
        <w:jc w:val="left"/>
        <w:rPr>
          <w:rFonts w:hint="eastAsia" w:ascii="宋体" w:hAnsi="宋体"/>
          <w:b w:val="0"/>
          <w:bCs w:val="0"/>
          <w:color w:val="auto"/>
          <w:kern w:val="0"/>
          <w:highlight w:val="none"/>
        </w:rPr>
      </w:pPr>
      <w:r>
        <w:rPr>
          <w:rFonts w:ascii="宋体" w:hAnsi="宋体"/>
          <w:b w:val="0"/>
          <w:bCs w:val="0"/>
          <w:color w:val="auto"/>
          <w:kern w:val="0"/>
          <w:highlight w:val="none"/>
        </w:rPr>
        <w:t>(4)</w:t>
      </w:r>
      <w:r>
        <w:rPr>
          <w:rFonts w:hint="eastAsia" w:ascii="宋体" w:hAnsi="宋体"/>
          <w:b w:val="0"/>
          <w:bCs w:val="0"/>
          <w:color w:val="auto"/>
          <w:kern w:val="0"/>
          <w:highlight w:val="none"/>
        </w:rPr>
        <w:t>病毒发作导致不能进行正常操作的；</w:t>
      </w:r>
    </w:p>
    <w:p>
      <w:pPr>
        <w:widowControl/>
        <w:spacing w:line="400" w:lineRule="exact"/>
        <w:ind w:firstLine="420" w:firstLineChars="200"/>
        <w:jc w:val="left"/>
        <w:rPr>
          <w:rFonts w:hint="eastAsia" w:ascii="宋体" w:hAnsi="宋体"/>
          <w:b w:val="0"/>
          <w:bCs w:val="0"/>
          <w:color w:val="auto"/>
          <w:kern w:val="0"/>
          <w:highlight w:val="none"/>
        </w:rPr>
      </w:pPr>
      <w:r>
        <w:rPr>
          <w:rFonts w:ascii="宋体" w:hAnsi="宋体"/>
          <w:b w:val="0"/>
          <w:bCs w:val="0"/>
          <w:color w:val="auto"/>
          <w:kern w:val="0"/>
          <w:highlight w:val="none"/>
        </w:rPr>
        <w:t>(5)</w:t>
      </w:r>
      <w:r>
        <w:rPr>
          <w:rFonts w:hint="eastAsia" w:ascii="宋体" w:hAnsi="宋体"/>
          <w:b w:val="0"/>
          <w:bCs w:val="0"/>
          <w:color w:val="auto"/>
          <w:kern w:val="0"/>
          <w:highlight w:val="none"/>
        </w:rPr>
        <w:t>其他无法保证电子交易的公平、公正和安全的情况。</w:t>
      </w:r>
    </w:p>
    <w:p>
      <w:pPr>
        <w:widowControl/>
        <w:spacing w:line="400" w:lineRule="exact"/>
        <w:ind w:firstLine="420" w:firstLineChars="200"/>
        <w:jc w:val="left"/>
        <w:rPr>
          <w:rFonts w:hint="eastAsia" w:ascii="宋体" w:hAnsi="宋体"/>
          <w:b w:val="0"/>
          <w:bCs w:val="0"/>
          <w:color w:val="auto"/>
          <w:kern w:val="0"/>
          <w:highlight w:val="none"/>
        </w:rPr>
      </w:pPr>
      <w:r>
        <w:rPr>
          <w:rFonts w:hint="eastAsia" w:ascii="宋体" w:hAnsi="宋体"/>
          <w:b w:val="0"/>
          <w:bCs w:val="0"/>
          <w:color w:val="auto"/>
          <w:kern w:val="0"/>
          <w:highlight w:val="none"/>
        </w:rPr>
        <w:t>出现前款规定情形，不影响采购公平、公正性的，本中心待上述情形消除后继续组织电子交易活动；影响或可能影响采购公平、公正性的，重新组织采购活动。</w:t>
      </w:r>
    </w:p>
    <w:p>
      <w:pPr>
        <w:spacing w:line="340" w:lineRule="exact"/>
        <w:ind w:firstLine="422"/>
        <w:rPr>
          <w:rFonts w:ascii="宋体" w:hAnsi="宋体"/>
          <w:b/>
          <w:bCs/>
          <w:color w:val="auto"/>
          <w:szCs w:val="21"/>
          <w:highlight w:val="none"/>
        </w:rPr>
      </w:pPr>
      <w:r>
        <w:rPr>
          <w:rFonts w:hint="eastAsia" w:ascii="宋体" w:hAnsi="宋体"/>
          <w:b/>
          <w:bCs/>
          <w:color w:val="auto"/>
          <w:szCs w:val="21"/>
          <w:highlight w:val="none"/>
        </w:rPr>
        <w:t>六、确定成交供应商办法</w:t>
      </w:r>
    </w:p>
    <w:p>
      <w:pPr>
        <w:widowControl/>
        <w:spacing w:line="340" w:lineRule="exact"/>
        <w:ind w:firstLine="525"/>
        <w:jc w:val="left"/>
        <w:rPr>
          <w:rFonts w:ascii="宋体" w:hAnsi="宋体" w:cs="宋体"/>
          <w:b w:val="0"/>
          <w:bCs w:val="0"/>
          <w:color w:val="auto"/>
          <w:szCs w:val="21"/>
          <w:highlight w:val="none"/>
        </w:rPr>
      </w:pPr>
      <w:r>
        <w:rPr>
          <w:rFonts w:ascii="宋体" w:hAnsi="宋体" w:cs="宋体"/>
          <w:b w:val="0"/>
          <w:bCs w:val="0"/>
          <w:color w:val="auto"/>
          <w:szCs w:val="21"/>
          <w:highlight w:val="none"/>
        </w:rPr>
        <w:t>1</w:t>
      </w:r>
      <w:r>
        <w:rPr>
          <w:rFonts w:hint="eastAsia" w:ascii="宋体" w:hAnsi="宋体" w:cs="宋体"/>
          <w:b w:val="0"/>
          <w:bCs w:val="0"/>
          <w:color w:val="auto"/>
          <w:szCs w:val="21"/>
          <w:highlight w:val="none"/>
        </w:rPr>
        <w:t>2</w:t>
      </w:r>
      <w:r>
        <w:rPr>
          <w:rFonts w:ascii="宋体" w:hAnsi="宋体" w:cs="宋体"/>
          <w:b w:val="0"/>
          <w:bCs w:val="0"/>
          <w:color w:val="auto"/>
          <w:szCs w:val="21"/>
          <w:highlight w:val="none"/>
        </w:rPr>
        <w:t>.</w:t>
      </w:r>
      <w:r>
        <w:rPr>
          <w:rFonts w:hint="eastAsia" w:ascii="宋体" w:hAnsi="宋体" w:cs="宋体"/>
          <w:b w:val="0"/>
          <w:bCs w:val="0"/>
          <w:color w:val="auto"/>
          <w:szCs w:val="21"/>
          <w:highlight w:val="none"/>
        </w:rPr>
        <w:t>1</w:t>
      </w:r>
      <w:r>
        <w:rPr>
          <w:rFonts w:ascii="宋体" w:hAnsi="宋体" w:cs="宋体"/>
          <w:b w:val="0"/>
          <w:bCs w:val="0"/>
          <w:color w:val="auto"/>
          <w:szCs w:val="21"/>
          <w:highlight w:val="none"/>
        </w:rPr>
        <w:t xml:space="preserve"> 根据以下原则确定成交供应商：</w:t>
      </w:r>
    </w:p>
    <w:p>
      <w:pPr>
        <w:widowControl/>
        <w:spacing w:line="340" w:lineRule="exact"/>
        <w:ind w:firstLine="525"/>
        <w:jc w:val="left"/>
        <w:rPr>
          <w:rFonts w:ascii="宋体" w:hAnsi="宋体" w:cs="宋体"/>
          <w:b w:val="0"/>
          <w:bCs w:val="0"/>
          <w:color w:val="auto"/>
          <w:szCs w:val="21"/>
          <w:highlight w:val="none"/>
        </w:rPr>
      </w:pPr>
      <w:r>
        <w:rPr>
          <w:rFonts w:ascii="宋体" w:hAnsi="宋体" w:cs="宋体"/>
          <w:b w:val="0"/>
          <w:bCs w:val="0"/>
          <w:color w:val="auto"/>
          <w:szCs w:val="21"/>
          <w:highlight w:val="none"/>
        </w:rPr>
        <w:t>1</w:t>
      </w:r>
      <w:r>
        <w:rPr>
          <w:rFonts w:hint="eastAsia" w:ascii="宋体" w:hAnsi="宋体" w:cs="宋体"/>
          <w:b w:val="0"/>
          <w:bCs w:val="0"/>
          <w:color w:val="auto"/>
          <w:szCs w:val="21"/>
          <w:highlight w:val="none"/>
        </w:rPr>
        <w:t>2</w:t>
      </w:r>
      <w:r>
        <w:rPr>
          <w:rFonts w:ascii="宋体" w:hAnsi="宋体" w:cs="宋体"/>
          <w:b w:val="0"/>
          <w:bCs w:val="0"/>
          <w:color w:val="auto"/>
          <w:szCs w:val="21"/>
          <w:highlight w:val="none"/>
        </w:rPr>
        <w:t>.</w:t>
      </w:r>
      <w:r>
        <w:rPr>
          <w:rFonts w:hint="eastAsia" w:ascii="宋体" w:hAnsi="宋体" w:cs="宋体"/>
          <w:b w:val="0"/>
          <w:bCs w:val="0"/>
          <w:color w:val="auto"/>
          <w:szCs w:val="21"/>
          <w:highlight w:val="none"/>
        </w:rPr>
        <w:t>2质量和服务均能满足</w:t>
      </w:r>
      <w:r>
        <w:rPr>
          <w:rFonts w:hint="eastAsia"/>
          <w:b w:val="0"/>
          <w:bCs w:val="0"/>
          <w:color w:val="auto"/>
          <w:highlight w:val="none"/>
        </w:rPr>
        <w:t>竞争性谈判文件</w:t>
      </w:r>
      <w:r>
        <w:rPr>
          <w:rFonts w:hint="eastAsia" w:ascii="宋体" w:hAnsi="宋体" w:cs="宋体"/>
          <w:b w:val="0"/>
          <w:bCs w:val="0"/>
          <w:color w:val="auto"/>
          <w:szCs w:val="21"/>
          <w:highlight w:val="none"/>
        </w:rPr>
        <w:t>实质性响应要求的供应商中</w:t>
      </w:r>
      <w:r>
        <w:rPr>
          <w:rFonts w:ascii="宋体" w:hAnsi="宋体" w:cs="宋体"/>
          <w:b w:val="0"/>
          <w:bCs w:val="0"/>
          <w:color w:val="auto"/>
          <w:szCs w:val="21"/>
          <w:highlight w:val="none"/>
        </w:rPr>
        <w:t>按</w:t>
      </w:r>
      <w:r>
        <w:rPr>
          <w:rFonts w:hint="eastAsia" w:ascii="宋体" w:hAnsi="宋体" w:cs="宋体"/>
          <w:b w:val="0"/>
          <w:bCs w:val="0"/>
          <w:color w:val="auto"/>
          <w:szCs w:val="21"/>
          <w:highlight w:val="none"/>
        </w:rPr>
        <w:t>最后</w:t>
      </w:r>
      <w:r>
        <w:rPr>
          <w:rFonts w:ascii="宋体" w:hAnsi="宋体" w:cs="宋体"/>
          <w:b w:val="0"/>
          <w:bCs w:val="0"/>
          <w:color w:val="auto"/>
          <w:szCs w:val="21"/>
          <w:highlight w:val="none"/>
        </w:rPr>
        <w:t>报价最低的原则确定成交供应商</w:t>
      </w:r>
      <w:r>
        <w:rPr>
          <w:rFonts w:hint="eastAsia" w:ascii="宋体" w:hAnsi="宋体" w:cs="宋体"/>
          <w:b w:val="0"/>
          <w:bCs w:val="0"/>
          <w:color w:val="auto"/>
          <w:szCs w:val="21"/>
          <w:highlight w:val="none"/>
        </w:rPr>
        <w:t>。</w:t>
      </w:r>
    </w:p>
    <w:p>
      <w:pPr>
        <w:pStyle w:val="8"/>
        <w:spacing w:line="380" w:lineRule="exact"/>
        <w:ind w:firstLine="413"/>
        <w:rPr>
          <w:b/>
          <w:color w:val="auto"/>
          <w:highlight w:val="none"/>
        </w:rPr>
      </w:pPr>
      <w:r>
        <w:rPr>
          <w:rFonts w:hint="eastAsia"/>
          <w:b/>
          <w:color w:val="auto"/>
          <w:highlight w:val="none"/>
        </w:rPr>
        <w:t>七、成交结果公告</w:t>
      </w:r>
    </w:p>
    <w:p>
      <w:pPr>
        <w:widowControl/>
        <w:spacing w:line="380" w:lineRule="exact"/>
        <w:ind w:left="0" w:firstLine="420"/>
        <w:jc w:val="left"/>
        <w:rPr>
          <w:rFonts w:hint="eastAsia" w:ascii="宋体" w:hAnsi="宋体" w:eastAsia="宋体" w:cs="Times New Roman"/>
          <w:b w:val="0"/>
          <w:color w:val="auto"/>
          <w:szCs w:val="21"/>
          <w:highlight w:val="none"/>
        </w:rPr>
      </w:pPr>
      <w:r>
        <w:rPr>
          <w:rFonts w:hint="eastAsia" w:ascii="宋体" w:hAnsi="宋体" w:eastAsia="宋体" w:cs="Times New Roman"/>
          <w:b w:val="0"/>
          <w:bCs w:val="0"/>
          <w:color w:val="auto"/>
          <w:szCs w:val="21"/>
          <w:highlight w:val="none"/>
        </w:rPr>
        <w:t>13</w:t>
      </w:r>
      <w:r>
        <w:rPr>
          <w:rFonts w:hint="eastAsia" w:ascii="宋体" w:hAnsi="宋体" w:eastAsia="宋体" w:cs="Times New Roman"/>
          <w:b w:val="0"/>
          <w:bCs w:val="0"/>
          <w:color w:val="auto"/>
          <w:szCs w:val="21"/>
          <w:highlight w:val="none"/>
          <w:lang w:val="en-US" w:eastAsia="zh-CN"/>
        </w:rPr>
        <w:t>.</w:t>
      </w:r>
      <w:r>
        <w:rPr>
          <w:rFonts w:hint="eastAsia" w:ascii="宋体" w:hAnsi="宋体" w:eastAsia="宋体" w:cs="Times New Roman"/>
          <w:b w:val="0"/>
          <w:bCs w:val="0"/>
          <w:color w:val="auto"/>
          <w:szCs w:val="21"/>
          <w:highlight w:val="none"/>
        </w:rPr>
        <w:t>本中心在评审结束后</w:t>
      </w:r>
      <w:r>
        <w:rPr>
          <w:rFonts w:hint="eastAsia" w:ascii="宋体" w:hAnsi="宋体" w:eastAsia="宋体" w:cs="Times New Roman"/>
          <w:b w:val="0"/>
          <w:bCs w:val="0"/>
          <w:color w:val="auto"/>
          <w:szCs w:val="21"/>
          <w:highlight w:val="none"/>
          <w:lang w:val="en-US" w:eastAsia="zh-CN"/>
        </w:rPr>
        <w:t>2</w:t>
      </w:r>
      <w:r>
        <w:rPr>
          <w:rFonts w:hint="eastAsia" w:ascii="宋体" w:hAnsi="宋体" w:eastAsia="宋体" w:cs="Times New Roman"/>
          <w:b w:val="0"/>
          <w:bCs w:val="0"/>
          <w:color w:val="auto"/>
          <w:szCs w:val="21"/>
          <w:highlight w:val="none"/>
        </w:rPr>
        <w:t>个工作日内将谈判评审报告送采购人确认，采购人确认后，成交结果公告将在</w:t>
      </w:r>
      <w:r>
        <w:rPr>
          <w:rFonts w:hint="eastAsia" w:ascii="宋体" w:hAnsi="宋体" w:eastAsia="宋体" w:cs="Times New Roman"/>
          <w:b w:val="0"/>
          <w:bCs w:val="0"/>
          <w:color w:val="auto"/>
          <w:szCs w:val="21"/>
          <w:highlight w:val="none"/>
          <w:u w:val="none"/>
        </w:rPr>
        <w:t>中</w:t>
      </w:r>
      <w:r>
        <w:rPr>
          <w:rFonts w:hint="eastAsia" w:ascii="宋体" w:hAnsi="宋体" w:eastAsia="宋体" w:cs="Times New Roman"/>
          <w:b w:val="0"/>
          <w:bCs w:val="0"/>
          <w:color w:val="auto"/>
          <w:szCs w:val="21"/>
          <w:highlight w:val="none"/>
        </w:rPr>
        <w:t>国政府采购网(www.ccgp.gov.cn)、广西壮族自治区政府采购网（zfcg.gxzf.gov.cn）及本中心网站（</w:t>
      </w:r>
      <w:r>
        <w:rPr>
          <w:rFonts w:hint="eastAsia" w:ascii="宋体" w:hAnsi="宋体" w:eastAsia="宋体" w:cs="Times New Roman"/>
          <w:b w:val="0"/>
          <w:bCs w:val="0"/>
          <w:color w:val="auto"/>
          <w:szCs w:val="21"/>
          <w:highlight w:val="none"/>
          <w:lang w:val="en"/>
        </w:rPr>
        <w:t>gxggzy.gxzf.gov.cn</w:t>
      </w:r>
      <w:r>
        <w:rPr>
          <w:rFonts w:hint="eastAsia" w:ascii="宋体" w:hAnsi="宋体" w:eastAsia="宋体" w:cs="Times New Roman"/>
          <w:b w:val="0"/>
          <w:bCs w:val="0"/>
          <w:color w:val="auto"/>
          <w:szCs w:val="21"/>
          <w:highlight w:val="none"/>
        </w:rPr>
        <w:t>）上发布，同时向成交供应商发出成交通知书。</w:t>
      </w:r>
    </w:p>
    <w:p>
      <w:pPr>
        <w:spacing w:line="380" w:lineRule="exact"/>
        <w:ind w:left="420" w:firstLine="105"/>
        <w:rPr>
          <w:rFonts w:ascii="宋体" w:hAnsi="宋体"/>
          <w:b/>
          <w:color w:val="auto"/>
          <w:szCs w:val="21"/>
          <w:highlight w:val="none"/>
        </w:rPr>
      </w:pPr>
      <w:r>
        <w:rPr>
          <w:rFonts w:hint="eastAsia" w:ascii="宋体" w:hAnsi="宋体"/>
          <w:b/>
          <w:color w:val="auto"/>
          <w:szCs w:val="21"/>
          <w:highlight w:val="none"/>
        </w:rPr>
        <w:t>八、签订合同</w:t>
      </w:r>
    </w:p>
    <w:p>
      <w:pPr>
        <w:widowControl/>
        <w:spacing w:line="38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14.1成交供应商自成交通知书发出之日起：</w:t>
      </w:r>
      <w:r>
        <w:rPr>
          <w:rFonts w:hint="eastAsia" w:ascii="宋体" w:hAnsi="宋体" w:eastAsia="宋体" w:cs="Times New Roman"/>
          <w:b/>
          <w:bCs/>
          <w:color w:val="auto"/>
          <w:szCs w:val="21"/>
          <w:highlight w:val="none"/>
          <w:u w:val="none"/>
        </w:rPr>
        <w:t>25日内</w:t>
      </w:r>
      <w:r>
        <w:rPr>
          <w:rFonts w:hint="eastAsia" w:ascii="宋体" w:hAnsi="宋体" w:eastAsia="宋体" w:cs="Times New Roman"/>
          <w:color w:val="auto"/>
          <w:szCs w:val="21"/>
          <w:highlight w:val="none"/>
        </w:rPr>
        <w:t>与采购人签订合同（采购需求中另有要求的，按要求执行）。</w:t>
      </w:r>
    </w:p>
    <w:p>
      <w:pPr>
        <w:widowControl/>
        <w:spacing w:line="380" w:lineRule="exact"/>
        <w:ind w:firstLine="420"/>
        <w:jc w:val="left"/>
        <w:rPr>
          <w:rFonts w:hint="eastAsia" w:ascii="宋体" w:hAnsi="宋体" w:eastAsia="宋体" w:cs="Times New Roman"/>
          <w:b w:val="0"/>
          <w:bCs w:val="0"/>
          <w:color w:val="auto"/>
          <w:szCs w:val="21"/>
          <w:highlight w:val="none"/>
        </w:rPr>
      </w:pPr>
      <w:r>
        <w:rPr>
          <w:rFonts w:hint="eastAsia" w:ascii="宋体" w:hAnsi="宋体" w:eastAsia="宋体" w:cs="Times New Roman"/>
          <w:color w:val="auto"/>
          <w:szCs w:val="21"/>
          <w:highlight w:val="none"/>
        </w:rPr>
        <w:t>14.2成交供应商拒绝签订政府采购合同的，采购人可以根据谈判评审报告确定排名第二的成交候选人作为成交供应商并签订政府采购合同，以此类推。拒绝签订政府采购合同的成交供应商不得参加对该项目重新开展的采</w:t>
      </w:r>
      <w:r>
        <w:rPr>
          <w:rFonts w:hint="eastAsia" w:ascii="宋体" w:hAnsi="宋体" w:eastAsia="宋体" w:cs="Times New Roman"/>
          <w:b w:val="0"/>
          <w:bCs w:val="0"/>
          <w:color w:val="auto"/>
          <w:szCs w:val="21"/>
          <w:highlight w:val="none"/>
        </w:rPr>
        <w:t>购活动。</w:t>
      </w:r>
    </w:p>
    <w:p>
      <w:pPr>
        <w:widowControl/>
        <w:spacing w:line="380" w:lineRule="exact"/>
        <w:ind w:firstLine="420"/>
        <w:jc w:val="left"/>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14.3成交供应商拒绝签订政府采购合同的，其保证金将不予退还，并上缴国库，给采购人造成其损失的，还应当赔偿损失，并作为不良行为记录在案。</w:t>
      </w:r>
    </w:p>
    <w:p>
      <w:pPr>
        <w:spacing w:line="380" w:lineRule="exact"/>
        <w:ind w:left="420" w:firstLine="105"/>
        <w:rPr>
          <w:rFonts w:ascii="宋体" w:hAnsi="宋体"/>
          <w:b/>
          <w:color w:val="auto"/>
          <w:szCs w:val="21"/>
          <w:highlight w:val="none"/>
        </w:rPr>
      </w:pPr>
      <w:r>
        <w:rPr>
          <w:rFonts w:hint="eastAsia" w:ascii="宋体" w:hAnsi="宋体"/>
          <w:b/>
          <w:color w:val="auto"/>
          <w:szCs w:val="21"/>
          <w:highlight w:val="none"/>
        </w:rPr>
        <w:t>九、</w:t>
      </w:r>
      <w:r>
        <w:rPr>
          <w:rFonts w:hint="eastAsia"/>
          <w:b/>
          <w:color w:val="auto"/>
          <w:highlight w:val="none"/>
        </w:rPr>
        <w:t>询问、质疑和投诉</w:t>
      </w:r>
    </w:p>
    <w:p>
      <w:pPr>
        <w:widowControl/>
        <w:spacing w:line="38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15.</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供应商</w:t>
      </w:r>
      <w:r>
        <w:rPr>
          <w:rFonts w:hint="eastAsia" w:ascii="宋体" w:hAnsi="宋体" w:eastAsia="宋体" w:cs="Times New Roman"/>
          <w:color w:val="auto"/>
          <w:szCs w:val="21"/>
          <w:highlight w:val="none"/>
        </w:rPr>
        <w:t>对政府采购活动事项有疑问的，可以向采购人、采购代理机构提出询问。</w:t>
      </w:r>
    </w:p>
    <w:p>
      <w:pPr>
        <w:widowControl/>
        <w:spacing w:line="38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15.</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供应商</w:t>
      </w:r>
      <w:r>
        <w:rPr>
          <w:rFonts w:hint="eastAsia" w:ascii="宋体" w:hAnsi="宋体" w:eastAsia="宋体" w:cs="Times New Roman"/>
          <w:color w:val="auto"/>
          <w:szCs w:val="21"/>
          <w:highlight w:val="none"/>
        </w:rPr>
        <w:t>认为竞争性</w:t>
      </w:r>
      <w:r>
        <w:rPr>
          <w:rFonts w:hint="eastAsia" w:ascii="宋体" w:hAnsi="宋体" w:eastAsia="宋体" w:cs="Times New Roman"/>
          <w:color w:val="auto"/>
          <w:szCs w:val="21"/>
          <w:highlight w:val="none"/>
          <w:lang w:val="en-US" w:eastAsia="zh-CN"/>
        </w:rPr>
        <w:t>谈判</w:t>
      </w:r>
      <w:r>
        <w:rPr>
          <w:rFonts w:hint="eastAsia" w:ascii="宋体" w:hAnsi="宋体" w:eastAsia="宋体" w:cs="Times New Roman"/>
          <w:color w:val="auto"/>
          <w:spacing w:val="0"/>
          <w:szCs w:val="21"/>
          <w:highlight w:val="none"/>
        </w:rPr>
        <w:t>文件</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采购</w:t>
      </w:r>
      <w:r>
        <w:rPr>
          <w:rFonts w:hint="eastAsia" w:ascii="宋体" w:hAnsi="宋体" w:eastAsia="宋体" w:cs="Times New Roman"/>
          <w:color w:val="auto"/>
          <w:szCs w:val="21"/>
          <w:highlight w:val="none"/>
        </w:rPr>
        <w:t>过程或</w:t>
      </w:r>
      <w:r>
        <w:rPr>
          <w:rFonts w:hint="eastAsia" w:ascii="宋体" w:hAnsi="宋体" w:eastAsia="宋体" w:cs="Times New Roman"/>
          <w:color w:val="auto"/>
          <w:szCs w:val="21"/>
          <w:highlight w:val="none"/>
          <w:lang w:eastAsia="zh-CN"/>
        </w:rPr>
        <w:t>成交</w:t>
      </w:r>
      <w:r>
        <w:rPr>
          <w:rFonts w:hint="eastAsia" w:ascii="宋体" w:hAnsi="宋体" w:eastAsia="宋体" w:cs="Times New Roman"/>
          <w:color w:val="auto"/>
          <w:szCs w:val="21"/>
          <w:highlight w:val="none"/>
        </w:rPr>
        <w:t>结果使自己的合法权益受到损害的，应当在知道或者应知其权益受到损害之日起七个工作日内，以书面形式向</w:t>
      </w:r>
      <w:r>
        <w:rPr>
          <w:rFonts w:hint="eastAsia" w:ascii="宋体" w:hAnsi="宋体" w:eastAsia="宋体" w:cs="Times New Roman"/>
          <w:b w:val="0"/>
          <w:bCs w:val="0"/>
          <w:color w:val="auto"/>
          <w:szCs w:val="21"/>
          <w:highlight w:val="none"/>
        </w:rPr>
        <w:t>采购人</w:t>
      </w:r>
      <w:r>
        <w:rPr>
          <w:rFonts w:hint="eastAsia" w:ascii="宋体" w:hAnsi="宋体" w:eastAsia="宋体" w:cs="Times New Roman"/>
          <w:color w:val="auto"/>
          <w:szCs w:val="21"/>
          <w:highlight w:val="none"/>
        </w:rPr>
        <w:t>提出质疑。具体计算时间如下：</w:t>
      </w:r>
    </w:p>
    <w:p>
      <w:pPr>
        <w:spacing w:line="380" w:lineRule="exact"/>
        <w:ind w:firstLine="42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val="en-US" w:eastAsia="zh-CN"/>
        </w:rPr>
        <w:t>1</w:t>
      </w:r>
      <w:r>
        <w:rPr>
          <w:rFonts w:hint="eastAsia" w:ascii="宋体" w:hAnsi="宋体" w:eastAsia="宋体" w:cs="Times New Roman"/>
          <w:b/>
          <w:bCs/>
          <w:color w:val="auto"/>
          <w:szCs w:val="21"/>
          <w:highlight w:val="none"/>
        </w:rPr>
        <w:t>）对可以质疑的竞争性</w:t>
      </w:r>
      <w:r>
        <w:rPr>
          <w:rFonts w:hint="eastAsia" w:ascii="宋体" w:hAnsi="宋体" w:eastAsia="宋体" w:cs="Times New Roman"/>
          <w:b/>
          <w:bCs/>
          <w:color w:val="auto"/>
          <w:szCs w:val="21"/>
          <w:highlight w:val="none"/>
          <w:lang w:val="en-US" w:eastAsia="zh-CN"/>
        </w:rPr>
        <w:t>谈判</w:t>
      </w:r>
      <w:r>
        <w:rPr>
          <w:rFonts w:hint="eastAsia" w:ascii="宋体" w:hAnsi="宋体" w:eastAsia="宋体" w:cs="Times New Roman"/>
          <w:b/>
          <w:bCs/>
          <w:color w:val="auto"/>
          <w:spacing w:val="0"/>
          <w:szCs w:val="21"/>
          <w:highlight w:val="none"/>
        </w:rPr>
        <w:t>文件</w:t>
      </w:r>
      <w:r>
        <w:rPr>
          <w:rFonts w:hint="eastAsia" w:ascii="宋体" w:hAnsi="宋体" w:eastAsia="宋体" w:cs="Times New Roman"/>
          <w:b/>
          <w:bCs/>
          <w:color w:val="auto"/>
          <w:szCs w:val="21"/>
          <w:highlight w:val="none"/>
        </w:rPr>
        <w:t>提出质疑的，为收到竞争性</w:t>
      </w:r>
      <w:r>
        <w:rPr>
          <w:rFonts w:hint="eastAsia" w:ascii="宋体" w:hAnsi="宋体" w:eastAsia="宋体" w:cs="Times New Roman"/>
          <w:b/>
          <w:bCs/>
          <w:color w:val="auto"/>
          <w:szCs w:val="21"/>
          <w:highlight w:val="none"/>
          <w:lang w:val="en-US" w:eastAsia="zh-CN"/>
        </w:rPr>
        <w:t>谈判</w:t>
      </w:r>
      <w:r>
        <w:rPr>
          <w:rFonts w:hint="eastAsia" w:ascii="宋体" w:hAnsi="宋体" w:eastAsia="宋体" w:cs="Times New Roman"/>
          <w:b/>
          <w:bCs/>
          <w:color w:val="auto"/>
          <w:spacing w:val="0"/>
          <w:szCs w:val="21"/>
          <w:highlight w:val="none"/>
        </w:rPr>
        <w:t>文件</w:t>
      </w:r>
      <w:r>
        <w:rPr>
          <w:rFonts w:hint="eastAsia" w:ascii="宋体" w:hAnsi="宋体" w:eastAsia="宋体" w:cs="Times New Roman"/>
          <w:b/>
          <w:bCs/>
          <w:color w:val="auto"/>
          <w:szCs w:val="21"/>
          <w:highlight w:val="none"/>
        </w:rPr>
        <w:t>之日；</w:t>
      </w:r>
    </w:p>
    <w:p>
      <w:pPr>
        <w:widowControl/>
        <w:spacing w:line="380" w:lineRule="exact"/>
        <w:ind w:firstLine="42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val="en-US" w:eastAsia="zh-CN"/>
        </w:rPr>
        <w:t>2</w:t>
      </w:r>
      <w:r>
        <w:rPr>
          <w:rFonts w:hint="eastAsia" w:ascii="宋体" w:hAnsi="宋体" w:eastAsia="宋体" w:cs="Times New Roman"/>
          <w:b/>
          <w:bCs/>
          <w:color w:val="auto"/>
          <w:szCs w:val="21"/>
          <w:highlight w:val="none"/>
        </w:rPr>
        <w:t>）对采购过程提出质疑的，为各采购程序环节结束之日；</w:t>
      </w:r>
    </w:p>
    <w:p>
      <w:pPr>
        <w:widowControl/>
        <w:spacing w:line="380" w:lineRule="exact"/>
        <w:ind w:firstLine="420" w:firstLineChars="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val="en-US" w:eastAsia="zh-CN"/>
        </w:rPr>
        <w:t>3</w:t>
      </w:r>
      <w:r>
        <w:rPr>
          <w:rFonts w:hint="eastAsia" w:ascii="宋体" w:hAnsi="宋体" w:eastAsia="宋体" w:cs="Times New Roman"/>
          <w:b/>
          <w:bCs/>
          <w:color w:val="auto"/>
          <w:szCs w:val="21"/>
          <w:highlight w:val="none"/>
        </w:rPr>
        <w:t>）对</w:t>
      </w:r>
      <w:r>
        <w:rPr>
          <w:rFonts w:hint="eastAsia" w:ascii="宋体" w:hAnsi="宋体" w:eastAsia="宋体" w:cs="Times New Roman"/>
          <w:b/>
          <w:bCs/>
          <w:color w:val="auto"/>
          <w:szCs w:val="21"/>
          <w:highlight w:val="none"/>
          <w:lang w:eastAsia="zh-CN"/>
        </w:rPr>
        <w:t>成交</w:t>
      </w:r>
      <w:r>
        <w:rPr>
          <w:rFonts w:hint="eastAsia" w:ascii="宋体" w:hAnsi="宋体" w:eastAsia="宋体" w:cs="Times New Roman"/>
          <w:b/>
          <w:bCs/>
          <w:color w:val="auto"/>
          <w:szCs w:val="21"/>
          <w:highlight w:val="none"/>
        </w:rPr>
        <w:t>结果提出质疑的，为</w:t>
      </w:r>
      <w:r>
        <w:rPr>
          <w:rFonts w:hint="eastAsia" w:ascii="宋体" w:hAnsi="宋体" w:eastAsia="宋体" w:cs="Times New Roman"/>
          <w:b/>
          <w:bCs/>
          <w:color w:val="auto"/>
          <w:szCs w:val="21"/>
          <w:highlight w:val="none"/>
          <w:lang w:eastAsia="zh-CN"/>
        </w:rPr>
        <w:t>成交</w:t>
      </w:r>
      <w:r>
        <w:rPr>
          <w:rFonts w:hint="eastAsia" w:ascii="宋体" w:hAnsi="宋体" w:eastAsia="宋体" w:cs="Times New Roman"/>
          <w:b/>
          <w:bCs/>
          <w:color w:val="auto"/>
          <w:szCs w:val="21"/>
          <w:highlight w:val="none"/>
        </w:rPr>
        <w:t>结果公告期限届满之日。</w:t>
      </w:r>
      <w:r>
        <w:rPr>
          <w:rFonts w:hint="eastAsia" w:ascii="宋体" w:hAnsi="宋体" w:eastAsia="宋体" w:cs="Times New Roman"/>
          <w:b/>
          <w:bCs/>
          <w:color w:val="auto"/>
          <w:szCs w:val="21"/>
          <w:highlight w:val="none"/>
          <w:lang w:eastAsia="zh-CN"/>
        </w:rPr>
        <w:t>供应商</w:t>
      </w:r>
      <w:r>
        <w:rPr>
          <w:rFonts w:hint="eastAsia" w:ascii="宋体" w:hAnsi="宋体" w:eastAsia="宋体" w:cs="Times New Roman"/>
          <w:b/>
          <w:bCs/>
          <w:color w:val="auto"/>
          <w:szCs w:val="21"/>
          <w:highlight w:val="none"/>
        </w:rPr>
        <w:t>对采购</w:t>
      </w:r>
      <w:r>
        <w:rPr>
          <w:rFonts w:hint="eastAsia" w:ascii="宋体" w:hAnsi="宋体" w:eastAsia="宋体" w:cs="Times New Roman"/>
          <w:b/>
          <w:bCs/>
          <w:color w:val="auto"/>
          <w:szCs w:val="21"/>
          <w:highlight w:val="none"/>
          <w:lang w:eastAsia="zh-CN"/>
        </w:rPr>
        <w:t>人</w:t>
      </w:r>
      <w:r>
        <w:rPr>
          <w:rFonts w:hint="eastAsia" w:ascii="宋体" w:hAnsi="宋体" w:eastAsia="宋体" w:cs="Times New Roman"/>
          <w:b/>
          <w:bCs/>
          <w:color w:val="auto"/>
          <w:szCs w:val="21"/>
          <w:highlight w:val="none"/>
        </w:rPr>
        <w:t>的质疑答复不满意或者采购人未在规定时间内作出答复的，可以在答复期满后十五个工作日内向同级</w:t>
      </w:r>
      <w:r>
        <w:rPr>
          <w:rFonts w:hint="eastAsia" w:ascii="宋体" w:hAnsi="宋体" w:eastAsia="宋体" w:cs="Times New Roman"/>
          <w:b/>
          <w:bCs/>
          <w:color w:val="auto"/>
          <w:szCs w:val="21"/>
          <w:highlight w:val="none"/>
          <w:lang w:val="en-US" w:eastAsia="zh-CN"/>
        </w:rPr>
        <w:t>政府</w:t>
      </w:r>
      <w:r>
        <w:rPr>
          <w:rFonts w:hint="eastAsia" w:ascii="宋体" w:hAnsi="宋体" w:eastAsia="宋体" w:cs="Times New Roman"/>
          <w:b/>
          <w:bCs/>
          <w:color w:val="auto"/>
          <w:szCs w:val="21"/>
          <w:highlight w:val="none"/>
        </w:rPr>
        <w:t>采购监</w:t>
      </w:r>
      <w:r>
        <w:rPr>
          <w:rFonts w:hint="eastAsia" w:ascii="宋体" w:hAnsi="宋体" w:eastAsia="宋体" w:cs="Times New Roman"/>
          <w:b/>
          <w:bCs/>
          <w:color w:val="auto"/>
          <w:szCs w:val="21"/>
          <w:highlight w:val="none"/>
          <w:lang w:val="en-US" w:eastAsia="zh-CN"/>
        </w:rPr>
        <w:t>督</w:t>
      </w:r>
      <w:r>
        <w:rPr>
          <w:rFonts w:hint="eastAsia" w:ascii="宋体" w:hAnsi="宋体" w:eastAsia="宋体" w:cs="Times New Roman"/>
          <w:b/>
          <w:bCs/>
          <w:color w:val="auto"/>
          <w:szCs w:val="21"/>
          <w:highlight w:val="none"/>
        </w:rPr>
        <w:t>管</w:t>
      </w:r>
      <w:r>
        <w:rPr>
          <w:rFonts w:hint="eastAsia" w:ascii="宋体" w:hAnsi="宋体" w:eastAsia="宋体" w:cs="Times New Roman"/>
          <w:b/>
          <w:bCs/>
          <w:color w:val="auto"/>
          <w:szCs w:val="21"/>
          <w:highlight w:val="none"/>
          <w:lang w:val="en-US" w:eastAsia="zh-CN"/>
        </w:rPr>
        <w:t>理</w:t>
      </w:r>
      <w:r>
        <w:rPr>
          <w:rFonts w:hint="eastAsia" w:ascii="宋体" w:hAnsi="宋体" w:eastAsia="宋体" w:cs="Times New Roman"/>
          <w:b/>
          <w:bCs/>
          <w:color w:val="auto"/>
          <w:szCs w:val="21"/>
          <w:highlight w:val="none"/>
        </w:rPr>
        <w:t>部门投诉。</w:t>
      </w:r>
    </w:p>
    <w:p>
      <w:pPr>
        <w:widowControl/>
        <w:spacing w:line="380" w:lineRule="exact"/>
        <w:ind w:firstLine="420"/>
        <w:jc w:val="left"/>
        <w:rPr>
          <w:rFonts w:hint="eastAsia" w:ascii="宋体" w:hAnsi="宋体" w:eastAsia="宋体" w:cs="Times New Roman"/>
          <w:bCs w:val="0"/>
          <w:color w:val="auto"/>
          <w:szCs w:val="21"/>
          <w:highlight w:val="none"/>
        </w:rPr>
      </w:pPr>
      <w:r>
        <w:rPr>
          <w:rFonts w:hint="eastAsia" w:ascii="宋体" w:hAnsi="宋体" w:eastAsia="宋体" w:cs="Times New Roman"/>
          <w:bCs w:val="0"/>
          <w:color w:val="auto"/>
          <w:szCs w:val="21"/>
          <w:highlight w:val="none"/>
          <w:lang w:val="en-US" w:eastAsia="zh-CN"/>
        </w:rPr>
        <w:t>15.</w:t>
      </w:r>
      <w:r>
        <w:rPr>
          <w:rFonts w:hint="eastAsia" w:ascii="宋体" w:hAnsi="宋体" w:eastAsia="宋体" w:cs="Times New Roman"/>
          <w:bCs w:val="0"/>
          <w:color w:val="auto"/>
          <w:szCs w:val="21"/>
          <w:highlight w:val="none"/>
        </w:rPr>
        <w:t>3</w:t>
      </w:r>
      <w:r>
        <w:rPr>
          <w:rFonts w:hint="eastAsia" w:ascii="宋体" w:hAnsi="宋体" w:eastAsia="宋体" w:cs="Times New Roman"/>
          <w:bCs w:val="0"/>
          <w:color w:val="auto"/>
          <w:szCs w:val="21"/>
          <w:highlight w:val="none"/>
          <w:lang w:val="en-US" w:eastAsia="zh-CN"/>
        </w:rPr>
        <w:t xml:space="preserve"> </w:t>
      </w:r>
      <w:r>
        <w:rPr>
          <w:rFonts w:hint="eastAsia" w:ascii="宋体" w:hAnsi="宋体" w:eastAsia="宋体" w:cs="Times New Roman"/>
          <w:bCs w:val="0"/>
          <w:color w:val="auto"/>
          <w:szCs w:val="21"/>
          <w:highlight w:val="none"/>
        </w:rPr>
        <w:t>质疑、投诉应当采用书面形式，</w:t>
      </w:r>
      <w:r>
        <w:rPr>
          <w:rFonts w:hint="eastAsia" w:ascii="宋体" w:hAnsi="宋体" w:eastAsia="宋体" w:cs="Times New Roman"/>
          <w:bCs w:val="0"/>
          <w:color w:val="auto"/>
          <w:szCs w:val="21"/>
          <w:highlight w:val="none"/>
          <w:lang w:eastAsia="zh-CN"/>
        </w:rPr>
        <w:t>质疑函</w:t>
      </w:r>
      <w:r>
        <w:rPr>
          <w:rFonts w:hint="eastAsia" w:ascii="宋体" w:hAnsi="宋体" w:eastAsia="宋体" w:cs="Times New Roman"/>
          <w:bCs w:val="0"/>
          <w:color w:val="auto"/>
          <w:szCs w:val="21"/>
          <w:highlight w:val="none"/>
        </w:rPr>
        <w:t>、投诉书均应明确阐述</w:t>
      </w:r>
      <w:r>
        <w:rPr>
          <w:rFonts w:hint="eastAsia" w:ascii="宋体" w:hAnsi="宋体" w:eastAsia="宋体" w:cs="Times New Roman"/>
          <w:color w:val="auto"/>
          <w:szCs w:val="21"/>
          <w:highlight w:val="none"/>
        </w:rPr>
        <w:t>竞争性</w:t>
      </w:r>
      <w:r>
        <w:rPr>
          <w:rFonts w:hint="eastAsia" w:ascii="宋体" w:hAnsi="宋体" w:eastAsia="宋体" w:cs="Times New Roman"/>
          <w:color w:val="auto"/>
          <w:szCs w:val="21"/>
          <w:highlight w:val="none"/>
          <w:lang w:val="en-US" w:eastAsia="zh-CN"/>
        </w:rPr>
        <w:t>谈判</w:t>
      </w:r>
      <w:r>
        <w:rPr>
          <w:rFonts w:hint="eastAsia" w:ascii="宋体" w:hAnsi="宋体" w:eastAsia="宋体" w:cs="Times New Roman"/>
          <w:color w:val="auto"/>
          <w:spacing w:val="0"/>
          <w:szCs w:val="21"/>
          <w:highlight w:val="none"/>
        </w:rPr>
        <w:t>文件</w:t>
      </w:r>
      <w:r>
        <w:rPr>
          <w:rFonts w:hint="eastAsia" w:ascii="宋体" w:hAnsi="宋体" w:eastAsia="宋体" w:cs="Times New Roman"/>
          <w:bCs w:val="0"/>
          <w:color w:val="auto"/>
          <w:szCs w:val="21"/>
          <w:highlight w:val="none"/>
        </w:rPr>
        <w:t>、采购过程、</w:t>
      </w:r>
      <w:r>
        <w:rPr>
          <w:rFonts w:hint="eastAsia" w:ascii="宋体" w:hAnsi="宋体" w:eastAsia="宋体" w:cs="Times New Roman"/>
          <w:bCs w:val="0"/>
          <w:color w:val="auto"/>
          <w:szCs w:val="21"/>
          <w:highlight w:val="none"/>
          <w:lang w:eastAsia="zh-CN"/>
        </w:rPr>
        <w:t>成交</w:t>
      </w:r>
      <w:r>
        <w:rPr>
          <w:rFonts w:hint="eastAsia" w:ascii="宋体" w:hAnsi="宋体" w:eastAsia="宋体" w:cs="Times New Roman"/>
          <w:bCs w:val="0"/>
          <w:color w:val="auto"/>
          <w:szCs w:val="21"/>
          <w:highlight w:val="none"/>
        </w:rPr>
        <w:t>结果中使自己合法权益受到损害的实质性内容，提供相关事实、明确的请求、必要的证明材料，便于有关单位调查、答复和处理。</w:t>
      </w:r>
    </w:p>
    <w:p>
      <w:pPr>
        <w:widowControl/>
        <w:spacing w:line="380" w:lineRule="exact"/>
        <w:ind w:firstLine="420"/>
        <w:jc w:val="left"/>
        <w:rPr>
          <w:rFonts w:hint="eastAsia" w:ascii="宋体" w:hAnsi="宋体" w:eastAsia="宋体" w:cs="Times New Roman"/>
          <w:bCs w:val="0"/>
          <w:color w:val="auto"/>
          <w:szCs w:val="21"/>
          <w:highlight w:val="none"/>
          <w:lang w:val="en-US" w:eastAsia="zh-CN"/>
        </w:rPr>
      </w:pPr>
      <w:r>
        <w:rPr>
          <w:rFonts w:hint="eastAsia" w:ascii="宋体" w:hAnsi="宋体" w:eastAsia="宋体" w:cs="Times New Roman"/>
          <w:bCs w:val="0"/>
          <w:color w:val="auto"/>
          <w:szCs w:val="21"/>
          <w:highlight w:val="none"/>
          <w:lang w:val="en-US" w:eastAsia="zh-CN"/>
        </w:rPr>
        <w:t>15.4采购人、采购代理机构接收质疑函的方式、联系部门、联系电话和地址等信息详见“供应商须知前附表”。</w:t>
      </w:r>
    </w:p>
    <w:p>
      <w:pPr>
        <w:spacing w:line="380" w:lineRule="exact"/>
        <w:ind w:left="420" w:firstLine="105"/>
        <w:rPr>
          <w:rFonts w:ascii="宋体" w:hAnsi="宋体"/>
          <w:b/>
          <w:color w:val="auto"/>
          <w:szCs w:val="21"/>
          <w:highlight w:val="none"/>
        </w:rPr>
      </w:pPr>
      <w:r>
        <w:rPr>
          <w:rFonts w:hint="eastAsia" w:ascii="宋体" w:hAnsi="宋体"/>
          <w:b/>
          <w:color w:val="auto"/>
          <w:szCs w:val="21"/>
          <w:highlight w:val="none"/>
        </w:rPr>
        <w:t>十、适用法律</w:t>
      </w:r>
    </w:p>
    <w:p>
      <w:pPr>
        <w:widowControl/>
        <w:spacing w:line="380" w:lineRule="exact"/>
        <w:ind w:firstLine="420"/>
        <w:jc w:val="left"/>
        <w:rPr>
          <w:rFonts w:hint="eastAsia" w:ascii="宋体" w:hAnsi="宋体" w:eastAsia="宋体" w:cs="Times New Roman"/>
          <w:bCs w:val="0"/>
          <w:color w:val="auto"/>
          <w:spacing w:val="0"/>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.采购当事人的一切活动均适用于《中华人民共和国政府采购法》及相关规定。最终</w:t>
      </w:r>
      <w:r>
        <w:rPr>
          <w:rFonts w:hint="eastAsia" w:ascii="宋体" w:hAnsi="宋体" w:eastAsia="宋体" w:cs="Times New Roman"/>
          <w:color w:val="auto"/>
          <w:szCs w:val="21"/>
          <w:highlight w:val="none"/>
          <w:lang w:val="en-US" w:eastAsia="zh-CN"/>
        </w:rPr>
        <w:t>谈判</w:t>
      </w:r>
      <w:r>
        <w:rPr>
          <w:rFonts w:hint="eastAsia" w:ascii="宋体" w:hAnsi="宋体" w:eastAsia="宋体" w:cs="Times New Roman"/>
          <w:color w:val="auto"/>
          <w:szCs w:val="21"/>
          <w:highlight w:val="none"/>
        </w:rPr>
        <w:t>结束后，</w:t>
      </w:r>
      <w:r>
        <w:rPr>
          <w:rFonts w:hint="eastAsia" w:ascii="宋体" w:hAnsi="宋体" w:eastAsia="宋体" w:cs="Times New Roman"/>
          <w:color w:val="auto"/>
          <w:szCs w:val="21"/>
          <w:highlight w:val="none"/>
          <w:lang w:val="en-US" w:eastAsia="zh-CN"/>
        </w:rPr>
        <w:t>谈判</w:t>
      </w:r>
      <w:r>
        <w:rPr>
          <w:rFonts w:hint="eastAsia" w:ascii="宋体" w:hAnsi="宋体" w:eastAsia="宋体" w:cs="Times New Roman"/>
          <w:color w:val="auto"/>
          <w:szCs w:val="21"/>
          <w:highlight w:val="none"/>
        </w:rPr>
        <w:t>小组不得再与供应商进行任何形式的</w:t>
      </w:r>
      <w:r>
        <w:rPr>
          <w:rFonts w:hint="eastAsia" w:ascii="宋体" w:hAnsi="宋体" w:eastAsia="宋体" w:cs="Times New Roman"/>
          <w:color w:val="auto"/>
          <w:szCs w:val="21"/>
          <w:highlight w:val="none"/>
          <w:lang w:eastAsia="zh-CN"/>
        </w:rPr>
        <w:t>谈判</w:t>
      </w:r>
      <w:r>
        <w:rPr>
          <w:rFonts w:hint="eastAsia" w:ascii="宋体" w:hAnsi="宋体" w:eastAsia="宋体" w:cs="Times New Roman"/>
          <w:color w:val="auto"/>
          <w:szCs w:val="21"/>
          <w:highlight w:val="none"/>
        </w:rPr>
        <w:t>。</w:t>
      </w:r>
    </w:p>
    <w:p>
      <w:pPr>
        <w:spacing w:line="380" w:lineRule="exact"/>
        <w:ind w:left="420" w:firstLine="105" w:firstLineChars="0"/>
        <w:rPr>
          <w:rFonts w:hint="eastAsia" w:ascii="宋体" w:hAnsi="宋体" w:eastAsia="宋体" w:cs="Times New Roman"/>
          <w:b/>
          <w:bCs w:val="0"/>
          <w:color w:val="auto"/>
          <w:kern w:val="1"/>
          <w:sz w:val="21"/>
          <w:szCs w:val="21"/>
          <w:highlight w:val="none"/>
          <w:lang w:val="en-US" w:eastAsia="zh-CN" w:bidi="ar-SA"/>
        </w:rPr>
      </w:pPr>
      <w:r>
        <w:rPr>
          <w:rFonts w:hint="eastAsia" w:ascii="宋体" w:hAnsi="宋体" w:eastAsia="宋体" w:cs="Times New Roman"/>
          <w:b/>
          <w:bCs w:val="0"/>
          <w:color w:val="auto"/>
          <w:kern w:val="1"/>
          <w:sz w:val="21"/>
          <w:szCs w:val="21"/>
          <w:highlight w:val="none"/>
          <w:lang w:val="en-US" w:eastAsia="zh-CN" w:bidi="ar-SA"/>
        </w:rPr>
        <w:t>十一、其他事项</w:t>
      </w:r>
    </w:p>
    <w:p>
      <w:pPr>
        <w:widowControl/>
        <w:spacing w:line="380" w:lineRule="exact"/>
        <w:ind w:firstLine="420" w:firstLineChars="0"/>
        <w:jc w:val="left"/>
        <w:rPr>
          <w:rFonts w:hint="eastAsia" w:ascii="宋体" w:hAnsi="宋体" w:eastAsia="宋体" w:cs="Times New Roman"/>
          <w:b w:val="0"/>
          <w:bCs w:val="0"/>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.1</w:t>
      </w:r>
      <w:r>
        <w:rPr>
          <w:rFonts w:hint="eastAsia" w:ascii="宋体" w:hAnsi="宋体" w:eastAsia="宋体" w:cs="Times New Roman"/>
          <w:b w:val="0"/>
          <w:bCs w:val="0"/>
          <w:color w:val="auto"/>
          <w:szCs w:val="21"/>
          <w:highlight w:val="none"/>
        </w:rPr>
        <w:t>解释权</w:t>
      </w:r>
    </w:p>
    <w:p>
      <w:pPr>
        <w:widowControl/>
        <w:spacing w:line="380" w:lineRule="exact"/>
        <w:ind w:firstLine="420"/>
        <w:jc w:val="left"/>
        <w:rPr>
          <w:rFonts w:hint="eastAsia" w:ascii="宋体" w:hAnsi="宋体" w:eastAsia="宋体" w:cs="Times New Roman"/>
          <w:color w:val="auto"/>
          <w:spacing w:val="0"/>
          <w:szCs w:val="21"/>
          <w:highlight w:val="none"/>
        </w:rPr>
      </w:pPr>
      <w:r>
        <w:rPr>
          <w:rFonts w:hint="eastAsia" w:ascii="宋体" w:hAnsi="宋体" w:eastAsia="宋体" w:cs="Times New Roman"/>
          <w:color w:val="auto"/>
          <w:spacing w:val="0"/>
          <w:szCs w:val="21"/>
          <w:highlight w:val="none"/>
        </w:rPr>
        <w:t>本</w:t>
      </w:r>
      <w:r>
        <w:rPr>
          <w:rFonts w:hint="eastAsia" w:ascii="宋体" w:hAnsi="宋体" w:eastAsia="宋体" w:cs="Times New Roman"/>
          <w:color w:val="auto"/>
          <w:szCs w:val="21"/>
          <w:highlight w:val="none"/>
        </w:rPr>
        <w:t>竞争性</w:t>
      </w:r>
      <w:r>
        <w:rPr>
          <w:rFonts w:hint="eastAsia" w:ascii="宋体" w:hAnsi="宋体" w:eastAsia="宋体" w:cs="Times New Roman"/>
          <w:color w:val="auto"/>
          <w:szCs w:val="21"/>
          <w:highlight w:val="none"/>
          <w:lang w:val="en-US" w:eastAsia="zh-CN"/>
        </w:rPr>
        <w:t>谈判</w:t>
      </w:r>
      <w:r>
        <w:rPr>
          <w:rFonts w:hint="eastAsia" w:ascii="宋体" w:hAnsi="宋体" w:eastAsia="宋体" w:cs="Times New Roman"/>
          <w:color w:val="auto"/>
          <w:spacing w:val="0"/>
          <w:szCs w:val="21"/>
          <w:highlight w:val="none"/>
        </w:rPr>
        <w:t>文件解释权属本中心。</w:t>
      </w:r>
    </w:p>
    <w:p>
      <w:pPr>
        <w:widowControl/>
        <w:spacing w:line="380" w:lineRule="exact"/>
        <w:ind w:firstLine="420"/>
        <w:jc w:val="left"/>
        <w:rPr>
          <w:rFonts w:hint="eastAsia" w:ascii="宋体" w:hAnsi="宋体" w:eastAsia="宋体" w:cs="Times New Roman"/>
          <w:bCs w:val="0"/>
          <w:color w:val="auto"/>
          <w:szCs w:val="21"/>
          <w:highlight w:val="none"/>
        </w:rPr>
      </w:pPr>
      <w:r>
        <w:rPr>
          <w:rFonts w:hint="eastAsia" w:ascii="宋体" w:hAnsi="宋体" w:eastAsia="宋体" w:cs="Times New Roman"/>
          <w:b w:val="0"/>
          <w:bCs w:val="0"/>
          <w:color w:val="auto"/>
          <w:szCs w:val="21"/>
          <w:highlight w:val="none"/>
        </w:rPr>
        <w:t>1</w:t>
      </w:r>
      <w:r>
        <w:rPr>
          <w:rFonts w:hint="eastAsia" w:ascii="宋体" w:hAnsi="宋体" w:eastAsia="宋体" w:cs="Times New Roman"/>
          <w:b w:val="0"/>
          <w:bCs w:val="0"/>
          <w:color w:val="auto"/>
          <w:szCs w:val="21"/>
          <w:highlight w:val="none"/>
          <w:lang w:val="en-US" w:eastAsia="zh-CN"/>
        </w:rPr>
        <w:t>7</w:t>
      </w:r>
      <w:r>
        <w:rPr>
          <w:rFonts w:hint="eastAsia" w:ascii="宋体" w:hAnsi="宋体" w:eastAsia="宋体" w:cs="Times New Roman"/>
          <w:b w:val="0"/>
          <w:bCs w:val="0"/>
          <w:color w:val="auto"/>
          <w:szCs w:val="21"/>
          <w:highlight w:val="none"/>
        </w:rPr>
        <w:t>.2 有关事宜</w:t>
      </w:r>
    </w:p>
    <w:p>
      <w:pPr>
        <w:widowControl/>
        <w:spacing w:line="38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所有与本竞争性谈判文件有关的函件请按下列通讯地址联系：</w:t>
      </w:r>
    </w:p>
    <w:p>
      <w:pPr>
        <w:widowControl/>
        <w:spacing w:line="38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广西壮族自治区政府采购中心</w:t>
      </w:r>
    </w:p>
    <w:p>
      <w:pPr>
        <w:widowControl/>
        <w:spacing w:line="380" w:lineRule="exact"/>
        <w:ind w:firstLine="420"/>
        <w:jc w:val="left"/>
        <w:rPr>
          <w:rFonts w:hint="eastAsia" w:ascii="宋体" w:hAnsi="宋体" w:eastAsia="宋体" w:cs="Times New Roman"/>
          <w:color w:val="auto"/>
          <w:szCs w:val="21"/>
          <w:highlight w:val="none"/>
          <w:u w:val="none"/>
        </w:rPr>
      </w:pP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邮政编码：530011</w:t>
      </w:r>
    </w:p>
    <w:p>
      <w:pPr>
        <w:widowControl/>
        <w:spacing w:line="380" w:lineRule="exact"/>
        <w:ind w:firstLine="420"/>
        <w:jc w:val="left"/>
        <w:rPr>
          <w:rFonts w:hint="eastAsia" w:ascii="宋体" w:hAnsi="宋体" w:eastAsia="宋体" w:cs="Times New Roman"/>
          <w:color w:val="auto"/>
          <w:spacing w:val="0"/>
          <w:szCs w:val="21"/>
          <w:highlight w:val="none"/>
        </w:rPr>
      </w:pP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通讯地址：</w:t>
      </w:r>
      <w:r>
        <w:rPr>
          <w:rFonts w:hint="eastAsia" w:ascii="宋体" w:hAnsi="宋体" w:eastAsia="宋体" w:cs="Times New Roman"/>
          <w:color w:val="auto"/>
          <w:spacing w:val="0"/>
          <w:szCs w:val="21"/>
          <w:highlight w:val="none"/>
        </w:rPr>
        <w:t>广西南宁市</w:t>
      </w:r>
      <w:r>
        <w:rPr>
          <w:rFonts w:hint="eastAsia" w:ascii="宋体" w:hAnsi="宋体" w:eastAsia="宋体" w:cs="Times New Roman"/>
          <w:color w:val="auto"/>
          <w:spacing w:val="0"/>
          <w:szCs w:val="21"/>
          <w:highlight w:val="none"/>
          <w:lang w:eastAsia="zh-CN"/>
        </w:rPr>
        <w:t>星湖路</w:t>
      </w:r>
      <w:r>
        <w:rPr>
          <w:rFonts w:hint="eastAsia" w:ascii="宋体" w:hAnsi="宋体" w:eastAsia="宋体" w:cs="Times New Roman"/>
          <w:color w:val="auto"/>
          <w:spacing w:val="0"/>
          <w:szCs w:val="21"/>
          <w:highlight w:val="none"/>
          <w:lang w:val="en-US" w:eastAsia="zh-CN"/>
        </w:rPr>
        <w:t>22</w:t>
      </w:r>
      <w:r>
        <w:rPr>
          <w:rFonts w:hint="eastAsia" w:ascii="宋体" w:hAnsi="宋体" w:eastAsia="宋体" w:cs="Times New Roman"/>
          <w:color w:val="auto"/>
          <w:spacing w:val="0"/>
          <w:szCs w:val="21"/>
          <w:highlight w:val="none"/>
        </w:rPr>
        <w:t>号</w:t>
      </w:r>
    </w:p>
    <w:p>
      <w:pPr>
        <w:widowControl/>
        <w:spacing w:line="380" w:lineRule="exact"/>
        <w:ind w:firstLine="420"/>
        <w:jc w:val="lef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电    话：</w:t>
      </w:r>
      <w:r>
        <w:rPr>
          <w:rFonts w:hint="eastAsia" w:ascii="宋体" w:hAnsi="宋体" w:eastAsia="宋体" w:cs="Times New Roman"/>
          <w:color w:val="auto"/>
          <w:spacing w:val="0"/>
          <w:szCs w:val="21"/>
          <w:highlight w:val="none"/>
          <w:lang w:val="en"/>
        </w:rPr>
        <w:t>0771-8600</w:t>
      </w:r>
      <w:r>
        <w:rPr>
          <w:rFonts w:hint="eastAsia" w:ascii="宋体" w:hAnsi="宋体" w:eastAsia="宋体" w:cs="Times New Roman"/>
          <w:color w:val="auto"/>
          <w:spacing w:val="0"/>
          <w:szCs w:val="21"/>
          <w:highlight w:val="none"/>
          <w:lang w:val="en-US" w:eastAsia="zh-CN"/>
        </w:rPr>
        <w:t>433</w:t>
      </w:r>
    </w:p>
    <w:p>
      <w:pPr>
        <w:spacing w:line="400" w:lineRule="exact"/>
        <w:jc w:val="center"/>
        <w:rPr>
          <w:rFonts w:ascii="仿宋_GB2312" w:hAnsi="仿宋_GB2312" w:eastAsia="仿宋_GB2312"/>
          <w:b/>
          <w:color w:val="auto"/>
          <w:sz w:val="32"/>
          <w:szCs w:val="32"/>
          <w:highlight w:val="none"/>
        </w:rPr>
      </w:pPr>
    </w:p>
    <w:p>
      <w:pPr>
        <w:pStyle w:val="8"/>
        <w:tabs>
          <w:tab w:val="left" w:pos="1990"/>
        </w:tabs>
        <w:spacing w:line="340" w:lineRule="exact"/>
        <w:ind w:firstLine="525"/>
        <w:rPr>
          <w:b w:val="0"/>
          <w:bCs w:val="0"/>
          <w:color w:val="auto"/>
          <w:highlight w:val="none"/>
        </w:rPr>
      </w:pPr>
    </w:p>
    <w:p>
      <w:pPr>
        <w:spacing w:line="400" w:lineRule="exact"/>
        <w:jc w:val="center"/>
        <w:rPr>
          <w:rFonts w:ascii="仿宋_GB2312" w:hAnsi="仿宋_GB2312" w:eastAsia="仿宋_GB2312"/>
          <w:b w:val="0"/>
          <w:bCs w:val="0"/>
          <w:color w:val="auto"/>
          <w:sz w:val="32"/>
          <w:szCs w:val="32"/>
          <w:highlight w:val="none"/>
        </w:rPr>
      </w:pPr>
    </w:p>
    <w:p>
      <w:pPr>
        <w:pageBreakBefore/>
        <w:spacing w:line="400" w:lineRule="exact"/>
        <w:jc w:val="center"/>
        <w:rPr>
          <w:rFonts w:ascii="仿宋_GB2312" w:hAnsi="仿宋_GB2312" w:eastAsia="仿宋_GB2312"/>
          <w:b w:val="0"/>
          <w:bCs w:val="0"/>
          <w:color w:val="auto"/>
          <w:sz w:val="32"/>
          <w:szCs w:val="32"/>
          <w:highlight w:val="none"/>
        </w:rPr>
      </w:pPr>
    </w:p>
    <w:p>
      <w:pPr>
        <w:spacing w:line="400" w:lineRule="exact"/>
        <w:jc w:val="center"/>
        <w:rPr>
          <w:rFonts w:ascii="仿宋_GB2312" w:hAnsi="仿宋_GB2312" w:eastAsia="仿宋_GB2312"/>
          <w:b w:val="0"/>
          <w:bCs w:val="0"/>
          <w:color w:val="auto"/>
          <w:sz w:val="32"/>
          <w:szCs w:val="32"/>
          <w:highlight w:val="none"/>
        </w:rPr>
      </w:pPr>
    </w:p>
    <w:p>
      <w:pPr>
        <w:spacing w:line="400" w:lineRule="exact"/>
        <w:jc w:val="center"/>
        <w:rPr>
          <w:rFonts w:ascii="仿宋_GB2312" w:hAnsi="仿宋_GB2312" w:eastAsia="仿宋_GB2312"/>
          <w:b w:val="0"/>
          <w:bCs w:val="0"/>
          <w:color w:val="auto"/>
          <w:sz w:val="32"/>
          <w:szCs w:val="32"/>
          <w:highlight w:val="none"/>
        </w:rPr>
      </w:pPr>
    </w:p>
    <w:p>
      <w:pPr>
        <w:spacing w:line="620" w:lineRule="exact"/>
        <w:jc w:val="center"/>
        <w:rPr>
          <w:rFonts w:ascii="仿宋_GB2312" w:hAnsi="仿宋_GB2312" w:eastAsia="仿宋_GB2312"/>
          <w:b w:val="0"/>
          <w:bCs w:val="0"/>
          <w:color w:val="auto"/>
          <w:sz w:val="44"/>
          <w:szCs w:val="44"/>
          <w:highlight w:val="none"/>
        </w:rPr>
      </w:pPr>
    </w:p>
    <w:p>
      <w:pPr>
        <w:spacing w:line="620" w:lineRule="exact"/>
        <w:jc w:val="center"/>
        <w:rPr>
          <w:rFonts w:ascii="仿宋_GB2312" w:hAnsi="仿宋_GB2312" w:eastAsia="仿宋_GB2312"/>
          <w:b w:val="0"/>
          <w:bCs w:val="0"/>
          <w:color w:val="auto"/>
          <w:sz w:val="44"/>
          <w:szCs w:val="44"/>
          <w:highlight w:val="none"/>
        </w:rPr>
      </w:pPr>
    </w:p>
    <w:p>
      <w:pPr>
        <w:spacing w:line="620" w:lineRule="exact"/>
        <w:jc w:val="center"/>
        <w:rPr>
          <w:rFonts w:ascii="仿宋_GB2312" w:hAnsi="仿宋_GB2312" w:eastAsia="仿宋_GB2312"/>
          <w:b w:val="0"/>
          <w:bCs w:val="0"/>
          <w:color w:val="auto"/>
          <w:sz w:val="44"/>
          <w:szCs w:val="44"/>
          <w:highlight w:val="none"/>
        </w:rPr>
      </w:pPr>
    </w:p>
    <w:p>
      <w:pPr>
        <w:spacing w:line="620" w:lineRule="exact"/>
        <w:jc w:val="center"/>
        <w:rPr>
          <w:rFonts w:ascii="仿宋_GB2312" w:hAnsi="仿宋_GB2312" w:eastAsia="仿宋_GB2312"/>
          <w:b w:val="0"/>
          <w:bCs w:val="0"/>
          <w:color w:val="auto"/>
          <w:sz w:val="44"/>
          <w:szCs w:val="44"/>
          <w:highlight w:val="none"/>
        </w:rPr>
      </w:pPr>
    </w:p>
    <w:p>
      <w:pPr>
        <w:spacing w:line="620" w:lineRule="exact"/>
        <w:jc w:val="center"/>
        <w:rPr>
          <w:rFonts w:ascii="仿宋_GB2312" w:hAnsi="仿宋_GB2312" w:eastAsia="仿宋_GB2312"/>
          <w:b w:val="0"/>
          <w:bCs w:val="0"/>
          <w:color w:val="auto"/>
          <w:sz w:val="44"/>
          <w:szCs w:val="44"/>
          <w:highlight w:val="none"/>
        </w:rPr>
      </w:pPr>
    </w:p>
    <w:p>
      <w:pPr>
        <w:spacing w:line="620" w:lineRule="exact"/>
        <w:jc w:val="center"/>
        <w:rPr>
          <w:rFonts w:ascii="仿宋_GB2312" w:hAnsi="仿宋_GB2312" w:eastAsia="仿宋_GB2312"/>
          <w:b w:val="0"/>
          <w:bCs w:val="0"/>
          <w:color w:val="auto"/>
          <w:sz w:val="44"/>
          <w:szCs w:val="44"/>
          <w:highlight w:val="none"/>
        </w:rPr>
      </w:pPr>
    </w:p>
    <w:p>
      <w:pPr>
        <w:spacing w:line="620" w:lineRule="exact"/>
        <w:jc w:val="center"/>
        <w:rPr>
          <w:rFonts w:ascii="仿宋_GB2312" w:hAnsi="仿宋_GB2312" w:eastAsia="仿宋_GB2312"/>
          <w:b w:val="0"/>
          <w:bCs w:val="0"/>
          <w:color w:val="auto"/>
          <w:sz w:val="44"/>
          <w:szCs w:val="44"/>
          <w:highlight w:val="none"/>
        </w:rPr>
      </w:pPr>
    </w:p>
    <w:p>
      <w:pPr>
        <w:pStyle w:val="3"/>
        <w:jc w:val="center"/>
        <w:rPr>
          <w:b w:val="0"/>
          <w:bCs w:val="0"/>
          <w:color w:val="auto"/>
          <w:highlight w:val="none"/>
        </w:rPr>
      </w:pPr>
      <w:bookmarkStart w:id="10" w:name="_Toc46136758"/>
      <w:r>
        <w:rPr>
          <w:rFonts w:hint="eastAsia"/>
          <w:b w:val="0"/>
          <w:bCs w:val="0"/>
          <w:color w:val="auto"/>
          <w:highlight w:val="none"/>
        </w:rPr>
        <w:t>第三章  采购需求</w:t>
      </w:r>
      <w:bookmarkEnd w:id="10"/>
    </w:p>
    <w:p>
      <w:pPr>
        <w:spacing w:line="500" w:lineRule="exact"/>
        <w:jc w:val="center"/>
        <w:rPr>
          <w:rFonts w:ascii="宋体" w:hAnsi="宋体"/>
          <w:b w:val="0"/>
          <w:bCs w:val="0"/>
          <w:color w:val="auto"/>
          <w:szCs w:val="21"/>
          <w:highlight w:val="none"/>
        </w:rPr>
      </w:pPr>
    </w:p>
    <w:p>
      <w:pPr>
        <w:spacing w:line="500" w:lineRule="exact"/>
        <w:jc w:val="center"/>
        <w:rPr>
          <w:rFonts w:hint="eastAsia" w:ascii="仿宋_GB2312" w:hAnsi="宋体" w:eastAsia="仿宋_GB2312"/>
          <w:b w:val="0"/>
          <w:bCs w:val="0"/>
          <w:strike/>
          <w:color w:val="auto"/>
          <w:sz w:val="32"/>
          <w:szCs w:val="32"/>
          <w:highlight w:val="none"/>
        </w:rPr>
      </w:pPr>
      <w:r>
        <w:rPr>
          <w:rFonts w:ascii="宋体" w:hAnsi="宋体"/>
          <w:b w:val="0"/>
          <w:bCs w:val="0"/>
          <w:color w:val="auto"/>
          <w:szCs w:val="21"/>
          <w:highlight w:val="none"/>
        </w:rPr>
        <w:br w:type="page"/>
      </w:r>
      <w:r>
        <w:rPr>
          <w:rFonts w:hint="eastAsia" w:ascii="仿宋_GB2312" w:hAnsi="宋体" w:eastAsia="仿宋_GB2312"/>
          <w:b/>
          <w:bCs/>
          <w:color w:val="auto"/>
          <w:sz w:val="32"/>
          <w:szCs w:val="32"/>
          <w:highlight w:val="none"/>
        </w:rPr>
        <w:t>采购项目技术规格、参数及要求</w:t>
      </w:r>
    </w:p>
    <w:p>
      <w:pPr>
        <w:tabs>
          <w:tab w:val="left" w:pos="180"/>
          <w:tab w:val="left" w:pos="1620"/>
        </w:tabs>
        <w:spacing w:line="500" w:lineRule="exact"/>
        <w:ind w:firstLine="420"/>
        <w:rPr>
          <w:rFonts w:hint="eastAsia" w:ascii="宋体" w:hAnsi="宋体"/>
          <w:b w:val="0"/>
          <w:bCs w:val="0"/>
          <w:color w:val="auto"/>
          <w:szCs w:val="21"/>
          <w:highlight w:val="none"/>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u w:val="single"/>
          <w:lang w:eastAsia="zh-CN"/>
        </w:rPr>
      </w:pPr>
      <w:r>
        <w:rPr>
          <w:rFonts w:hint="eastAsia" w:asciiTheme="minorEastAsia" w:hAnsiTheme="minorEastAsia" w:eastAsiaTheme="minorEastAsia" w:cstheme="minorEastAsia"/>
          <w:b w:val="0"/>
          <w:bCs w:val="0"/>
          <w:color w:val="auto"/>
          <w:sz w:val="21"/>
          <w:szCs w:val="21"/>
          <w:highlight w:val="none"/>
        </w:rPr>
        <w:t>一、项目编号：GXZC2025-J1-002343-CGZX</w:t>
      </w:r>
      <w:r>
        <w:rPr>
          <w:rFonts w:hint="eastAsia" w:asciiTheme="minorEastAsia" w:hAnsiTheme="minorEastAsia" w:eastAsiaTheme="minorEastAsia" w:cstheme="minorEastAsia"/>
          <w:b w:val="0"/>
          <w:bCs w:val="0"/>
          <w:color w:val="auto"/>
          <w:sz w:val="21"/>
          <w:szCs w:val="21"/>
          <w:highlight w:val="none"/>
          <w:lang w:eastAsia="zh-CN"/>
        </w:rPr>
        <w:t>　</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u w:val="single"/>
        </w:rPr>
      </w:pPr>
      <w:r>
        <w:rPr>
          <w:rFonts w:hint="eastAsia" w:asciiTheme="minorEastAsia" w:hAnsiTheme="minorEastAsia" w:eastAsiaTheme="minorEastAsia" w:cstheme="minorEastAsia"/>
          <w:b w:val="0"/>
          <w:bCs w:val="0"/>
          <w:color w:val="auto"/>
          <w:sz w:val="21"/>
          <w:szCs w:val="21"/>
          <w:highlight w:val="none"/>
        </w:rPr>
        <w:t>二、项目类别：</w:t>
      </w:r>
      <w:r>
        <w:rPr>
          <w:rFonts w:hint="eastAsia" w:asciiTheme="minorEastAsia" w:hAnsiTheme="minorEastAsia" w:eastAsiaTheme="minorEastAsia" w:cstheme="minorEastAsia"/>
          <w:b w:val="0"/>
          <w:bCs w:val="0"/>
          <w:color w:val="auto"/>
          <w:sz w:val="21"/>
          <w:szCs w:val="21"/>
          <w:highlight w:val="none"/>
          <w:u w:val="single"/>
          <w:lang w:val="en"/>
        </w:rPr>
        <w:t xml:space="preserve"> </w:t>
      </w:r>
      <w:r>
        <w:rPr>
          <w:rFonts w:hint="eastAsia" w:asciiTheme="minorEastAsia" w:hAnsiTheme="minorEastAsia" w:eastAsiaTheme="minorEastAsia" w:cstheme="minorEastAsia"/>
          <w:b w:val="0"/>
          <w:bCs w:val="0"/>
          <w:color w:val="auto"/>
          <w:sz w:val="21"/>
          <w:szCs w:val="21"/>
          <w:highlight w:val="none"/>
          <w:u w:val="single"/>
        </w:rPr>
        <w:t xml:space="preserve">        货物            </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三、本项目采购预算： 分标1：</w:t>
      </w:r>
      <w:r>
        <w:rPr>
          <w:rFonts w:hint="eastAsia" w:asciiTheme="minorEastAsia" w:hAnsiTheme="minorEastAsia" w:eastAsiaTheme="minorEastAsia" w:cstheme="minorEastAsia"/>
          <w:b w:val="0"/>
          <w:bCs w:val="0"/>
          <w:color w:val="auto"/>
          <w:sz w:val="21"/>
          <w:szCs w:val="21"/>
          <w:highlight w:val="none"/>
          <w:u w:val="single"/>
        </w:rPr>
        <w:t>378,000.00  元</w:t>
      </w:r>
      <w:r>
        <w:rPr>
          <w:rFonts w:hint="eastAsia" w:asciiTheme="minorEastAsia" w:hAnsiTheme="minorEastAsia" w:eastAsiaTheme="minorEastAsia" w:cstheme="minorEastAsia"/>
          <w:b w:val="0"/>
          <w:bCs w:val="0"/>
          <w:color w:val="auto"/>
          <w:sz w:val="21"/>
          <w:szCs w:val="21"/>
          <w:highlight w:val="none"/>
        </w:rPr>
        <w:t xml:space="preserve"> 。竞标人均不能超出单价限价，否则作报价无效处理。</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四、本项目标的所属行业均为：</w:t>
      </w:r>
      <w:r>
        <w:rPr>
          <w:rFonts w:hint="eastAsia" w:asciiTheme="minorEastAsia" w:hAnsiTheme="minorEastAsia" w:eastAsiaTheme="minorEastAsia" w:cstheme="minorEastAsia"/>
          <w:b w:val="0"/>
          <w:bCs w:val="0"/>
          <w:color w:val="auto"/>
          <w:sz w:val="21"/>
          <w:szCs w:val="21"/>
          <w:highlight w:val="none"/>
          <w:u w:val="single"/>
        </w:rPr>
        <w:t xml:space="preserve">  工业  </w:t>
      </w:r>
      <w:r>
        <w:rPr>
          <w:rFonts w:hint="eastAsia" w:asciiTheme="minorEastAsia" w:hAnsiTheme="minorEastAsia" w:eastAsiaTheme="minorEastAsia" w:cstheme="minorEastAsia"/>
          <w:b w:val="0"/>
          <w:bCs w:val="0"/>
          <w:color w:val="auto"/>
          <w:sz w:val="21"/>
          <w:szCs w:val="21"/>
          <w:highlight w:val="none"/>
        </w:rPr>
        <w:t>；划分依据：《关于印发中小企业划型标准规定的通知》（工信部联企业[2011]300号）。</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五、采购需求一览表：</w:t>
      </w:r>
    </w:p>
    <w:p>
      <w:pPr>
        <w:keepNext w:val="0"/>
        <w:keepLines w:val="0"/>
        <w:pageBreakBefore w:val="0"/>
        <w:widowControl w:val="0"/>
        <w:kinsoku/>
        <w:wordWrap/>
        <w:overflowPunct/>
        <w:topLinePunct w:val="0"/>
        <w:autoSpaceDE/>
        <w:autoSpaceDN/>
        <w:bidi w:val="0"/>
        <w:adjustRightInd/>
        <w:snapToGrid/>
        <w:spacing w:before="96" w:beforeLines="40" w:line="360" w:lineRule="exact"/>
        <w:ind w:left="6" w:firstLine="431"/>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1、本需求的货物品牌型号、技术参数及其性能（配置）仅起参考作用，竞标人可选用其他品牌型号替代，但这些替代的产品要实质上相当于或优于参考品牌型号及其技术参数性能（配置）要求。</w:t>
      </w:r>
    </w:p>
    <w:p>
      <w:pPr>
        <w:keepNext w:val="0"/>
        <w:keepLines w:val="0"/>
        <w:pageBreakBefore w:val="0"/>
        <w:widowControl w:val="0"/>
        <w:kinsoku/>
        <w:wordWrap/>
        <w:overflowPunct/>
        <w:topLinePunct w:val="0"/>
        <w:autoSpaceDE/>
        <w:autoSpaceDN/>
        <w:bidi w:val="0"/>
        <w:adjustRightInd/>
        <w:snapToGrid/>
        <w:spacing w:before="96" w:beforeLines="40" w:line="360" w:lineRule="exact"/>
        <w:ind w:left="6" w:firstLine="431"/>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本需求中参考品牌型号规格及技术参数不明确或有误的，或竞标人选用其他品牌型号替代的，请以详细、正确的品牌型号、技术参数（配置）同时填写竞标报价明细表和商务、技术响应偏离表。技术响应偏离表须按技术参数及配置要求一一对应响应。</w:t>
      </w:r>
    </w:p>
    <w:p>
      <w:pPr>
        <w:keepNext w:val="0"/>
        <w:keepLines w:val="0"/>
        <w:pageBreakBefore w:val="0"/>
        <w:widowControl w:val="0"/>
        <w:kinsoku/>
        <w:wordWrap/>
        <w:overflowPunct/>
        <w:topLinePunct w:val="0"/>
        <w:autoSpaceDE/>
        <w:autoSpaceDN/>
        <w:bidi w:val="0"/>
        <w:adjustRightInd/>
        <w:snapToGrid/>
        <w:spacing w:before="96" w:beforeLines="40" w:line="360" w:lineRule="exact"/>
        <w:ind w:left="6" w:firstLine="431"/>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3、凡在“技术参数及性能（配置）要求”中表述为“标配”或“标准配置”的设备，竞标人应在竞标报价明细表中将其标配参数详细列明。</w:t>
      </w:r>
    </w:p>
    <w:p>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rFonts w:hint="eastAsia" w:asciiTheme="minorEastAsia" w:hAnsiTheme="minorEastAsia" w:eastAsiaTheme="minorEastAsia" w:cstheme="minorEastAsia"/>
          <w:b w:val="0"/>
          <w:bCs w:val="0"/>
          <w:color w:val="auto"/>
          <w:kern w:val="2"/>
          <w:sz w:val="21"/>
          <w:szCs w:val="21"/>
          <w:highlight w:val="none"/>
        </w:rPr>
      </w:pPr>
      <w:r>
        <w:rPr>
          <w:rFonts w:hint="eastAsia" w:asciiTheme="minorEastAsia" w:hAnsiTheme="minorEastAsia" w:eastAsiaTheme="minorEastAsia" w:cstheme="minorEastAsia"/>
          <w:b w:val="0"/>
          <w:bCs w:val="0"/>
          <w:color w:val="auto"/>
          <w:kern w:val="2"/>
          <w:sz w:val="21"/>
          <w:szCs w:val="21"/>
          <w:highlight w:val="none"/>
          <w:lang w:val="en-US" w:eastAsia="zh-CN"/>
        </w:rPr>
        <w:t>4</w:t>
      </w:r>
      <w:r>
        <w:rPr>
          <w:rFonts w:hint="eastAsia" w:asciiTheme="minorEastAsia" w:hAnsiTheme="minorEastAsia" w:eastAsiaTheme="minorEastAsia" w:cstheme="minorEastAsia"/>
          <w:b w:val="0"/>
          <w:bCs w:val="0"/>
          <w:color w:val="auto"/>
          <w:kern w:val="2"/>
          <w:sz w:val="21"/>
          <w:szCs w:val="21"/>
          <w:highlight w:val="none"/>
        </w:rPr>
        <w:t>、</w:t>
      </w:r>
      <w:r>
        <w:rPr>
          <w:rFonts w:hint="eastAsia" w:asciiTheme="minorEastAsia" w:hAnsiTheme="minorEastAsia" w:eastAsiaTheme="minorEastAsia" w:cstheme="minorEastAsia"/>
          <w:b w:val="0"/>
          <w:bCs w:val="0"/>
          <w:color w:val="auto"/>
          <w:kern w:val="2"/>
          <w:sz w:val="21"/>
          <w:szCs w:val="21"/>
          <w:highlight w:val="none"/>
          <w:lang w:eastAsia="zh-CN"/>
        </w:rPr>
        <w:t>谈判</w:t>
      </w:r>
      <w:r>
        <w:rPr>
          <w:rFonts w:hint="eastAsia" w:asciiTheme="minorEastAsia" w:hAnsiTheme="minorEastAsia" w:eastAsiaTheme="minorEastAsia" w:cstheme="minorEastAsia"/>
          <w:b w:val="0"/>
          <w:bCs w:val="0"/>
          <w:color w:val="auto"/>
          <w:kern w:val="2"/>
          <w:sz w:val="21"/>
          <w:szCs w:val="21"/>
          <w:highlight w:val="none"/>
        </w:rPr>
        <w:t>文件中带“▲”的条款为本次采购的实质性(关键性)的商务、技术或服务要求，竞标人须满足或优于，否则，将会被认定为无效竞标。本采购需求中参考图片(样式)、产品尺寸(除标记▲三角符号外)仅供参考；材质的要求及材质的厚度须满足或优于采购需求;产品性能须满足或优于用户要求;引用的所有标准，如有更新或替换时，应执行最新标准。</w:t>
      </w:r>
    </w:p>
    <w:p>
      <w:pPr>
        <w:pStyle w:val="2"/>
        <w:ind w:firstLine="420"/>
        <w:rPr>
          <w:rFonts w:hint="eastAsia" w:asciiTheme="minorEastAsia" w:hAnsiTheme="minorEastAsia" w:eastAsiaTheme="minorEastAsia" w:cstheme="minorEastAsia"/>
          <w:color w:val="auto"/>
          <w:sz w:val="21"/>
          <w:szCs w:val="21"/>
          <w:highlight w:val="none"/>
        </w:rPr>
      </w:pPr>
    </w:p>
    <w:tbl>
      <w:tblPr>
        <w:tblStyle w:val="15"/>
        <w:tblW w:w="5000" w:type="pct"/>
        <w:tblInd w:w="0" w:type="dxa"/>
        <w:tblLayout w:type="fixed"/>
        <w:tblCellMar>
          <w:top w:w="0" w:type="dxa"/>
          <w:left w:w="108" w:type="dxa"/>
          <w:bottom w:w="0" w:type="dxa"/>
          <w:right w:w="108" w:type="dxa"/>
        </w:tblCellMar>
      </w:tblPr>
      <w:tblGrid>
        <w:gridCol w:w="10682"/>
      </w:tblGrid>
      <w:tr>
        <w:tblPrEx>
          <w:tblCellMar>
            <w:top w:w="0" w:type="dxa"/>
            <w:left w:w="108" w:type="dxa"/>
            <w:bottom w:w="0" w:type="dxa"/>
            <w:right w:w="108" w:type="dxa"/>
          </w:tblCellMar>
        </w:tblPrEx>
        <w:trPr>
          <w:trHeight w:val="13679" w:hRule="atLeast"/>
        </w:trPr>
        <w:tc>
          <w:tcPr>
            <w:tcW w:w="5000" w:type="pct"/>
            <w:noWrap w:val="0"/>
            <w:vAlign w:val="center"/>
          </w:tcPr>
          <w:p>
            <w:pPr>
              <w:pStyle w:val="19"/>
              <w:ind w:firstLine="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bCs/>
                <w:color w:val="auto"/>
                <w:spacing w:val="0"/>
                <w:kern w:val="1"/>
                <w:sz w:val="21"/>
                <w:szCs w:val="21"/>
                <w:highlight w:val="none"/>
                <w:lang w:val="en-US" w:eastAsia="zh-CN" w:bidi="ar-SA"/>
              </w:rPr>
              <w:t>分标１</w:t>
            </w:r>
            <w:r>
              <w:rPr>
                <w:rFonts w:hint="eastAsia" w:asciiTheme="minorEastAsia" w:hAnsiTheme="minorEastAsia" w:eastAsiaTheme="minorEastAsia" w:cstheme="minorEastAsia"/>
                <w:b w:val="0"/>
                <w:bCs w:val="0"/>
                <w:color w:val="auto"/>
                <w:sz w:val="21"/>
                <w:szCs w:val="21"/>
                <w:highlight w:val="none"/>
              </w:rPr>
              <w:t>：</w:t>
            </w:r>
          </w:p>
          <w:tbl>
            <w:tblPr>
              <w:tblStyle w:val="15"/>
              <w:tblpPr w:leftFromText="180" w:rightFromText="180" w:vertAnchor="text" w:horzAnchor="page" w:tblpY="253"/>
              <w:tblOverlap w:val="never"/>
              <w:tblW w:w="10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645"/>
              <w:gridCol w:w="2730"/>
              <w:gridCol w:w="603"/>
              <w:gridCol w:w="867"/>
              <w:gridCol w:w="720"/>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39" w:type="dxa"/>
                  <w:shd w:val="clear" w:color="auto" w:fill="DCE6F2"/>
                  <w:noWrap w:val="0"/>
                  <w:vAlign w:val="center"/>
                </w:tcPr>
                <w:p>
                  <w:pPr>
                    <w:spacing w:before="24" w:beforeLines="1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645" w:type="dxa"/>
                  <w:shd w:val="clear" w:color="auto" w:fill="DCE6F2"/>
                  <w:noWrap w:val="0"/>
                  <w:vAlign w:val="center"/>
                </w:tcPr>
                <w:p>
                  <w:pPr>
                    <w:spacing w:before="24" w:beforeLines="1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货物名称</w:t>
                  </w:r>
                </w:p>
              </w:tc>
              <w:tc>
                <w:tcPr>
                  <w:tcW w:w="2730" w:type="dxa"/>
                  <w:shd w:val="clear" w:color="auto" w:fill="DCE6F2"/>
                  <w:noWrap w:val="0"/>
                  <w:vAlign w:val="center"/>
                </w:tcPr>
                <w:p>
                  <w:pPr>
                    <w:spacing w:before="24" w:beforeLines="1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参考图片</w:t>
                  </w:r>
                </w:p>
              </w:tc>
              <w:tc>
                <w:tcPr>
                  <w:tcW w:w="603" w:type="dxa"/>
                  <w:shd w:val="clear" w:color="auto" w:fill="DCE6F2"/>
                  <w:noWrap w:val="0"/>
                  <w:vAlign w:val="center"/>
                </w:tcPr>
                <w:p>
                  <w:pPr>
                    <w:spacing w:before="24" w:beforeLines="1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数量</w:t>
                  </w:r>
                </w:p>
              </w:tc>
              <w:tc>
                <w:tcPr>
                  <w:tcW w:w="867" w:type="dxa"/>
                  <w:shd w:val="clear" w:color="auto" w:fill="DCE6F2"/>
                  <w:noWrap w:val="0"/>
                  <w:vAlign w:val="center"/>
                </w:tcPr>
                <w:p>
                  <w:pPr>
                    <w:spacing w:before="24" w:beforeLines="1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单位</w:t>
                  </w:r>
                </w:p>
              </w:tc>
              <w:tc>
                <w:tcPr>
                  <w:tcW w:w="720" w:type="dxa"/>
                  <w:shd w:val="clear" w:color="auto" w:fill="DCE6F2"/>
                  <w:noWrap w:val="0"/>
                  <w:vAlign w:val="center"/>
                </w:tcPr>
                <w:p>
                  <w:pPr>
                    <w:spacing w:before="24" w:beforeLines="10"/>
                    <w:jc w:val="center"/>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t>单价</w:t>
                  </w:r>
                  <w:r>
                    <w:rPr>
                      <w:rFonts w:hint="eastAsia" w:asciiTheme="minorEastAsia" w:hAnsiTheme="minorEastAsia" w:eastAsiaTheme="minorEastAsia" w:cstheme="minorEastAsia"/>
                      <w:b/>
                      <w:bCs/>
                      <w:color w:val="auto"/>
                      <w:sz w:val="21"/>
                      <w:szCs w:val="21"/>
                      <w:highlight w:val="none"/>
                      <w:lang w:eastAsia="zh-CN"/>
                    </w:rPr>
                    <w:t>限价</w:t>
                  </w:r>
                </w:p>
              </w:tc>
              <w:tc>
                <w:tcPr>
                  <w:tcW w:w="4620" w:type="dxa"/>
                  <w:shd w:val="clear" w:color="auto" w:fill="DCE6F2"/>
                  <w:noWrap w:val="0"/>
                  <w:vAlign w:val="center"/>
                </w:tcPr>
                <w:p>
                  <w:pPr>
                    <w:spacing w:before="24" w:beforeLines="10"/>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sz w:val="21"/>
                      <w:szCs w:val="21"/>
                      <w:highlight w:val="none"/>
                    </w:rPr>
                    <w:t>产品规格、</w:t>
                  </w:r>
                  <w:r>
                    <w:rPr>
                      <w:rFonts w:hint="eastAsia" w:asciiTheme="minorEastAsia" w:hAnsiTheme="minorEastAsia" w:eastAsiaTheme="minorEastAsia" w:cstheme="minorEastAsia"/>
                      <w:b/>
                      <w:bCs/>
                      <w:color w:val="auto"/>
                      <w:kern w:val="0"/>
                      <w:sz w:val="21"/>
                      <w:szCs w:val="21"/>
                      <w:highlight w:val="none"/>
                    </w:rPr>
                    <w:t>技术参数及性能（配置）要求</w:t>
                  </w:r>
                </w:p>
                <w:p>
                  <w:pPr>
                    <w:spacing w:before="24" w:beforeLines="1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rPr>
                    <w:t>（材质工艺要求）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39" w:type="dxa"/>
                  <w:noWrap w:val="0"/>
                  <w:vAlign w:val="center"/>
                </w:tcPr>
                <w:p>
                  <w:pPr>
                    <w:jc w:val="center"/>
                    <w:rPr>
                      <w:rFonts w:hint="eastAsia" w:asciiTheme="minorEastAsia" w:hAnsiTheme="minorEastAsia" w:eastAsiaTheme="minorEastAsia" w:cstheme="minorEastAsia"/>
                      <w:b w:val="0"/>
                      <w:bCs w:val="0"/>
                      <w:color w:val="auto"/>
                      <w:kern w:val="2"/>
                      <w:sz w:val="21"/>
                      <w:szCs w:val="21"/>
                      <w:highlight w:val="none"/>
                    </w:rPr>
                  </w:pPr>
                  <w:r>
                    <w:rPr>
                      <w:rFonts w:hint="eastAsia" w:asciiTheme="minorEastAsia" w:hAnsiTheme="minorEastAsia" w:eastAsiaTheme="minorEastAsia" w:cstheme="minorEastAsia"/>
                      <w:b w:val="0"/>
                      <w:bCs w:val="0"/>
                      <w:color w:val="auto"/>
                      <w:kern w:val="2"/>
                      <w:sz w:val="21"/>
                      <w:szCs w:val="21"/>
                      <w:highlight w:val="none"/>
                    </w:rPr>
                    <w:t>1</w:t>
                  </w:r>
                </w:p>
              </w:tc>
              <w:tc>
                <w:tcPr>
                  <w:tcW w:w="645" w:type="dxa"/>
                  <w:noWrap w:val="0"/>
                  <w:vAlign w:val="center"/>
                </w:tcPr>
                <w:p>
                  <w:pPr>
                    <w:jc w:val="center"/>
                    <w:rPr>
                      <w:rFonts w:hint="eastAsia" w:asciiTheme="minorEastAsia" w:hAnsiTheme="minorEastAsia" w:eastAsiaTheme="minorEastAsia" w:cstheme="minorEastAsia"/>
                      <w:b w:val="0"/>
                      <w:bCs w:val="0"/>
                      <w:color w:val="auto"/>
                      <w:kern w:val="2"/>
                      <w:sz w:val="21"/>
                      <w:szCs w:val="21"/>
                      <w:highlight w:val="none"/>
                    </w:rPr>
                  </w:pPr>
                  <w:r>
                    <w:rPr>
                      <w:rFonts w:hint="eastAsia" w:asciiTheme="minorEastAsia" w:hAnsiTheme="minorEastAsia" w:eastAsiaTheme="minorEastAsia" w:cstheme="minorEastAsia"/>
                      <w:b w:val="0"/>
                      <w:bCs w:val="0"/>
                      <w:color w:val="auto"/>
                      <w:kern w:val="2"/>
                      <w:sz w:val="21"/>
                      <w:szCs w:val="21"/>
                      <w:highlight w:val="none"/>
                    </w:rPr>
                    <w:t>礼堂椅</w:t>
                  </w:r>
                </w:p>
              </w:tc>
              <w:tc>
                <w:tcPr>
                  <w:tcW w:w="2730" w:type="dxa"/>
                  <w:noWrap w:val="0"/>
                  <w:vAlign w:val="center"/>
                </w:tcPr>
                <w:p>
                  <w:pPr>
                    <w:pStyle w:val="4"/>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drawing>
                      <wp:inline distT="0" distB="0" distL="114300" distR="114300">
                        <wp:extent cx="1731010" cy="1721485"/>
                        <wp:effectExtent l="0" t="0" r="2540" b="12065"/>
                        <wp:docPr id="51" name="图片 56" descr="e2c58142a147ad8fc02eacc499e2e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6" descr="e2c58142a147ad8fc02eacc499e2e2d"/>
                                <pic:cNvPicPr>
                                  <a:picLocks noChangeAspect="1"/>
                                </pic:cNvPicPr>
                              </pic:nvPicPr>
                              <pic:blipFill>
                                <a:blip r:embed="rId7"/>
                                <a:stretch>
                                  <a:fillRect/>
                                </a:stretch>
                              </pic:blipFill>
                              <pic:spPr>
                                <a:xfrm>
                                  <a:off x="0" y="0"/>
                                  <a:ext cx="1731010" cy="1721485"/>
                                </a:xfrm>
                                <a:prstGeom prst="rect">
                                  <a:avLst/>
                                </a:prstGeom>
                                <a:noFill/>
                                <a:ln>
                                  <a:noFill/>
                                </a:ln>
                              </pic:spPr>
                            </pic:pic>
                          </a:graphicData>
                        </a:graphic>
                      </wp:inline>
                    </w:drawing>
                  </w:r>
                </w:p>
                <w:p>
                  <w:pP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drawing>
                      <wp:inline distT="0" distB="0" distL="114300" distR="114300">
                        <wp:extent cx="1452880" cy="1755140"/>
                        <wp:effectExtent l="0" t="0" r="13970" b="16510"/>
                        <wp:docPr id="33" name="图片 57" descr="69b3187772119de97bd04d2ab815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57" descr="69b3187772119de97bd04d2ab815374"/>
                                <pic:cNvPicPr>
                                  <a:picLocks noChangeAspect="1"/>
                                </pic:cNvPicPr>
                              </pic:nvPicPr>
                              <pic:blipFill>
                                <a:blip r:embed="rId8"/>
                                <a:srcRect l="17583" r="35947"/>
                                <a:stretch>
                                  <a:fillRect/>
                                </a:stretch>
                              </pic:blipFill>
                              <pic:spPr>
                                <a:xfrm>
                                  <a:off x="0" y="0"/>
                                  <a:ext cx="1452880" cy="1755140"/>
                                </a:xfrm>
                                <a:prstGeom prst="rect">
                                  <a:avLst/>
                                </a:prstGeom>
                                <a:noFill/>
                                <a:ln>
                                  <a:noFill/>
                                </a:ln>
                              </pic:spPr>
                            </pic:pic>
                          </a:graphicData>
                        </a:graphic>
                      </wp:inline>
                    </w:drawing>
                  </w:r>
                </w:p>
              </w:tc>
              <w:tc>
                <w:tcPr>
                  <w:tcW w:w="603" w:type="dxa"/>
                  <w:noWrap w:val="0"/>
                  <w:vAlign w:val="center"/>
                </w:tcPr>
                <w:p>
                  <w:pPr>
                    <w:spacing w:before="72" w:beforeLines="30" w:line="288" w:lineRule="auto"/>
                    <w:jc w:val="center"/>
                    <w:rPr>
                      <w:rFonts w:hint="eastAsia" w:asciiTheme="minorEastAsia" w:hAnsiTheme="minorEastAsia" w:eastAsiaTheme="minorEastAsia" w:cstheme="minorEastAsia"/>
                      <w:b w:val="0"/>
                      <w:bCs w:val="0"/>
                      <w:color w:val="auto"/>
                      <w:kern w:val="2"/>
                      <w:sz w:val="21"/>
                      <w:szCs w:val="21"/>
                      <w:highlight w:val="none"/>
                    </w:rPr>
                  </w:pPr>
                  <w:r>
                    <w:rPr>
                      <w:rFonts w:hint="eastAsia" w:asciiTheme="minorEastAsia" w:hAnsiTheme="minorEastAsia" w:eastAsiaTheme="minorEastAsia" w:cstheme="minorEastAsia"/>
                      <w:b w:val="0"/>
                      <w:bCs w:val="0"/>
                      <w:color w:val="auto"/>
                      <w:sz w:val="21"/>
                      <w:szCs w:val="21"/>
                      <w:highlight w:val="none"/>
                    </w:rPr>
                    <w:t>314</w:t>
                  </w:r>
                </w:p>
              </w:tc>
              <w:tc>
                <w:tcPr>
                  <w:tcW w:w="867" w:type="dxa"/>
                  <w:noWrap w:val="0"/>
                  <w:vAlign w:val="center"/>
                </w:tcPr>
                <w:p>
                  <w:pPr>
                    <w:spacing w:before="72" w:beforeLines="30" w:line="288" w:lineRule="auto"/>
                    <w:jc w:val="center"/>
                    <w:rPr>
                      <w:rFonts w:hint="eastAsia" w:asciiTheme="minorEastAsia" w:hAnsiTheme="minorEastAsia" w:eastAsiaTheme="minorEastAsia" w:cstheme="minorEastAsia"/>
                      <w:b w:val="0"/>
                      <w:bCs w:val="0"/>
                      <w:color w:val="auto"/>
                      <w:kern w:val="2"/>
                      <w:sz w:val="21"/>
                      <w:szCs w:val="21"/>
                      <w:highlight w:val="none"/>
                    </w:rPr>
                  </w:pPr>
                  <w:r>
                    <w:rPr>
                      <w:rFonts w:hint="eastAsia" w:asciiTheme="minorEastAsia" w:hAnsiTheme="minorEastAsia" w:eastAsiaTheme="minorEastAsia" w:cstheme="minorEastAsia"/>
                      <w:b w:val="0"/>
                      <w:bCs w:val="0"/>
                      <w:color w:val="auto"/>
                      <w:sz w:val="21"/>
                      <w:szCs w:val="21"/>
                      <w:highlight w:val="none"/>
                    </w:rPr>
                    <w:t>位</w:t>
                  </w:r>
                </w:p>
              </w:tc>
              <w:tc>
                <w:tcPr>
                  <w:tcW w:w="720" w:type="dxa"/>
                  <w:noWrap w:val="0"/>
                  <w:vAlign w:val="center"/>
                </w:tcPr>
                <w:p>
                  <w:pPr>
                    <w:widowControl/>
                    <w:jc w:val="right"/>
                    <w:textAlignment w:val="center"/>
                    <w:rPr>
                      <w:rFonts w:hint="eastAsia" w:asciiTheme="minorEastAsia" w:hAnsiTheme="minorEastAsia" w:eastAsiaTheme="minorEastAsia" w:cstheme="minorEastAsia"/>
                      <w:b w:val="0"/>
                      <w:bCs w:val="0"/>
                      <w:color w:val="auto"/>
                      <w:kern w:val="2"/>
                      <w:sz w:val="21"/>
                      <w:szCs w:val="21"/>
                      <w:highlight w:val="none"/>
                    </w:rPr>
                  </w:pPr>
                  <w:r>
                    <w:rPr>
                      <w:rFonts w:hint="eastAsia" w:asciiTheme="minorEastAsia" w:hAnsiTheme="minorEastAsia" w:eastAsiaTheme="minorEastAsia" w:cstheme="minorEastAsia"/>
                      <w:b w:val="0"/>
                      <w:bCs w:val="0"/>
                      <w:color w:val="auto"/>
                      <w:kern w:val="2"/>
                      <w:sz w:val="21"/>
                      <w:szCs w:val="21"/>
                      <w:highlight w:val="none"/>
                    </w:rPr>
                    <w:t>1030</w:t>
                  </w:r>
                </w:p>
              </w:tc>
              <w:tc>
                <w:tcPr>
                  <w:tcW w:w="4620" w:type="dxa"/>
                  <w:vMerge w:val="restart"/>
                  <w:noWrap w:val="0"/>
                  <w:vAlign w:val="center"/>
                </w:tcPr>
                <w:p>
                  <w:pPr>
                    <w:widowControl/>
                    <w:spacing w:before="48" w:beforeLines="20" w:line="264" w:lineRule="auto"/>
                    <w:jc w:val="left"/>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1、规格：座椅中心距580±5mm、座高440±10mm、座包打开到背后最长700±20mm、椅高1020±20mm,地面到扶手面高度645±5mm。</w:t>
                  </w:r>
                </w:p>
                <w:p>
                  <w:pPr>
                    <w:widowControl/>
                    <w:spacing w:before="48" w:beforeLines="20" w:line="264" w:lineRule="auto"/>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▲2、背座板、座外板：</w:t>
                  </w:r>
                </w:p>
                <w:p>
                  <w:pPr>
                    <w:widowControl/>
                    <w:spacing w:before="48" w:beforeLines="20" w:line="264" w:lineRule="auto"/>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（1）基材为多层实木板（胶合板），面贴白蜡木皮经高频热压机一次热压成型，厚度≥15mm，</w:t>
                  </w:r>
                </w:p>
                <w:p>
                  <w:pPr>
                    <w:widowControl/>
                    <w:spacing w:before="48" w:beforeLines="20" w:line="264" w:lineRule="auto"/>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（2）表面喷涂油漆，采用环保型聚氨酯漆，保证所有木制外露部分油漆喷涂完整，防止回潮，表面过烤漆工艺处理，外表美观、耐磨。油漆性符合GB 18581-2020《木器涂料中有害物质限量》及GB/T 23997-2009《室内装饰装修用溶剂型聚氨酯木器涂料》标准。</w:t>
                  </w:r>
                </w:p>
                <w:p>
                  <w:pPr>
                    <w:widowControl/>
                    <w:spacing w:before="48" w:beforeLines="20" w:line="264" w:lineRule="auto"/>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（3）座外板有吸音小孔，以加强座椅的吸音功能，声学要求达国家相关标准。</w:t>
                  </w:r>
                </w:p>
                <w:p>
                  <w:pPr>
                    <w:widowControl/>
                    <w:spacing w:before="48" w:beforeLines="20" w:line="264" w:lineRule="auto"/>
                    <w:jc w:val="left"/>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sz w:val="21"/>
                      <w:szCs w:val="21"/>
                      <w:highlight w:val="none"/>
                    </w:rPr>
                    <w:t>（4）多层实木板（胶合板），</w:t>
                  </w:r>
                  <w:bookmarkStart w:id="11" w:name="OLE_LINK60"/>
                  <w:r>
                    <w:rPr>
                      <w:rFonts w:hint="eastAsia" w:asciiTheme="minorEastAsia" w:hAnsiTheme="minorEastAsia" w:eastAsiaTheme="minorEastAsia" w:cstheme="minorEastAsia"/>
                      <w:b w:val="0"/>
                      <w:bCs w:val="0"/>
                      <w:color w:val="auto"/>
                      <w:sz w:val="21"/>
                      <w:szCs w:val="21"/>
                      <w:highlight w:val="none"/>
                      <w:lang w:val="en-US" w:eastAsia="zh-CN"/>
                    </w:rPr>
                    <w:t>经除虫、防虫、防腐处理，尺寸、外观及理化性能符合GB/T 9846-2015《普通胶合板》标准；苯、甲苯、二甲苯、总挥发性有机化合物（TVOC）等有害物质含量符合GB/T 35601-2017《绿色产品评价　人造板和木质地板》标准；甲醛释放量依据GB/T 39600-2021《人造板及其制品甲醛释放量分级》标测达E0级或以上等级；防霉性能符合LY/T 2230-2013《人造板防霉性能评价》标准</w:t>
                  </w:r>
                  <w:r>
                    <w:rPr>
                      <w:rFonts w:hint="eastAsia" w:asciiTheme="minorEastAsia" w:hAnsiTheme="minorEastAsia" w:eastAsiaTheme="minorEastAsia" w:cstheme="minorEastAsia"/>
                      <w:b w:val="0"/>
                      <w:bCs w:val="0"/>
                      <w:color w:val="auto"/>
                      <w:sz w:val="21"/>
                      <w:szCs w:val="21"/>
                      <w:highlight w:val="none"/>
                    </w:rPr>
                    <w:t>。</w:t>
                  </w:r>
                  <w:bookmarkEnd w:id="11"/>
                </w:p>
                <w:p>
                  <w:pPr>
                    <w:widowControl/>
                    <w:spacing w:before="48" w:beforeLines="20" w:line="264" w:lineRule="auto"/>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3、</w:t>
                  </w:r>
                  <w:r>
                    <w:rPr>
                      <w:rFonts w:hint="eastAsia" w:asciiTheme="minorEastAsia" w:hAnsiTheme="minorEastAsia" w:eastAsiaTheme="minorEastAsia" w:cstheme="minorEastAsia"/>
                      <w:b w:val="0"/>
                      <w:bCs w:val="0"/>
                      <w:color w:val="auto"/>
                      <w:sz w:val="21"/>
                      <w:szCs w:val="21"/>
                      <w:highlight w:val="none"/>
                    </w:rPr>
                    <w:t>海绵：</w:t>
                  </w:r>
                </w:p>
                <w:p>
                  <w:pPr>
                    <w:widowControl/>
                    <w:spacing w:before="48" w:beforeLines="20" w:line="264" w:lineRule="auto"/>
                    <w:jc w:val="left"/>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sz w:val="21"/>
                      <w:szCs w:val="21"/>
                      <w:highlight w:val="none"/>
                    </w:rPr>
                    <w:t>（1）采用高密度聚酯定型海绵原料，经模具热固发泡一体成型；座、背海绵外部造形与瓦型座背板相呼应</w:t>
                  </w:r>
                  <w:r>
                    <w:rPr>
                      <w:rFonts w:hint="eastAsia" w:asciiTheme="minorEastAsia" w:hAnsiTheme="minorEastAsia" w:eastAsiaTheme="minorEastAsia" w:cstheme="minorEastAsia"/>
                      <w:b w:val="0"/>
                      <w:bCs w:val="0"/>
                      <w:color w:val="auto"/>
                      <w:kern w:val="0"/>
                      <w:sz w:val="21"/>
                      <w:szCs w:val="21"/>
                      <w:highlight w:val="none"/>
                    </w:rPr>
                    <w:t>，座、背海绵与瓦型座背外板相呼应，座海绵厚140mm、背海绵最厚点120mm。</w:t>
                  </w:r>
                </w:p>
                <w:p>
                  <w:pPr>
                    <w:adjustRightInd w:val="0"/>
                    <w:snapToGrid w:val="0"/>
                    <w:spacing w:before="48" w:beforeLines="20" w:line="264" w:lineRule="auto"/>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2）座海绵密度为50kg/m3，背海绵密度为45kg/m3。海绵圆润厚实，软硬适中，回弹性好。海绵回弹率、75%压缩永久变形、65%/25%压陷比、拉伸强度、断裂伸长率、撕裂强度、干热老化后拉伸强度、干热老化后拉伸强度变化率、湿热老化后拉伸强度、湿热老化后拉伸强度变化率、灰分、甲醛散发等性能符合GB/T 10802-2023《通用软质聚醚型聚氨酯泡沫塑料》标准；</w:t>
                  </w:r>
                </w:p>
                <w:p>
                  <w:pPr>
                    <w:adjustRightInd w:val="0"/>
                    <w:snapToGrid w:val="0"/>
                    <w:spacing w:before="48" w:beforeLines="20" w:line="264" w:lineRule="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（3）香烟抗引燃特性符合</w:t>
                  </w:r>
                  <w:r>
                    <w:rPr>
                      <w:rFonts w:hint="eastAsia" w:asciiTheme="minorEastAsia" w:hAnsiTheme="minorEastAsia" w:eastAsiaTheme="minorEastAsia" w:cstheme="minorEastAsia"/>
                      <w:b w:val="0"/>
                      <w:bCs w:val="0"/>
                      <w:color w:val="auto"/>
                      <w:sz w:val="21"/>
                      <w:szCs w:val="21"/>
                      <w:highlight w:val="none"/>
                    </w:rPr>
                    <w:fldChar w:fldCharType="begin"/>
                  </w:r>
                  <w:r>
                    <w:rPr>
                      <w:rFonts w:hint="eastAsia" w:asciiTheme="minorEastAsia" w:hAnsiTheme="minorEastAsia" w:eastAsiaTheme="minorEastAsia" w:cstheme="minorEastAsia"/>
                      <w:b w:val="0"/>
                      <w:bCs w:val="0"/>
                      <w:color w:val="auto"/>
                      <w:sz w:val="21"/>
                      <w:szCs w:val="21"/>
                      <w:highlight w:val="none"/>
                    </w:rPr>
                    <w:instrText xml:space="preserve"> HYPERLINK "https://std.samr.gov.cn/gb/search/gbDetailed?id=71F772D7DA78D3A7E05397BE0A0AB82A" \t "https://std.samr.gov.cn/search/_blank" </w:instrText>
                  </w:r>
                  <w:r>
                    <w:rPr>
                      <w:rFonts w:hint="eastAsia" w:asciiTheme="minorEastAsia" w:hAnsiTheme="minorEastAsia" w:eastAsiaTheme="minorEastAsia" w:cstheme="minorEastAsia"/>
                      <w:b w:val="0"/>
                      <w:bCs w:val="0"/>
                      <w:color w:val="auto"/>
                      <w:sz w:val="21"/>
                      <w:szCs w:val="21"/>
                      <w:highlight w:val="none"/>
                    </w:rPr>
                    <w:fldChar w:fldCharType="separate"/>
                  </w:r>
                  <w:r>
                    <w:rPr>
                      <w:rFonts w:hint="eastAsia" w:asciiTheme="minorEastAsia" w:hAnsiTheme="minorEastAsia" w:eastAsiaTheme="minorEastAsia" w:cstheme="minorEastAsia"/>
                      <w:b w:val="0"/>
                      <w:bCs w:val="0"/>
                      <w:color w:val="auto"/>
                      <w:sz w:val="21"/>
                      <w:szCs w:val="21"/>
                      <w:highlight w:val="none"/>
                    </w:rPr>
                    <w:t>GB 17927.1-2011《软体家具 床垫和沙发 抗引燃特性的评定 第1部分：阴燃的香烟》</w:t>
                  </w:r>
                  <w:r>
                    <w:rPr>
                      <w:rFonts w:hint="eastAsia" w:asciiTheme="minorEastAsia" w:hAnsiTheme="minorEastAsia" w:eastAsiaTheme="minorEastAsia" w:cstheme="minorEastAsia"/>
                      <w:b w:val="0"/>
                      <w:bCs w:val="0"/>
                      <w:color w:val="auto"/>
                      <w:sz w:val="21"/>
                      <w:szCs w:val="21"/>
                      <w:highlight w:val="none"/>
                    </w:rPr>
                    <w:fldChar w:fldCharType="end"/>
                  </w:r>
                  <w:r>
                    <w:rPr>
                      <w:rFonts w:hint="eastAsia" w:asciiTheme="minorEastAsia" w:hAnsiTheme="minorEastAsia" w:eastAsiaTheme="minorEastAsia" w:cstheme="minorEastAsia"/>
                      <w:b w:val="0"/>
                      <w:bCs w:val="0"/>
                      <w:color w:val="auto"/>
                      <w:sz w:val="21"/>
                      <w:szCs w:val="21"/>
                      <w:highlight w:val="none"/>
                    </w:rPr>
                    <w:t>标准；</w:t>
                  </w:r>
                </w:p>
                <w:p>
                  <w:pPr>
                    <w:adjustRightInd w:val="0"/>
                    <w:snapToGrid w:val="0"/>
                    <w:spacing w:before="48" w:beforeLines="20" w:line="264" w:lineRule="auto"/>
                    <w:rPr>
                      <w:rFonts w:hint="eastAsia" w:asciiTheme="minorEastAsia" w:hAnsiTheme="minorEastAsia" w:eastAsiaTheme="minorEastAsia" w:cstheme="minorEastAsia"/>
                      <w:b w:val="0"/>
                      <w:bCs w:val="0"/>
                      <w:color w:val="auto"/>
                      <w:kern w:val="0"/>
                      <w:sz w:val="21"/>
                      <w:szCs w:val="21"/>
                      <w:highlight w:val="none"/>
                      <w:lang w:bidi="ar"/>
                    </w:rPr>
                  </w:pPr>
                  <w:r>
                    <w:rPr>
                      <w:rFonts w:hint="eastAsia" w:asciiTheme="minorEastAsia" w:hAnsiTheme="minorEastAsia" w:eastAsiaTheme="minorEastAsia" w:cstheme="minorEastAsia"/>
                      <w:b w:val="0"/>
                      <w:bCs w:val="0"/>
                      <w:color w:val="auto"/>
                      <w:kern w:val="0"/>
                      <w:sz w:val="21"/>
                      <w:szCs w:val="21"/>
                      <w:highlight w:val="none"/>
                    </w:rPr>
                    <w:t xml:space="preserve">4、面料为优质耐磨毛麻纺织面料，具备耐磨性高、渗透力强、吸声效果好、软硬适中、使用长时间无起球、褪色等性能。甲醛含量、PH值、染色牢度（耐水、耐酸汗渍、耐碱汗渍、耐干摩擦）、异味、可分解致癌芳香胺染料等性能符合GB 18401-2010《国家纺织产品基本安全技术规范》标准； </w:t>
                  </w:r>
                  <w:r>
                    <w:rPr>
                      <w:rFonts w:hint="eastAsia" w:asciiTheme="minorEastAsia" w:hAnsiTheme="minorEastAsia" w:eastAsiaTheme="minorEastAsia" w:cstheme="minorEastAsia"/>
                      <w:b w:val="0"/>
                      <w:bCs w:val="0"/>
                      <w:color w:val="auto"/>
                      <w:sz w:val="21"/>
                      <w:szCs w:val="21"/>
                      <w:highlight w:val="none"/>
                    </w:rPr>
                    <w:t>香烟抗引燃特性符合</w:t>
                  </w:r>
                  <w:r>
                    <w:rPr>
                      <w:rFonts w:hint="eastAsia" w:asciiTheme="minorEastAsia" w:hAnsiTheme="minorEastAsia" w:eastAsiaTheme="minorEastAsia" w:cstheme="minorEastAsia"/>
                      <w:b w:val="0"/>
                      <w:bCs w:val="0"/>
                      <w:color w:val="auto"/>
                      <w:sz w:val="21"/>
                      <w:szCs w:val="21"/>
                      <w:highlight w:val="none"/>
                    </w:rPr>
                    <w:fldChar w:fldCharType="begin"/>
                  </w:r>
                  <w:r>
                    <w:rPr>
                      <w:rFonts w:hint="eastAsia" w:asciiTheme="minorEastAsia" w:hAnsiTheme="minorEastAsia" w:eastAsiaTheme="minorEastAsia" w:cstheme="minorEastAsia"/>
                      <w:b w:val="0"/>
                      <w:bCs w:val="0"/>
                      <w:color w:val="auto"/>
                      <w:sz w:val="21"/>
                      <w:szCs w:val="21"/>
                      <w:highlight w:val="none"/>
                    </w:rPr>
                    <w:instrText xml:space="preserve"> HYPERLINK "https://std.samr.gov.cn/gb/search/gbDetailed?id=71F772D7DA78D3A7E05397BE0A0AB82A" \t "https://std.samr.gov.cn/search/_blank" </w:instrText>
                  </w:r>
                  <w:r>
                    <w:rPr>
                      <w:rFonts w:hint="eastAsia" w:asciiTheme="minorEastAsia" w:hAnsiTheme="minorEastAsia" w:eastAsiaTheme="minorEastAsia" w:cstheme="minorEastAsia"/>
                      <w:b w:val="0"/>
                      <w:bCs w:val="0"/>
                      <w:color w:val="auto"/>
                      <w:sz w:val="21"/>
                      <w:szCs w:val="21"/>
                      <w:highlight w:val="none"/>
                    </w:rPr>
                    <w:fldChar w:fldCharType="separate"/>
                  </w:r>
                  <w:r>
                    <w:rPr>
                      <w:rFonts w:hint="eastAsia" w:asciiTheme="minorEastAsia" w:hAnsiTheme="minorEastAsia" w:eastAsiaTheme="minorEastAsia" w:cstheme="minorEastAsia"/>
                      <w:b w:val="0"/>
                      <w:bCs w:val="0"/>
                      <w:color w:val="auto"/>
                      <w:sz w:val="21"/>
                      <w:szCs w:val="21"/>
                      <w:highlight w:val="none"/>
                    </w:rPr>
                    <w:t>GB 17927.1-2011《软体家具 床垫和沙发 抗引燃特性的评定 第1部分：阴燃的香烟》</w:t>
                  </w:r>
                  <w:r>
                    <w:rPr>
                      <w:rFonts w:hint="eastAsia" w:asciiTheme="minorEastAsia" w:hAnsiTheme="minorEastAsia" w:eastAsiaTheme="minorEastAsia" w:cstheme="minorEastAsia"/>
                      <w:b w:val="0"/>
                      <w:bCs w:val="0"/>
                      <w:color w:val="auto"/>
                      <w:sz w:val="21"/>
                      <w:szCs w:val="21"/>
                      <w:highlight w:val="none"/>
                    </w:rPr>
                    <w:fldChar w:fldCharType="end"/>
                  </w:r>
                  <w:r>
                    <w:rPr>
                      <w:rFonts w:hint="eastAsia" w:asciiTheme="minorEastAsia" w:hAnsiTheme="minorEastAsia" w:eastAsiaTheme="minorEastAsia" w:cstheme="minorEastAsia"/>
                      <w:b w:val="0"/>
                      <w:bCs w:val="0"/>
                      <w:color w:val="auto"/>
                      <w:sz w:val="21"/>
                      <w:szCs w:val="21"/>
                      <w:highlight w:val="none"/>
                    </w:rPr>
                    <w:t>标准。</w:t>
                  </w:r>
                </w:p>
                <w:p>
                  <w:pPr>
                    <w:spacing w:before="48" w:beforeLines="20" w:line="264" w:lineRule="auto"/>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5</w:t>
                  </w:r>
                  <w:r>
                    <w:rPr>
                      <w:rFonts w:hint="eastAsia" w:asciiTheme="minorEastAsia" w:hAnsiTheme="minorEastAsia" w:eastAsiaTheme="minorEastAsia" w:cstheme="minorEastAsia"/>
                      <w:b w:val="0"/>
                      <w:bCs w:val="0"/>
                      <w:color w:val="auto"/>
                      <w:kern w:val="0"/>
                      <w:sz w:val="21"/>
                      <w:szCs w:val="21"/>
                      <w:highlight w:val="none"/>
                    </w:rPr>
                    <w:t>、五金扶手脚架框材质：总高440±3mm、上部长406±3mm，下部长240mm,宽80mm、框架采用前高后低设计，前后落差15mm便于联排式扶手错开使用，采用厚度不小于2.0㎜的优质钢板经模具冲压焊接、打磨成型，上方扶手框与下方脚架均为独立部件，上下部件之间通过紧固件连接牢固，可独立拆装更换扶手框（无须拆除脚架的地面螺丝，减少对地面的损坏），方便维护。表面采用粉末涂料高温喷涂工艺。</w:t>
                  </w:r>
                </w:p>
                <w:p>
                  <w:pPr>
                    <w:spacing w:before="48" w:beforeLines="20" w:line="264" w:lineRule="auto"/>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kern w:val="0"/>
                      <w:sz w:val="21"/>
                      <w:szCs w:val="21"/>
                      <w:highlight w:val="none"/>
                      <w:lang w:bidi="ar"/>
                    </w:rPr>
                    <w:t>6</w:t>
                  </w:r>
                  <w:r>
                    <w:rPr>
                      <w:rFonts w:hint="eastAsia" w:asciiTheme="minorEastAsia" w:hAnsiTheme="minorEastAsia" w:eastAsiaTheme="minorEastAsia" w:cstheme="minorEastAsia"/>
                      <w:b w:val="0"/>
                      <w:bCs w:val="0"/>
                      <w:color w:val="auto"/>
                      <w:kern w:val="0"/>
                      <w:sz w:val="21"/>
                      <w:szCs w:val="21"/>
                      <w:highlight w:val="none"/>
                    </w:rPr>
                    <w:t>、下站脚：</w:t>
                  </w:r>
                </w:p>
                <w:p>
                  <w:pPr>
                    <w:spacing w:before="48" w:beforeLines="20" w:line="264" w:lineRule="auto"/>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1）采用铝合金一体压铸成型，无毛刺，无焊接，表面作防氧化处理后经高温喷涂处理附着力强，抗冲击、耐腐蚀、不生锈、不褪色、经久耐用，铝合金底脚脚掌长386mm士5.0mm，宽100mm土5.0mm；脚掌面呈弧型，采用拱桥设计理念，坚固耐用，脚掌前后端的厚度≥10mm,中间的宽度75mm，铝合金底脚总高200mm土2.0mm。固定在地面螺丝孔的间距是310mm士5.0mm。 链接位分别用4个螺丝固定，前后螺丝间距尺寸: 175mm 地脚盖孔为方形。脚掌外观左右对称，协调端正，无拼凑感。</w:t>
                  </w:r>
                </w:p>
                <w:p>
                  <w:pPr>
                    <w:widowControl/>
                    <w:spacing w:before="48" w:beforeLines="20" w:line="264" w:lineRule="auto"/>
                    <w:jc w:val="left"/>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（2）铝合金脚架，依据GB/T 10125-2021 《人造气氛腐蚀试验 盐雾试验》、</w:t>
                  </w:r>
                  <w:r>
                    <w:rPr>
                      <w:rFonts w:hint="eastAsia" w:asciiTheme="minorEastAsia" w:hAnsiTheme="minorEastAsia" w:eastAsiaTheme="minorEastAsia" w:cstheme="minorEastAsia"/>
                      <w:b w:val="0"/>
                      <w:bCs w:val="0"/>
                      <w:color w:val="auto"/>
                      <w:kern w:val="0"/>
                      <w:sz w:val="21"/>
                      <w:szCs w:val="21"/>
                      <w:highlight w:val="none"/>
                    </w:rPr>
                    <w:fldChar w:fldCharType="begin"/>
                  </w:r>
                  <w:r>
                    <w:rPr>
                      <w:rFonts w:hint="eastAsia" w:asciiTheme="minorEastAsia" w:hAnsiTheme="minorEastAsia" w:eastAsiaTheme="minorEastAsia" w:cstheme="minorEastAsia"/>
                      <w:b w:val="0"/>
                      <w:bCs w:val="0"/>
                      <w:color w:val="auto"/>
                      <w:kern w:val="0"/>
                      <w:sz w:val="21"/>
                      <w:szCs w:val="21"/>
                      <w:highlight w:val="none"/>
                    </w:rPr>
                    <w:instrText xml:space="preserve"> HYPERLINK "https://std.samr.gov.cn/gb/search/gbDetailed?id=71F772D79408D3A7E05397BE0A0AB82A" \t "https://std.samr.gov.cn/search/stdPage?q=GB/_blank" </w:instrText>
                  </w:r>
                  <w:r>
                    <w:rPr>
                      <w:rFonts w:hint="eastAsia" w:asciiTheme="minorEastAsia" w:hAnsiTheme="minorEastAsia" w:eastAsiaTheme="minorEastAsia" w:cstheme="minorEastAsia"/>
                      <w:b w:val="0"/>
                      <w:bCs w:val="0"/>
                      <w:color w:val="auto"/>
                      <w:kern w:val="0"/>
                      <w:sz w:val="21"/>
                      <w:szCs w:val="21"/>
                      <w:highlight w:val="none"/>
                    </w:rPr>
                    <w:fldChar w:fldCharType="separate"/>
                  </w:r>
                  <w:r>
                    <w:rPr>
                      <w:rFonts w:hint="eastAsia" w:asciiTheme="minorEastAsia" w:hAnsiTheme="minorEastAsia" w:eastAsiaTheme="minorEastAsia" w:cstheme="minorEastAsia"/>
                      <w:b w:val="0"/>
                      <w:bCs w:val="0"/>
                      <w:color w:val="auto"/>
                      <w:kern w:val="0"/>
                      <w:sz w:val="21"/>
                      <w:szCs w:val="21"/>
                      <w:highlight w:val="none"/>
                    </w:rPr>
                    <w:t>GB/T 6461-2002《金属基体上金属和其他无机覆盖层 经腐蚀试验后的试样和试件的评级》</w:t>
                  </w:r>
                  <w:r>
                    <w:rPr>
                      <w:rFonts w:hint="eastAsia" w:asciiTheme="minorEastAsia" w:hAnsiTheme="minorEastAsia" w:eastAsiaTheme="minorEastAsia" w:cstheme="minorEastAsia"/>
                      <w:b w:val="0"/>
                      <w:bCs w:val="0"/>
                      <w:color w:val="auto"/>
                      <w:kern w:val="0"/>
                      <w:sz w:val="21"/>
                      <w:szCs w:val="21"/>
                      <w:highlight w:val="none"/>
                    </w:rPr>
                    <w:fldChar w:fldCharType="end"/>
                  </w:r>
                  <w:r>
                    <w:rPr>
                      <w:rFonts w:hint="eastAsia" w:asciiTheme="minorEastAsia" w:hAnsiTheme="minorEastAsia" w:eastAsiaTheme="minorEastAsia" w:cstheme="minorEastAsia"/>
                      <w:b w:val="0"/>
                      <w:bCs w:val="0"/>
                      <w:color w:val="auto"/>
                      <w:kern w:val="0"/>
                      <w:sz w:val="21"/>
                      <w:szCs w:val="21"/>
                      <w:highlight w:val="none"/>
                    </w:rPr>
                    <w:t>标准，对样品进行不少于</w:t>
                  </w:r>
                  <w:r>
                    <w:rPr>
                      <w:rFonts w:hint="eastAsia" w:asciiTheme="minorEastAsia" w:hAnsiTheme="minorEastAsia" w:eastAsiaTheme="minorEastAsia" w:cstheme="minorEastAsia"/>
                      <w:b w:val="0"/>
                      <w:bCs w:val="0"/>
                      <w:color w:val="auto"/>
                      <w:kern w:val="0"/>
                      <w:sz w:val="21"/>
                      <w:szCs w:val="21"/>
                      <w:highlight w:val="none"/>
                      <w:lang w:val="en-US" w:eastAsia="zh-CN"/>
                    </w:rPr>
                    <w:t>120</w:t>
                  </w:r>
                  <w:r>
                    <w:rPr>
                      <w:rFonts w:hint="eastAsia" w:asciiTheme="minorEastAsia" w:hAnsiTheme="minorEastAsia" w:eastAsiaTheme="minorEastAsia" w:cstheme="minorEastAsia"/>
                      <w:b w:val="0"/>
                      <w:bCs w:val="0"/>
                      <w:color w:val="auto"/>
                      <w:kern w:val="0"/>
                      <w:sz w:val="21"/>
                      <w:szCs w:val="21"/>
                      <w:highlight w:val="none"/>
                    </w:rPr>
                    <w:t>h铜加速乙酸盐雾试验（CASS试验），试验后，根据</w:t>
                  </w:r>
                  <w:r>
                    <w:rPr>
                      <w:rFonts w:hint="eastAsia" w:asciiTheme="minorEastAsia" w:hAnsiTheme="minorEastAsia" w:eastAsiaTheme="minorEastAsia" w:cstheme="minorEastAsia"/>
                      <w:b w:val="0"/>
                      <w:bCs w:val="0"/>
                      <w:color w:val="auto"/>
                      <w:kern w:val="0"/>
                      <w:sz w:val="21"/>
                      <w:szCs w:val="21"/>
                      <w:highlight w:val="none"/>
                    </w:rPr>
                    <w:fldChar w:fldCharType="begin"/>
                  </w:r>
                  <w:r>
                    <w:rPr>
                      <w:rFonts w:hint="eastAsia" w:asciiTheme="minorEastAsia" w:hAnsiTheme="minorEastAsia" w:eastAsiaTheme="minorEastAsia" w:cstheme="minorEastAsia"/>
                      <w:b w:val="0"/>
                      <w:bCs w:val="0"/>
                      <w:color w:val="auto"/>
                      <w:kern w:val="0"/>
                      <w:sz w:val="21"/>
                      <w:szCs w:val="21"/>
                      <w:highlight w:val="none"/>
                    </w:rPr>
                    <w:instrText xml:space="preserve"> HYPERLINK "https://std.samr.gov.cn/gb/search/gbDetailed?id=71F772D79408D3A7E05397BE0A0AB82A" \t "https://std.samr.gov.cn/search/stdPage?q=GB/_blank" </w:instrText>
                  </w:r>
                  <w:r>
                    <w:rPr>
                      <w:rFonts w:hint="eastAsia" w:asciiTheme="minorEastAsia" w:hAnsiTheme="minorEastAsia" w:eastAsiaTheme="minorEastAsia" w:cstheme="minorEastAsia"/>
                      <w:b w:val="0"/>
                      <w:bCs w:val="0"/>
                      <w:color w:val="auto"/>
                      <w:kern w:val="0"/>
                      <w:sz w:val="21"/>
                      <w:szCs w:val="21"/>
                      <w:highlight w:val="none"/>
                    </w:rPr>
                    <w:fldChar w:fldCharType="separate"/>
                  </w:r>
                  <w:r>
                    <w:rPr>
                      <w:rFonts w:hint="eastAsia" w:asciiTheme="minorEastAsia" w:hAnsiTheme="minorEastAsia" w:eastAsiaTheme="minorEastAsia" w:cstheme="minorEastAsia"/>
                      <w:b w:val="0"/>
                      <w:bCs w:val="0"/>
                      <w:color w:val="auto"/>
                      <w:kern w:val="0"/>
                      <w:sz w:val="21"/>
                      <w:szCs w:val="21"/>
                      <w:highlight w:val="none"/>
                    </w:rPr>
                    <w:t>GB/T 6461-2002《金属基体上金属和其他无机覆盖层 经腐蚀试验后的试样和试件的评级》</w:t>
                  </w:r>
                  <w:r>
                    <w:rPr>
                      <w:rFonts w:hint="eastAsia" w:asciiTheme="minorEastAsia" w:hAnsiTheme="minorEastAsia" w:eastAsiaTheme="minorEastAsia" w:cstheme="minorEastAsia"/>
                      <w:b w:val="0"/>
                      <w:bCs w:val="0"/>
                      <w:color w:val="auto"/>
                      <w:kern w:val="0"/>
                      <w:sz w:val="21"/>
                      <w:szCs w:val="21"/>
                      <w:highlight w:val="none"/>
                    </w:rPr>
                    <w:fldChar w:fldCharType="end"/>
                  </w:r>
                  <w:r>
                    <w:rPr>
                      <w:rFonts w:hint="eastAsia" w:asciiTheme="minorEastAsia" w:hAnsiTheme="minorEastAsia" w:eastAsiaTheme="minorEastAsia" w:cstheme="minorEastAsia"/>
                      <w:b w:val="0"/>
                      <w:bCs w:val="0"/>
                      <w:color w:val="auto"/>
                      <w:sz w:val="21"/>
                      <w:szCs w:val="21"/>
                      <w:highlight w:val="none"/>
                    </w:rPr>
                    <w:t>进行性能RP/RA评级，结果达到8/8级或以上等级。</w:t>
                  </w:r>
                </w:p>
                <w:p>
                  <w:pPr>
                    <w:widowControl/>
                    <w:spacing w:before="48" w:beforeLines="20" w:line="264" w:lineRule="auto"/>
                    <w:jc w:val="left"/>
                    <w:rPr>
                      <w:rFonts w:hint="eastAsia" w:asciiTheme="minorEastAsia" w:hAnsiTheme="minorEastAsia" w:eastAsiaTheme="minorEastAsia" w:cstheme="minorEastAsia"/>
                      <w:b w:val="0"/>
                      <w:bCs w:val="0"/>
                      <w:color w:val="auto"/>
                      <w:kern w:val="0"/>
                      <w:sz w:val="21"/>
                      <w:szCs w:val="21"/>
                      <w:highlight w:val="none"/>
                      <w:lang w:bidi="ar"/>
                    </w:rPr>
                  </w:pPr>
                  <w:r>
                    <w:rPr>
                      <w:rFonts w:hint="eastAsia" w:asciiTheme="minorEastAsia" w:hAnsiTheme="minorEastAsia" w:eastAsiaTheme="minorEastAsia" w:cstheme="minorEastAsia"/>
                      <w:b w:val="0"/>
                      <w:bCs w:val="0"/>
                      <w:color w:val="auto"/>
                      <w:kern w:val="0"/>
                      <w:sz w:val="21"/>
                      <w:szCs w:val="21"/>
                      <w:highlight w:val="none"/>
                    </w:rPr>
                    <w:t>7、扶手面盖：采用优质橡胶木加工成形，扶手造型与扶手框架相吻合，</w:t>
                  </w:r>
                  <w:r>
                    <w:rPr>
                      <w:rFonts w:hint="eastAsia" w:asciiTheme="minorEastAsia" w:hAnsiTheme="minorEastAsia" w:eastAsiaTheme="minorEastAsia" w:cstheme="minorEastAsia"/>
                      <w:b w:val="0"/>
                      <w:bCs w:val="0"/>
                      <w:color w:val="auto"/>
                      <w:sz w:val="21"/>
                      <w:szCs w:val="21"/>
                      <w:highlight w:val="none"/>
                    </w:rPr>
                    <w:t>表面喷涂油漆，采用环保型聚氨酯漆，保证所有木制外露部分油漆喷涂完整，防止回潮，表面过烤漆工艺处理，外表美观、耐磨。油漆性符合GB 18581-2020《木器涂料中有害物质限量》及GB/T 23997-2009《室内装饰装修用溶剂型聚氨酯木器涂料》标准。</w:t>
                  </w:r>
                </w:p>
                <w:p>
                  <w:pPr>
                    <w:widowControl/>
                    <w:spacing w:before="48" w:beforeLines="20" w:line="264" w:lineRule="auto"/>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▲8、写字板与机构：</w:t>
                  </w:r>
                </w:p>
                <w:p>
                  <w:pPr>
                    <w:widowControl/>
                    <w:spacing w:before="48" w:beforeLines="20" w:line="264" w:lineRule="auto"/>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（1）“内藏式” 折叠写字板，可收藏于扶手框内。</w:t>
                  </w:r>
                </w:p>
                <w:p>
                  <w:pPr>
                    <w:widowControl/>
                    <w:spacing w:before="48" w:beforeLines="20" w:line="264" w:lineRule="auto"/>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（2）写字板面材采用E1级三聚氰胺饰面板，基材为E1级中密度纤维板或刨花板。</w:t>
                  </w:r>
                </w:p>
                <w:p>
                  <w:pPr>
                    <w:widowControl/>
                    <w:spacing w:before="48" w:beforeLines="20" w:line="264" w:lineRule="auto"/>
                    <w:jc w:val="left"/>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sz w:val="21"/>
                      <w:szCs w:val="21"/>
                      <w:highlight w:val="none"/>
                    </w:rPr>
                    <w:t>（3）桌面造型为不规则体，四周截面采用PP塑料一次性注塑封边成型，无接缝，桌面四周正反面为圆弧边，带有长155mm一次性注塑封边笔槽，杯槽内径60mm。书写板规格：267*238*16mm（长宽±3mm）；写字板支架：采用新型直接焊接成型链接件φ14mm实心冷拉圆铁支架与厚度为3.0mm的钢板，经焊接、打磨、除油除锈、磷化、高温静电喷涂等工序处理。</w:t>
                  </w:r>
                </w:p>
                <w:p>
                  <w:pPr>
                    <w:spacing w:before="48" w:beforeLines="20" w:line="264" w:lineRule="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2"/>
                      <w:sz w:val="21"/>
                      <w:szCs w:val="21"/>
                      <w:highlight w:val="none"/>
                    </w:rPr>
                    <w:t>▲</w:t>
                  </w:r>
                  <w:r>
                    <w:rPr>
                      <w:rFonts w:hint="eastAsia" w:asciiTheme="minorEastAsia" w:hAnsiTheme="minorEastAsia" w:eastAsiaTheme="minorEastAsia" w:cstheme="minorEastAsia"/>
                      <w:b w:val="0"/>
                      <w:bCs w:val="0"/>
                      <w:color w:val="auto"/>
                      <w:kern w:val="0"/>
                      <w:sz w:val="21"/>
                      <w:szCs w:val="21"/>
                      <w:highlight w:val="none"/>
                    </w:rPr>
                    <w:t>9、扶手框装饰侧板：选用优质中密度中纤板经模具一次成型并弃用传统易脱落、易变形的外扣式工艺采用新型内嵌式使之更加稳固、实用。侧板装饰面最长380mm±5mm、最短220mm±5mm、最宽385mm±5mm。装饰侧板外部装饰海绵、布料。</w:t>
                  </w:r>
                </w:p>
                <w:p>
                  <w:pPr>
                    <w:widowControl/>
                    <w:spacing w:before="48" w:beforeLines="20" w:line="264" w:lineRule="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10、</w:t>
                  </w:r>
                  <w:r>
                    <w:rPr>
                      <w:rFonts w:hint="eastAsia" w:asciiTheme="minorEastAsia" w:hAnsiTheme="minorEastAsia" w:eastAsiaTheme="minorEastAsia" w:cstheme="minorEastAsia"/>
                      <w:b w:val="0"/>
                      <w:bCs w:val="0"/>
                      <w:color w:val="auto"/>
                      <w:kern w:val="0"/>
                      <w:sz w:val="21"/>
                      <w:szCs w:val="21"/>
                      <w:highlight w:val="none"/>
                      <w:lang w:bidi="ar"/>
                    </w:rPr>
                    <w:t>座包工艺：</w:t>
                  </w:r>
                  <w:r>
                    <w:rPr>
                      <w:rFonts w:hint="eastAsia" w:asciiTheme="minorEastAsia" w:hAnsiTheme="minorEastAsia" w:eastAsiaTheme="minorEastAsia" w:cstheme="minorEastAsia"/>
                      <w:b w:val="0"/>
                      <w:bCs w:val="0"/>
                      <w:color w:val="auto"/>
                      <w:sz w:val="21"/>
                      <w:szCs w:val="21"/>
                      <w:highlight w:val="none"/>
                    </w:rPr>
                    <w:t>椅座弃用市场传统木框钉架工艺，启用新型铁框工艺：座外板与座海绵组装采用正侧、后侧隐藏型固定，即座外板正面无任何螺丝；铁框采用优质厚度不小于1.5mm的钢板经模具冲压焊接成型。</w:t>
                  </w:r>
                </w:p>
                <w:p>
                  <w:pPr>
                    <w:widowControl/>
                    <w:spacing w:before="48" w:beforeLines="20" w:line="264" w:lineRule="auto"/>
                    <w:jc w:val="left"/>
                    <w:rPr>
                      <w:rFonts w:hint="eastAsia" w:asciiTheme="minorEastAsia" w:hAnsiTheme="minorEastAsia" w:eastAsiaTheme="minorEastAsia" w:cstheme="minorEastAsia"/>
                      <w:b w:val="0"/>
                      <w:bCs w:val="0"/>
                      <w:color w:val="auto"/>
                      <w:kern w:val="0"/>
                      <w:sz w:val="21"/>
                      <w:szCs w:val="21"/>
                      <w:highlight w:val="none"/>
                      <w:lang w:bidi="ar"/>
                    </w:rPr>
                  </w:pPr>
                  <w:r>
                    <w:rPr>
                      <w:rFonts w:hint="eastAsia" w:asciiTheme="minorEastAsia" w:hAnsiTheme="minorEastAsia" w:eastAsiaTheme="minorEastAsia" w:cstheme="minorEastAsia"/>
                      <w:b w:val="0"/>
                      <w:bCs w:val="0"/>
                      <w:color w:val="auto"/>
                      <w:sz w:val="21"/>
                      <w:szCs w:val="21"/>
                      <w:highlight w:val="none"/>
                    </w:rPr>
                    <w:t>11、背角码：选用厚度为3.0mm的不锈钢板经模具一次冲压成型，表面喷涂处理。</w:t>
                  </w:r>
                </w:p>
                <w:p>
                  <w:pPr>
                    <w:spacing w:before="48" w:beforeLines="20" w:line="264" w:lineRule="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（1）角码依据GB/T 10125-2021 《人造气氛腐蚀试验 盐雾试验》、</w:t>
                  </w:r>
                  <w:r>
                    <w:rPr>
                      <w:rFonts w:hint="eastAsia" w:asciiTheme="minorEastAsia" w:hAnsiTheme="minorEastAsia" w:eastAsiaTheme="minorEastAsia" w:cstheme="minorEastAsia"/>
                      <w:b w:val="0"/>
                      <w:bCs w:val="0"/>
                      <w:color w:val="auto"/>
                      <w:sz w:val="21"/>
                      <w:szCs w:val="21"/>
                      <w:highlight w:val="none"/>
                    </w:rPr>
                    <w:fldChar w:fldCharType="begin"/>
                  </w:r>
                  <w:r>
                    <w:rPr>
                      <w:rFonts w:hint="eastAsia" w:asciiTheme="minorEastAsia" w:hAnsiTheme="minorEastAsia" w:eastAsiaTheme="minorEastAsia" w:cstheme="minorEastAsia"/>
                      <w:b w:val="0"/>
                      <w:bCs w:val="0"/>
                      <w:color w:val="auto"/>
                      <w:sz w:val="21"/>
                      <w:szCs w:val="21"/>
                      <w:highlight w:val="none"/>
                    </w:rPr>
                    <w:instrText xml:space="preserve"> HYPERLINK "https://std.samr.gov.cn/gb/search/gbDetailed?id=71F772D79408D3A7E05397BE0A0AB82A" \t "https://std.samr.gov.cn/search/stdPage?q=GB/_blank" </w:instrText>
                  </w:r>
                  <w:r>
                    <w:rPr>
                      <w:rFonts w:hint="eastAsia" w:asciiTheme="minorEastAsia" w:hAnsiTheme="minorEastAsia" w:eastAsiaTheme="minorEastAsia" w:cstheme="minorEastAsia"/>
                      <w:b w:val="0"/>
                      <w:bCs w:val="0"/>
                      <w:color w:val="auto"/>
                      <w:sz w:val="21"/>
                      <w:szCs w:val="21"/>
                      <w:highlight w:val="none"/>
                    </w:rPr>
                    <w:fldChar w:fldCharType="separate"/>
                  </w:r>
                  <w:r>
                    <w:rPr>
                      <w:rFonts w:hint="eastAsia" w:asciiTheme="minorEastAsia" w:hAnsiTheme="minorEastAsia" w:eastAsiaTheme="minorEastAsia" w:cstheme="minorEastAsia"/>
                      <w:b w:val="0"/>
                      <w:bCs w:val="0"/>
                      <w:color w:val="auto"/>
                      <w:sz w:val="21"/>
                      <w:szCs w:val="21"/>
                      <w:highlight w:val="none"/>
                    </w:rPr>
                    <w:t>GB/T 6461-2002《金属基体上金属和其他无机覆盖层 经腐蚀试验后的试样和试件的评级》</w:t>
                  </w:r>
                  <w:r>
                    <w:rPr>
                      <w:rFonts w:hint="eastAsia" w:asciiTheme="minorEastAsia" w:hAnsiTheme="minorEastAsia" w:eastAsiaTheme="minorEastAsia" w:cstheme="minorEastAsia"/>
                      <w:b w:val="0"/>
                      <w:bCs w:val="0"/>
                      <w:color w:val="auto"/>
                      <w:sz w:val="21"/>
                      <w:szCs w:val="21"/>
                      <w:highlight w:val="none"/>
                    </w:rPr>
                    <w:fldChar w:fldCharType="end"/>
                  </w:r>
                  <w:r>
                    <w:rPr>
                      <w:rFonts w:hint="eastAsia" w:asciiTheme="minorEastAsia" w:hAnsiTheme="minorEastAsia" w:eastAsiaTheme="minorEastAsia" w:cstheme="minorEastAsia"/>
                      <w:b w:val="0"/>
                      <w:bCs w:val="0"/>
                      <w:color w:val="auto"/>
                      <w:sz w:val="21"/>
                      <w:szCs w:val="21"/>
                      <w:highlight w:val="none"/>
                    </w:rPr>
                    <w:t>标准，对样品进行不少于</w:t>
                  </w:r>
                  <w:r>
                    <w:rPr>
                      <w:rFonts w:hint="eastAsia" w:asciiTheme="minorEastAsia" w:hAnsiTheme="minorEastAsia" w:eastAsiaTheme="minorEastAsia" w:cstheme="minorEastAsia"/>
                      <w:b w:val="0"/>
                      <w:bCs w:val="0"/>
                      <w:color w:val="auto"/>
                      <w:sz w:val="21"/>
                      <w:szCs w:val="21"/>
                      <w:highlight w:val="none"/>
                      <w:lang w:val="en-US" w:eastAsia="zh-CN"/>
                    </w:rPr>
                    <w:t>120</w:t>
                  </w:r>
                  <w:r>
                    <w:rPr>
                      <w:rFonts w:hint="eastAsia" w:asciiTheme="minorEastAsia" w:hAnsiTheme="minorEastAsia" w:eastAsiaTheme="minorEastAsia" w:cstheme="minorEastAsia"/>
                      <w:b w:val="0"/>
                      <w:bCs w:val="0"/>
                      <w:color w:val="auto"/>
                      <w:sz w:val="21"/>
                      <w:szCs w:val="21"/>
                      <w:highlight w:val="none"/>
                    </w:rPr>
                    <w:t>h铜加速乙酸盐雾试验（CASS试验），试验后，根据</w:t>
                  </w:r>
                  <w:r>
                    <w:rPr>
                      <w:rFonts w:hint="eastAsia" w:asciiTheme="minorEastAsia" w:hAnsiTheme="minorEastAsia" w:eastAsiaTheme="minorEastAsia" w:cstheme="minorEastAsia"/>
                      <w:b w:val="0"/>
                      <w:bCs w:val="0"/>
                      <w:color w:val="auto"/>
                      <w:sz w:val="21"/>
                      <w:szCs w:val="21"/>
                      <w:highlight w:val="none"/>
                    </w:rPr>
                    <w:fldChar w:fldCharType="begin"/>
                  </w:r>
                  <w:r>
                    <w:rPr>
                      <w:rFonts w:hint="eastAsia" w:asciiTheme="minorEastAsia" w:hAnsiTheme="minorEastAsia" w:eastAsiaTheme="minorEastAsia" w:cstheme="minorEastAsia"/>
                      <w:b w:val="0"/>
                      <w:bCs w:val="0"/>
                      <w:color w:val="auto"/>
                      <w:sz w:val="21"/>
                      <w:szCs w:val="21"/>
                      <w:highlight w:val="none"/>
                    </w:rPr>
                    <w:instrText xml:space="preserve"> HYPERLINK "https://std.samr.gov.cn/gb/search/gbDetailed?id=71F772D79408D3A7E05397BE0A0AB82A" \t "https://std.samr.gov.cn/search/stdPage?q=GB/_blank" </w:instrText>
                  </w:r>
                  <w:r>
                    <w:rPr>
                      <w:rFonts w:hint="eastAsia" w:asciiTheme="minorEastAsia" w:hAnsiTheme="minorEastAsia" w:eastAsiaTheme="minorEastAsia" w:cstheme="minorEastAsia"/>
                      <w:b w:val="0"/>
                      <w:bCs w:val="0"/>
                      <w:color w:val="auto"/>
                      <w:sz w:val="21"/>
                      <w:szCs w:val="21"/>
                      <w:highlight w:val="none"/>
                    </w:rPr>
                    <w:fldChar w:fldCharType="separate"/>
                  </w:r>
                  <w:r>
                    <w:rPr>
                      <w:rFonts w:hint="eastAsia" w:asciiTheme="minorEastAsia" w:hAnsiTheme="minorEastAsia" w:eastAsiaTheme="minorEastAsia" w:cstheme="minorEastAsia"/>
                      <w:b w:val="0"/>
                      <w:bCs w:val="0"/>
                      <w:color w:val="auto"/>
                      <w:sz w:val="21"/>
                      <w:szCs w:val="21"/>
                      <w:highlight w:val="none"/>
                    </w:rPr>
                    <w:t>GB/T 6461-2002《金属基体上金属和其他无机覆盖层 经腐蚀试验后的试样和试件的评级》</w:t>
                  </w:r>
                  <w:r>
                    <w:rPr>
                      <w:rFonts w:hint="eastAsia" w:asciiTheme="minorEastAsia" w:hAnsiTheme="minorEastAsia" w:eastAsiaTheme="minorEastAsia" w:cstheme="minorEastAsia"/>
                      <w:b w:val="0"/>
                      <w:bCs w:val="0"/>
                      <w:color w:val="auto"/>
                      <w:sz w:val="21"/>
                      <w:szCs w:val="21"/>
                      <w:highlight w:val="none"/>
                    </w:rPr>
                    <w:fldChar w:fldCharType="end"/>
                  </w:r>
                  <w:r>
                    <w:rPr>
                      <w:rFonts w:hint="eastAsia" w:asciiTheme="minorEastAsia" w:hAnsiTheme="minorEastAsia" w:eastAsiaTheme="minorEastAsia" w:cstheme="minorEastAsia"/>
                      <w:b w:val="0"/>
                      <w:bCs w:val="0"/>
                      <w:color w:val="auto"/>
                      <w:sz w:val="21"/>
                      <w:szCs w:val="21"/>
                      <w:highlight w:val="none"/>
                    </w:rPr>
                    <w:t>进行性能RP/RA评级，结果达到8/8级或以上等级。</w:t>
                  </w:r>
                </w:p>
                <w:p>
                  <w:pPr>
                    <w:spacing w:before="48" w:beforeLines="20" w:line="264" w:lineRule="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（2）金属喷漆（塑）涂层理化性能符合GB/T 3325-2024《金属家具通用技术条件》标准。</w:t>
                  </w:r>
                </w:p>
                <w:p>
                  <w:pPr>
                    <w:spacing w:before="48" w:beforeLines="20" w:line="264" w:lineRule="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12、回复机构：椅座回弹采用阻尼棒无声回复结构，保证座板在打开及合上时无噪声。</w:t>
                  </w:r>
                </w:p>
                <w:p>
                  <w:pPr>
                    <w:snapToGrid w:val="0"/>
                    <w:spacing w:before="48" w:beforeLines="20" w:line="264" w:lineRule="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13、</w:t>
                  </w:r>
                  <w:r>
                    <w:rPr>
                      <w:rFonts w:hint="eastAsia" w:asciiTheme="minorEastAsia" w:hAnsiTheme="minorEastAsia" w:eastAsiaTheme="minorEastAsia" w:cstheme="minorEastAsia"/>
                      <w:b w:val="0"/>
                      <w:bCs w:val="0"/>
                      <w:color w:val="auto"/>
                      <w:kern w:val="0"/>
                      <w:sz w:val="21"/>
                      <w:szCs w:val="21"/>
                      <w:highlight w:val="none"/>
                      <w:lang w:bidi="ar"/>
                    </w:rPr>
                    <w:t>座椅</w:t>
                  </w:r>
                  <w:r>
                    <w:rPr>
                      <w:rFonts w:hint="eastAsia" w:asciiTheme="minorEastAsia" w:hAnsiTheme="minorEastAsia" w:eastAsiaTheme="minorEastAsia" w:cstheme="minorEastAsia"/>
                      <w:b w:val="0"/>
                      <w:bCs w:val="0"/>
                      <w:color w:val="auto"/>
                      <w:sz w:val="21"/>
                      <w:szCs w:val="21"/>
                      <w:highlight w:val="none"/>
                    </w:rPr>
                    <w:t>固定：采用优质自攻螺丝与内六角M6、M8电镀螺丝连接，表面电镀处理后，不带螺纹的部分表面喷涂处理。</w:t>
                  </w:r>
                </w:p>
                <w:p>
                  <w:pPr>
                    <w:snapToGrid w:val="0"/>
                    <w:spacing w:before="48" w:beforeLines="20" w:line="264" w:lineRule="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（1）表面耐腐蚀性能依据</w:t>
                  </w:r>
                  <w:bookmarkStart w:id="12" w:name="OLE_LINK156"/>
                  <w:r>
                    <w:rPr>
                      <w:rFonts w:hint="eastAsia" w:asciiTheme="minorEastAsia" w:hAnsiTheme="minorEastAsia" w:eastAsiaTheme="minorEastAsia" w:cstheme="minorEastAsia"/>
                      <w:b w:val="0"/>
                      <w:bCs w:val="0"/>
                      <w:color w:val="auto"/>
                      <w:sz w:val="21"/>
                      <w:szCs w:val="21"/>
                      <w:highlight w:val="none"/>
                    </w:rPr>
                    <w:t>QB/T 3826-1999《轻工产品金属镀层和化学处理层的耐腐蚀试验方法 中性盐雾试验(NSS)法》或QB/T 3827-1999《轻工产品金属镀层和化学处理层的耐腐蚀试验方法　乙酸盐雾试验（ASS）法》、QB/T 3832-1999《轻工产品金属镀层腐蚀试验结果的评价》</w:t>
                  </w:r>
                  <w:bookmarkEnd w:id="12"/>
                  <w:r>
                    <w:rPr>
                      <w:rFonts w:hint="eastAsia" w:asciiTheme="minorEastAsia" w:hAnsiTheme="minorEastAsia" w:eastAsiaTheme="minorEastAsia" w:cstheme="minorEastAsia"/>
                      <w:b w:val="0"/>
                      <w:bCs w:val="0"/>
                      <w:color w:val="auto"/>
                      <w:sz w:val="21"/>
                      <w:szCs w:val="21"/>
                      <w:highlight w:val="none"/>
                    </w:rPr>
                    <w:t>标准，</w:t>
                  </w:r>
                  <w:bookmarkStart w:id="13" w:name="OLE_LINK88"/>
                  <w:r>
                    <w:rPr>
                      <w:rFonts w:hint="eastAsia" w:asciiTheme="minorEastAsia" w:hAnsiTheme="minorEastAsia" w:eastAsiaTheme="minorEastAsia" w:cstheme="minorEastAsia"/>
                      <w:b w:val="0"/>
                      <w:bCs w:val="0"/>
                      <w:color w:val="auto"/>
                      <w:sz w:val="21"/>
                      <w:szCs w:val="21"/>
                      <w:highlight w:val="none"/>
                    </w:rPr>
                    <w:t>中性或酸性盐雾试验</w:t>
                  </w:r>
                  <w:bookmarkStart w:id="14" w:name="OLE_LINK89"/>
                  <w:r>
                    <w:rPr>
                      <w:rFonts w:hint="eastAsia" w:asciiTheme="minorEastAsia" w:hAnsiTheme="minorEastAsia" w:eastAsiaTheme="minorEastAsia" w:cstheme="minorEastAsia"/>
                      <w:b w:val="0"/>
                      <w:bCs w:val="0"/>
                      <w:color w:val="auto"/>
                      <w:sz w:val="21"/>
                      <w:szCs w:val="21"/>
                      <w:highlight w:val="none"/>
                      <w:lang w:val="en-US" w:eastAsia="zh-CN"/>
                    </w:rPr>
                    <w:t>120</w:t>
                  </w:r>
                  <w:r>
                    <w:rPr>
                      <w:rFonts w:hint="eastAsia" w:asciiTheme="minorEastAsia" w:hAnsiTheme="minorEastAsia" w:eastAsiaTheme="minorEastAsia" w:cstheme="minorEastAsia"/>
                      <w:b w:val="0"/>
                      <w:bCs w:val="0"/>
                      <w:color w:val="auto"/>
                      <w:sz w:val="21"/>
                      <w:szCs w:val="21"/>
                      <w:highlight w:val="none"/>
                    </w:rPr>
                    <w:t>h</w:t>
                  </w:r>
                  <w:bookmarkEnd w:id="13"/>
                  <w:bookmarkEnd w:id="14"/>
                  <w:r>
                    <w:rPr>
                      <w:rFonts w:hint="eastAsia" w:asciiTheme="minorEastAsia" w:hAnsiTheme="minorEastAsia" w:eastAsiaTheme="minorEastAsia" w:cstheme="minorEastAsia"/>
                      <w:b w:val="0"/>
                      <w:bCs w:val="0"/>
                      <w:color w:val="auto"/>
                      <w:sz w:val="21"/>
                      <w:szCs w:val="21"/>
                      <w:highlight w:val="none"/>
                    </w:rPr>
                    <w:t>后，涂（镀）层本身的耐腐蚀等级达到10级，涂（镀）层对基体的保护等级达到10级，所检项目符合相关规定。</w:t>
                  </w:r>
                </w:p>
                <w:p>
                  <w:pPr>
                    <w:snapToGrid w:val="0"/>
                    <w:spacing w:before="48" w:beforeLines="20" w:line="264" w:lineRule="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▲14、椅套（共配置2套，不同颜色，加印单位LOGO和名称信息等图案，颜色由采购人确定）。</w:t>
                  </w:r>
                </w:p>
                <w:p>
                  <w:pPr>
                    <w:snapToGrid w:val="0"/>
                    <w:spacing w:before="48" w:beforeLines="20" w:line="264" w:lineRule="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▲15、靠背外侧配置书网。</w:t>
                  </w:r>
                </w:p>
                <w:p>
                  <w:pPr>
                    <w:snapToGrid w:val="0"/>
                    <w:spacing w:before="48" w:beforeLines="20" w:line="264" w:lineRule="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16、脚架及其他钢制件表面采用粉末涂料高温喷涂，粉末涂料的外观、筛余物、胶化时间、流动性、密度、涂膜外观、附着力（干附着力、沸水附着力、湿附着力）、铅笔硬度（内聚破坏中擦伤）、耐冲击性、杯突试验、弯曲试验、光泽、耐磨性、耐酸性、耐碱性、耐沸水性、耐盐雾性（中性、酸性）、耐湿性等性能符合HG/T 2006-2022《热固性和热塑性粉末涂料》技术要求；重金属元素含量（铅、镉、六价铬、汞、砷、钡、硒、锑、钴）符合GB/T 35602-2017《绿色产品评价 涂料》标准。</w:t>
                  </w:r>
                </w:p>
                <w:p>
                  <w:pPr>
                    <w:numPr>
                      <w:ilvl w:val="0"/>
                      <w:numId w:val="0"/>
                    </w:numPr>
                    <w:snapToGrid w:val="0"/>
                    <w:spacing w:before="48" w:beforeLines="20" w:line="264" w:lineRule="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1"/>
                      <w:sz w:val="21"/>
                      <w:szCs w:val="21"/>
                      <w:highlight w:val="none"/>
                      <w:lang w:val="en-US" w:eastAsia="zh-CN" w:bidi="ar-SA"/>
                    </w:rPr>
                    <w:t>17、</w:t>
                  </w:r>
                  <w:r>
                    <w:rPr>
                      <w:rFonts w:hint="eastAsia" w:asciiTheme="minorEastAsia" w:hAnsiTheme="minorEastAsia" w:eastAsiaTheme="minorEastAsia" w:cstheme="minorEastAsia"/>
                      <w:b w:val="0"/>
                      <w:bCs w:val="0"/>
                      <w:color w:val="auto"/>
                      <w:sz w:val="21"/>
                      <w:szCs w:val="21"/>
                      <w:highlight w:val="none"/>
                    </w:rPr>
                    <w:t>招标技术参数中未注明的尺寸及质量要求符合QB/T 2602-2013《影剧院公共座椅》标准；金属喷漆（塑）涂层表面理化性能符合GB/T 3325-2024《金属家具通用技术条件》标准。</w:t>
                  </w:r>
                </w:p>
                <w:p>
                  <w:pPr>
                    <w:pStyle w:val="19"/>
                    <w:numPr>
                      <w:ilvl w:val="0"/>
                      <w:numId w:val="0"/>
                    </w:numPr>
                    <w:rPr>
                      <w:rFonts w:hint="eastAsia" w:asciiTheme="minorEastAsia" w:hAnsiTheme="minorEastAsia" w:eastAsiaTheme="minorEastAsia" w:cstheme="minorEastAsia"/>
                      <w:b w:val="0"/>
                      <w:bCs w:val="0"/>
                      <w:color w:val="auto"/>
                      <w:kern w:val="2"/>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18、</w:t>
                  </w:r>
                  <w:r>
                    <w:rPr>
                      <w:rFonts w:hint="eastAsia" w:asciiTheme="minorEastAsia" w:hAnsiTheme="minorEastAsia" w:eastAsiaTheme="minorEastAsia" w:cstheme="minorEastAsia"/>
                      <w:b w:val="0"/>
                      <w:bCs w:val="0"/>
                      <w:color w:val="auto"/>
                      <w:sz w:val="21"/>
                      <w:szCs w:val="21"/>
                      <w:highlight w:val="none"/>
                      <w:lang w:eastAsia="zh-CN"/>
                    </w:rPr>
                    <w:t>会议室现有旧礼堂椅348位，在安装新的礼堂椅之前，须先拆除旧的礼堂椅，并且运输到指定地点，</w:t>
                  </w:r>
                  <w:r>
                    <w:rPr>
                      <w:rFonts w:hint="eastAsia" w:asciiTheme="minorEastAsia" w:hAnsiTheme="minorEastAsia" w:eastAsiaTheme="minorEastAsia" w:cstheme="minorEastAsia"/>
                      <w:b w:val="0"/>
                      <w:bCs w:val="0"/>
                      <w:color w:val="auto"/>
                      <w:sz w:val="21"/>
                      <w:szCs w:val="21"/>
                      <w:highlight w:val="none"/>
                      <w:lang w:val="en-US" w:eastAsia="zh-CN"/>
                    </w:rPr>
                    <w:t>投标人应充分考虑此费用。</w:t>
                  </w:r>
                </w:p>
                <w:p>
                  <w:pPr>
                    <w:widowControl/>
                    <w:spacing w:before="48" w:beforeLines="20"/>
                    <w:rPr>
                      <w:rFonts w:hint="eastAsia" w:asciiTheme="minorEastAsia" w:hAnsiTheme="minorEastAsia" w:eastAsiaTheme="minorEastAsia" w:cstheme="minorEastAsia"/>
                      <w:b w:val="0"/>
                      <w:bCs w:val="0"/>
                      <w:color w:val="auto"/>
                      <w:kern w:val="2"/>
                      <w:sz w:val="21"/>
                      <w:szCs w:val="21"/>
                      <w:highlight w:val="none"/>
                    </w:rPr>
                  </w:pPr>
                  <w:r>
                    <w:rPr>
                      <w:rFonts w:hint="eastAsia" w:asciiTheme="minorEastAsia" w:hAnsiTheme="minorEastAsia" w:eastAsiaTheme="minorEastAsia" w:cstheme="minorEastAsia"/>
                      <w:b w:val="0"/>
                      <w:bCs w:val="0"/>
                      <w:color w:val="auto"/>
                      <w:kern w:val="2"/>
                      <w:sz w:val="21"/>
                      <w:szCs w:val="21"/>
                      <w:highlight w:val="none"/>
                    </w:rPr>
                    <w:t>1、地毯整体为绒面材质，厚度15MM，表面材质为涤纶面料，断裂强度为 3.5 - 6.5cN/dtex，接近羊毛的 2 - 3 倍，且伸长率适中，在 20%-50%之间，拉伸回弹性优良，织物不易起皱变形；具有优良的热稳定性，对日光中的紫外线有较好抵抗性，在光照 1000 小时后，强度保留率仍超 60%；污渍不易渗透纤维内部，日常清洁时污渍易从表面去除。</w:t>
                  </w:r>
                </w:p>
                <w:p>
                  <w:pPr>
                    <w:widowControl/>
                    <w:spacing w:before="48" w:beforeLines="20"/>
                    <w:rPr>
                      <w:rFonts w:hint="eastAsia" w:asciiTheme="minorEastAsia" w:hAnsiTheme="minorEastAsia" w:eastAsiaTheme="minorEastAsia" w:cstheme="minorEastAsia"/>
                      <w:b w:val="0"/>
                      <w:bCs w:val="0"/>
                      <w:color w:val="auto"/>
                      <w:kern w:val="2"/>
                      <w:sz w:val="21"/>
                      <w:szCs w:val="21"/>
                      <w:highlight w:val="none"/>
                    </w:rPr>
                  </w:pPr>
                  <w:r>
                    <w:rPr>
                      <w:rFonts w:hint="eastAsia" w:asciiTheme="minorEastAsia" w:hAnsiTheme="minorEastAsia" w:eastAsiaTheme="minorEastAsia" w:cstheme="minorEastAsia"/>
                      <w:b w:val="0"/>
                      <w:bCs w:val="0"/>
                      <w:color w:val="auto"/>
                      <w:kern w:val="2"/>
                      <w:sz w:val="21"/>
                      <w:szCs w:val="21"/>
                      <w:highlight w:val="none"/>
                    </w:rPr>
                    <w:t>2、地毯工艺加捻双核股弯头纱精纺编织技术，加捻后纱线的强力提升 20%-30%，耐磨性提高 15%-25%，同时形成独特的螺旋结构，赋予纱线一定的弹性回复能力，使地毯在长期踩踏后能快速恢复原状 。两根纱线并行加捻形成双核股，这种结构增大了纱线的直径和蓬松度，使地毯绒面更加厚实饱满。同时，两根纱线相互支撑，提升了纱线整体的稳定性，减少绒毛脱落现象，延长地毯使用寿命。</w:t>
                  </w:r>
                </w:p>
                <w:p>
                  <w:pPr>
                    <w:widowControl/>
                    <w:spacing w:before="48" w:beforeLines="20"/>
                    <w:rPr>
                      <w:rFonts w:hint="eastAsia" w:asciiTheme="minorEastAsia" w:hAnsiTheme="minorEastAsia" w:eastAsiaTheme="minorEastAsia" w:cstheme="minorEastAsia"/>
                      <w:b w:val="0"/>
                      <w:bCs w:val="0"/>
                      <w:color w:val="auto"/>
                      <w:kern w:val="2"/>
                      <w:sz w:val="21"/>
                      <w:szCs w:val="21"/>
                      <w:highlight w:val="none"/>
                    </w:rPr>
                  </w:pPr>
                  <w:r>
                    <w:rPr>
                      <w:rFonts w:hint="eastAsia" w:asciiTheme="minorEastAsia" w:hAnsiTheme="minorEastAsia" w:eastAsiaTheme="minorEastAsia" w:cstheme="minorEastAsia"/>
                      <w:b w:val="0"/>
                      <w:bCs w:val="0"/>
                      <w:color w:val="auto"/>
                      <w:kern w:val="2"/>
                      <w:sz w:val="21"/>
                      <w:szCs w:val="21"/>
                      <w:highlight w:val="none"/>
                    </w:rPr>
                    <w:t>3、地毯底部是无纺布软底：质地柔软能紧密贴合地面，具有良好的吸音性能，其表面与地面之间的摩擦力较大，能有效防止地毯滑动，保障使用安全，同时避免因频繁滑动对地毯造成的磨损。具备透气性，可减少地毯底部因潮湿导致的发霉问题。 采用环保型原材料和加工工艺，无甲醛等有害气体释放；具有较好的耐老化性能，正常使用情况下，底材可保持 5 - 8年不发生明显的脆化、断裂现象 。</w:t>
                  </w:r>
                </w:p>
                <w:p>
                  <w:pPr>
                    <w:widowControl/>
                    <w:spacing w:before="48" w:beforeLines="20"/>
                    <w:rPr>
                      <w:rFonts w:hint="eastAsia" w:asciiTheme="minorEastAsia" w:hAnsiTheme="minorEastAsia" w:eastAsiaTheme="minorEastAsia" w:cstheme="minorEastAsia"/>
                      <w:b w:val="0"/>
                      <w:bCs w:val="0"/>
                      <w:color w:val="auto"/>
                      <w:kern w:val="2"/>
                      <w:sz w:val="21"/>
                      <w:szCs w:val="21"/>
                      <w:highlight w:val="none"/>
                    </w:rPr>
                  </w:pPr>
                  <w:r>
                    <w:rPr>
                      <w:rFonts w:hint="eastAsia" w:asciiTheme="minorEastAsia" w:hAnsiTheme="minorEastAsia" w:eastAsiaTheme="minorEastAsia" w:cstheme="minorEastAsia"/>
                      <w:b w:val="0"/>
                      <w:bCs w:val="0"/>
                      <w:color w:val="auto"/>
                      <w:kern w:val="2"/>
                      <w:sz w:val="21"/>
                      <w:szCs w:val="21"/>
                      <w:highlight w:val="none"/>
                    </w:rPr>
                    <w:t>1、规格：长1730㎜*宽400㎜*高810㎜；</w:t>
                  </w:r>
                </w:p>
                <w:p>
                  <w:pPr>
                    <w:widowControl/>
                    <w:spacing w:before="48" w:beforeLines="20"/>
                    <w:rPr>
                      <w:rFonts w:hint="eastAsia" w:asciiTheme="minorEastAsia" w:hAnsiTheme="minorEastAsia" w:eastAsiaTheme="minorEastAsia" w:cstheme="minorEastAsia"/>
                      <w:b w:val="0"/>
                      <w:bCs w:val="0"/>
                      <w:color w:val="auto"/>
                      <w:kern w:val="2"/>
                      <w:sz w:val="21"/>
                      <w:szCs w:val="21"/>
                      <w:highlight w:val="none"/>
                    </w:rPr>
                  </w:pPr>
                  <w:r>
                    <w:rPr>
                      <w:rFonts w:hint="eastAsia" w:asciiTheme="minorEastAsia" w:hAnsiTheme="minorEastAsia" w:eastAsiaTheme="minorEastAsia" w:cstheme="minorEastAsia"/>
                      <w:b w:val="0"/>
                      <w:bCs w:val="0"/>
                      <w:color w:val="auto"/>
                      <w:kern w:val="2"/>
                      <w:sz w:val="21"/>
                      <w:szCs w:val="21"/>
                      <w:highlight w:val="none"/>
                    </w:rPr>
                    <w:t>2、板材要求：桌面厚度≥25㎜，其余未注明的板材厚度均≥18㎜，前挡板距地面的高度≤150㎜。</w:t>
                  </w:r>
                </w:p>
                <w:p>
                  <w:pPr>
                    <w:widowControl/>
                    <w:spacing w:before="48" w:beforeLines="20"/>
                    <w:rPr>
                      <w:rFonts w:hint="eastAsia" w:asciiTheme="minorEastAsia" w:hAnsiTheme="minorEastAsia" w:eastAsiaTheme="minorEastAsia" w:cstheme="minorEastAsia"/>
                      <w:b w:val="0"/>
                      <w:bCs w:val="0"/>
                      <w:color w:val="auto"/>
                      <w:kern w:val="2"/>
                      <w:sz w:val="21"/>
                      <w:szCs w:val="21"/>
                      <w:highlight w:val="none"/>
                    </w:rPr>
                  </w:pPr>
                  <w:r>
                    <w:rPr>
                      <w:rFonts w:hint="eastAsia" w:asciiTheme="minorEastAsia" w:hAnsiTheme="minorEastAsia" w:eastAsiaTheme="minorEastAsia" w:cstheme="minorEastAsia"/>
                      <w:b w:val="0"/>
                      <w:bCs w:val="0"/>
                      <w:color w:val="auto"/>
                      <w:kern w:val="2"/>
                      <w:sz w:val="21"/>
                      <w:szCs w:val="21"/>
                      <w:highlight w:val="none"/>
                    </w:rPr>
                    <w:t>▲3、</w:t>
                  </w:r>
                  <w:bookmarkStart w:id="15" w:name="OLE_LINK55"/>
                  <w:r>
                    <w:rPr>
                      <w:rFonts w:hint="eastAsia" w:asciiTheme="minorEastAsia" w:hAnsiTheme="minorEastAsia" w:eastAsiaTheme="minorEastAsia" w:cstheme="minorEastAsia"/>
                      <w:b w:val="0"/>
                      <w:bCs w:val="0"/>
                      <w:color w:val="auto"/>
                      <w:kern w:val="2"/>
                      <w:sz w:val="21"/>
                      <w:szCs w:val="21"/>
                      <w:highlight w:val="none"/>
                      <w:lang w:val="en-US" w:eastAsia="zh-CN"/>
                    </w:rPr>
                    <w:t>基材：采用环保等级不低于E0级的中密度纤维板，尺寸、物理力学性能及其他性能符合GB/T 11718-2021《中密度纤维板》标准；</w:t>
                  </w:r>
                  <w:r>
                    <w:rPr>
                      <w:rFonts w:hint="eastAsia" w:asciiTheme="minorEastAsia" w:hAnsiTheme="minorEastAsia" w:eastAsiaTheme="minorEastAsia" w:cstheme="minorEastAsia"/>
                      <w:b w:val="0"/>
                      <w:bCs w:val="0"/>
                      <w:color w:val="auto"/>
                      <w:kern w:val="2"/>
                      <w:sz w:val="21"/>
                      <w:szCs w:val="21"/>
                      <w:highlight w:val="none"/>
                      <w:lang w:val="en" w:eastAsia="zh-CN"/>
                    </w:rPr>
                    <w:t>苯、甲苯、二甲苯、总挥发性有机化合物（TVOC）等有害物质含量符合GB/T 35601-2017《绿色产品评价　人造板和木质地板》标准；甲醛释放量依据GB/T 39600-2021《人造板及其制品甲醛释放量分级》标测达E0级或以上等级；防霉性能符合LY/T 2230-2013《人造板防霉性能评价》标准</w:t>
                  </w:r>
                  <w:bookmarkEnd w:id="15"/>
                  <w:r>
                    <w:rPr>
                      <w:rFonts w:hint="eastAsia" w:asciiTheme="minorEastAsia" w:hAnsiTheme="minorEastAsia" w:eastAsiaTheme="minorEastAsia" w:cstheme="minorEastAsia"/>
                      <w:b w:val="0"/>
                      <w:bCs w:val="0"/>
                      <w:color w:val="auto"/>
                      <w:kern w:val="2"/>
                      <w:sz w:val="21"/>
                      <w:szCs w:val="21"/>
                      <w:highlight w:val="none"/>
                    </w:rPr>
                    <w:t>。</w:t>
                  </w:r>
                </w:p>
                <w:p>
                  <w:pPr>
                    <w:widowControl/>
                    <w:spacing w:before="48" w:beforeLines="20"/>
                    <w:rPr>
                      <w:rFonts w:hint="eastAsia" w:asciiTheme="minorEastAsia" w:hAnsiTheme="minorEastAsia" w:eastAsiaTheme="minorEastAsia" w:cstheme="minorEastAsia"/>
                      <w:b w:val="0"/>
                      <w:bCs w:val="0"/>
                      <w:color w:val="auto"/>
                      <w:kern w:val="2"/>
                      <w:sz w:val="21"/>
                      <w:szCs w:val="21"/>
                      <w:highlight w:val="none"/>
                    </w:rPr>
                  </w:pPr>
                  <w:r>
                    <w:rPr>
                      <w:rFonts w:hint="eastAsia" w:asciiTheme="minorEastAsia" w:hAnsiTheme="minorEastAsia" w:eastAsiaTheme="minorEastAsia" w:cstheme="minorEastAsia"/>
                      <w:b w:val="0"/>
                      <w:bCs w:val="0"/>
                      <w:color w:val="auto"/>
                      <w:kern w:val="2"/>
                      <w:sz w:val="21"/>
                      <w:szCs w:val="21"/>
                      <w:highlight w:val="none"/>
                    </w:rPr>
                    <w:t>4、基材表面贴木皮，</w:t>
                  </w:r>
                  <w:bookmarkStart w:id="16" w:name="OLE_LINK113"/>
                  <w:r>
                    <w:rPr>
                      <w:rFonts w:hint="eastAsia" w:asciiTheme="minorEastAsia" w:hAnsiTheme="minorEastAsia" w:eastAsiaTheme="minorEastAsia" w:cstheme="minorEastAsia"/>
                      <w:b w:val="0"/>
                      <w:bCs w:val="0"/>
                      <w:color w:val="auto"/>
                      <w:kern w:val="2"/>
                      <w:sz w:val="21"/>
                      <w:szCs w:val="21"/>
                      <w:highlight w:val="none"/>
                      <w:lang w:val="en-US" w:eastAsia="zh-CN"/>
                    </w:rPr>
                    <w:t>采用优质实木皮饰面，厚度≥0.8㎜，纹理自然清晰，甲醛释放量依据GB/T 39600-2021《人造板及其制品甲醛释放量分级》标准达到E0级或以上等级，外观符合GB/T 3324-2017或</w:t>
                  </w:r>
                  <w:r>
                    <w:rPr>
                      <w:rFonts w:hint="eastAsia" w:asciiTheme="minorEastAsia" w:hAnsiTheme="minorEastAsia" w:eastAsiaTheme="minorEastAsia" w:cstheme="minorEastAsia"/>
                      <w:b w:val="0"/>
                      <w:bCs w:val="0"/>
                      <w:color w:val="auto"/>
                      <w:kern w:val="2"/>
                      <w:sz w:val="21"/>
                      <w:szCs w:val="21"/>
                      <w:highlight w:val="none"/>
                      <w:lang w:val="en-US" w:eastAsia="zh-CN"/>
                    </w:rPr>
                    <w:fldChar w:fldCharType="begin"/>
                  </w:r>
                  <w:r>
                    <w:rPr>
                      <w:rFonts w:hint="eastAsia" w:asciiTheme="minorEastAsia" w:hAnsiTheme="minorEastAsia" w:eastAsiaTheme="minorEastAsia" w:cstheme="minorEastAsia"/>
                      <w:b w:val="0"/>
                      <w:bCs w:val="0"/>
                      <w:color w:val="auto"/>
                      <w:kern w:val="2"/>
                      <w:sz w:val="21"/>
                      <w:szCs w:val="21"/>
                      <w:highlight w:val="none"/>
                      <w:lang w:val="en-US" w:eastAsia="zh-CN"/>
                    </w:rPr>
                    <w:instrText xml:space="preserve"> HYPERLINK "https://std.samr.gov.cn/gb/search/gbDetailed?id=25940C3CEF158A9AE06397BE0A0A525A" \t "https://std.samr.gov.cn/search/stdPage?q=GB/_blank" </w:instrText>
                  </w:r>
                  <w:r>
                    <w:rPr>
                      <w:rFonts w:hint="eastAsia" w:asciiTheme="minorEastAsia" w:hAnsiTheme="minorEastAsia" w:eastAsiaTheme="minorEastAsia" w:cstheme="minorEastAsia"/>
                      <w:b w:val="0"/>
                      <w:bCs w:val="0"/>
                      <w:color w:val="auto"/>
                      <w:kern w:val="2"/>
                      <w:sz w:val="21"/>
                      <w:szCs w:val="21"/>
                      <w:highlight w:val="none"/>
                      <w:lang w:val="en-US" w:eastAsia="zh-CN"/>
                    </w:rPr>
                    <w:fldChar w:fldCharType="separate"/>
                  </w:r>
                  <w:r>
                    <w:rPr>
                      <w:rFonts w:hint="eastAsia" w:asciiTheme="minorEastAsia" w:hAnsiTheme="minorEastAsia" w:eastAsiaTheme="minorEastAsia" w:cstheme="minorEastAsia"/>
                      <w:b w:val="0"/>
                      <w:bCs w:val="0"/>
                      <w:color w:val="auto"/>
                      <w:kern w:val="2"/>
                      <w:sz w:val="21"/>
                      <w:szCs w:val="21"/>
                      <w:highlight w:val="none"/>
                      <w:lang w:val="en-US" w:eastAsia="zh-CN"/>
                    </w:rPr>
                    <w:t>GB/T 3324-2024《木家具通用技术条件》</w:t>
                  </w:r>
                  <w:r>
                    <w:rPr>
                      <w:rFonts w:hint="eastAsia" w:asciiTheme="minorEastAsia" w:hAnsiTheme="minorEastAsia" w:eastAsiaTheme="minorEastAsia" w:cstheme="minorEastAsia"/>
                      <w:b w:val="0"/>
                      <w:bCs w:val="0"/>
                      <w:color w:val="auto"/>
                      <w:kern w:val="2"/>
                      <w:sz w:val="21"/>
                      <w:szCs w:val="21"/>
                      <w:highlight w:val="none"/>
                      <w:lang w:val="en-US" w:eastAsia="zh-CN"/>
                    </w:rPr>
                    <w:fldChar w:fldCharType="end"/>
                  </w:r>
                  <w:r>
                    <w:rPr>
                      <w:rFonts w:hint="eastAsia" w:asciiTheme="minorEastAsia" w:hAnsiTheme="minorEastAsia" w:eastAsiaTheme="minorEastAsia" w:cstheme="minorEastAsia"/>
                      <w:b w:val="0"/>
                      <w:bCs w:val="0"/>
                      <w:color w:val="auto"/>
                      <w:kern w:val="2"/>
                      <w:sz w:val="21"/>
                      <w:szCs w:val="21"/>
                      <w:highlight w:val="none"/>
                      <w:lang w:val="en-US" w:eastAsia="zh-CN"/>
                    </w:rPr>
                    <w:t>标准</w:t>
                  </w:r>
                  <w:bookmarkEnd w:id="16"/>
                  <w:r>
                    <w:rPr>
                      <w:rFonts w:hint="eastAsia" w:asciiTheme="minorEastAsia" w:hAnsiTheme="minorEastAsia" w:eastAsiaTheme="minorEastAsia" w:cstheme="minorEastAsia"/>
                      <w:b w:val="0"/>
                      <w:bCs w:val="0"/>
                      <w:color w:val="auto"/>
                      <w:kern w:val="2"/>
                      <w:sz w:val="21"/>
                      <w:szCs w:val="21"/>
                      <w:highlight w:val="none"/>
                    </w:rPr>
                    <w:t>。</w:t>
                  </w:r>
                </w:p>
                <w:p>
                  <w:pPr>
                    <w:widowControl/>
                    <w:spacing w:before="48" w:beforeLines="20"/>
                    <w:rPr>
                      <w:rFonts w:hint="eastAsia" w:asciiTheme="minorEastAsia" w:hAnsiTheme="minorEastAsia" w:eastAsiaTheme="minorEastAsia" w:cstheme="minorEastAsia"/>
                      <w:b w:val="0"/>
                      <w:bCs w:val="0"/>
                      <w:color w:val="auto"/>
                      <w:kern w:val="2"/>
                      <w:sz w:val="21"/>
                      <w:szCs w:val="21"/>
                      <w:highlight w:val="none"/>
                    </w:rPr>
                  </w:pPr>
                  <w:r>
                    <w:rPr>
                      <w:rFonts w:hint="eastAsia" w:asciiTheme="minorEastAsia" w:hAnsiTheme="minorEastAsia" w:eastAsiaTheme="minorEastAsia" w:cstheme="minorEastAsia"/>
                      <w:b w:val="0"/>
                      <w:bCs w:val="0"/>
                      <w:color w:val="auto"/>
                      <w:kern w:val="2"/>
                      <w:sz w:val="21"/>
                      <w:szCs w:val="21"/>
                      <w:highlight w:val="none"/>
                    </w:rPr>
                    <w:t>▲5、封边：采用5mm厚胡桃木实木封边，封边颜色一致，纹理自然清晰，无明显节眼、黑斑、破损等。同时，木材必须经过高温经烘干、除虫等处理保证木材含水率≤14%。</w:t>
                  </w:r>
                </w:p>
                <w:p>
                  <w:pPr>
                    <w:widowControl/>
                    <w:spacing w:before="48" w:beforeLines="20"/>
                    <w:rPr>
                      <w:rFonts w:hint="eastAsia" w:asciiTheme="minorEastAsia" w:hAnsiTheme="minorEastAsia" w:eastAsiaTheme="minorEastAsia" w:cstheme="minorEastAsia"/>
                      <w:b w:val="0"/>
                      <w:bCs w:val="0"/>
                      <w:color w:val="auto"/>
                      <w:kern w:val="2"/>
                      <w:sz w:val="21"/>
                      <w:szCs w:val="21"/>
                      <w:highlight w:val="none"/>
                    </w:rPr>
                  </w:pPr>
                  <w:bookmarkStart w:id="17" w:name="OLE_LINK11"/>
                  <w:r>
                    <w:rPr>
                      <w:rFonts w:hint="eastAsia" w:asciiTheme="minorEastAsia" w:hAnsiTheme="minorEastAsia" w:eastAsiaTheme="minorEastAsia" w:cstheme="minorEastAsia"/>
                      <w:b w:val="0"/>
                      <w:bCs w:val="0"/>
                      <w:color w:val="auto"/>
                      <w:kern w:val="2"/>
                      <w:sz w:val="21"/>
                      <w:szCs w:val="21"/>
                      <w:highlight w:val="none"/>
                    </w:rPr>
                    <w:t>6、油漆：表面喷涂油漆，采用环保型聚氨酯漆，保证所有木制外露部分油漆喷涂完整，防止回潮，表面过烤漆工艺处理，外表美观、耐磨。油漆性符合GB 18581-2020《木器涂料中有害物质限量》及GB/T 23997-2009《室内装饰装修用溶剂型聚氨酯木器涂料》标准。</w:t>
                  </w:r>
                </w:p>
                <w:bookmarkEnd w:id="17"/>
                <w:p>
                  <w:pPr>
                    <w:widowControl/>
                    <w:spacing w:before="48" w:beforeLines="20" w:line="288" w:lineRule="auto"/>
                    <w:jc w:val="left"/>
                    <w:rPr>
                      <w:rFonts w:hint="eastAsia" w:asciiTheme="minorEastAsia" w:hAnsiTheme="minorEastAsia" w:eastAsiaTheme="minorEastAsia" w:cstheme="minorEastAsia"/>
                      <w:b w:val="0"/>
                      <w:bCs w:val="0"/>
                      <w:color w:val="auto"/>
                      <w:kern w:val="2"/>
                      <w:sz w:val="21"/>
                      <w:szCs w:val="21"/>
                      <w:highlight w:val="none"/>
                    </w:rPr>
                  </w:pPr>
                  <w:r>
                    <w:rPr>
                      <w:rFonts w:hint="eastAsia" w:asciiTheme="minorEastAsia" w:hAnsiTheme="minorEastAsia" w:eastAsiaTheme="minorEastAsia" w:cstheme="minorEastAsia"/>
                      <w:b w:val="0"/>
                      <w:bCs w:val="0"/>
                      <w:color w:val="auto"/>
                      <w:kern w:val="2"/>
                      <w:sz w:val="21"/>
                      <w:szCs w:val="21"/>
                      <w:highlight w:val="none"/>
                    </w:rPr>
                    <w:t>7、</w:t>
                  </w:r>
                  <w:r>
                    <w:rPr>
                      <w:rFonts w:hint="eastAsia" w:asciiTheme="minorEastAsia" w:hAnsiTheme="minorEastAsia" w:eastAsiaTheme="minorEastAsia" w:cstheme="minorEastAsia"/>
                      <w:b w:val="0"/>
                      <w:bCs w:val="0"/>
                      <w:color w:val="auto"/>
                      <w:kern w:val="2"/>
                      <w:sz w:val="21"/>
                      <w:szCs w:val="21"/>
                      <w:highlight w:val="none"/>
                      <w:lang w:eastAsia="zh-CN"/>
                    </w:rPr>
                    <w:t>连接件：采用优质三合一连接件，性能符合GB/T 28203-2011《家具用连接件技术要求及试验方法》标准</w:t>
                  </w:r>
                  <w:r>
                    <w:rPr>
                      <w:rFonts w:hint="eastAsia" w:asciiTheme="minorEastAsia" w:hAnsiTheme="minorEastAsia" w:eastAsiaTheme="minorEastAsia" w:cstheme="minorEastAsia"/>
                      <w:b w:val="0"/>
                      <w:bCs w:val="0"/>
                      <w:color w:val="auto"/>
                      <w:kern w:val="2"/>
                      <w:sz w:val="21"/>
                      <w:szCs w:val="21"/>
                      <w:highlight w:val="none"/>
                    </w:rPr>
                    <w:t>。</w:t>
                  </w:r>
                </w:p>
                <w:p>
                  <w:pPr>
                    <w:widowControl/>
                    <w:spacing w:before="48" w:beforeLines="20"/>
                    <w:rPr>
                      <w:rFonts w:hint="eastAsia" w:asciiTheme="minorEastAsia" w:hAnsiTheme="minorEastAsia" w:eastAsiaTheme="minorEastAsia" w:cstheme="minorEastAsia"/>
                      <w:b w:val="0"/>
                      <w:bCs w:val="0"/>
                      <w:color w:val="auto"/>
                      <w:kern w:val="2"/>
                      <w:sz w:val="21"/>
                      <w:szCs w:val="21"/>
                      <w:highlight w:val="none"/>
                    </w:rPr>
                  </w:pPr>
                  <w:r>
                    <w:rPr>
                      <w:rFonts w:hint="eastAsia" w:asciiTheme="minorEastAsia" w:hAnsiTheme="minorEastAsia" w:eastAsiaTheme="minorEastAsia" w:cstheme="minorEastAsia"/>
                      <w:b w:val="0"/>
                      <w:bCs w:val="0"/>
                      <w:color w:val="auto"/>
                      <w:kern w:val="2"/>
                      <w:sz w:val="21"/>
                      <w:szCs w:val="21"/>
                      <w:highlight w:val="none"/>
                    </w:rPr>
                    <w:t>1、规格：长1790㎜*宽400㎜*高810㎜；</w:t>
                  </w:r>
                </w:p>
                <w:p>
                  <w:pPr>
                    <w:widowControl/>
                    <w:spacing w:before="48" w:beforeLines="20"/>
                    <w:rPr>
                      <w:rFonts w:hint="eastAsia" w:asciiTheme="minorEastAsia" w:hAnsiTheme="minorEastAsia" w:eastAsiaTheme="minorEastAsia" w:cstheme="minorEastAsia"/>
                      <w:b w:val="0"/>
                      <w:bCs w:val="0"/>
                      <w:color w:val="auto"/>
                      <w:kern w:val="2"/>
                      <w:sz w:val="21"/>
                      <w:szCs w:val="21"/>
                      <w:highlight w:val="none"/>
                    </w:rPr>
                  </w:pPr>
                  <w:r>
                    <w:rPr>
                      <w:rFonts w:hint="eastAsia" w:asciiTheme="minorEastAsia" w:hAnsiTheme="minorEastAsia" w:eastAsiaTheme="minorEastAsia" w:cstheme="minorEastAsia"/>
                      <w:b w:val="0"/>
                      <w:bCs w:val="0"/>
                      <w:color w:val="auto"/>
                      <w:kern w:val="2"/>
                      <w:sz w:val="21"/>
                      <w:szCs w:val="21"/>
                      <w:highlight w:val="none"/>
                    </w:rPr>
                    <w:t>2、板材要求：桌面厚度≥25㎜，其余未注明的板材厚度均≥18㎜，前挡板距地面的高度≤150㎜。</w:t>
                  </w:r>
                </w:p>
                <w:p>
                  <w:pPr>
                    <w:widowControl/>
                    <w:spacing w:before="48" w:beforeLines="20"/>
                    <w:rPr>
                      <w:rFonts w:hint="eastAsia" w:asciiTheme="minorEastAsia" w:hAnsiTheme="minorEastAsia" w:eastAsiaTheme="minorEastAsia" w:cstheme="minorEastAsia"/>
                      <w:b w:val="0"/>
                      <w:bCs w:val="0"/>
                      <w:color w:val="auto"/>
                      <w:kern w:val="2"/>
                      <w:sz w:val="21"/>
                      <w:szCs w:val="21"/>
                      <w:highlight w:val="none"/>
                    </w:rPr>
                  </w:pPr>
                  <w:r>
                    <w:rPr>
                      <w:rFonts w:hint="eastAsia" w:asciiTheme="minorEastAsia" w:hAnsiTheme="minorEastAsia" w:eastAsiaTheme="minorEastAsia" w:cstheme="minorEastAsia"/>
                      <w:b w:val="0"/>
                      <w:bCs w:val="0"/>
                      <w:color w:val="auto"/>
                      <w:kern w:val="2"/>
                      <w:sz w:val="21"/>
                      <w:szCs w:val="21"/>
                      <w:highlight w:val="none"/>
                    </w:rPr>
                    <w:t>▲3、</w:t>
                  </w:r>
                  <w:r>
                    <w:rPr>
                      <w:rFonts w:hint="eastAsia" w:asciiTheme="minorEastAsia" w:hAnsiTheme="minorEastAsia" w:eastAsiaTheme="minorEastAsia" w:cstheme="minorEastAsia"/>
                      <w:b w:val="0"/>
                      <w:bCs w:val="0"/>
                      <w:color w:val="auto"/>
                      <w:kern w:val="2"/>
                      <w:sz w:val="21"/>
                      <w:szCs w:val="21"/>
                      <w:highlight w:val="none"/>
                      <w:lang w:val="en-US" w:eastAsia="zh-CN"/>
                    </w:rPr>
                    <w:t>基材：采用环保等级不低于E0级的中密度纤维板，尺寸、物理力学性能及其他性能符合GB/T 11718-2021《中密度纤维板》标准；</w:t>
                  </w:r>
                  <w:r>
                    <w:rPr>
                      <w:rFonts w:hint="eastAsia" w:asciiTheme="minorEastAsia" w:hAnsiTheme="minorEastAsia" w:eastAsiaTheme="minorEastAsia" w:cstheme="minorEastAsia"/>
                      <w:b w:val="0"/>
                      <w:bCs w:val="0"/>
                      <w:color w:val="auto"/>
                      <w:kern w:val="2"/>
                      <w:sz w:val="21"/>
                      <w:szCs w:val="21"/>
                      <w:highlight w:val="none"/>
                      <w:lang w:val="en" w:eastAsia="zh-CN"/>
                    </w:rPr>
                    <w:t>苯、甲苯、二甲苯、总挥发性有机化合物（TVOC）等有害物质含量符合GB/T 35601-2017《绿色产品评价　人造板和木质地板》标准；甲醛释放量依据GB/T 39600-2021《人造板及其制品甲醛释放量分级》标测达E0级或以上等级；防霉性能符合LY/T 2230-2013《人造板防霉性能评价》标准</w:t>
                  </w:r>
                  <w:r>
                    <w:rPr>
                      <w:rFonts w:hint="eastAsia" w:asciiTheme="minorEastAsia" w:hAnsiTheme="minorEastAsia" w:eastAsiaTheme="minorEastAsia" w:cstheme="minorEastAsia"/>
                      <w:b w:val="0"/>
                      <w:bCs w:val="0"/>
                      <w:color w:val="auto"/>
                      <w:kern w:val="2"/>
                      <w:sz w:val="21"/>
                      <w:szCs w:val="21"/>
                      <w:highlight w:val="none"/>
                    </w:rPr>
                    <w:t>。</w:t>
                  </w:r>
                </w:p>
                <w:p>
                  <w:pPr>
                    <w:widowControl/>
                    <w:spacing w:before="48" w:beforeLines="20"/>
                    <w:rPr>
                      <w:rFonts w:hint="eastAsia" w:asciiTheme="minorEastAsia" w:hAnsiTheme="minorEastAsia" w:eastAsiaTheme="minorEastAsia" w:cstheme="minorEastAsia"/>
                      <w:b w:val="0"/>
                      <w:bCs w:val="0"/>
                      <w:color w:val="auto"/>
                      <w:kern w:val="2"/>
                      <w:sz w:val="21"/>
                      <w:szCs w:val="21"/>
                      <w:highlight w:val="none"/>
                    </w:rPr>
                  </w:pPr>
                  <w:r>
                    <w:rPr>
                      <w:rFonts w:hint="eastAsia" w:asciiTheme="minorEastAsia" w:hAnsiTheme="minorEastAsia" w:eastAsiaTheme="minorEastAsia" w:cstheme="minorEastAsia"/>
                      <w:b w:val="0"/>
                      <w:bCs w:val="0"/>
                      <w:color w:val="auto"/>
                      <w:kern w:val="2"/>
                      <w:sz w:val="21"/>
                      <w:szCs w:val="21"/>
                      <w:highlight w:val="none"/>
                    </w:rPr>
                    <w:t>4、基材表面贴木皮，</w:t>
                  </w:r>
                  <w:r>
                    <w:rPr>
                      <w:rFonts w:hint="eastAsia" w:asciiTheme="minorEastAsia" w:hAnsiTheme="minorEastAsia" w:eastAsiaTheme="minorEastAsia" w:cstheme="minorEastAsia"/>
                      <w:b w:val="0"/>
                      <w:bCs w:val="0"/>
                      <w:color w:val="auto"/>
                      <w:kern w:val="2"/>
                      <w:sz w:val="21"/>
                      <w:szCs w:val="21"/>
                      <w:highlight w:val="none"/>
                      <w:lang w:val="en-US" w:eastAsia="zh-CN"/>
                    </w:rPr>
                    <w:t>采用优质实木皮饰面，厚度≥0.8㎜，纹理自然清晰，甲醛释放量依据GB/T 39600-2021《人造板及其制品甲醛释放量分级》标准达到E0级或以上等级，外观符合GB/T 3324-2017或</w:t>
                  </w:r>
                  <w:r>
                    <w:rPr>
                      <w:rFonts w:hint="eastAsia" w:asciiTheme="minorEastAsia" w:hAnsiTheme="minorEastAsia" w:eastAsiaTheme="minorEastAsia" w:cstheme="minorEastAsia"/>
                      <w:b w:val="0"/>
                      <w:bCs w:val="0"/>
                      <w:color w:val="auto"/>
                      <w:kern w:val="2"/>
                      <w:sz w:val="21"/>
                      <w:szCs w:val="21"/>
                      <w:highlight w:val="none"/>
                      <w:lang w:val="en-US" w:eastAsia="zh-CN"/>
                    </w:rPr>
                    <w:fldChar w:fldCharType="begin"/>
                  </w:r>
                  <w:r>
                    <w:rPr>
                      <w:rFonts w:hint="eastAsia" w:asciiTheme="minorEastAsia" w:hAnsiTheme="minorEastAsia" w:eastAsiaTheme="minorEastAsia" w:cstheme="minorEastAsia"/>
                      <w:b w:val="0"/>
                      <w:bCs w:val="0"/>
                      <w:color w:val="auto"/>
                      <w:kern w:val="2"/>
                      <w:sz w:val="21"/>
                      <w:szCs w:val="21"/>
                      <w:highlight w:val="none"/>
                      <w:lang w:val="en-US" w:eastAsia="zh-CN"/>
                    </w:rPr>
                    <w:instrText xml:space="preserve"> HYPERLINK "https://std.samr.gov.cn/gb/search/gbDetailed?id=25940C3CEF158A9AE06397BE0A0A525A" \t "https://std.samr.gov.cn/search/stdPage?q=GB/_blank" </w:instrText>
                  </w:r>
                  <w:r>
                    <w:rPr>
                      <w:rFonts w:hint="eastAsia" w:asciiTheme="minorEastAsia" w:hAnsiTheme="minorEastAsia" w:eastAsiaTheme="minorEastAsia" w:cstheme="minorEastAsia"/>
                      <w:b w:val="0"/>
                      <w:bCs w:val="0"/>
                      <w:color w:val="auto"/>
                      <w:kern w:val="2"/>
                      <w:sz w:val="21"/>
                      <w:szCs w:val="21"/>
                      <w:highlight w:val="none"/>
                      <w:lang w:val="en-US" w:eastAsia="zh-CN"/>
                    </w:rPr>
                    <w:fldChar w:fldCharType="separate"/>
                  </w:r>
                  <w:r>
                    <w:rPr>
                      <w:rFonts w:hint="eastAsia" w:asciiTheme="minorEastAsia" w:hAnsiTheme="minorEastAsia" w:eastAsiaTheme="minorEastAsia" w:cstheme="minorEastAsia"/>
                      <w:b w:val="0"/>
                      <w:bCs w:val="0"/>
                      <w:color w:val="auto"/>
                      <w:kern w:val="2"/>
                      <w:sz w:val="21"/>
                      <w:szCs w:val="21"/>
                      <w:highlight w:val="none"/>
                      <w:lang w:val="en-US" w:eastAsia="zh-CN"/>
                    </w:rPr>
                    <w:t>GB/T 3324-2024《木家具通用技术条件》</w:t>
                  </w:r>
                  <w:r>
                    <w:rPr>
                      <w:rFonts w:hint="eastAsia" w:asciiTheme="minorEastAsia" w:hAnsiTheme="minorEastAsia" w:eastAsiaTheme="minorEastAsia" w:cstheme="minorEastAsia"/>
                      <w:b w:val="0"/>
                      <w:bCs w:val="0"/>
                      <w:color w:val="auto"/>
                      <w:kern w:val="2"/>
                      <w:sz w:val="21"/>
                      <w:szCs w:val="21"/>
                      <w:highlight w:val="none"/>
                      <w:lang w:val="en-US" w:eastAsia="zh-CN"/>
                    </w:rPr>
                    <w:fldChar w:fldCharType="end"/>
                  </w:r>
                  <w:r>
                    <w:rPr>
                      <w:rFonts w:hint="eastAsia" w:asciiTheme="minorEastAsia" w:hAnsiTheme="minorEastAsia" w:eastAsiaTheme="minorEastAsia" w:cstheme="minorEastAsia"/>
                      <w:b w:val="0"/>
                      <w:bCs w:val="0"/>
                      <w:color w:val="auto"/>
                      <w:kern w:val="2"/>
                      <w:sz w:val="21"/>
                      <w:szCs w:val="21"/>
                      <w:highlight w:val="none"/>
                      <w:lang w:val="en-US" w:eastAsia="zh-CN"/>
                    </w:rPr>
                    <w:t>标准</w:t>
                  </w:r>
                  <w:r>
                    <w:rPr>
                      <w:rFonts w:hint="eastAsia" w:asciiTheme="minorEastAsia" w:hAnsiTheme="minorEastAsia" w:eastAsiaTheme="minorEastAsia" w:cstheme="minorEastAsia"/>
                      <w:b w:val="0"/>
                      <w:bCs w:val="0"/>
                      <w:color w:val="auto"/>
                      <w:kern w:val="2"/>
                      <w:sz w:val="21"/>
                      <w:szCs w:val="21"/>
                      <w:highlight w:val="none"/>
                    </w:rPr>
                    <w:t>。</w:t>
                  </w:r>
                </w:p>
                <w:p>
                  <w:pPr>
                    <w:widowControl/>
                    <w:spacing w:before="48" w:beforeLines="20"/>
                    <w:rPr>
                      <w:rFonts w:hint="eastAsia" w:asciiTheme="minorEastAsia" w:hAnsiTheme="minorEastAsia" w:eastAsiaTheme="minorEastAsia" w:cstheme="minorEastAsia"/>
                      <w:b w:val="0"/>
                      <w:bCs w:val="0"/>
                      <w:color w:val="auto"/>
                      <w:kern w:val="2"/>
                      <w:sz w:val="21"/>
                      <w:szCs w:val="21"/>
                      <w:highlight w:val="none"/>
                    </w:rPr>
                  </w:pPr>
                  <w:r>
                    <w:rPr>
                      <w:rFonts w:hint="eastAsia" w:asciiTheme="minorEastAsia" w:hAnsiTheme="minorEastAsia" w:eastAsiaTheme="minorEastAsia" w:cstheme="minorEastAsia"/>
                      <w:b w:val="0"/>
                      <w:bCs w:val="0"/>
                      <w:color w:val="auto"/>
                      <w:kern w:val="2"/>
                      <w:sz w:val="21"/>
                      <w:szCs w:val="21"/>
                      <w:highlight w:val="none"/>
                    </w:rPr>
                    <w:t>▲5、封边：采用5mm厚胡桃木实木封边，封边颜色一致，纹理自然清晰，无明显节眼、黑斑、破损等。同时，木材必须经过高温经烘干、除虫等处理保证木材含水率≤14%。</w:t>
                  </w:r>
                </w:p>
                <w:p>
                  <w:pPr>
                    <w:widowControl/>
                    <w:spacing w:before="48" w:beforeLines="20"/>
                    <w:rPr>
                      <w:rFonts w:hint="eastAsia" w:asciiTheme="minorEastAsia" w:hAnsiTheme="minorEastAsia" w:eastAsiaTheme="minorEastAsia" w:cstheme="minorEastAsia"/>
                      <w:b w:val="0"/>
                      <w:bCs w:val="0"/>
                      <w:color w:val="auto"/>
                      <w:kern w:val="2"/>
                      <w:sz w:val="21"/>
                      <w:szCs w:val="21"/>
                      <w:highlight w:val="none"/>
                    </w:rPr>
                  </w:pPr>
                  <w:r>
                    <w:rPr>
                      <w:rFonts w:hint="eastAsia" w:asciiTheme="minorEastAsia" w:hAnsiTheme="minorEastAsia" w:eastAsiaTheme="minorEastAsia" w:cstheme="minorEastAsia"/>
                      <w:b w:val="0"/>
                      <w:bCs w:val="0"/>
                      <w:color w:val="auto"/>
                      <w:kern w:val="2"/>
                      <w:sz w:val="21"/>
                      <w:szCs w:val="21"/>
                      <w:highlight w:val="none"/>
                    </w:rPr>
                    <w:t>6、油漆：表面喷涂油漆，采用环保型聚氨酯漆，保证所有木制外露部分油漆喷涂完整，防止回潮，表面过烤漆工艺处理，外表美观、耐磨。</w:t>
                  </w:r>
                  <w:bookmarkStart w:id="18" w:name="OLE_LINK79"/>
                  <w:r>
                    <w:rPr>
                      <w:rFonts w:hint="eastAsia" w:asciiTheme="minorEastAsia" w:hAnsiTheme="minorEastAsia" w:eastAsiaTheme="minorEastAsia" w:cstheme="minorEastAsia"/>
                      <w:b w:val="0"/>
                      <w:bCs w:val="0"/>
                      <w:color w:val="auto"/>
                      <w:kern w:val="2"/>
                      <w:sz w:val="21"/>
                      <w:szCs w:val="21"/>
                      <w:highlight w:val="none"/>
                    </w:rPr>
                    <w:t>油漆性符合GB 18581-2020《木器涂料中有害物质限量》</w:t>
                  </w:r>
                  <w:bookmarkStart w:id="19" w:name="OLE_LINK78"/>
                  <w:r>
                    <w:rPr>
                      <w:rFonts w:hint="eastAsia" w:asciiTheme="minorEastAsia" w:hAnsiTheme="minorEastAsia" w:eastAsiaTheme="minorEastAsia" w:cstheme="minorEastAsia"/>
                      <w:b w:val="0"/>
                      <w:bCs w:val="0"/>
                      <w:color w:val="auto"/>
                      <w:kern w:val="2"/>
                      <w:sz w:val="21"/>
                      <w:szCs w:val="21"/>
                      <w:highlight w:val="none"/>
                    </w:rPr>
                    <w:t>及GB/T 23997-2009《室内装饰装修用溶剂型聚氨酯木器涂料》标准</w:t>
                  </w:r>
                  <w:bookmarkEnd w:id="18"/>
                  <w:bookmarkEnd w:id="19"/>
                  <w:r>
                    <w:rPr>
                      <w:rFonts w:hint="eastAsia" w:asciiTheme="minorEastAsia" w:hAnsiTheme="minorEastAsia" w:eastAsiaTheme="minorEastAsia" w:cstheme="minorEastAsia"/>
                      <w:b w:val="0"/>
                      <w:bCs w:val="0"/>
                      <w:color w:val="auto"/>
                      <w:kern w:val="2"/>
                      <w:sz w:val="21"/>
                      <w:szCs w:val="21"/>
                      <w:highlight w:val="none"/>
                    </w:rPr>
                    <w:t>。</w:t>
                  </w:r>
                </w:p>
                <w:p>
                  <w:pPr>
                    <w:widowControl/>
                    <w:spacing w:before="48" w:beforeLines="20"/>
                    <w:rPr>
                      <w:rFonts w:hint="eastAsia" w:asciiTheme="minorEastAsia" w:hAnsiTheme="minorEastAsia" w:eastAsiaTheme="minorEastAsia" w:cstheme="minorEastAsia"/>
                      <w:b w:val="0"/>
                      <w:bCs w:val="0"/>
                      <w:color w:val="auto"/>
                      <w:kern w:val="2"/>
                      <w:sz w:val="21"/>
                      <w:szCs w:val="21"/>
                      <w:highlight w:val="none"/>
                    </w:rPr>
                  </w:pPr>
                  <w:r>
                    <w:rPr>
                      <w:rFonts w:hint="eastAsia" w:asciiTheme="minorEastAsia" w:hAnsiTheme="minorEastAsia" w:eastAsiaTheme="minorEastAsia" w:cstheme="minorEastAsia"/>
                      <w:b w:val="0"/>
                      <w:bCs w:val="0"/>
                      <w:color w:val="auto"/>
                      <w:kern w:val="2"/>
                      <w:sz w:val="21"/>
                      <w:szCs w:val="21"/>
                      <w:highlight w:val="none"/>
                    </w:rPr>
                    <w:t>7、</w:t>
                  </w:r>
                  <w:r>
                    <w:rPr>
                      <w:rFonts w:hint="eastAsia" w:asciiTheme="minorEastAsia" w:hAnsiTheme="minorEastAsia" w:eastAsiaTheme="minorEastAsia" w:cstheme="minorEastAsia"/>
                      <w:b w:val="0"/>
                      <w:bCs w:val="0"/>
                      <w:color w:val="auto"/>
                      <w:kern w:val="2"/>
                      <w:sz w:val="21"/>
                      <w:szCs w:val="21"/>
                      <w:highlight w:val="none"/>
                      <w:lang w:eastAsia="zh-CN"/>
                    </w:rPr>
                    <w:t>连接件：采用优质三合一连接件，性能符合GB/T 28203-2011《家具用连接件技术要求及试验方法》标准</w:t>
                  </w:r>
                  <w:r>
                    <w:rPr>
                      <w:rFonts w:hint="eastAsia" w:asciiTheme="minorEastAsia" w:hAnsiTheme="minorEastAsia" w:eastAsiaTheme="minorEastAsia" w:cstheme="minorEastAsia"/>
                      <w:b w:val="0"/>
                      <w:bCs w:val="0"/>
                      <w:color w:val="auto"/>
                      <w:kern w:val="2"/>
                      <w:sz w:val="21"/>
                      <w:szCs w:val="21"/>
                      <w:highlight w:val="none"/>
                    </w:rPr>
                    <w:t>。</w:t>
                  </w:r>
                </w:p>
                <w:p>
                  <w:pPr>
                    <w:widowControl/>
                    <w:spacing w:before="48" w:beforeLines="20"/>
                    <w:rPr>
                      <w:rFonts w:hint="eastAsia" w:asciiTheme="minorEastAsia" w:hAnsiTheme="minorEastAsia" w:eastAsiaTheme="minorEastAsia" w:cstheme="minorEastAsia"/>
                      <w:b w:val="0"/>
                      <w:bCs w:val="0"/>
                      <w:color w:val="auto"/>
                      <w:kern w:val="2"/>
                      <w:sz w:val="21"/>
                      <w:szCs w:val="21"/>
                      <w:highlight w:val="none"/>
                    </w:rPr>
                  </w:pPr>
                  <w:r>
                    <w:rPr>
                      <w:rFonts w:hint="eastAsia" w:asciiTheme="minorEastAsia" w:hAnsiTheme="minorEastAsia" w:eastAsiaTheme="minorEastAsia" w:cstheme="minorEastAsia"/>
                      <w:b w:val="0"/>
                      <w:bCs w:val="0"/>
                      <w:color w:val="auto"/>
                      <w:kern w:val="2"/>
                      <w:sz w:val="21"/>
                      <w:szCs w:val="21"/>
                      <w:highlight w:val="none"/>
                    </w:rPr>
                    <w:t>1、规格：长2340㎜*宽400㎜*高810㎜；</w:t>
                  </w:r>
                </w:p>
                <w:p>
                  <w:pPr>
                    <w:widowControl/>
                    <w:spacing w:before="48" w:beforeLines="20"/>
                    <w:rPr>
                      <w:rFonts w:hint="eastAsia" w:asciiTheme="minorEastAsia" w:hAnsiTheme="minorEastAsia" w:eastAsiaTheme="minorEastAsia" w:cstheme="minorEastAsia"/>
                      <w:b w:val="0"/>
                      <w:bCs w:val="0"/>
                      <w:color w:val="auto"/>
                      <w:kern w:val="2"/>
                      <w:sz w:val="21"/>
                      <w:szCs w:val="21"/>
                      <w:highlight w:val="none"/>
                    </w:rPr>
                  </w:pPr>
                  <w:r>
                    <w:rPr>
                      <w:rFonts w:hint="eastAsia" w:asciiTheme="minorEastAsia" w:hAnsiTheme="minorEastAsia" w:eastAsiaTheme="minorEastAsia" w:cstheme="minorEastAsia"/>
                      <w:b w:val="0"/>
                      <w:bCs w:val="0"/>
                      <w:color w:val="auto"/>
                      <w:kern w:val="2"/>
                      <w:sz w:val="21"/>
                      <w:szCs w:val="21"/>
                      <w:highlight w:val="none"/>
                    </w:rPr>
                    <w:t>2、板材要求：桌面厚度≥25㎜，其余未注明的板材厚度均≥18㎜，前挡板距地面的高度≤150㎜。</w:t>
                  </w:r>
                </w:p>
                <w:p>
                  <w:pPr>
                    <w:widowControl/>
                    <w:spacing w:before="48" w:beforeLines="20"/>
                    <w:rPr>
                      <w:rFonts w:hint="eastAsia" w:asciiTheme="minorEastAsia" w:hAnsiTheme="minorEastAsia" w:eastAsiaTheme="minorEastAsia" w:cstheme="minorEastAsia"/>
                      <w:b w:val="0"/>
                      <w:bCs w:val="0"/>
                      <w:color w:val="auto"/>
                      <w:kern w:val="2"/>
                      <w:sz w:val="21"/>
                      <w:szCs w:val="21"/>
                      <w:highlight w:val="none"/>
                    </w:rPr>
                  </w:pPr>
                  <w:r>
                    <w:rPr>
                      <w:rFonts w:hint="eastAsia" w:asciiTheme="minorEastAsia" w:hAnsiTheme="minorEastAsia" w:eastAsiaTheme="minorEastAsia" w:cstheme="minorEastAsia"/>
                      <w:b w:val="0"/>
                      <w:bCs w:val="0"/>
                      <w:color w:val="auto"/>
                      <w:kern w:val="2"/>
                      <w:sz w:val="21"/>
                      <w:szCs w:val="21"/>
                      <w:highlight w:val="none"/>
                    </w:rPr>
                    <w:t>▲3、</w:t>
                  </w:r>
                  <w:r>
                    <w:rPr>
                      <w:rFonts w:hint="eastAsia" w:asciiTheme="minorEastAsia" w:hAnsiTheme="minorEastAsia" w:eastAsiaTheme="minorEastAsia" w:cstheme="minorEastAsia"/>
                      <w:b w:val="0"/>
                      <w:bCs w:val="0"/>
                      <w:color w:val="auto"/>
                      <w:kern w:val="2"/>
                      <w:sz w:val="21"/>
                      <w:szCs w:val="21"/>
                      <w:highlight w:val="none"/>
                      <w:lang w:val="en-US" w:eastAsia="zh-CN"/>
                    </w:rPr>
                    <w:t>基材：采用环保等级不低于E0级的中密度纤维板，尺寸、物理力学性能及其他性能符合GB/T 11718-2021《中密度纤维板》标准；</w:t>
                  </w:r>
                  <w:r>
                    <w:rPr>
                      <w:rFonts w:hint="eastAsia" w:asciiTheme="minorEastAsia" w:hAnsiTheme="minorEastAsia" w:eastAsiaTheme="minorEastAsia" w:cstheme="minorEastAsia"/>
                      <w:b w:val="0"/>
                      <w:bCs w:val="0"/>
                      <w:color w:val="auto"/>
                      <w:kern w:val="2"/>
                      <w:sz w:val="21"/>
                      <w:szCs w:val="21"/>
                      <w:highlight w:val="none"/>
                      <w:lang w:val="en" w:eastAsia="zh-CN"/>
                    </w:rPr>
                    <w:t>苯、甲苯、二甲苯、总挥发性有机化合物（TVOC）等有害物质含量符合GB/T 35601-2017《绿色产品评价　人造板和木质地板》标准；甲醛释放量依据GB/T 39600-2021《人造板及其制品甲醛释放量分级》标测达E0级或以上等级；防霉性能符合LY/T 2230-2013《人造板防霉性能评价》标准</w:t>
                  </w:r>
                  <w:r>
                    <w:rPr>
                      <w:rFonts w:hint="eastAsia" w:asciiTheme="minorEastAsia" w:hAnsiTheme="minorEastAsia" w:eastAsiaTheme="minorEastAsia" w:cstheme="minorEastAsia"/>
                      <w:b w:val="0"/>
                      <w:bCs w:val="0"/>
                      <w:color w:val="auto"/>
                      <w:kern w:val="2"/>
                      <w:sz w:val="21"/>
                      <w:szCs w:val="21"/>
                      <w:highlight w:val="none"/>
                    </w:rPr>
                    <w:t>。</w:t>
                  </w:r>
                </w:p>
                <w:p>
                  <w:pPr>
                    <w:widowControl/>
                    <w:spacing w:before="48" w:beforeLines="20"/>
                    <w:rPr>
                      <w:rFonts w:hint="eastAsia" w:asciiTheme="minorEastAsia" w:hAnsiTheme="minorEastAsia" w:eastAsiaTheme="minorEastAsia" w:cstheme="minorEastAsia"/>
                      <w:b w:val="0"/>
                      <w:bCs w:val="0"/>
                      <w:color w:val="auto"/>
                      <w:kern w:val="2"/>
                      <w:sz w:val="21"/>
                      <w:szCs w:val="21"/>
                      <w:highlight w:val="none"/>
                    </w:rPr>
                  </w:pPr>
                  <w:r>
                    <w:rPr>
                      <w:rFonts w:hint="eastAsia" w:asciiTheme="minorEastAsia" w:hAnsiTheme="minorEastAsia" w:eastAsiaTheme="minorEastAsia" w:cstheme="minorEastAsia"/>
                      <w:b w:val="0"/>
                      <w:bCs w:val="0"/>
                      <w:color w:val="auto"/>
                      <w:kern w:val="2"/>
                      <w:sz w:val="21"/>
                      <w:szCs w:val="21"/>
                      <w:highlight w:val="none"/>
                    </w:rPr>
                    <w:t>4、基材表面贴木皮，</w:t>
                  </w:r>
                  <w:r>
                    <w:rPr>
                      <w:rFonts w:hint="eastAsia" w:asciiTheme="minorEastAsia" w:hAnsiTheme="minorEastAsia" w:eastAsiaTheme="minorEastAsia" w:cstheme="minorEastAsia"/>
                      <w:b w:val="0"/>
                      <w:bCs w:val="0"/>
                      <w:color w:val="auto"/>
                      <w:kern w:val="2"/>
                      <w:sz w:val="21"/>
                      <w:szCs w:val="21"/>
                      <w:highlight w:val="none"/>
                      <w:lang w:val="en-US" w:eastAsia="zh-CN"/>
                    </w:rPr>
                    <w:t>采用优质实木皮饰面，厚度≥0.8㎜，纹理自然清晰，甲醛释放量依据GB/T 39600-2021《人造板及其制品甲醛释放量分级》标准达到E0级或以上等级，外观符合GB/T 3324-2017或</w:t>
                  </w:r>
                  <w:r>
                    <w:rPr>
                      <w:rFonts w:hint="eastAsia" w:asciiTheme="minorEastAsia" w:hAnsiTheme="minorEastAsia" w:eastAsiaTheme="minorEastAsia" w:cstheme="minorEastAsia"/>
                      <w:b w:val="0"/>
                      <w:bCs w:val="0"/>
                      <w:color w:val="auto"/>
                      <w:kern w:val="2"/>
                      <w:sz w:val="21"/>
                      <w:szCs w:val="21"/>
                      <w:highlight w:val="none"/>
                      <w:lang w:val="en-US" w:eastAsia="zh-CN"/>
                    </w:rPr>
                    <w:fldChar w:fldCharType="begin"/>
                  </w:r>
                  <w:r>
                    <w:rPr>
                      <w:rFonts w:hint="eastAsia" w:asciiTheme="minorEastAsia" w:hAnsiTheme="minorEastAsia" w:eastAsiaTheme="minorEastAsia" w:cstheme="minorEastAsia"/>
                      <w:b w:val="0"/>
                      <w:bCs w:val="0"/>
                      <w:color w:val="auto"/>
                      <w:kern w:val="2"/>
                      <w:sz w:val="21"/>
                      <w:szCs w:val="21"/>
                      <w:highlight w:val="none"/>
                      <w:lang w:val="en-US" w:eastAsia="zh-CN"/>
                    </w:rPr>
                    <w:instrText xml:space="preserve"> HYPERLINK "https://std.samr.gov.cn/gb/search/gbDetailed?id=25940C3CEF158A9AE06397BE0A0A525A" \t "https://std.samr.gov.cn/search/stdPage?q=GB/_blank" </w:instrText>
                  </w:r>
                  <w:r>
                    <w:rPr>
                      <w:rFonts w:hint="eastAsia" w:asciiTheme="minorEastAsia" w:hAnsiTheme="minorEastAsia" w:eastAsiaTheme="minorEastAsia" w:cstheme="minorEastAsia"/>
                      <w:b w:val="0"/>
                      <w:bCs w:val="0"/>
                      <w:color w:val="auto"/>
                      <w:kern w:val="2"/>
                      <w:sz w:val="21"/>
                      <w:szCs w:val="21"/>
                      <w:highlight w:val="none"/>
                      <w:lang w:val="en-US" w:eastAsia="zh-CN"/>
                    </w:rPr>
                    <w:fldChar w:fldCharType="separate"/>
                  </w:r>
                  <w:r>
                    <w:rPr>
                      <w:rFonts w:hint="eastAsia" w:asciiTheme="minorEastAsia" w:hAnsiTheme="minorEastAsia" w:eastAsiaTheme="minorEastAsia" w:cstheme="minorEastAsia"/>
                      <w:b w:val="0"/>
                      <w:bCs w:val="0"/>
                      <w:color w:val="auto"/>
                      <w:kern w:val="2"/>
                      <w:sz w:val="21"/>
                      <w:szCs w:val="21"/>
                      <w:highlight w:val="none"/>
                      <w:lang w:val="en-US" w:eastAsia="zh-CN"/>
                    </w:rPr>
                    <w:t>GB/T 3324-2024《木家具通用技术条件》</w:t>
                  </w:r>
                  <w:r>
                    <w:rPr>
                      <w:rFonts w:hint="eastAsia" w:asciiTheme="minorEastAsia" w:hAnsiTheme="minorEastAsia" w:eastAsiaTheme="minorEastAsia" w:cstheme="minorEastAsia"/>
                      <w:b w:val="0"/>
                      <w:bCs w:val="0"/>
                      <w:color w:val="auto"/>
                      <w:kern w:val="2"/>
                      <w:sz w:val="21"/>
                      <w:szCs w:val="21"/>
                      <w:highlight w:val="none"/>
                      <w:lang w:val="en-US" w:eastAsia="zh-CN"/>
                    </w:rPr>
                    <w:fldChar w:fldCharType="end"/>
                  </w:r>
                  <w:r>
                    <w:rPr>
                      <w:rFonts w:hint="eastAsia" w:asciiTheme="minorEastAsia" w:hAnsiTheme="minorEastAsia" w:eastAsiaTheme="minorEastAsia" w:cstheme="minorEastAsia"/>
                      <w:b w:val="0"/>
                      <w:bCs w:val="0"/>
                      <w:color w:val="auto"/>
                      <w:kern w:val="2"/>
                      <w:sz w:val="21"/>
                      <w:szCs w:val="21"/>
                      <w:highlight w:val="none"/>
                      <w:lang w:val="en-US" w:eastAsia="zh-CN"/>
                    </w:rPr>
                    <w:t>标准</w:t>
                  </w:r>
                  <w:r>
                    <w:rPr>
                      <w:rFonts w:hint="eastAsia" w:asciiTheme="minorEastAsia" w:hAnsiTheme="minorEastAsia" w:eastAsiaTheme="minorEastAsia" w:cstheme="minorEastAsia"/>
                      <w:b w:val="0"/>
                      <w:bCs w:val="0"/>
                      <w:color w:val="auto"/>
                      <w:kern w:val="2"/>
                      <w:sz w:val="21"/>
                      <w:szCs w:val="21"/>
                      <w:highlight w:val="none"/>
                    </w:rPr>
                    <w:t>。</w:t>
                  </w:r>
                </w:p>
                <w:p>
                  <w:pPr>
                    <w:widowControl/>
                    <w:spacing w:before="48" w:beforeLines="20"/>
                    <w:rPr>
                      <w:rFonts w:hint="eastAsia" w:asciiTheme="minorEastAsia" w:hAnsiTheme="minorEastAsia" w:eastAsiaTheme="minorEastAsia" w:cstheme="minorEastAsia"/>
                      <w:b w:val="0"/>
                      <w:bCs w:val="0"/>
                      <w:color w:val="auto"/>
                      <w:kern w:val="2"/>
                      <w:sz w:val="21"/>
                      <w:szCs w:val="21"/>
                      <w:highlight w:val="none"/>
                    </w:rPr>
                  </w:pPr>
                  <w:r>
                    <w:rPr>
                      <w:rFonts w:hint="eastAsia" w:asciiTheme="minorEastAsia" w:hAnsiTheme="minorEastAsia" w:eastAsiaTheme="minorEastAsia" w:cstheme="minorEastAsia"/>
                      <w:b w:val="0"/>
                      <w:bCs w:val="0"/>
                      <w:color w:val="auto"/>
                      <w:kern w:val="2"/>
                      <w:sz w:val="21"/>
                      <w:szCs w:val="21"/>
                      <w:highlight w:val="none"/>
                    </w:rPr>
                    <w:t>▲5、封边：采用5mm厚胡桃木实木封边，封边颜色一致，纹理自然清晰，无明显节眼、黑斑、破损等。同时，木材必须经过高温经烘干、除虫等处理保证木材含水率≤14%。</w:t>
                  </w:r>
                </w:p>
                <w:p>
                  <w:pPr>
                    <w:widowControl/>
                    <w:spacing w:before="48" w:beforeLines="20"/>
                    <w:rPr>
                      <w:rFonts w:hint="eastAsia" w:asciiTheme="minorEastAsia" w:hAnsiTheme="minorEastAsia" w:eastAsiaTheme="minorEastAsia" w:cstheme="minorEastAsia"/>
                      <w:b w:val="0"/>
                      <w:bCs w:val="0"/>
                      <w:color w:val="auto"/>
                      <w:kern w:val="2"/>
                      <w:sz w:val="21"/>
                      <w:szCs w:val="21"/>
                      <w:highlight w:val="none"/>
                    </w:rPr>
                  </w:pPr>
                  <w:r>
                    <w:rPr>
                      <w:rFonts w:hint="eastAsia" w:asciiTheme="minorEastAsia" w:hAnsiTheme="minorEastAsia" w:eastAsiaTheme="minorEastAsia" w:cstheme="minorEastAsia"/>
                      <w:b w:val="0"/>
                      <w:bCs w:val="0"/>
                      <w:color w:val="auto"/>
                      <w:kern w:val="2"/>
                      <w:sz w:val="21"/>
                      <w:szCs w:val="21"/>
                      <w:highlight w:val="none"/>
                    </w:rPr>
                    <w:t>6、油漆：表面喷涂油漆，采用环保型聚氨酯漆，保证所有木制外露部分油漆喷涂完整，防止回潮，表面过烤漆工艺处理，外表美观、耐磨。油漆性符合GB 18581-2020《木器涂料中有害物质限量》</w:t>
                  </w:r>
                  <w:bookmarkStart w:id="20" w:name="OLE_LINK76"/>
                  <w:r>
                    <w:rPr>
                      <w:rFonts w:hint="eastAsia" w:asciiTheme="minorEastAsia" w:hAnsiTheme="minorEastAsia" w:eastAsiaTheme="minorEastAsia" w:cstheme="minorEastAsia"/>
                      <w:b w:val="0"/>
                      <w:bCs w:val="0"/>
                      <w:color w:val="auto"/>
                      <w:kern w:val="2"/>
                      <w:sz w:val="21"/>
                      <w:szCs w:val="21"/>
                      <w:highlight w:val="none"/>
                    </w:rPr>
                    <w:t>及GB/T 23997-2009《室内装饰装修用溶剂型聚氨酯木器涂料》标准。</w:t>
                  </w:r>
                </w:p>
                <w:bookmarkEnd w:id="20"/>
                <w:p>
                  <w:pPr>
                    <w:widowControl/>
                    <w:spacing w:before="48" w:beforeLines="20"/>
                    <w:rPr>
                      <w:rFonts w:hint="eastAsia" w:asciiTheme="minorEastAsia" w:hAnsiTheme="minorEastAsia" w:eastAsiaTheme="minorEastAsia" w:cstheme="minorEastAsia"/>
                      <w:b w:val="0"/>
                      <w:bCs w:val="0"/>
                      <w:color w:val="auto"/>
                      <w:kern w:val="2"/>
                      <w:sz w:val="21"/>
                      <w:szCs w:val="21"/>
                      <w:highlight w:val="none"/>
                    </w:rPr>
                  </w:pPr>
                  <w:r>
                    <w:rPr>
                      <w:rFonts w:hint="eastAsia" w:asciiTheme="minorEastAsia" w:hAnsiTheme="minorEastAsia" w:eastAsiaTheme="minorEastAsia" w:cstheme="minorEastAsia"/>
                      <w:b w:val="0"/>
                      <w:bCs w:val="0"/>
                      <w:color w:val="auto"/>
                      <w:kern w:val="2"/>
                      <w:sz w:val="21"/>
                      <w:szCs w:val="21"/>
                      <w:highlight w:val="none"/>
                    </w:rPr>
                    <w:t>7、</w:t>
                  </w:r>
                  <w:r>
                    <w:rPr>
                      <w:rFonts w:hint="eastAsia" w:asciiTheme="minorEastAsia" w:hAnsiTheme="minorEastAsia" w:eastAsiaTheme="minorEastAsia" w:cstheme="minorEastAsia"/>
                      <w:b w:val="0"/>
                      <w:bCs w:val="0"/>
                      <w:color w:val="auto"/>
                      <w:kern w:val="2"/>
                      <w:sz w:val="21"/>
                      <w:szCs w:val="21"/>
                      <w:highlight w:val="none"/>
                      <w:lang w:eastAsia="zh-CN"/>
                    </w:rPr>
                    <w:t>连接件：采用优质三合一连接件，性能符合GB/T 28203-2011《家具用连接件技术要求及试验方法》标准</w:t>
                  </w:r>
                  <w:r>
                    <w:rPr>
                      <w:rFonts w:hint="eastAsia" w:asciiTheme="minorEastAsia" w:hAnsiTheme="minorEastAsia" w:eastAsiaTheme="minorEastAsia" w:cstheme="minorEastAsia"/>
                      <w:b w:val="0"/>
                      <w:bCs w:val="0"/>
                      <w:color w:val="auto"/>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39" w:type="dxa"/>
                  <w:noWrap w:val="0"/>
                  <w:vAlign w:val="center"/>
                </w:tcPr>
                <w:p>
                  <w:pPr>
                    <w:jc w:val="center"/>
                    <w:rPr>
                      <w:rFonts w:hint="eastAsia" w:asciiTheme="minorEastAsia" w:hAnsiTheme="minorEastAsia" w:eastAsiaTheme="minorEastAsia" w:cstheme="minorEastAsia"/>
                      <w:b w:val="0"/>
                      <w:bCs w:val="0"/>
                      <w:color w:val="auto"/>
                      <w:kern w:val="2"/>
                      <w:sz w:val="21"/>
                      <w:szCs w:val="21"/>
                      <w:highlight w:val="none"/>
                      <w:lang w:val="en-US" w:eastAsia="zh-CN"/>
                    </w:rPr>
                  </w:pPr>
                  <w:r>
                    <w:rPr>
                      <w:rFonts w:hint="eastAsia" w:asciiTheme="minorEastAsia" w:hAnsiTheme="minorEastAsia" w:eastAsiaTheme="minorEastAsia" w:cstheme="minorEastAsia"/>
                      <w:b w:val="0"/>
                      <w:bCs w:val="0"/>
                      <w:color w:val="auto"/>
                      <w:kern w:val="2"/>
                      <w:sz w:val="21"/>
                      <w:szCs w:val="21"/>
                      <w:highlight w:val="none"/>
                      <w:lang w:val="en-US" w:eastAsia="zh-CN"/>
                    </w:rPr>
                    <w:t>2</w:t>
                  </w:r>
                </w:p>
              </w:tc>
              <w:tc>
                <w:tcPr>
                  <w:tcW w:w="645" w:type="dxa"/>
                  <w:noWrap w:val="0"/>
                  <w:vAlign w:val="center"/>
                </w:tcPr>
                <w:p>
                  <w:pPr>
                    <w:widowControl/>
                    <w:spacing w:line="400" w:lineRule="exact"/>
                    <w:jc w:val="center"/>
                    <w:rPr>
                      <w:rFonts w:hint="eastAsia" w:asciiTheme="minorEastAsia" w:hAnsiTheme="minorEastAsia" w:eastAsiaTheme="minorEastAsia" w:cstheme="minorEastAsia"/>
                      <w:b w:val="0"/>
                      <w:bCs w:val="0"/>
                      <w:color w:val="auto"/>
                      <w:kern w:val="2"/>
                      <w:sz w:val="21"/>
                      <w:szCs w:val="21"/>
                      <w:highlight w:val="none"/>
                    </w:rPr>
                  </w:pPr>
                  <w:r>
                    <w:rPr>
                      <w:rFonts w:hint="eastAsia" w:asciiTheme="minorEastAsia" w:hAnsiTheme="minorEastAsia" w:eastAsiaTheme="minorEastAsia" w:cstheme="minorEastAsia"/>
                      <w:b w:val="0"/>
                      <w:bCs w:val="0"/>
                      <w:color w:val="auto"/>
                      <w:kern w:val="2"/>
                      <w:sz w:val="21"/>
                      <w:szCs w:val="21"/>
                      <w:highlight w:val="none"/>
                    </w:rPr>
                    <w:t>地毯</w:t>
                  </w:r>
                </w:p>
              </w:tc>
              <w:tc>
                <w:tcPr>
                  <w:tcW w:w="2730" w:type="dxa"/>
                  <w:noWrap w:val="0"/>
                  <w:vAlign w:val="center"/>
                </w:tcPr>
                <w:p>
                  <w:pPr>
                    <w:pStyle w:val="4"/>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drawing>
                      <wp:inline distT="0" distB="0" distL="114300" distR="114300">
                        <wp:extent cx="1558290" cy="1576070"/>
                        <wp:effectExtent l="0" t="0" r="3810" b="5080"/>
                        <wp:docPr id="34" name="图片 58" descr="1aeb94c0eec0986d97ee9f9f8278b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8" descr="1aeb94c0eec0986d97ee9f9f8278b06"/>
                                <pic:cNvPicPr>
                                  <a:picLocks noChangeAspect="1"/>
                                </pic:cNvPicPr>
                              </pic:nvPicPr>
                              <pic:blipFill>
                                <a:blip r:embed="rId9"/>
                                <a:stretch>
                                  <a:fillRect/>
                                </a:stretch>
                              </pic:blipFill>
                              <pic:spPr>
                                <a:xfrm>
                                  <a:off x="0" y="0"/>
                                  <a:ext cx="1558290" cy="1576070"/>
                                </a:xfrm>
                                <a:prstGeom prst="rect">
                                  <a:avLst/>
                                </a:prstGeom>
                                <a:noFill/>
                                <a:ln>
                                  <a:noFill/>
                                </a:ln>
                              </pic:spPr>
                            </pic:pic>
                          </a:graphicData>
                        </a:graphic>
                      </wp:inline>
                    </w:drawing>
                  </w:r>
                </w:p>
              </w:tc>
              <w:tc>
                <w:tcPr>
                  <w:tcW w:w="603" w:type="dxa"/>
                  <w:noWrap w:val="0"/>
                  <w:vAlign w:val="center"/>
                </w:tcPr>
                <w:p>
                  <w:pPr>
                    <w:spacing w:before="72" w:beforeLines="30" w:line="288"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320</w:t>
                  </w:r>
                </w:p>
              </w:tc>
              <w:tc>
                <w:tcPr>
                  <w:tcW w:w="867" w:type="dxa"/>
                  <w:noWrap w:val="0"/>
                  <w:vAlign w:val="center"/>
                </w:tcPr>
                <w:p>
                  <w:pPr>
                    <w:spacing w:before="72" w:beforeLines="30" w:line="288"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平方米</w:t>
                  </w:r>
                </w:p>
              </w:tc>
              <w:tc>
                <w:tcPr>
                  <w:tcW w:w="720" w:type="dxa"/>
                  <w:noWrap w:val="0"/>
                  <w:vAlign w:val="center"/>
                </w:tcPr>
                <w:p>
                  <w:pPr>
                    <w:widowControl/>
                    <w:jc w:val="center"/>
                    <w:textAlignment w:val="center"/>
                    <w:rPr>
                      <w:rFonts w:hint="eastAsia" w:asciiTheme="minorEastAsia" w:hAnsiTheme="minorEastAsia" w:eastAsiaTheme="minorEastAsia" w:cstheme="minorEastAsia"/>
                      <w:b w:val="0"/>
                      <w:bCs w:val="0"/>
                      <w:color w:val="auto"/>
                      <w:kern w:val="2"/>
                      <w:sz w:val="21"/>
                      <w:szCs w:val="21"/>
                      <w:highlight w:val="none"/>
                    </w:rPr>
                  </w:pPr>
                  <w:r>
                    <w:rPr>
                      <w:rFonts w:hint="eastAsia" w:asciiTheme="minorEastAsia" w:hAnsiTheme="minorEastAsia" w:eastAsiaTheme="minorEastAsia" w:cstheme="minorEastAsia"/>
                      <w:b w:val="0"/>
                      <w:bCs w:val="0"/>
                      <w:color w:val="auto"/>
                      <w:kern w:val="2"/>
                      <w:sz w:val="21"/>
                      <w:szCs w:val="21"/>
                      <w:highlight w:val="none"/>
                    </w:rPr>
                    <w:t>150</w:t>
                  </w:r>
                </w:p>
              </w:tc>
              <w:tc>
                <w:tcPr>
                  <w:tcW w:w="4620" w:type="dxa"/>
                  <w:vMerge w:val="continue"/>
                  <w:noWrap w:val="0"/>
                  <w:vAlign w:val="center"/>
                </w:tcPr>
                <w:p>
                  <w:pPr>
                    <w:widowControl/>
                    <w:spacing w:before="48" w:beforeLines="20"/>
                    <w:rPr>
                      <w:rFonts w:hint="eastAsia" w:asciiTheme="minorEastAsia" w:hAnsiTheme="minorEastAsia" w:eastAsiaTheme="minorEastAsia" w:cstheme="minorEastAsia"/>
                      <w:b w:val="0"/>
                      <w:bCs w:val="0"/>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39" w:type="dxa"/>
                  <w:noWrap w:val="0"/>
                  <w:vAlign w:val="center"/>
                </w:tcPr>
                <w:p>
                  <w:pPr>
                    <w:widowControl/>
                    <w:spacing w:line="400" w:lineRule="exact"/>
                    <w:jc w:val="center"/>
                    <w:rPr>
                      <w:rFonts w:hint="eastAsia" w:asciiTheme="minorEastAsia" w:hAnsiTheme="minorEastAsia" w:eastAsiaTheme="minorEastAsia" w:cstheme="minorEastAsia"/>
                      <w:b w:val="0"/>
                      <w:bCs w:val="0"/>
                      <w:color w:val="auto"/>
                      <w:kern w:val="2"/>
                      <w:sz w:val="21"/>
                      <w:szCs w:val="21"/>
                      <w:highlight w:val="none"/>
                      <w:lang w:val="en-US" w:eastAsia="zh-CN"/>
                    </w:rPr>
                  </w:pPr>
                  <w:r>
                    <w:rPr>
                      <w:rFonts w:hint="eastAsia" w:asciiTheme="minorEastAsia" w:hAnsiTheme="minorEastAsia" w:eastAsiaTheme="minorEastAsia" w:cstheme="minorEastAsia"/>
                      <w:b w:val="0"/>
                      <w:bCs w:val="0"/>
                      <w:color w:val="auto"/>
                      <w:kern w:val="2"/>
                      <w:sz w:val="21"/>
                      <w:szCs w:val="21"/>
                      <w:highlight w:val="none"/>
                      <w:lang w:val="en-US" w:eastAsia="zh-CN"/>
                    </w:rPr>
                    <w:t>3</w:t>
                  </w:r>
                </w:p>
              </w:tc>
              <w:tc>
                <w:tcPr>
                  <w:tcW w:w="645" w:type="dxa"/>
                  <w:noWrap w:val="0"/>
                  <w:vAlign w:val="center"/>
                </w:tcPr>
                <w:p>
                  <w:pPr>
                    <w:widowControl/>
                    <w:spacing w:line="400" w:lineRule="exact"/>
                    <w:jc w:val="center"/>
                    <w:rPr>
                      <w:rFonts w:hint="eastAsia" w:asciiTheme="minorEastAsia" w:hAnsiTheme="minorEastAsia" w:eastAsiaTheme="minorEastAsia" w:cstheme="minorEastAsia"/>
                      <w:b w:val="0"/>
                      <w:bCs w:val="0"/>
                      <w:color w:val="auto"/>
                      <w:kern w:val="2"/>
                      <w:sz w:val="21"/>
                      <w:szCs w:val="21"/>
                      <w:highlight w:val="none"/>
                    </w:rPr>
                  </w:pPr>
                  <w:r>
                    <w:rPr>
                      <w:rFonts w:hint="eastAsia" w:asciiTheme="minorEastAsia" w:hAnsiTheme="minorEastAsia" w:eastAsiaTheme="minorEastAsia" w:cstheme="minorEastAsia"/>
                      <w:b w:val="0"/>
                      <w:bCs w:val="0"/>
                      <w:color w:val="auto"/>
                      <w:kern w:val="2"/>
                      <w:sz w:val="21"/>
                      <w:szCs w:val="21"/>
                      <w:highlight w:val="none"/>
                    </w:rPr>
                    <w:t>条桌</w:t>
                  </w:r>
                </w:p>
              </w:tc>
              <w:tc>
                <w:tcPr>
                  <w:tcW w:w="2730" w:type="dxa"/>
                  <w:noWrap w:val="0"/>
                  <w:vAlign w:val="center"/>
                </w:tcPr>
                <w:p>
                  <w:pPr>
                    <w:pStyle w:val="4"/>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bdr w:val="single" w:color="000000" w:sz="4" w:space="0"/>
                      <w:lang w:bidi="ar"/>
                    </w:rPr>
                    <w:drawing>
                      <wp:inline distT="0" distB="0" distL="114300" distR="114300">
                        <wp:extent cx="1607820" cy="1192530"/>
                        <wp:effectExtent l="0" t="0" r="11430" b="7620"/>
                        <wp:docPr id="35" name="图片 59"/>
                        <wp:cNvGraphicFramePr/>
                        <a:graphic xmlns:a="http://schemas.openxmlformats.org/drawingml/2006/main">
                          <a:graphicData uri="http://schemas.openxmlformats.org/drawingml/2006/picture">
                            <pic:pic xmlns:pic="http://schemas.openxmlformats.org/drawingml/2006/picture">
                              <pic:nvPicPr>
                                <pic:cNvPr id="35" name="图片 59"/>
                                <pic:cNvPicPr/>
                              </pic:nvPicPr>
                              <pic:blipFill>
                                <a:blip r:embed="rId10"/>
                                <a:stretch>
                                  <a:fillRect/>
                                </a:stretch>
                              </pic:blipFill>
                              <pic:spPr>
                                <a:xfrm>
                                  <a:off x="0" y="0"/>
                                  <a:ext cx="1607820" cy="1192530"/>
                                </a:xfrm>
                                <a:prstGeom prst="rect">
                                  <a:avLst/>
                                </a:prstGeom>
                                <a:noFill/>
                                <a:ln>
                                  <a:noFill/>
                                </a:ln>
                              </pic:spPr>
                            </pic:pic>
                          </a:graphicData>
                        </a:graphic>
                      </wp:inline>
                    </w:drawing>
                  </w:r>
                </w:p>
              </w:tc>
              <w:tc>
                <w:tcPr>
                  <w:tcW w:w="603" w:type="dxa"/>
                  <w:noWrap w:val="0"/>
                  <w:vAlign w:val="center"/>
                </w:tcPr>
                <w:p>
                  <w:pPr>
                    <w:spacing w:before="72" w:beforeLines="30" w:line="288"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4</w:t>
                  </w:r>
                </w:p>
              </w:tc>
              <w:tc>
                <w:tcPr>
                  <w:tcW w:w="867" w:type="dxa"/>
                  <w:noWrap w:val="0"/>
                  <w:vAlign w:val="center"/>
                </w:tcPr>
                <w:p>
                  <w:pPr>
                    <w:spacing w:before="72" w:beforeLines="30" w:line="288"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张</w:t>
                  </w:r>
                </w:p>
              </w:tc>
              <w:tc>
                <w:tcPr>
                  <w:tcW w:w="720" w:type="dxa"/>
                  <w:noWrap w:val="0"/>
                  <w:vAlign w:val="center"/>
                </w:tcPr>
                <w:p>
                  <w:pPr>
                    <w:spacing w:before="72" w:beforeLines="30" w:line="288"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500</w:t>
                  </w:r>
                </w:p>
              </w:tc>
              <w:tc>
                <w:tcPr>
                  <w:tcW w:w="4620" w:type="dxa"/>
                  <w:vMerge w:val="continue"/>
                  <w:noWrap w:val="0"/>
                  <w:vAlign w:val="center"/>
                </w:tcPr>
                <w:p>
                  <w:pPr>
                    <w:widowControl/>
                    <w:spacing w:before="48" w:beforeLines="20" w:line="288" w:lineRule="auto"/>
                    <w:jc w:val="left"/>
                    <w:rPr>
                      <w:rFonts w:hint="eastAsia" w:asciiTheme="minorEastAsia" w:hAnsiTheme="minorEastAsia" w:eastAsiaTheme="minorEastAsia" w:cstheme="minorEastAsia"/>
                      <w:b w:val="0"/>
                      <w:bCs w:val="0"/>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39" w:type="dxa"/>
                  <w:noWrap w:val="0"/>
                  <w:vAlign w:val="center"/>
                </w:tcPr>
                <w:p>
                  <w:pPr>
                    <w:widowControl/>
                    <w:spacing w:line="400" w:lineRule="exact"/>
                    <w:jc w:val="center"/>
                    <w:rPr>
                      <w:rFonts w:hint="eastAsia" w:asciiTheme="minorEastAsia" w:hAnsiTheme="minorEastAsia" w:eastAsiaTheme="minorEastAsia" w:cstheme="minorEastAsia"/>
                      <w:b w:val="0"/>
                      <w:bCs w:val="0"/>
                      <w:color w:val="auto"/>
                      <w:kern w:val="2"/>
                      <w:sz w:val="21"/>
                      <w:szCs w:val="21"/>
                      <w:highlight w:val="none"/>
                      <w:lang w:val="en-US" w:eastAsia="zh-CN"/>
                    </w:rPr>
                  </w:pPr>
                  <w:r>
                    <w:rPr>
                      <w:rFonts w:hint="eastAsia" w:asciiTheme="minorEastAsia" w:hAnsiTheme="minorEastAsia" w:eastAsiaTheme="minorEastAsia" w:cstheme="minorEastAsia"/>
                      <w:b w:val="0"/>
                      <w:bCs w:val="0"/>
                      <w:color w:val="auto"/>
                      <w:kern w:val="2"/>
                      <w:sz w:val="21"/>
                      <w:szCs w:val="21"/>
                      <w:highlight w:val="none"/>
                      <w:lang w:val="en-US" w:eastAsia="zh-CN"/>
                    </w:rPr>
                    <w:t>4</w:t>
                  </w:r>
                </w:p>
              </w:tc>
              <w:tc>
                <w:tcPr>
                  <w:tcW w:w="645" w:type="dxa"/>
                  <w:noWrap w:val="0"/>
                  <w:vAlign w:val="center"/>
                </w:tcPr>
                <w:p>
                  <w:pPr>
                    <w:widowControl/>
                    <w:spacing w:line="400" w:lineRule="exact"/>
                    <w:jc w:val="center"/>
                    <w:rPr>
                      <w:rFonts w:hint="eastAsia" w:asciiTheme="minorEastAsia" w:hAnsiTheme="minorEastAsia" w:eastAsiaTheme="minorEastAsia" w:cstheme="minorEastAsia"/>
                      <w:b w:val="0"/>
                      <w:bCs w:val="0"/>
                      <w:color w:val="auto"/>
                      <w:kern w:val="2"/>
                      <w:sz w:val="21"/>
                      <w:szCs w:val="21"/>
                      <w:highlight w:val="none"/>
                    </w:rPr>
                  </w:pPr>
                  <w:r>
                    <w:rPr>
                      <w:rFonts w:hint="eastAsia" w:asciiTheme="minorEastAsia" w:hAnsiTheme="minorEastAsia" w:eastAsiaTheme="minorEastAsia" w:cstheme="minorEastAsia"/>
                      <w:b w:val="0"/>
                      <w:bCs w:val="0"/>
                      <w:color w:val="auto"/>
                      <w:kern w:val="2"/>
                      <w:sz w:val="21"/>
                      <w:szCs w:val="21"/>
                      <w:highlight w:val="none"/>
                    </w:rPr>
                    <w:t>条桌</w:t>
                  </w:r>
                </w:p>
              </w:tc>
              <w:tc>
                <w:tcPr>
                  <w:tcW w:w="2730" w:type="dxa"/>
                  <w:noWrap w:val="0"/>
                  <w:vAlign w:val="center"/>
                </w:tcPr>
                <w:p>
                  <w:pPr>
                    <w:pStyle w:val="4"/>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bdr w:val="single" w:color="000000" w:sz="4" w:space="0"/>
                      <w:lang w:bidi="ar"/>
                    </w:rPr>
                    <w:drawing>
                      <wp:inline distT="0" distB="0" distL="114300" distR="114300">
                        <wp:extent cx="1607820" cy="1192530"/>
                        <wp:effectExtent l="0" t="0" r="11430" b="7620"/>
                        <wp:docPr id="36" name="图片 60"/>
                        <wp:cNvGraphicFramePr/>
                        <a:graphic xmlns:a="http://schemas.openxmlformats.org/drawingml/2006/main">
                          <a:graphicData uri="http://schemas.openxmlformats.org/drawingml/2006/picture">
                            <pic:pic xmlns:pic="http://schemas.openxmlformats.org/drawingml/2006/picture">
                              <pic:nvPicPr>
                                <pic:cNvPr id="36" name="图片 60"/>
                                <pic:cNvPicPr/>
                              </pic:nvPicPr>
                              <pic:blipFill>
                                <a:blip r:embed="rId10"/>
                                <a:stretch>
                                  <a:fillRect/>
                                </a:stretch>
                              </pic:blipFill>
                              <pic:spPr>
                                <a:xfrm>
                                  <a:off x="0" y="0"/>
                                  <a:ext cx="1607820" cy="1192530"/>
                                </a:xfrm>
                                <a:prstGeom prst="rect">
                                  <a:avLst/>
                                </a:prstGeom>
                                <a:noFill/>
                                <a:ln>
                                  <a:noFill/>
                                </a:ln>
                              </pic:spPr>
                            </pic:pic>
                          </a:graphicData>
                        </a:graphic>
                      </wp:inline>
                    </w:drawing>
                  </w:r>
                </w:p>
              </w:tc>
              <w:tc>
                <w:tcPr>
                  <w:tcW w:w="603" w:type="dxa"/>
                  <w:noWrap w:val="0"/>
                  <w:vAlign w:val="center"/>
                </w:tcPr>
                <w:p>
                  <w:pPr>
                    <w:spacing w:before="72" w:beforeLines="30" w:line="288"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w:t>
                  </w:r>
                </w:p>
              </w:tc>
              <w:tc>
                <w:tcPr>
                  <w:tcW w:w="867" w:type="dxa"/>
                  <w:noWrap w:val="0"/>
                  <w:vAlign w:val="center"/>
                </w:tcPr>
                <w:p>
                  <w:pPr>
                    <w:spacing w:before="72" w:beforeLines="30" w:line="288"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张</w:t>
                  </w:r>
                </w:p>
              </w:tc>
              <w:tc>
                <w:tcPr>
                  <w:tcW w:w="720" w:type="dxa"/>
                  <w:noWrap w:val="0"/>
                  <w:vAlign w:val="center"/>
                </w:tcPr>
                <w:p>
                  <w:pPr>
                    <w:spacing w:before="72" w:beforeLines="30" w:line="288"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500</w:t>
                  </w:r>
                </w:p>
              </w:tc>
              <w:tc>
                <w:tcPr>
                  <w:tcW w:w="4620" w:type="dxa"/>
                  <w:vMerge w:val="continue"/>
                  <w:noWrap w:val="0"/>
                  <w:vAlign w:val="center"/>
                </w:tcPr>
                <w:p>
                  <w:pPr>
                    <w:widowControl/>
                    <w:spacing w:before="48" w:beforeLines="20"/>
                    <w:rPr>
                      <w:rFonts w:hint="eastAsia" w:asciiTheme="minorEastAsia" w:hAnsiTheme="minorEastAsia" w:eastAsiaTheme="minorEastAsia" w:cstheme="minorEastAsia"/>
                      <w:b w:val="0"/>
                      <w:bCs w:val="0"/>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39" w:type="dxa"/>
                  <w:noWrap w:val="0"/>
                  <w:vAlign w:val="center"/>
                </w:tcPr>
                <w:p>
                  <w:pPr>
                    <w:widowControl/>
                    <w:spacing w:line="400" w:lineRule="exact"/>
                    <w:jc w:val="center"/>
                    <w:rPr>
                      <w:rFonts w:hint="eastAsia" w:asciiTheme="minorEastAsia" w:hAnsiTheme="minorEastAsia" w:eastAsiaTheme="minorEastAsia" w:cstheme="minorEastAsia"/>
                      <w:b w:val="0"/>
                      <w:bCs w:val="0"/>
                      <w:color w:val="auto"/>
                      <w:kern w:val="2"/>
                      <w:sz w:val="21"/>
                      <w:szCs w:val="21"/>
                      <w:highlight w:val="none"/>
                      <w:lang w:val="en-US" w:eastAsia="zh-CN"/>
                    </w:rPr>
                  </w:pPr>
                  <w:r>
                    <w:rPr>
                      <w:rFonts w:hint="eastAsia" w:asciiTheme="minorEastAsia" w:hAnsiTheme="minorEastAsia" w:eastAsiaTheme="minorEastAsia" w:cstheme="minorEastAsia"/>
                      <w:b w:val="0"/>
                      <w:bCs w:val="0"/>
                      <w:color w:val="auto"/>
                      <w:kern w:val="2"/>
                      <w:sz w:val="21"/>
                      <w:szCs w:val="21"/>
                      <w:highlight w:val="none"/>
                      <w:lang w:val="en-US" w:eastAsia="zh-CN"/>
                    </w:rPr>
                    <w:t>5</w:t>
                  </w:r>
                </w:p>
              </w:tc>
              <w:tc>
                <w:tcPr>
                  <w:tcW w:w="645" w:type="dxa"/>
                  <w:noWrap w:val="0"/>
                  <w:vAlign w:val="center"/>
                </w:tcPr>
                <w:p>
                  <w:pPr>
                    <w:widowControl/>
                    <w:spacing w:line="400" w:lineRule="exact"/>
                    <w:jc w:val="center"/>
                    <w:rPr>
                      <w:rFonts w:hint="eastAsia" w:asciiTheme="minorEastAsia" w:hAnsiTheme="minorEastAsia" w:eastAsiaTheme="minorEastAsia" w:cstheme="minorEastAsia"/>
                      <w:b w:val="0"/>
                      <w:bCs w:val="0"/>
                      <w:color w:val="auto"/>
                      <w:kern w:val="2"/>
                      <w:sz w:val="21"/>
                      <w:szCs w:val="21"/>
                      <w:highlight w:val="none"/>
                    </w:rPr>
                  </w:pPr>
                  <w:r>
                    <w:rPr>
                      <w:rFonts w:hint="eastAsia" w:asciiTheme="minorEastAsia" w:hAnsiTheme="minorEastAsia" w:eastAsiaTheme="minorEastAsia" w:cstheme="minorEastAsia"/>
                      <w:b w:val="0"/>
                      <w:bCs w:val="0"/>
                      <w:color w:val="auto"/>
                      <w:kern w:val="2"/>
                      <w:sz w:val="21"/>
                      <w:szCs w:val="21"/>
                      <w:highlight w:val="none"/>
                    </w:rPr>
                    <w:t>条桌</w:t>
                  </w:r>
                </w:p>
              </w:tc>
              <w:tc>
                <w:tcPr>
                  <w:tcW w:w="2730" w:type="dxa"/>
                  <w:noWrap w:val="0"/>
                  <w:vAlign w:val="center"/>
                </w:tcPr>
                <w:p>
                  <w:pPr>
                    <w:pStyle w:val="4"/>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bdr w:val="single" w:color="000000" w:sz="4" w:space="0"/>
                      <w:lang w:bidi="ar"/>
                    </w:rPr>
                    <w:drawing>
                      <wp:inline distT="0" distB="0" distL="114300" distR="114300">
                        <wp:extent cx="1607820" cy="1192530"/>
                        <wp:effectExtent l="0" t="0" r="11430" b="7620"/>
                        <wp:docPr id="37" name="图片 61"/>
                        <wp:cNvGraphicFramePr/>
                        <a:graphic xmlns:a="http://schemas.openxmlformats.org/drawingml/2006/main">
                          <a:graphicData uri="http://schemas.openxmlformats.org/drawingml/2006/picture">
                            <pic:pic xmlns:pic="http://schemas.openxmlformats.org/drawingml/2006/picture">
                              <pic:nvPicPr>
                                <pic:cNvPr id="37" name="图片 61"/>
                                <pic:cNvPicPr/>
                              </pic:nvPicPr>
                              <pic:blipFill>
                                <a:blip r:embed="rId10"/>
                                <a:stretch>
                                  <a:fillRect/>
                                </a:stretch>
                              </pic:blipFill>
                              <pic:spPr>
                                <a:xfrm>
                                  <a:off x="0" y="0"/>
                                  <a:ext cx="1607820" cy="1192530"/>
                                </a:xfrm>
                                <a:prstGeom prst="rect">
                                  <a:avLst/>
                                </a:prstGeom>
                                <a:noFill/>
                                <a:ln>
                                  <a:noFill/>
                                </a:ln>
                              </pic:spPr>
                            </pic:pic>
                          </a:graphicData>
                        </a:graphic>
                      </wp:inline>
                    </w:drawing>
                  </w:r>
                </w:p>
              </w:tc>
              <w:tc>
                <w:tcPr>
                  <w:tcW w:w="603" w:type="dxa"/>
                  <w:noWrap w:val="0"/>
                  <w:vAlign w:val="center"/>
                </w:tcPr>
                <w:p>
                  <w:pPr>
                    <w:spacing w:before="72" w:beforeLines="30" w:line="288"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w:t>
                  </w:r>
                </w:p>
              </w:tc>
              <w:tc>
                <w:tcPr>
                  <w:tcW w:w="867" w:type="dxa"/>
                  <w:noWrap w:val="0"/>
                  <w:vAlign w:val="center"/>
                </w:tcPr>
                <w:p>
                  <w:pPr>
                    <w:spacing w:before="72" w:beforeLines="30" w:line="288"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张</w:t>
                  </w:r>
                </w:p>
              </w:tc>
              <w:tc>
                <w:tcPr>
                  <w:tcW w:w="720" w:type="dxa"/>
                  <w:noWrap w:val="0"/>
                  <w:vAlign w:val="center"/>
                </w:tcPr>
                <w:p>
                  <w:pPr>
                    <w:spacing w:before="72" w:beforeLines="30" w:line="288"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500</w:t>
                  </w:r>
                </w:p>
              </w:tc>
              <w:tc>
                <w:tcPr>
                  <w:tcW w:w="4620" w:type="dxa"/>
                  <w:vMerge w:val="continue"/>
                  <w:noWrap w:val="0"/>
                  <w:vAlign w:val="center"/>
                </w:tcPr>
                <w:p>
                  <w:pPr>
                    <w:widowControl/>
                    <w:spacing w:before="48" w:beforeLines="20"/>
                    <w:rPr>
                      <w:rFonts w:hint="eastAsia" w:asciiTheme="minorEastAsia" w:hAnsiTheme="minorEastAsia" w:eastAsiaTheme="minorEastAsia" w:cstheme="minorEastAsia"/>
                      <w:b w:val="0"/>
                      <w:bCs w:val="0"/>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0624" w:type="dxa"/>
                  <w:gridSpan w:val="7"/>
                  <w:noWrap w:val="0"/>
                  <w:vAlign w:val="center"/>
                </w:tcPr>
                <w:p>
                  <w:pPr>
                    <w:widowControl/>
                    <w:spacing w:line="400" w:lineRule="exact"/>
                    <w:rPr>
                      <w:rFonts w:hint="eastAsia" w:asciiTheme="minorEastAsia" w:hAnsiTheme="minorEastAsia" w:eastAsiaTheme="minorEastAsia" w:cstheme="minorEastAsia"/>
                      <w:b w:val="0"/>
                      <w:bCs w:val="0"/>
                      <w:color w:val="auto"/>
                      <w:kern w:val="2"/>
                      <w:sz w:val="21"/>
                      <w:szCs w:val="21"/>
                      <w:highlight w:val="none"/>
                    </w:rPr>
                  </w:pPr>
                  <w:r>
                    <w:rPr>
                      <w:rFonts w:hint="eastAsia" w:asciiTheme="minorEastAsia" w:hAnsiTheme="minorEastAsia" w:eastAsiaTheme="minorEastAsia" w:cstheme="minorEastAsia"/>
                      <w:b w:val="0"/>
                      <w:bCs w:val="0"/>
                      <w:color w:val="auto"/>
                      <w:kern w:val="2"/>
                      <w:sz w:val="21"/>
                      <w:szCs w:val="21"/>
                      <w:highlight w:val="none"/>
                    </w:rPr>
                    <w:t>▲</w:t>
                  </w:r>
                  <w:r>
                    <w:rPr>
                      <w:rFonts w:hint="eastAsia" w:asciiTheme="minorEastAsia" w:hAnsiTheme="minorEastAsia" w:eastAsiaTheme="minorEastAsia" w:cstheme="minorEastAsia"/>
                      <w:b w:val="0"/>
                      <w:bCs w:val="0"/>
                      <w:color w:val="auto"/>
                      <w:sz w:val="21"/>
                      <w:szCs w:val="21"/>
                      <w:highlight w:val="none"/>
                    </w:rPr>
                    <w:t>商务及其他售后服务要求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84" w:type="dxa"/>
                  <w:gridSpan w:val="2"/>
                  <w:noWrap w:val="0"/>
                  <w:vAlign w:val="center"/>
                </w:tcPr>
                <w:p>
                  <w:pPr>
                    <w:widowControl/>
                    <w:spacing w:line="400" w:lineRule="exact"/>
                    <w:jc w:val="center"/>
                    <w:rPr>
                      <w:rFonts w:hint="eastAsia" w:asciiTheme="minorEastAsia" w:hAnsiTheme="minorEastAsia" w:eastAsiaTheme="minorEastAsia" w:cstheme="minorEastAsia"/>
                      <w:b w:val="0"/>
                      <w:bCs w:val="0"/>
                      <w:color w:val="auto"/>
                      <w:kern w:val="2"/>
                      <w:sz w:val="21"/>
                      <w:szCs w:val="21"/>
                      <w:highlight w:val="none"/>
                    </w:rPr>
                  </w:pPr>
                  <w:r>
                    <w:rPr>
                      <w:rFonts w:hint="eastAsia" w:asciiTheme="minorEastAsia" w:hAnsiTheme="minorEastAsia" w:eastAsiaTheme="minorEastAsia" w:cstheme="minorEastAsia"/>
                      <w:b w:val="0"/>
                      <w:bCs w:val="0"/>
                      <w:color w:val="auto"/>
                      <w:kern w:val="2"/>
                      <w:sz w:val="21"/>
                      <w:szCs w:val="21"/>
                      <w:highlight w:val="none"/>
                    </w:rPr>
                    <w:t>▲售后服务及其他要求</w:t>
                  </w:r>
                </w:p>
              </w:tc>
              <w:tc>
                <w:tcPr>
                  <w:tcW w:w="9540" w:type="dxa"/>
                  <w:gridSpan w:val="5"/>
                  <w:noWrap w:val="0"/>
                  <w:vAlign w:val="center"/>
                </w:tcPr>
                <w:p>
                  <w:pPr>
                    <w:adjustRightInd w:val="0"/>
                    <w:snapToGrid w:val="0"/>
                    <w:spacing w:before="72" w:beforeLines="30" w:line="288" w:lineRule="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1、合同签订期：自中标通知书发出之日起</w:t>
                  </w:r>
                  <w:r>
                    <w:rPr>
                      <w:rFonts w:hint="eastAsia" w:asciiTheme="minorEastAsia" w:hAnsiTheme="minorEastAsia" w:eastAsiaTheme="minorEastAsia" w:cstheme="minorEastAsia"/>
                      <w:b w:val="0"/>
                      <w:bCs w:val="0"/>
                      <w:color w:val="auto"/>
                      <w:sz w:val="21"/>
                      <w:szCs w:val="21"/>
                      <w:highlight w:val="none"/>
                      <w:u w:val="single"/>
                      <w:lang w:val="en"/>
                    </w:rPr>
                    <w:t xml:space="preserve"> </w:t>
                  </w:r>
                  <w:r>
                    <w:rPr>
                      <w:rFonts w:hint="eastAsia" w:asciiTheme="minorEastAsia" w:hAnsiTheme="minorEastAsia" w:eastAsiaTheme="minorEastAsia" w:cstheme="minorEastAsia"/>
                      <w:b w:val="0"/>
                      <w:bCs w:val="0"/>
                      <w:color w:val="auto"/>
                      <w:sz w:val="21"/>
                      <w:szCs w:val="21"/>
                      <w:highlight w:val="none"/>
                      <w:u w:val="single"/>
                    </w:rPr>
                    <w:t>10个日历日内</w:t>
                  </w:r>
                  <w:r>
                    <w:rPr>
                      <w:rFonts w:hint="eastAsia" w:asciiTheme="minorEastAsia" w:hAnsiTheme="minorEastAsia" w:eastAsiaTheme="minorEastAsia" w:cstheme="minorEastAsia"/>
                      <w:b w:val="0"/>
                      <w:bCs w:val="0"/>
                      <w:color w:val="auto"/>
                      <w:sz w:val="21"/>
                      <w:szCs w:val="21"/>
                      <w:highlight w:val="none"/>
                    </w:rPr>
                    <w:t>。</w:t>
                  </w:r>
                </w:p>
                <w:p>
                  <w:pPr>
                    <w:adjustRightInd w:val="0"/>
                    <w:snapToGrid w:val="0"/>
                    <w:spacing w:before="72" w:beforeLines="30" w:line="288" w:lineRule="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2、交付使用时间：自合同签订之日起，</w:t>
                  </w:r>
                  <w:r>
                    <w:rPr>
                      <w:rFonts w:hint="eastAsia" w:asciiTheme="minorEastAsia" w:hAnsiTheme="minorEastAsia" w:eastAsiaTheme="minorEastAsia" w:cstheme="minorEastAsia"/>
                      <w:b w:val="0"/>
                      <w:bCs w:val="0"/>
                      <w:color w:val="auto"/>
                      <w:sz w:val="21"/>
                      <w:szCs w:val="21"/>
                      <w:highlight w:val="none"/>
                      <w:u w:val="single"/>
                      <w:lang w:val="en"/>
                    </w:rPr>
                    <w:t xml:space="preserve"> </w:t>
                  </w:r>
                  <w:r>
                    <w:rPr>
                      <w:rFonts w:hint="eastAsia" w:asciiTheme="minorEastAsia" w:hAnsiTheme="minorEastAsia" w:eastAsiaTheme="minorEastAsia" w:cstheme="minorEastAsia"/>
                      <w:b w:val="0"/>
                      <w:bCs w:val="0"/>
                      <w:color w:val="auto"/>
                      <w:sz w:val="21"/>
                      <w:szCs w:val="21"/>
                      <w:highlight w:val="none"/>
                      <w:u w:val="single"/>
                    </w:rPr>
                    <w:t>40日历日内</w:t>
                  </w:r>
                  <w:r>
                    <w:rPr>
                      <w:rFonts w:hint="eastAsia" w:asciiTheme="minorEastAsia" w:hAnsiTheme="minorEastAsia" w:eastAsiaTheme="minorEastAsia" w:cstheme="minorEastAsia"/>
                      <w:b w:val="0"/>
                      <w:bCs w:val="0"/>
                      <w:color w:val="auto"/>
                      <w:sz w:val="21"/>
                      <w:szCs w:val="21"/>
                      <w:highlight w:val="none"/>
                    </w:rPr>
                    <w:t>完交付并安装验收完毕。</w:t>
                  </w:r>
                </w:p>
                <w:p>
                  <w:pPr>
                    <w:adjustRightInd w:val="0"/>
                    <w:snapToGrid w:val="0"/>
                    <w:spacing w:before="72" w:beforeLines="30" w:line="288" w:lineRule="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3、交货地点：广西南宁市内（采购人指定地点）。</w:t>
                  </w:r>
                </w:p>
                <w:p>
                  <w:pPr>
                    <w:adjustRightInd w:val="0"/>
                    <w:snapToGrid w:val="0"/>
                    <w:spacing w:before="72" w:beforeLines="30" w:line="288" w:lineRule="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4、交货方式：现场交货。</w:t>
                  </w:r>
                </w:p>
                <w:p>
                  <w:pPr>
                    <w:adjustRightInd w:val="0"/>
                    <w:snapToGrid w:val="0"/>
                    <w:spacing w:before="72" w:beforeLines="30" w:line="288" w:lineRule="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5、售后服务要求：</w:t>
                  </w:r>
                </w:p>
                <w:p>
                  <w:pPr>
                    <w:adjustRightInd w:val="0"/>
                    <w:snapToGrid w:val="0"/>
                    <w:spacing w:before="72" w:beforeLines="30" w:line="288" w:lineRule="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（1）免费送货上门，按现场条件全程免费安装调试，直至最终验收前产生的所有费用由中标供应商承担。</w:t>
                  </w:r>
                </w:p>
                <w:p>
                  <w:pPr>
                    <w:adjustRightInd w:val="0"/>
                    <w:snapToGrid w:val="0"/>
                    <w:spacing w:before="72" w:beforeLines="30" w:line="288" w:lineRule="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（2）免费保修期：对所售设备提供</w:t>
                  </w:r>
                  <w:r>
                    <w:rPr>
                      <w:rFonts w:hint="eastAsia" w:asciiTheme="minorEastAsia" w:hAnsiTheme="minorEastAsia" w:eastAsiaTheme="minorEastAsia" w:cstheme="minorEastAsia"/>
                      <w:b w:val="0"/>
                      <w:bCs w:val="0"/>
                      <w:color w:val="auto"/>
                      <w:sz w:val="21"/>
                      <w:szCs w:val="21"/>
                      <w:highlight w:val="none"/>
                      <w:lang w:val="en"/>
                    </w:rPr>
                    <w:t>60</w:t>
                  </w:r>
                  <w:r>
                    <w:rPr>
                      <w:rFonts w:hint="eastAsia" w:asciiTheme="minorEastAsia" w:hAnsiTheme="minorEastAsia" w:eastAsiaTheme="minorEastAsia" w:cstheme="minorEastAsia"/>
                      <w:b w:val="0"/>
                      <w:bCs w:val="0"/>
                      <w:color w:val="auto"/>
                      <w:sz w:val="21"/>
                      <w:szCs w:val="21"/>
                      <w:highlight w:val="none"/>
                    </w:rPr>
                    <w:t>个月的上门全免费保修期，保修期内非人为因素发生的故障均由中标供应商免费维修或更换，质保期外维修的零配件需优惠（注明折扣率）。</w:t>
                  </w:r>
                </w:p>
                <w:p>
                  <w:pPr>
                    <w:adjustRightInd w:val="0"/>
                    <w:snapToGrid w:val="0"/>
                    <w:spacing w:before="72" w:beforeLines="30" w:line="288" w:lineRule="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（3）质量保证期：</w:t>
                  </w:r>
                  <w:r>
                    <w:rPr>
                      <w:rFonts w:hint="eastAsia" w:asciiTheme="minorEastAsia" w:hAnsiTheme="minorEastAsia" w:eastAsiaTheme="minorEastAsia" w:cstheme="minorEastAsia"/>
                      <w:b w:val="0"/>
                      <w:bCs w:val="0"/>
                      <w:color w:val="auto"/>
                      <w:sz w:val="21"/>
                      <w:szCs w:val="21"/>
                      <w:highlight w:val="none"/>
                      <w:u w:val="single"/>
                    </w:rPr>
                    <w:t>所有家具的质量保证期不少于</w:t>
                  </w:r>
                  <w:r>
                    <w:rPr>
                      <w:rFonts w:hint="eastAsia" w:asciiTheme="minorEastAsia" w:hAnsiTheme="minorEastAsia" w:eastAsiaTheme="minorEastAsia" w:cstheme="minorEastAsia"/>
                      <w:b w:val="0"/>
                      <w:bCs w:val="0"/>
                      <w:color w:val="auto"/>
                      <w:sz w:val="21"/>
                      <w:szCs w:val="21"/>
                      <w:highlight w:val="none"/>
                      <w:u w:val="single"/>
                      <w:lang w:val="en"/>
                    </w:rPr>
                    <w:t>5</w:t>
                  </w:r>
                  <w:r>
                    <w:rPr>
                      <w:rFonts w:hint="eastAsia" w:asciiTheme="minorEastAsia" w:hAnsiTheme="minorEastAsia" w:eastAsiaTheme="minorEastAsia" w:cstheme="minorEastAsia"/>
                      <w:b w:val="0"/>
                      <w:bCs w:val="0"/>
                      <w:color w:val="auto"/>
                      <w:sz w:val="21"/>
                      <w:szCs w:val="21"/>
                      <w:highlight w:val="none"/>
                      <w:u w:val="single"/>
                    </w:rPr>
                    <w:t>年</w:t>
                  </w:r>
                  <w:r>
                    <w:rPr>
                      <w:rFonts w:hint="eastAsia" w:asciiTheme="minorEastAsia" w:hAnsiTheme="minorEastAsia" w:eastAsiaTheme="minorEastAsia" w:cstheme="minorEastAsia"/>
                      <w:b w:val="0"/>
                      <w:bCs w:val="0"/>
                      <w:color w:val="auto"/>
                      <w:sz w:val="21"/>
                      <w:szCs w:val="21"/>
                      <w:highlight w:val="none"/>
                    </w:rPr>
                    <w:t>，分项货物有要求按分项要求。在质保期内设备运行发生故障，竞标人必须免费提供维修服务所提供的货物必须是全新的合格产品，质保期内全免费上门维修、免费更换零部件；质保期过后提供终身维护。竞标人竞标时必须承诺对本项目设备提供终身服务，保修期外的服务费用由采购人和竞标人另行商议。</w:t>
                  </w:r>
                </w:p>
                <w:p>
                  <w:pPr>
                    <w:adjustRightInd w:val="0"/>
                    <w:snapToGrid w:val="0"/>
                    <w:spacing w:before="72" w:beforeLines="30" w:line="288" w:lineRule="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（4）故障响应时间：竞标人接到故障通知后</w:t>
                  </w:r>
                  <w:r>
                    <w:rPr>
                      <w:rFonts w:hint="eastAsia" w:asciiTheme="minorEastAsia" w:hAnsiTheme="minorEastAsia" w:eastAsiaTheme="minorEastAsia" w:cstheme="minorEastAsia"/>
                      <w:b w:val="0"/>
                      <w:bCs w:val="0"/>
                      <w:color w:val="auto"/>
                      <w:sz w:val="21"/>
                      <w:szCs w:val="21"/>
                      <w:highlight w:val="none"/>
                      <w:u w:val="single"/>
                    </w:rPr>
                    <w:t>4</w:t>
                  </w:r>
                  <w:r>
                    <w:rPr>
                      <w:rFonts w:hint="eastAsia" w:asciiTheme="minorEastAsia" w:hAnsiTheme="minorEastAsia" w:eastAsiaTheme="minorEastAsia" w:cstheme="minorEastAsia"/>
                      <w:b w:val="0"/>
                      <w:bCs w:val="0"/>
                      <w:color w:val="auto"/>
                      <w:sz w:val="21"/>
                      <w:szCs w:val="21"/>
                      <w:highlight w:val="none"/>
                    </w:rPr>
                    <w:t>小时内响应，一般故障处理时限不超过24小时，24小时内不能修复的，竞标人须在2个日历日内提供替代品，以保证采购人的正常工作。</w:t>
                  </w:r>
                </w:p>
                <w:p>
                  <w:pPr>
                    <w:spacing w:before="72" w:beforeLines="30" w:line="288" w:lineRule="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
                    </w:rPr>
                    <w:t>(5)</w:t>
                  </w:r>
                  <w:r>
                    <w:rPr>
                      <w:rFonts w:hint="eastAsia" w:asciiTheme="minorEastAsia" w:hAnsiTheme="minorEastAsia" w:eastAsiaTheme="minorEastAsia" w:cstheme="minorEastAsia"/>
                      <w:b w:val="0"/>
                      <w:bCs w:val="0"/>
                      <w:color w:val="auto"/>
                      <w:sz w:val="21"/>
                      <w:szCs w:val="21"/>
                      <w:highlight w:val="none"/>
                    </w:rPr>
                    <w:t>在质保期内设备发生故障，竞标人免费上门维修、免费更换全新的同档次的零部件。</w:t>
                  </w:r>
                </w:p>
                <w:p>
                  <w:pPr>
                    <w:pStyle w:val="14"/>
                    <w:spacing w:before="72" w:beforeLines="30" w:line="288" w:lineRule="auto"/>
                    <w:ind w:firstLine="0" w:firstLineChars="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
                    </w:rPr>
                    <w:t>(6)</w:t>
                  </w:r>
                  <w:r>
                    <w:rPr>
                      <w:rFonts w:hint="eastAsia" w:asciiTheme="minorEastAsia" w:hAnsiTheme="minorEastAsia" w:eastAsiaTheme="minorEastAsia" w:cstheme="minorEastAsia"/>
                      <w:b w:val="0"/>
                      <w:bCs w:val="0"/>
                      <w:color w:val="auto"/>
                      <w:sz w:val="21"/>
                      <w:szCs w:val="21"/>
                      <w:highlight w:val="none"/>
                    </w:rPr>
                    <w:t>竞标人须安排固定的业务员专责采购人的业务及售后服务，若更换相关人员，须经提前知会采购人同意。</w:t>
                  </w:r>
                </w:p>
                <w:p>
                  <w:pPr>
                    <w:widowControl/>
                    <w:spacing w:before="72" w:beforeLines="30" w:line="288" w:lineRule="auto"/>
                    <w:rPr>
                      <w:rFonts w:hint="eastAsia" w:asciiTheme="minorEastAsia" w:hAnsiTheme="minorEastAsia" w:eastAsiaTheme="minorEastAsia" w:cstheme="minorEastAsia"/>
                      <w:b w:val="0"/>
                      <w:bCs w:val="0"/>
                      <w:color w:val="auto"/>
                      <w:kern w:val="0"/>
                      <w:sz w:val="21"/>
                      <w:szCs w:val="21"/>
                      <w:highlight w:val="none"/>
                      <w:lang w:bidi="ar"/>
                    </w:rPr>
                  </w:pPr>
                  <w:r>
                    <w:rPr>
                      <w:rFonts w:hint="eastAsia" w:asciiTheme="minorEastAsia" w:hAnsiTheme="minorEastAsia" w:eastAsiaTheme="minorEastAsia" w:cstheme="minorEastAsia"/>
                      <w:b w:val="0"/>
                      <w:bCs w:val="0"/>
                      <w:color w:val="auto"/>
                      <w:sz w:val="21"/>
                      <w:szCs w:val="21"/>
                      <w:highlight w:val="none"/>
                      <w:lang w:val="en"/>
                    </w:rPr>
                    <w:t>6</w:t>
                  </w:r>
                  <w:r>
                    <w:rPr>
                      <w:rFonts w:hint="eastAsia" w:asciiTheme="minorEastAsia" w:hAnsiTheme="minorEastAsia" w:eastAsiaTheme="minorEastAsia" w:cstheme="minorEastAsia"/>
                      <w:b w:val="0"/>
                      <w:bCs w:val="0"/>
                      <w:color w:val="auto"/>
                      <w:sz w:val="21"/>
                      <w:szCs w:val="21"/>
                      <w:highlight w:val="none"/>
                    </w:rPr>
                    <w:t>、如每违反以上售后服务约定一次，考核500元一次，直至扣完履约保证金为止。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84" w:type="dxa"/>
                  <w:gridSpan w:val="2"/>
                  <w:noWrap w:val="0"/>
                  <w:vAlign w:val="center"/>
                </w:tcPr>
                <w:p>
                  <w:pPr>
                    <w:widowControl/>
                    <w:spacing w:line="400" w:lineRule="exact"/>
                    <w:jc w:val="center"/>
                    <w:rPr>
                      <w:rFonts w:hint="eastAsia" w:asciiTheme="minorEastAsia" w:hAnsiTheme="minorEastAsia" w:eastAsiaTheme="minorEastAsia" w:cstheme="minorEastAsia"/>
                      <w:b w:val="0"/>
                      <w:bCs w:val="0"/>
                      <w:color w:val="auto"/>
                      <w:kern w:val="2"/>
                      <w:sz w:val="21"/>
                      <w:szCs w:val="21"/>
                      <w:highlight w:val="none"/>
                    </w:rPr>
                  </w:pPr>
                  <w:r>
                    <w:rPr>
                      <w:rFonts w:hint="eastAsia" w:asciiTheme="minorEastAsia" w:hAnsiTheme="minorEastAsia" w:eastAsiaTheme="minorEastAsia" w:cstheme="minorEastAsia"/>
                      <w:b w:val="0"/>
                      <w:bCs w:val="0"/>
                      <w:color w:val="auto"/>
                      <w:kern w:val="2"/>
                      <w:sz w:val="21"/>
                      <w:szCs w:val="21"/>
                      <w:highlight w:val="none"/>
                    </w:rPr>
                    <w:t>▲检测</w:t>
                  </w:r>
                </w:p>
                <w:p>
                  <w:pPr>
                    <w:widowControl/>
                    <w:spacing w:line="400" w:lineRule="exact"/>
                    <w:jc w:val="center"/>
                    <w:rPr>
                      <w:rFonts w:hint="eastAsia" w:asciiTheme="minorEastAsia" w:hAnsiTheme="minorEastAsia" w:eastAsiaTheme="minorEastAsia" w:cstheme="minorEastAsia"/>
                      <w:b w:val="0"/>
                      <w:bCs w:val="0"/>
                      <w:color w:val="auto"/>
                      <w:kern w:val="2"/>
                      <w:sz w:val="21"/>
                      <w:szCs w:val="21"/>
                      <w:highlight w:val="none"/>
                    </w:rPr>
                  </w:pPr>
                  <w:r>
                    <w:rPr>
                      <w:rFonts w:hint="eastAsia" w:asciiTheme="minorEastAsia" w:hAnsiTheme="minorEastAsia" w:eastAsiaTheme="minorEastAsia" w:cstheme="minorEastAsia"/>
                      <w:b w:val="0"/>
                      <w:bCs w:val="0"/>
                      <w:color w:val="auto"/>
                      <w:kern w:val="2"/>
                      <w:sz w:val="21"/>
                      <w:szCs w:val="21"/>
                      <w:highlight w:val="none"/>
                    </w:rPr>
                    <w:t>报告</w:t>
                  </w:r>
                </w:p>
              </w:tc>
              <w:tc>
                <w:tcPr>
                  <w:tcW w:w="9540" w:type="dxa"/>
                  <w:gridSpan w:val="5"/>
                  <w:noWrap w:val="0"/>
                  <w:vAlign w:val="center"/>
                </w:tcPr>
                <w:p>
                  <w:pPr>
                    <w:widowControl/>
                    <w:spacing w:before="72" w:beforeLines="30" w:line="288" w:lineRule="auto"/>
                    <w:ind w:firstLine="420" w:firstLineChars="200"/>
                    <w:rPr>
                      <w:rFonts w:hint="eastAsia" w:asciiTheme="minorEastAsia" w:hAnsiTheme="minorEastAsia" w:eastAsiaTheme="minorEastAsia" w:cstheme="minorEastAsia"/>
                      <w:b w:val="0"/>
                      <w:bCs w:val="0"/>
                      <w:color w:val="auto"/>
                      <w:sz w:val="21"/>
                      <w:szCs w:val="21"/>
                      <w:highlight w:val="none"/>
                      <w:lang w:val="en"/>
                    </w:rPr>
                  </w:pPr>
                  <w:bookmarkStart w:id="21" w:name="OLE_LINK66"/>
                  <w:bookmarkStart w:id="22" w:name="OLE_LINK24"/>
                  <w:bookmarkStart w:id="23" w:name="OLE_LINK68"/>
                  <w:r>
                    <w:rPr>
                      <w:rFonts w:hint="eastAsia" w:asciiTheme="minorEastAsia" w:hAnsiTheme="minorEastAsia" w:eastAsiaTheme="minorEastAsia" w:cstheme="minorEastAsia"/>
                      <w:b w:val="0"/>
                      <w:bCs w:val="0"/>
                      <w:color w:val="auto"/>
                      <w:sz w:val="21"/>
                      <w:szCs w:val="21"/>
                      <w:highlight w:val="none"/>
                    </w:rPr>
                    <w:t>1、竞标时，竞标人</w:t>
                  </w:r>
                  <w:r>
                    <w:rPr>
                      <w:rFonts w:hint="eastAsia" w:asciiTheme="minorEastAsia" w:hAnsiTheme="minorEastAsia" w:eastAsiaTheme="minorEastAsia" w:cstheme="minorEastAsia"/>
                      <w:b w:val="0"/>
                      <w:bCs w:val="0"/>
                      <w:color w:val="auto"/>
                      <w:sz w:val="21"/>
                      <w:szCs w:val="21"/>
                      <w:highlight w:val="none"/>
                      <w:lang w:val="en"/>
                    </w:rPr>
                    <w:t>在</w:t>
                  </w:r>
                  <w:r>
                    <w:rPr>
                      <w:rFonts w:hint="eastAsia" w:asciiTheme="minorEastAsia" w:hAnsiTheme="minorEastAsia" w:eastAsiaTheme="minorEastAsia" w:cstheme="minorEastAsia"/>
                      <w:b w:val="0"/>
                      <w:bCs w:val="0"/>
                      <w:color w:val="auto"/>
                      <w:sz w:val="21"/>
                      <w:szCs w:val="21"/>
                      <w:highlight w:val="none"/>
                    </w:rPr>
                    <w:t>竞</w:t>
                  </w:r>
                  <w:r>
                    <w:rPr>
                      <w:rFonts w:hint="eastAsia" w:asciiTheme="minorEastAsia" w:hAnsiTheme="minorEastAsia" w:eastAsiaTheme="minorEastAsia" w:cstheme="minorEastAsia"/>
                      <w:b w:val="0"/>
                      <w:bCs w:val="0"/>
                      <w:color w:val="auto"/>
                      <w:sz w:val="21"/>
                      <w:szCs w:val="21"/>
                      <w:highlight w:val="none"/>
                      <w:lang w:val="en"/>
                    </w:rPr>
                    <w:t>标文件中提供自2022年1月1日以来由具有检测资质的第三方检验机构出具的合格检验报告，检验项目不符合要求或缺项的，检验报告视为不合格，</w:t>
                  </w:r>
                  <w:r>
                    <w:rPr>
                      <w:rFonts w:hint="eastAsia" w:asciiTheme="minorEastAsia" w:hAnsiTheme="minorEastAsia" w:eastAsiaTheme="minorEastAsia" w:cstheme="minorEastAsia"/>
                      <w:b w:val="0"/>
                      <w:bCs w:val="0"/>
                      <w:color w:val="auto"/>
                      <w:sz w:val="21"/>
                      <w:szCs w:val="21"/>
                      <w:highlight w:val="none"/>
                    </w:rPr>
                    <w:t>作废标处理。</w:t>
                  </w:r>
                </w:p>
                <w:p>
                  <w:pPr>
                    <w:widowControl/>
                    <w:spacing w:before="72" w:beforeLines="30" w:line="288"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（1）礼堂椅：</w:t>
                  </w:r>
                </w:p>
                <w:p>
                  <w:pPr>
                    <w:widowControl/>
                    <w:spacing w:before="72" w:beforeLines="30" w:line="288"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检验依据包含但不限于QB/T 2602-2013《影剧院公共座椅》，检测项目包含但不限于：木制件涂层（耐磨、抗冲击、附着力）、纺织面料（耐干摩擦色牢度）、甲醛释放量、阻燃性能，所检项目符合相关规定。</w:t>
                  </w:r>
                </w:p>
                <w:p>
                  <w:pPr>
                    <w:widowControl/>
                    <w:spacing w:before="72" w:beforeLines="30" w:line="288"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（2）布料：</w:t>
                  </w:r>
                </w:p>
                <w:p>
                  <w:pPr>
                    <w:widowControl/>
                    <w:spacing w:before="72" w:beforeLines="30" w:line="288" w:lineRule="auto"/>
                    <w:ind w:firstLine="420" w:firstLineChars="200"/>
                    <w:rPr>
                      <w:rFonts w:hint="eastAsia" w:asciiTheme="minorEastAsia" w:hAnsiTheme="minorEastAsia" w:eastAsiaTheme="minorEastAsia" w:cstheme="minorEastAsia"/>
                      <w:b w:val="0"/>
                      <w:bCs w:val="0"/>
                      <w:color w:val="auto"/>
                      <w:sz w:val="21"/>
                      <w:szCs w:val="21"/>
                      <w:highlight w:val="none"/>
                    </w:rPr>
                  </w:pPr>
                  <w:bookmarkStart w:id="24" w:name="OLE_LINK133"/>
                  <w:r>
                    <w:rPr>
                      <w:rFonts w:hint="eastAsia" w:asciiTheme="minorEastAsia" w:hAnsiTheme="minorEastAsia" w:eastAsiaTheme="minorEastAsia" w:cstheme="minorEastAsia"/>
                      <w:b w:val="0"/>
                      <w:bCs w:val="0"/>
                      <w:color w:val="auto"/>
                      <w:sz w:val="21"/>
                      <w:szCs w:val="21"/>
                      <w:highlight w:val="none"/>
                    </w:rPr>
                    <w:t>检验依据包含但不限于GB 18401-2010《国家纺织产品基本安全技术规范》，检测项目包含但不限于：甲醛含量、可分解致癌芳香胺染料，所检项目符合相关规定</w:t>
                  </w:r>
                  <w:bookmarkEnd w:id="24"/>
                  <w:r>
                    <w:rPr>
                      <w:rFonts w:hint="eastAsia" w:asciiTheme="minorEastAsia" w:hAnsiTheme="minorEastAsia" w:eastAsiaTheme="minorEastAsia" w:cstheme="minorEastAsia"/>
                      <w:b w:val="0"/>
                      <w:bCs w:val="0"/>
                      <w:color w:val="auto"/>
                      <w:sz w:val="21"/>
                      <w:szCs w:val="21"/>
                      <w:highlight w:val="none"/>
                    </w:rPr>
                    <w:t>。</w:t>
                  </w:r>
                </w:p>
                <w:p>
                  <w:pPr>
                    <w:widowControl/>
                    <w:spacing w:before="72" w:beforeLines="30" w:line="288"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（3）海绵：</w:t>
                  </w:r>
                </w:p>
                <w:p>
                  <w:pPr>
                    <w:widowControl/>
                    <w:spacing w:before="72" w:beforeLines="30" w:line="288"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①检验依据包含但不限于GB/T 10802-2023《通用软质聚醚型聚氨酯泡沫塑料》，检测项目包含但不限于：回弹率、75%压缩永久变形、65%/25%压陷比、拉伸强度、断裂伸长率、撕裂强度、干热老化后拉伸强度、干热老化后拉伸强度变化率、湿热老化后拉伸强度、湿热老化后拉伸强度变化率、灰分、甲醛散发，所检项目符合相关规定。</w:t>
                  </w:r>
                </w:p>
                <w:p>
                  <w:pPr>
                    <w:keepNext w:val="0"/>
                    <w:keepLines w:val="0"/>
                    <w:pageBreakBefore w:val="0"/>
                    <w:widowControl/>
                    <w:kinsoku/>
                    <w:wordWrap/>
                    <w:overflowPunct/>
                    <w:topLinePunct w:val="0"/>
                    <w:autoSpaceDE/>
                    <w:autoSpaceDN/>
                    <w:bidi w:val="0"/>
                    <w:adjustRightInd/>
                    <w:snapToGrid/>
                    <w:spacing w:before="0" w:beforeLines="30" w:line="288" w:lineRule="auto"/>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（4）</w:t>
                  </w:r>
                  <w:bookmarkEnd w:id="21"/>
                  <w:r>
                    <w:rPr>
                      <w:rFonts w:hint="eastAsia" w:asciiTheme="minorEastAsia" w:hAnsiTheme="minorEastAsia" w:eastAsiaTheme="minorEastAsia" w:cstheme="minorEastAsia"/>
                      <w:b w:val="0"/>
                      <w:bCs w:val="0"/>
                      <w:color w:val="auto"/>
                      <w:sz w:val="21"/>
                      <w:szCs w:val="21"/>
                      <w:highlight w:val="none"/>
                    </w:rPr>
                    <w:t>胶合板(多层实木板)：</w:t>
                  </w:r>
                </w:p>
                <w:p>
                  <w:pPr>
                    <w:keepNext w:val="0"/>
                    <w:keepLines w:val="0"/>
                    <w:pageBreakBefore w:val="0"/>
                    <w:widowControl/>
                    <w:kinsoku/>
                    <w:wordWrap/>
                    <w:overflowPunct/>
                    <w:topLinePunct w:val="0"/>
                    <w:autoSpaceDE/>
                    <w:autoSpaceDN/>
                    <w:bidi w:val="0"/>
                    <w:adjustRightInd/>
                    <w:snapToGrid/>
                    <w:spacing w:before="0" w:beforeLines="30" w:line="288" w:lineRule="auto"/>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bookmarkStart w:id="25" w:name="OLE_LINK136"/>
                  <w:r>
                    <w:rPr>
                      <w:rFonts w:hint="eastAsia" w:asciiTheme="minorEastAsia" w:hAnsiTheme="minorEastAsia" w:eastAsiaTheme="minorEastAsia" w:cstheme="minorEastAsia"/>
                      <w:b w:val="0"/>
                      <w:bCs w:val="0"/>
                      <w:color w:val="auto"/>
                      <w:sz w:val="21"/>
                      <w:szCs w:val="21"/>
                      <w:highlight w:val="none"/>
                    </w:rPr>
                    <w:t>检验标准包含但不限于GB/T 9846-2015《普通胶合板》，检测项目包含但不限于：规格尺寸及偏差（宽度、长度、厚度、厚度偏差、长度和宽度偏差、垂直度偏差、边缘直度偏差、平整度偏差）、外观质量、胶合强度、浸渍剥离、静曲强度（顺纹、横纹）、弹性模量（顺纹、横纹）、其他技术要求，所检项目符合相关规定</w:t>
                  </w:r>
                  <w:bookmarkEnd w:id="25"/>
                  <w:r>
                    <w:rPr>
                      <w:rFonts w:hint="eastAsia" w:asciiTheme="minorEastAsia" w:hAnsiTheme="minorEastAsia" w:eastAsiaTheme="minorEastAsia" w:cstheme="minorEastAsia"/>
                      <w:b w:val="0"/>
                      <w:bCs w:val="0"/>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before="0" w:beforeLines="30" w:line="288" w:lineRule="auto"/>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5</w:t>
                  </w:r>
                  <w:r>
                    <w:rPr>
                      <w:rFonts w:hint="eastAsia" w:asciiTheme="minorEastAsia" w:hAnsiTheme="minorEastAsia" w:eastAsiaTheme="minorEastAsia" w:cstheme="minorEastAsia"/>
                      <w:b w:val="0"/>
                      <w:bCs w:val="0"/>
                      <w:color w:val="auto"/>
                      <w:sz w:val="21"/>
                      <w:szCs w:val="21"/>
                      <w:highlight w:val="none"/>
                    </w:rPr>
                    <w:t>）油漆（聚氨酯面漆）：</w:t>
                  </w:r>
                </w:p>
                <w:p>
                  <w:pPr>
                    <w:keepNext w:val="0"/>
                    <w:keepLines w:val="0"/>
                    <w:pageBreakBefore w:val="0"/>
                    <w:widowControl/>
                    <w:kinsoku/>
                    <w:wordWrap/>
                    <w:overflowPunct/>
                    <w:topLinePunct w:val="0"/>
                    <w:autoSpaceDE/>
                    <w:autoSpaceDN/>
                    <w:bidi w:val="0"/>
                    <w:adjustRightInd/>
                    <w:snapToGrid/>
                    <w:spacing w:before="0" w:beforeLines="30" w:line="288" w:lineRule="auto"/>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bookmarkStart w:id="26" w:name="OLE_LINK137"/>
                  <w:r>
                    <w:rPr>
                      <w:rFonts w:hint="eastAsia" w:asciiTheme="minorEastAsia" w:hAnsiTheme="minorEastAsia" w:eastAsiaTheme="minorEastAsia" w:cstheme="minorEastAsia"/>
                      <w:b w:val="0"/>
                      <w:bCs w:val="0"/>
                      <w:color w:val="auto"/>
                      <w:sz w:val="21"/>
                      <w:szCs w:val="21"/>
                      <w:highlight w:val="none"/>
                    </w:rPr>
                    <w:t>检验依据包含但不限于GB 18581-2020《木器涂料中有害物质限量》，检测项目包含但不限于：VOC含量</w:t>
                  </w:r>
                  <w:r>
                    <w:rPr>
                      <w:rFonts w:hint="eastAsia" w:asciiTheme="minorEastAsia" w:hAnsiTheme="minorEastAsia" w:eastAsiaTheme="minorEastAsia" w:cstheme="minorEastAsia"/>
                      <w:b w:val="0"/>
                      <w:bCs w:val="0"/>
                      <w:color w:val="auto"/>
                      <w:sz w:val="21"/>
                      <w:szCs w:val="21"/>
                      <w:highlight w:val="none"/>
                      <w:lang w:eastAsia="zh-CN"/>
                    </w:rPr>
                    <w:t>、总铅（</w:t>
                  </w:r>
                  <w:r>
                    <w:rPr>
                      <w:rFonts w:hint="eastAsia" w:asciiTheme="minorEastAsia" w:hAnsiTheme="minorEastAsia" w:eastAsiaTheme="minorEastAsia" w:cstheme="minorEastAsia"/>
                      <w:b w:val="0"/>
                      <w:bCs w:val="0"/>
                      <w:color w:val="auto"/>
                      <w:sz w:val="21"/>
                      <w:szCs w:val="21"/>
                      <w:highlight w:val="none"/>
                      <w:lang w:val="en-US" w:eastAsia="zh-CN"/>
                    </w:rPr>
                    <w:t>Pb</w:t>
                  </w:r>
                  <w:r>
                    <w:rPr>
                      <w:rFonts w:hint="eastAsia" w:asciiTheme="minorEastAsia" w:hAnsiTheme="minorEastAsia" w:eastAsiaTheme="minorEastAsia" w:cstheme="minorEastAsia"/>
                      <w:b w:val="0"/>
                      <w:bCs w:val="0"/>
                      <w:color w:val="auto"/>
                      <w:sz w:val="21"/>
                      <w:szCs w:val="21"/>
                      <w:highlight w:val="none"/>
                      <w:lang w:eastAsia="zh-CN"/>
                    </w:rPr>
                    <w:t>）含量、可溶性重金属含量（镉含量、铬含量、汞含量）、</w:t>
                  </w:r>
                  <w:r>
                    <w:rPr>
                      <w:rFonts w:hint="eastAsia" w:asciiTheme="minorEastAsia" w:hAnsiTheme="minorEastAsia" w:eastAsiaTheme="minorEastAsia" w:cstheme="minorEastAsia"/>
                      <w:b w:val="0"/>
                      <w:bCs w:val="0"/>
                      <w:color w:val="auto"/>
                      <w:sz w:val="21"/>
                      <w:szCs w:val="21"/>
                      <w:highlight w:val="none"/>
                    </w:rPr>
                    <w:t>乙二醇醚及醚酯总和含量、苯含量、甲苯与二甲苯（含乙苯）总和含量、多环芳烃总和含量（限萘、蒽）、游离二异氰酸酯总和含量、卤代烃总和含量，所检项目符合相关规定</w:t>
                  </w:r>
                  <w:bookmarkEnd w:id="26"/>
                  <w:r>
                    <w:rPr>
                      <w:rFonts w:hint="eastAsia" w:asciiTheme="minorEastAsia" w:hAnsiTheme="minorEastAsia" w:eastAsiaTheme="minorEastAsia" w:cstheme="minorEastAsia"/>
                      <w:b w:val="0"/>
                      <w:bCs w:val="0"/>
                      <w:color w:val="auto"/>
                      <w:sz w:val="21"/>
                      <w:szCs w:val="21"/>
                      <w:highlight w:val="none"/>
                    </w:rPr>
                    <w:t>。</w:t>
                  </w:r>
                </w:p>
                <w:bookmarkEnd w:id="22"/>
                <w:p>
                  <w:pPr>
                    <w:keepNext w:val="0"/>
                    <w:keepLines w:val="0"/>
                    <w:pageBreakBefore w:val="0"/>
                    <w:widowControl/>
                    <w:kinsoku/>
                    <w:wordWrap/>
                    <w:overflowPunct/>
                    <w:topLinePunct w:val="0"/>
                    <w:autoSpaceDE/>
                    <w:autoSpaceDN/>
                    <w:bidi w:val="0"/>
                    <w:adjustRightInd/>
                    <w:snapToGrid/>
                    <w:spacing w:before="0" w:beforeLines="30" w:line="288" w:lineRule="auto"/>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bookmarkStart w:id="27" w:name="OLE_LINK87"/>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6</w:t>
                  </w:r>
                  <w:r>
                    <w:rPr>
                      <w:rFonts w:hint="eastAsia" w:asciiTheme="minorEastAsia" w:hAnsiTheme="minorEastAsia" w:eastAsiaTheme="minorEastAsia" w:cstheme="minorEastAsia"/>
                      <w:b w:val="0"/>
                      <w:bCs w:val="0"/>
                      <w:color w:val="auto"/>
                      <w:sz w:val="21"/>
                      <w:szCs w:val="21"/>
                      <w:highlight w:val="none"/>
                    </w:rPr>
                    <w:t>）中密度纤维板：</w:t>
                  </w:r>
                </w:p>
                <w:p>
                  <w:pPr>
                    <w:keepNext w:val="0"/>
                    <w:keepLines w:val="0"/>
                    <w:pageBreakBefore w:val="0"/>
                    <w:widowControl/>
                    <w:kinsoku/>
                    <w:wordWrap/>
                    <w:overflowPunct/>
                    <w:topLinePunct w:val="0"/>
                    <w:autoSpaceDE/>
                    <w:autoSpaceDN/>
                    <w:bidi w:val="0"/>
                    <w:adjustRightInd/>
                    <w:snapToGrid/>
                    <w:spacing w:before="0" w:beforeLines="30" w:line="288" w:lineRule="auto"/>
                    <w:ind w:firstLine="420" w:firstLineChars="200"/>
                    <w:textAlignment w:val="auto"/>
                    <w:rPr>
                      <w:rFonts w:hint="eastAsia" w:asciiTheme="minorEastAsia" w:hAnsiTheme="minorEastAsia" w:eastAsiaTheme="minorEastAsia" w:cstheme="minorEastAsia"/>
                      <w:b w:val="0"/>
                      <w:bCs w:val="0"/>
                      <w:color w:val="auto"/>
                      <w:sz w:val="21"/>
                      <w:szCs w:val="21"/>
                      <w:highlight w:val="none"/>
                      <w:lang w:val="en-US" w:eastAsia="zh-CN"/>
                    </w:rPr>
                  </w:pPr>
                  <w:bookmarkStart w:id="28" w:name="OLE_LINK142"/>
                  <w:r>
                    <w:rPr>
                      <w:rFonts w:hint="eastAsia" w:asciiTheme="minorEastAsia" w:hAnsiTheme="minorEastAsia" w:eastAsiaTheme="minorEastAsia" w:cstheme="minorEastAsia"/>
                      <w:b w:val="0"/>
                      <w:bCs w:val="0"/>
                      <w:color w:val="auto"/>
                      <w:sz w:val="21"/>
                      <w:szCs w:val="21"/>
                      <w:highlight w:val="none"/>
                      <w:lang w:val="en-US" w:eastAsia="zh-CN"/>
                    </w:rPr>
                    <w:t>检验标准包含但不限于</w:t>
                  </w:r>
                  <w:r>
                    <w:rPr>
                      <w:rFonts w:hint="eastAsia" w:asciiTheme="minorEastAsia" w:hAnsiTheme="minorEastAsia" w:eastAsiaTheme="minorEastAsia" w:cstheme="minorEastAsia"/>
                      <w:b w:val="0"/>
                      <w:bCs w:val="0"/>
                      <w:color w:val="auto"/>
                      <w:sz w:val="21"/>
                      <w:szCs w:val="21"/>
                      <w:highlight w:val="none"/>
                    </w:rPr>
                    <w:t>GB/T 11718-2021《中密度纤维板》</w:t>
                  </w:r>
                  <w:r>
                    <w:rPr>
                      <w:rFonts w:hint="eastAsia" w:asciiTheme="minorEastAsia" w:hAnsiTheme="minorEastAsia" w:eastAsiaTheme="minorEastAsia" w:cstheme="minorEastAsia"/>
                      <w:b w:val="0"/>
                      <w:bCs w:val="0"/>
                      <w:color w:val="auto"/>
                      <w:sz w:val="21"/>
                      <w:szCs w:val="21"/>
                      <w:highlight w:val="none"/>
                      <w:lang w:val="en-US" w:eastAsia="zh-CN"/>
                    </w:rPr>
                    <w:t>,检测项目包含但不限于：</w:t>
                  </w:r>
                  <w:r>
                    <w:rPr>
                      <w:rFonts w:hint="eastAsia" w:asciiTheme="minorEastAsia" w:hAnsiTheme="minorEastAsia" w:eastAsiaTheme="minorEastAsia" w:cstheme="minorEastAsia"/>
                      <w:b w:val="0"/>
                      <w:bCs w:val="0"/>
                      <w:color w:val="auto"/>
                      <w:sz w:val="21"/>
                      <w:szCs w:val="21"/>
                      <w:highlight w:val="none"/>
                    </w:rPr>
                    <w:t>规格尺寸（长度、宽度）、长度与宽度偏差、厚度偏差、板内密度偏差、垂直度、密度、含水率、静曲强度、弹性模量、内胶合强度、吸水厚度膨胀率、表面胶合强度、</w:t>
                  </w:r>
                  <w:r>
                    <w:rPr>
                      <w:rFonts w:hint="eastAsia" w:asciiTheme="minorEastAsia" w:hAnsiTheme="minorEastAsia" w:eastAsiaTheme="minorEastAsia" w:cstheme="minorEastAsia"/>
                      <w:b w:val="0"/>
                      <w:bCs w:val="0"/>
                      <w:color w:val="auto"/>
                      <w:sz w:val="21"/>
                      <w:szCs w:val="21"/>
                      <w:highlight w:val="none"/>
                      <w:lang w:val="en-US" w:eastAsia="zh-CN"/>
                    </w:rPr>
                    <w:t>其他要求（</w:t>
                  </w:r>
                  <w:r>
                    <w:rPr>
                      <w:rFonts w:hint="eastAsia" w:asciiTheme="minorEastAsia" w:hAnsiTheme="minorEastAsia" w:eastAsiaTheme="minorEastAsia" w:cstheme="minorEastAsia"/>
                      <w:b w:val="0"/>
                      <w:bCs w:val="0"/>
                      <w:color w:val="auto"/>
                      <w:sz w:val="21"/>
                      <w:szCs w:val="21"/>
                      <w:highlight w:val="none"/>
                    </w:rPr>
                    <w:t>握螺钉力、表面吸收性能、尺寸稳定性</w:t>
                  </w:r>
                  <w:r>
                    <w:rPr>
                      <w:rFonts w:hint="eastAsia" w:asciiTheme="minorEastAsia" w:hAnsiTheme="minorEastAsia" w:eastAsiaTheme="minorEastAsia" w:cstheme="minorEastAsia"/>
                      <w:b w:val="0"/>
                      <w:bCs w:val="0"/>
                      <w:color w:val="auto"/>
                      <w:sz w:val="21"/>
                      <w:szCs w:val="21"/>
                      <w:highlight w:val="none"/>
                      <w:lang w:val="en-US" w:eastAsia="zh-CN"/>
                    </w:rPr>
                    <w:t>）</w:t>
                  </w:r>
                  <w:r>
                    <w:rPr>
                      <w:rFonts w:hint="eastAsia" w:asciiTheme="minorEastAsia" w:hAnsiTheme="minorEastAsia" w:eastAsiaTheme="minorEastAsia" w:cstheme="minorEastAsia"/>
                      <w:b w:val="0"/>
                      <w:bCs w:val="0"/>
                      <w:color w:val="auto"/>
                      <w:sz w:val="21"/>
                      <w:szCs w:val="21"/>
                      <w:highlight w:val="none"/>
                    </w:rPr>
                    <w:t>，所检项目符合相关规定</w:t>
                  </w:r>
                  <w:bookmarkEnd w:id="28"/>
                  <w:r>
                    <w:rPr>
                      <w:rFonts w:hint="eastAsia" w:asciiTheme="minorEastAsia" w:hAnsiTheme="minorEastAsia" w:eastAsiaTheme="minorEastAsia" w:cstheme="minorEastAsia"/>
                      <w:b w:val="0"/>
                      <w:bCs w:val="0"/>
                      <w:color w:val="auto"/>
                      <w:sz w:val="21"/>
                      <w:szCs w:val="21"/>
                      <w:highlight w:val="none"/>
                      <w:lang w:eastAsia="zh-CN"/>
                    </w:rPr>
                    <w:t>。</w:t>
                  </w:r>
                </w:p>
                <w:p>
                  <w:pPr>
                    <w:widowControl/>
                    <w:spacing w:before="72" w:beforeLines="30" w:line="288" w:lineRule="auto"/>
                    <w:ind w:firstLine="420" w:firstLineChars="200"/>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lang w:val="en-US" w:eastAsia="zh-CN"/>
                    </w:rPr>
                    <w:t>7</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塑粉（粉末涂料</w:t>
                  </w:r>
                  <w:r>
                    <w:rPr>
                      <w:rFonts w:hint="eastAsia" w:asciiTheme="minorEastAsia" w:hAnsiTheme="minorEastAsia" w:eastAsiaTheme="minorEastAsia" w:cstheme="minorEastAsia"/>
                      <w:b w:val="0"/>
                      <w:bCs w:val="0"/>
                      <w:color w:val="auto"/>
                      <w:sz w:val="21"/>
                      <w:szCs w:val="21"/>
                      <w:highlight w:val="none"/>
                      <w:lang w:eastAsia="zh-CN"/>
                    </w:rPr>
                    <w:t>）</w:t>
                  </w:r>
                </w:p>
                <w:p>
                  <w:pPr>
                    <w:widowControl/>
                    <w:spacing w:before="72" w:beforeLines="30" w:line="288" w:lineRule="auto"/>
                    <w:ind w:firstLine="420" w:firstLineChars="200"/>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检验标准包含但不限于</w:t>
                  </w:r>
                  <w:r>
                    <w:rPr>
                      <w:rFonts w:hint="eastAsia" w:asciiTheme="minorEastAsia" w:hAnsiTheme="minorEastAsia" w:eastAsiaTheme="minorEastAsia" w:cstheme="minorEastAsia"/>
                      <w:b w:val="0"/>
                      <w:bCs w:val="0"/>
                      <w:color w:val="auto"/>
                      <w:sz w:val="21"/>
                      <w:szCs w:val="21"/>
                      <w:highlight w:val="none"/>
                    </w:rPr>
                    <w:t>HG/T 2006-2022《热固性和热塑性粉末涂料》</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lang w:val="en-US" w:eastAsia="zh-CN"/>
                    </w:rPr>
                    <w:t>检测项目包含但不限于：</w:t>
                  </w:r>
                  <w:bookmarkStart w:id="29" w:name="OLE_LINK99"/>
                  <w:r>
                    <w:rPr>
                      <w:rFonts w:hint="eastAsia" w:asciiTheme="minorEastAsia" w:hAnsiTheme="minorEastAsia" w:eastAsiaTheme="minorEastAsia" w:cstheme="minorEastAsia"/>
                      <w:b w:val="0"/>
                      <w:bCs w:val="0"/>
                      <w:color w:val="auto"/>
                      <w:sz w:val="21"/>
                      <w:szCs w:val="21"/>
                      <w:highlight w:val="none"/>
                    </w:rPr>
                    <w:t>外观、筛余物、胶化时间、粒径分布、流动性、密度、涂膜外观、附着力（干附着力、沸水附着力、湿附着力）、铅笔硬度（内聚破坏中擦伤）、耐冲击性、杯突试验、弯曲试验、光泽、耐磨性、耐酸性、耐碱性、耐沸水性、耐盐雾性（中性盐雾、酸性盐雾）、耐湿性</w:t>
                  </w:r>
                  <w:bookmarkEnd w:id="29"/>
                  <w:r>
                    <w:rPr>
                      <w:rFonts w:hint="eastAsia" w:asciiTheme="minorEastAsia" w:hAnsiTheme="minorEastAsia" w:eastAsiaTheme="minorEastAsia" w:cstheme="minorEastAsia"/>
                      <w:b w:val="0"/>
                      <w:bCs w:val="0"/>
                      <w:color w:val="auto"/>
                      <w:sz w:val="21"/>
                      <w:szCs w:val="21"/>
                      <w:highlight w:val="none"/>
                      <w:lang w:val="en-US" w:eastAsia="zh-CN"/>
                    </w:rPr>
                    <w:t>；</w:t>
                  </w:r>
                  <w:r>
                    <w:rPr>
                      <w:rFonts w:hint="eastAsia" w:asciiTheme="minorEastAsia" w:hAnsiTheme="minorEastAsia" w:eastAsiaTheme="minorEastAsia" w:cstheme="minorEastAsia"/>
                      <w:b w:val="0"/>
                      <w:bCs w:val="0"/>
                      <w:color w:val="auto"/>
                      <w:sz w:val="21"/>
                      <w:szCs w:val="21"/>
                      <w:highlight w:val="none"/>
                    </w:rPr>
                    <w:t>所检项目符合相关规定</w:t>
                  </w:r>
                  <w:r>
                    <w:rPr>
                      <w:rFonts w:hint="eastAsia" w:asciiTheme="minorEastAsia" w:hAnsiTheme="minorEastAsia" w:eastAsiaTheme="minorEastAsia" w:cstheme="minorEastAsia"/>
                      <w:b w:val="0"/>
                      <w:bCs w:val="0"/>
                      <w:color w:val="auto"/>
                      <w:sz w:val="21"/>
                      <w:szCs w:val="21"/>
                      <w:highlight w:val="none"/>
                      <w:lang w:eastAsia="zh-CN"/>
                    </w:rPr>
                    <w:t>。</w:t>
                  </w:r>
                </w:p>
                <w:p>
                  <w:pPr>
                    <w:widowControl/>
                    <w:spacing w:before="72" w:beforeLines="30" w:line="288" w:lineRule="auto"/>
                    <w:ind w:firstLine="420" w:firstLineChars="200"/>
                    <w:rPr>
                      <w:rFonts w:hint="eastAsia" w:asciiTheme="minorEastAsia" w:hAnsiTheme="minorEastAsia" w:eastAsiaTheme="minorEastAsia" w:cstheme="minorEastAsia"/>
                      <w:b w:val="0"/>
                      <w:bCs w:val="0"/>
                      <w:color w:val="auto"/>
                      <w:sz w:val="21"/>
                      <w:szCs w:val="21"/>
                      <w:highlight w:val="none"/>
                      <w:lang w:val="en"/>
                    </w:rPr>
                  </w:pPr>
                  <w:r>
                    <w:rPr>
                      <w:rFonts w:hint="eastAsia" w:asciiTheme="minorEastAsia" w:hAnsiTheme="minorEastAsia" w:eastAsiaTheme="minorEastAsia" w:cstheme="minorEastAsia"/>
                      <w:b w:val="0"/>
                      <w:bCs w:val="0"/>
                      <w:color w:val="auto"/>
                      <w:sz w:val="21"/>
                      <w:szCs w:val="21"/>
                      <w:highlight w:val="none"/>
                      <w:lang w:val="en-US" w:eastAsia="zh-CN"/>
                    </w:rPr>
                    <w:t>以上检测报告可以是一份报告，也可以是多份报告。</w:t>
                  </w:r>
                  <w:bookmarkEnd w:id="27"/>
                </w:p>
                <w:p>
                  <w:pPr>
                    <w:widowControl/>
                    <w:spacing w:before="72" w:beforeLines="30" w:line="288" w:lineRule="auto"/>
                    <w:ind w:firstLine="420" w:firstLineChars="200"/>
                    <w:rPr>
                      <w:rFonts w:hint="eastAsia" w:asciiTheme="minorEastAsia" w:hAnsiTheme="minorEastAsia" w:eastAsiaTheme="minorEastAsia" w:cstheme="minorEastAsia"/>
                      <w:b w:val="0"/>
                      <w:bCs w:val="0"/>
                      <w:color w:val="auto"/>
                      <w:sz w:val="21"/>
                      <w:szCs w:val="21"/>
                      <w:highlight w:val="none"/>
                      <w:lang w:val="en"/>
                    </w:rPr>
                  </w:pPr>
                  <w:r>
                    <w:rPr>
                      <w:rFonts w:hint="eastAsia" w:asciiTheme="minorEastAsia" w:hAnsiTheme="minorEastAsia" w:eastAsiaTheme="minorEastAsia" w:cstheme="minorEastAsia"/>
                      <w:b w:val="0"/>
                      <w:bCs w:val="0"/>
                      <w:color w:val="auto"/>
                      <w:sz w:val="21"/>
                      <w:szCs w:val="21"/>
                      <w:highlight w:val="none"/>
                      <w:lang w:val="en"/>
                    </w:rPr>
                    <w:t>2、说明：</w:t>
                  </w:r>
                </w:p>
                <w:p>
                  <w:pPr>
                    <w:widowControl/>
                    <w:spacing w:before="72" w:beforeLines="30" w:line="288" w:lineRule="auto"/>
                    <w:ind w:firstLine="420" w:firstLineChars="200"/>
                    <w:rPr>
                      <w:rFonts w:hint="eastAsia" w:asciiTheme="minorEastAsia" w:hAnsiTheme="minorEastAsia" w:eastAsiaTheme="minorEastAsia" w:cstheme="minorEastAsia"/>
                      <w:b w:val="0"/>
                      <w:bCs w:val="0"/>
                      <w:color w:val="auto"/>
                      <w:sz w:val="21"/>
                      <w:szCs w:val="21"/>
                      <w:highlight w:val="none"/>
                      <w:lang w:val="en"/>
                    </w:rPr>
                  </w:pPr>
                  <w:r>
                    <w:rPr>
                      <w:rFonts w:hint="eastAsia" w:asciiTheme="minorEastAsia" w:hAnsiTheme="minorEastAsia" w:eastAsiaTheme="minorEastAsia" w:cstheme="minorEastAsia"/>
                      <w:b w:val="0"/>
                      <w:bCs w:val="0"/>
                      <w:color w:val="auto"/>
                      <w:sz w:val="21"/>
                      <w:szCs w:val="21"/>
                      <w:highlight w:val="none"/>
                      <w:lang w:val="en"/>
                    </w:rPr>
                    <w:t>（1）以上检测报告，可以是一份，也可以是多份组成。</w:t>
                  </w:r>
                </w:p>
                <w:p>
                  <w:pPr>
                    <w:widowControl/>
                    <w:spacing w:before="72" w:beforeLines="30" w:line="288" w:lineRule="auto"/>
                    <w:ind w:firstLine="420" w:firstLineChars="200"/>
                    <w:rPr>
                      <w:rFonts w:hint="eastAsia" w:asciiTheme="minorEastAsia" w:hAnsiTheme="minorEastAsia" w:eastAsiaTheme="minorEastAsia" w:cstheme="minorEastAsia"/>
                      <w:b w:val="0"/>
                      <w:bCs w:val="0"/>
                      <w:color w:val="auto"/>
                      <w:sz w:val="21"/>
                      <w:szCs w:val="21"/>
                      <w:highlight w:val="none"/>
                      <w:lang w:val="en"/>
                    </w:rPr>
                  </w:pPr>
                  <w:r>
                    <w:rPr>
                      <w:rFonts w:hint="eastAsia" w:asciiTheme="minorEastAsia" w:hAnsiTheme="minorEastAsia" w:eastAsiaTheme="minorEastAsia" w:cstheme="minorEastAsia"/>
                      <w:b w:val="0"/>
                      <w:bCs w:val="0"/>
                      <w:color w:val="auto"/>
                      <w:sz w:val="21"/>
                      <w:szCs w:val="21"/>
                      <w:highlight w:val="none"/>
                      <w:lang w:val="en"/>
                    </w:rPr>
                    <w:t>（2）未提供检测报告，作竞标无效处理；检验项目不符合要求或缺项的，视为不合格，作竞标无效处理。</w:t>
                  </w:r>
                </w:p>
                <w:p>
                  <w:pPr>
                    <w:widowControl/>
                    <w:spacing w:before="72" w:beforeLines="30" w:line="288" w:lineRule="auto"/>
                    <w:ind w:firstLine="420" w:firstLineChars="200"/>
                    <w:rPr>
                      <w:rFonts w:hint="eastAsia" w:asciiTheme="minorEastAsia" w:hAnsiTheme="minorEastAsia" w:eastAsiaTheme="minorEastAsia" w:cstheme="minorEastAsia"/>
                      <w:b w:val="0"/>
                      <w:bCs w:val="0"/>
                      <w:color w:val="auto"/>
                      <w:sz w:val="21"/>
                      <w:szCs w:val="21"/>
                      <w:highlight w:val="none"/>
                      <w:lang w:val="en"/>
                    </w:rPr>
                  </w:pPr>
                  <w:r>
                    <w:rPr>
                      <w:rFonts w:hint="eastAsia" w:asciiTheme="minorEastAsia" w:hAnsiTheme="minorEastAsia" w:eastAsiaTheme="minorEastAsia" w:cstheme="minorEastAsia"/>
                      <w:b w:val="0"/>
                      <w:bCs w:val="0"/>
                      <w:color w:val="auto"/>
                      <w:sz w:val="21"/>
                      <w:szCs w:val="21"/>
                      <w:highlight w:val="none"/>
                      <w:lang w:val="en"/>
                    </w:rPr>
                    <w:t>（3）检验报告的名称与要求不相同的，只要检测内容相同则视为相符；检测报告的送检单位为竞标人或生产厂家、原材料商。</w:t>
                  </w:r>
                </w:p>
                <w:p>
                  <w:pPr>
                    <w:widowControl/>
                    <w:spacing w:before="72" w:beforeLines="30" w:line="288"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
                    </w:rPr>
                    <w:t>（4）履行合同时，必须提供原件进行核查，如原件与竞标文件中提供的复印件不符，将上报采购监督管理部门。</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84" w:type="dxa"/>
                  <w:gridSpan w:val="2"/>
                  <w:noWrap w:val="0"/>
                  <w:vAlign w:val="center"/>
                </w:tcPr>
                <w:p>
                  <w:pPr>
                    <w:spacing w:before="72" w:beforeLines="30" w:line="288"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▲验收</w:t>
                  </w:r>
                </w:p>
                <w:p>
                  <w:pPr>
                    <w:spacing w:before="72" w:beforeLines="30" w:line="288" w:lineRule="auto"/>
                    <w:jc w:val="center"/>
                    <w:rPr>
                      <w:rFonts w:hint="eastAsia" w:asciiTheme="minorEastAsia" w:hAnsiTheme="minorEastAsia" w:eastAsiaTheme="minorEastAsia" w:cstheme="minorEastAsia"/>
                      <w:b w:val="0"/>
                      <w:bCs w:val="0"/>
                      <w:color w:val="auto"/>
                      <w:kern w:val="0"/>
                      <w:sz w:val="21"/>
                      <w:szCs w:val="21"/>
                      <w:highlight w:val="none"/>
                      <w:bdr w:val="single" w:color="000000" w:sz="4" w:space="0"/>
                    </w:rPr>
                  </w:pPr>
                  <w:r>
                    <w:rPr>
                      <w:rFonts w:hint="eastAsia" w:asciiTheme="minorEastAsia" w:hAnsiTheme="minorEastAsia" w:eastAsiaTheme="minorEastAsia" w:cstheme="minorEastAsia"/>
                      <w:b w:val="0"/>
                      <w:bCs w:val="0"/>
                      <w:color w:val="auto"/>
                      <w:sz w:val="21"/>
                      <w:szCs w:val="21"/>
                      <w:highlight w:val="none"/>
                    </w:rPr>
                    <w:t>标准</w:t>
                  </w:r>
                </w:p>
              </w:tc>
              <w:tc>
                <w:tcPr>
                  <w:tcW w:w="9540" w:type="dxa"/>
                  <w:gridSpan w:val="5"/>
                  <w:noWrap w:val="0"/>
                  <w:vAlign w:val="center"/>
                </w:tcPr>
                <w:p>
                  <w:pPr>
                    <w:spacing w:before="72" w:beforeLines="30" w:line="288"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货物到达现场后，竞标人应在采购人的单位人员在场情况下共同清点、检查外观。竞标人应保证货物到达采购人所在地完好无损，无碰撞、刮痕、表皮脱落、五金件生锈等明显瑕疵，如有缺漏、损坏，由竞标人负责调换、补齐。</w:t>
                  </w:r>
                </w:p>
                <w:p>
                  <w:pPr>
                    <w:spacing w:before="72" w:beforeLines="30" w:line="288"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2、由竞标人派遣专业人员进行现场安装调试</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lang w:val="en-US" w:eastAsia="zh-CN"/>
                    </w:rPr>
                    <w:t>含拆除旧椅子和旧地毯，及清运垃圾</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，经采购人检查产品结构牢固，无安全隐患，双方可正式验收。</w:t>
                  </w:r>
                </w:p>
                <w:p>
                  <w:pPr>
                    <w:spacing w:before="72" w:beforeLines="30" w:line="288"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3、货物技术参数及其性能（配置）与竞标文件一致，否则按如下情况处理：</w:t>
                  </w:r>
                </w:p>
                <w:p>
                  <w:pPr>
                    <w:spacing w:before="72" w:beforeLines="30" w:line="288"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（1）竞标人竞标文件满足技术参数，在验收时实际不满足技术参数要求的，视为竞标人虚假应标，采购人有权终止合同拒收货物，并追究竞标人责任，同时报相关管理部门备案。</w:t>
                  </w:r>
                </w:p>
                <w:p>
                  <w:pPr>
                    <w:spacing w:before="72" w:beforeLines="30" w:line="288"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（2）竞标人竞标文件优于技术参数，在验收时实际仅满足并未优于技术参数要求的，视为竞标人虚假应标，采购人有权终止合同拒收货物，并追究采购人责任，同时报相关管理部门备案。</w:t>
                  </w:r>
                </w:p>
                <w:p>
                  <w:pPr>
                    <w:spacing w:before="72" w:beforeLines="30" w:line="288"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4、配件、工具、技术资料等齐全。提供产品使用说明书、合格证；产品表面贴金属商标牌，商标信息与竞标人开标一览表信息不一致的，采购人有权拒绝验收。</w:t>
                  </w:r>
                </w:p>
                <w:p>
                  <w:pPr>
                    <w:spacing w:before="72" w:beforeLines="30" w:line="288"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5、竞标人必须按照采购文件要求提供检测报告原件进行核查，检测报告应由具备检测资质的检测机构出具，不能提供检测报告原件或检测报告不能满足响应技术参数的，采购人有权拒绝验收。</w:t>
                  </w:r>
                </w:p>
                <w:p>
                  <w:pPr>
                    <w:spacing w:before="72" w:beforeLines="30" w:line="288"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6、采购人认为必要时，有权委托具备检测资质的检测机构对竞标人提供的货物出具检测报告。如抽取的货物检测报告结果不合格，则视为货物不合格，须按采购人要求及时整改，如因此过程耽误交货时间导致采购人不能及时使用货物造成损失的，竞标人承担由此所造成全部损失。验收所产生的劳务费、检验费等相关发生的全部费用均由竞标人承担。</w:t>
                  </w:r>
                </w:p>
                <w:p>
                  <w:pPr>
                    <w:spacing w:before="72" w:beforeLines="30" w:line="288"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7、竞标人与采购人确定最终制作方案后，应按照采购人要求提供部分样品作为整体性能核对及项目验收的标准依据，样品由采购人确定。如验收交货时与样品不符合的，采购人有权拒绝验收。</w:t>
                  </w:r>
                </w:p>
                <w:p>
                  <w:pPr>
                    <w:spacing w:before="72" w:beforeLines="30" w:line="288" w:lineRule="auto"/>
                    <w:ind w:firstLine="420" w:firstLineChars="200"/>
                    <w:rPr>
                      <w:rFonts w:hint="eastAsia" w:asciiTheme="minorEastAsia" w:hAnsiTheme="minorEastAsia" w:eastAsiaTheme="minorEastAsia" w:cstheme="minorEastAsia"/>
                      <w:b w:val="0"/>
                      <w:bCs w:val="0"/>
                      <w:color w:val="auto"/>
                      <w:kern w:val="2"/>
                      <w:sz w:val="21"/>
                      <w:szCs w:val="21"/>
                      <w:highlight w:val="none"/>
                    </w:rPr>
                  </w:pPr>
                  <w:r>
                    <w:rPr>
                      <w:rFonts w:hint="eastAsia" w:asciiTheme="minorEastAsia" w:hAnsiTheme="minorEastAsia" w:eastAsiaTheme="minorEastAsia" w:cstheme="minorEastAsia"/>
                      <w:b w:val="0"/>
                      <w:bCs w:val="0"/>
                      <w:color w:val="auto"/>
                      <w:sz w:val="21"/>
                      <w:szCs w:val="21"/>
                      <w:highlight w:val="none"/>
                    </w:rPr>
                    <w:t>8、最终制作方案：甲乙双方在家具安装现场实地复核家具外形、颜色、尺寸，结合使用功能深化家具内部结构，双方签字确定最终制作方案，竞标人应按最终家具的复核尺寸进行加工生产，尺寸调整误差在±10%以内的，按中标单价结算，尺寸相差巨大或采购人要求设计变更的，单价另行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84" w:type="dxa"/>
                  <w:gridSpan w:val="2"/>
                  <w:noWrap w:val="0"/>
                  <w:vAlign w:val="center"/>
                </w:tcPr>
                <w:p>
                  <w:pPr>
                    <w:adjustRightInd w:val="0"/>
                    <w:snapToGrid w:val="0"/>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zh-CN"/>
                    </w:rPr>
                    <w:t>▲</w:t>
                  </w:r>
                  <w:r>
                    <w:rPr>
                      <w:rFonts w:hint="eastAsia" w:asciiTheme="minorEastAsia" w:hAnsiTheme="minorEastAsia" w:eastAsiaTheme="minorEastAsia" w:cstheme="minorEastAsia"/>
                      <w:b w:val="0"/>
                      <w:bCs w:val="0"/>
                      <w:color w:val="auto"/>
                      <w:sz w:val="21"/>
                      <w:szCs w:val="21"/>
                      <w:highlight w:val="none"/>
                    </w:rPr>
                    <w:t>竞标</w:t>
                  </w:r>
                </w:p>
                <w:p>
                  <w:pPr>
                    <w:adjustRightInd w:val="0"/>
                    <w:snapToGrid w:val="0"/>
                    <w:jc w:val="center"/>
                    <w:rPr>
                      <w:rFonts w:hint="eastAsia" w:asciiTheme="minorEastAsia" w:hAnsiTheme="minorEastAsia" w:eastAsiaTheme="minorEastAsia" w:cstheme="minorEastAsia"/>
                      <w:b w:val="0"/>
                      <w:bCs w:val="0"/>
                      <w:color w:val="auto"/>
                      <w:kern w:val="0"/>
                      <w:sz w:val="21"/>
                      <w:szCs w:val="21"/>
                      <w:highlight w:val="none"/>
                      <w:lang w:bidi="ar"/>
                    </w:rPr>
                  </w:pPr>
                  <w:r>
                    <w:rPr>
                      <w:rFonts w:hint="eastAsia" w:asciiTheme="minorEastAsia" w:hAnsiTheme="minorEastAsia" w:eastAsiaTheme="minorEastAsia" w:cstheme="minorEastAsia"/>
                      <w:b w:val="0"/>
                      <w:bCs w:val="0"/>
                      <w:color w:val="auto"/>
                      <w:sz w:val="21"/>
                      <w:szCs w:val="21"/>
                      <w:highlight w:val="none"/>
                      <w:lang w:val="en-US" w:eastAsia="zh-CN"/>
                    </w:rPr>
                    <w:t xml:space="preserve">  </w:t>
                  </w:r>
                  <w:r>
                    <w:rPr>
                      <w:rFonts w:hint="eastAsia" w:asciiTheme="minorEastAsia" w:hAnsiTheme="minorEastAsia" w:eastAsiaTheme="minorEastAsia" w:cstheme="minorEastAsia"/>
                      <w:b w:val="0"/>
                      <w:bCs w:val="0"/>
                      <w:color w:val="auto"/>
                      <w:sz w:val="21"/>
                      <w:szCs w:val="21"/>
                      <w:highlight w:val="none"/>
                    </w:rPr>
                    <w:t>报价</w:t>
                  </w:r>
                </w:p>
              </w:tc>
              <w:tc>
                <w:tcPr>
                  <w:tcW w:w="9540" w:type="dxa"/>
                  <w:gridSpan w:val="5"/>
                  <w:noWrap w:val="0"/>
                  <w:vAlign w:val="center"/>
                </w:tcPr>
                <w:p>
                  <w:pPr>
                    <w:pStyle w:val="8"/>
                    <w:keepNext w:val="0"/>
                    <w:keepLines w:val="0"/>
                    <w:pageBreakBefore w:val="0"/>
                    <w:widowControl w:val="0"/>
                    <w:kinsoku/>
                    <w:wordWrap/>
                    <w:overflowPunct/>
                    <w:topLinePunct w:val="0"/>
                    <w:autoSpaceDE/>
                    <w:autoSpaceDN/>
                    <w:bidi w:val="0"/>
                    <w:snapToGrid w:val="0"/>
                    <w:spacing w:before="0" w:beforeLines="20" w:line="288" w:lineRule="auto"/>
                    <w:textAlignment w:val="auto"/>
                    <w:outlineLvl w:val="0"/>
                    <w:rPr>
                      <w:rFonts w:hint="eastAsia" w:asciiTheme="minorEastAsia" w:hAnsiTheme="minorEastAsia" w:eastAsiaTheme="minorEastAsia" w:cstheme="minorEastAsia"/>
                      <w:b w:val="0"/>
                      <w:bCs w:val="0"/>
                      <w:color w:val="auto"/>
                      <w:sz w:val="21"/>
                      <w:szCs w:val="21"/>
                      <w:highlight w:val="none"/>
                    </w:rPr>
                  </w:pPr>
                  <w:bookmarkStart w:id="30" w:name="OLE_LINK82"/>
                  <w:r>
                    <w:rPr>
                      <w:rFonts w:hint="eastAsia" w:asciiTheme="minorEastAsia" w:hAnsiTheme="minorEastAsia" w:eastAsiaTheme="minorEastAsia" w:cstheme="minorEastAsia"/>
                      <w:b w:val="0"/>
                      <w:bCs w:val="0"/>
                      <w:color w:val="auto"/>
                      <w:sz w:val="21"/>
                      <w:szCs w:val="21"/>
                      <w:highlight w:val="none"/>
                    </w:rPr>
                    <w:t>竞标报价为采购人指定地点的现场交货价，包括</w:t>
                  </w:r>
                  <w:bookmarkEnd w:id="30"/>
                  <w:r>
                    <w:rPr>
                      <w:rFonts w:hint="eastAsia" w:asciiTheme="minorEastAsia" w:hAnsiTheme="minorEastAsia" w:eastAsiaTheme="minorEastAsia" w:cstheme="minorEastAsia"/>
                      <w:b w:val="0"/>
                      <w:bCs w:val="0"/>
                      <w:color w:val="auto"/>
                      <w:sz w:val="21"/>
                      <w:szCs w:val="21"/>
                      <w:highlight w:val="none"/>
                    </w:rPr>
                    <w:t>：</w:t>
                  </w:r>
                </w:p>
                <w:p>
                  <w:pPr>
                    <w:pStyle w:val="8"/>
                    <w:keepNext w:val="0"/>
                    <w:keepLines w:val="0"/>
                    <w:pageBreakBefore w:val="0"/>
                    <w:widowControl w:val="0"/>
                    <w:kinsoku/>
                    <w:wordWrap/>
                    <w:overflowPunct/>
                    <w:topLinePunct w:val="0"/>
                    <w:autoSpaceDE/>
                    <w:autoSpaceDN/>
                    <w:bidi w:val="0"/>
                    <w:snapToGrid w:val="0"/>
                    <w:spacing w:before="0" w:beforeLines="20" w:line="288" w:lineRule="auto"/>
                    <w:textAlignment w:val="auto"/>
                    <w:outlineLvl w:val="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（1）货物的价格：包括货款、零配件、安装调试费、验收费；</w:t>
                  </w:r>
                </w:p>
                <w:p>
                  <w:pPr>
                    <w:pStyle w:val="8"/>
                    <w:keepNext w:val="0"/>
                    <w:keepLines w:val="0"/>
                    <w:pageBreakBefore w:val="0"/>
                    <w:widowControl w:val="0"/>
                    <w:kinsoku/>
                    <w:wordWrap/>
                    <w:overflowPunct/>
                    <w:topLinePunct w:val="0"/>
                    <w:autoSpaceDE/>
                    <w:autoSpaceDN/>
                    <w:bidi w:val="0"/>
                    <w:snapToGrid w:val="0"/>
                    <w:spacing w:before="0" w:beforeLines="20" w:line="288" w:lineRule="auto"/>
                    <w:textAlignment w:val="auto"/>
                    <w:outlineLvl w:val="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（2）货物的标准附件、备品备件、专用工具的价格；</w:t>
                  </w:r>
                </w:p>
                <w:p>
                  <w:pPr>
                    <w:pStyle w:val="8"/>
                    <w:keepNext w:val="0"/>
                    <w:keepLines w:val="0"/>
                    <w:pageBreakBefore w:val="0"/>
                    <w:widowControl w:val="0"/>
                    <w:kinsoku/>
                    <w:wordWrap/>
                    <w:overflowPunct/>
                    <w:topLinePunct w:val="0"/>
                    <w:autoSpaceDE/>
                    <w:autoSpaceDN/>
                    <w:bidi w:val="0"/>
                    <w:snapToGrid w:val="0"/>
                    <w:spacing w:before="0" w:beforeLines="20" w:line="288" w:lineRule="auto"/>
                    <w:textAlignment w:val="auto"/>
                    <w:outlineLvl w:val="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（3）运输、</w:t>
                  </w:r>
                  <w:r>
                    <w:rPr>
                      <w:rFonts w:hint="eastAsia" w:asciiTheme="minorEastAsia" w:hAnsiTheme="minorEastAsia" w:eastAsiaTheme="minorEastAsia" w:cstheme="minorEastAsia"/>
                      <w:b w:val="0"/>
                      <w:bCs w:val="0"/>
                      <w:color w:val="auto"/>
                      <w:sz w:val="21"/>
                      <w:szCs w:val="21"/>
                      <w:highlight w:val="none"/>
                      <w:lang w:val="en-US" w:eastAsia="zh-CN"/>
                    </w:rPr>
                    <w:t>装卸</w:t>
                  </w:r>
                  <w:r>
                    <w:rPr>
                      <w:rFonts w:hint="eastAsia" w:asciiTheme="minorEastAsia" w:hAnsiTheme="minorEastAsia" w:eastAsiaTheme="minorEastAsia" w:cstheme="minorEastAsia"/>
                      <w:b w:val="0"/>
                      <w:bCs w:val="0"/>
                      <w:color w:val="auto"/>
                      <w:sz w:val="21"/>
                      <w:szCs w:val="21"/>
                      <w:highlight w:val="none"/>
                    </w:rPr>
                    <w:t>、调试、培训、技术支持、售后服务费；</w:t>
                  </w:r>
                </w:p>
                <w:p>
                  <w:pPr>
                    <w:pStyle w:val="8"/>
                    <w:keepNext w:val="0"/>
                    <w:keepLines w:val="0"/>
                    <w:pageBreakBefore w:val="0"/>
                    <w:widowControl w:val="0"/>
                    <w:kinsoku/>
                    <w:wordWrap/>
                    <w:overflowPunct/>
                    <w:topLinePunct w:val="0"/>
                    <w:autoSpaceDE/>
                    <w:autoSpaceDN/>
                    <w:bidi w:val="0"/>
                    <w:snapToGrid w:val="0"/>
                    <w:spacing w:before="0" w:beforeLines="20" w:line="288" w:lineRule="auto"/>
                    <w:textAlignment w:val="auto"/>
                    <w:outlineLvl w:val="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（4）按采购人要求进行摆放的费用。</w:t>
                  </w:r>
                </w:p>
                <w:p>
                  <w:pPr>
                    <w:keepNext w:val="0"/>
                    <w:keepLines w:val="0"/>
                    <w:pageBreakBefore w:val="0"/>
                    <w:widowControl w:val="0"/>
                    <w:kinsoku/>
                    <w:wordWrap/>
                    <w:overflowPunct/>
                    <w:topLinePunct w:val="0"/>
                    <w:autoSpaceDE/>
                    <w:autoSpaceDN/>
                    <w:bidi w:val="0"/>
                    <w:adjustRightInd w:val="0"/>
                    <w:snapToGrid w:val="0"/>
                    <w:spacing w:before="0" w:beforeLines="20" w:line="288"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lang w:val="en-US" w:eastAsia="zh-CN"/>
                    </w:rPr>
                    <w:t>5</w:t>
                  </w:r>
                  <w:r>
                    <w:rPr>
                      <w:rFonts w:hint="eastAsia" w:asciiTheme="minorEastAsia" w:hAnsiTheme="minorEastAsia" w:eastAsiaTheme="minorEastAsia" w:cstheme="minorEastAsia"/>
                      <w:b w:val="0"/>
                      <w:bCs w:val="0"/>
                      <w:color w:val="auto"/>
                      <w:sz w:val="21"/>
                      <w:szCs w:val="21"/>
                      <w:highlight w:val="none"/>
                      <w:lang w:eastAsia="zh-CN"/>
                    </w:rPr>
                    <w:t>）会议室现有旧礼堂椅348位，乙方须在安装新的礼堂椅之前，先拆除旧的礼堂椅，并且运输到指定地点</w:t>
                  </w:r>
                  <w:r>
                    <w:rPr>
                      <w:rFonts w:hint="eastAsia" w:asciiTheme="minorEastAsia" w:hAnsiTheme="minorEastAsia" w:eastAsiaTheme="minorEastAsia" w:cstheme="minorEastAsia"/>
                      <w:b w:val="0"/>
                      <w:bCs w:val="0"/>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beforeLines="20" w:line="288" w:lineRule="auto"/>
                    <w:textAlignment w:val="auto"/>
                    <w:rPr>
                      <w:rFonts w:hint="eastAsia" w:asciiTheme="minorEastAsia" w:hAnsiTheme="minorEastAsia" w:eastAsiaTheme="minorEastAsia" w:cstheme="minorEastAsia"/>
                      <w:b w:val="0"/>
                      <w:bCs w:val="0"/>
                      <w:color w:val="auto"/>
                      <w:kern w:val="0"/>
                      <w:sz w:val="21"/>
                      <w:szCs w:val="21"/>
                      <w:highlight w:val="none"/>
                      <w:bdr w:val="single" w:color="000000" w:sz="4" w:space="0"/>
                      <w:lang w:bidi="ar"/>
                    </w:rPr>
                  </w:pPr>
                  <w:r>
                    <w:rPr>
                      <w:rFonts w:hint="eastAsia" w:asciiTheme="minorEastAsia" w:hAnsiTheme="minorEastAsia" w:eastAsiaTheme="minorEastAsia" w:cstheme="minorEastAsia"/>
                      <w:b w:val="0"/>
                      <w:bCs w:val="0"/>
                      <w:color w:val="auto"/>
                      <w:sz w:val="21"/>
                      <w:szCs w:val="21"/>
                      <w:highlight w:val="none"/>
                    </w:rPr>
                    <w:t>注：竞标人自行考虑完成项目所需的辅材、零配件等数量，竞标报价中应包含全部内容，成交后采购人不再另行支付额外费用。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84" w:type="dxa"/>
                  <w:gridSpan w:val="2"/>
                  <w:noWrap w:val="0"/>
                  <w:vAlign w:val="center"/>
                </w:tcPr>
                <w:p>
                  <w:pPr>
                    <w:spacing w:before="72" w:beforeLines="30" w:line="288"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▲付款</w:t>
                  </w:r>
                </w:p>
                <w:p>
                  <w:pPr>
                    <w:spacing w:before="72" w:beforeLines="30" w:line="288" w:lineRule="auto"/>
                    <w:jc w:val="center"/>
                    <w:rPr>
                      <w:rFonts w:hint="eastAsia" w:asciiTheme="minorEastAsia" w:hAnsiTheme="minorEastAsia" w:eastAsiaTheme="minorEastAsia" w:cstheme="minorEastAsia"/>
                      <w:b w:val="0"/>
                      <w:bCs w:val="0"/>
                      <w:color w:val="auto"/>
                      <w:kern w:val="0"/>
                      <w:sz w:val="21"/>
                      <w:szCs w:val="21"/>
                      <w:highlight w:val="none"/>
                      <w:bdr w:val="single" w:color="000000" w:sz="4" w:space="0"/>
                    </w:rPr>
                  </w:pPr>
                  <w:r>
                    <w:rPr>
                      <w:rFonts w:hint="eastAsia" w:asciiTheme="minorEastAsia" w:hAnsiTheme="minorEastAsia" w:eastAsiaTheme="minorEastAsia" w:cstheme="minorEastAsia"/>
                      <w:b w:val="0"/>
                      <w:bCs w:val="0"/>
                      <w:color w:val="auto"/>
                      <w:sz w:val="21"/>
                      <w:szCs w:val="21"/>
                      <w:highlight w:val="none"/>
                      <w:lang w:val="en-US" w:eastAsia="zh-CN"/>
                    </w:rPr>
                    <w:t xml:space="preserve"> </w:t>
                  </w:r>
                  <w:r>
                    <w:rPr>
                      <w:rFonts w:hint="eastAsia" w:asciiTheme="minorEastAsia" w:hAnsiTheme="minorEastAsia" w:eastAsiaTheme="minorEastAsia" w:cstheme="minorEastAsia"/>
                      <w:b w:val="0"/>
                      <w:bCs w:val="0"/>
                      <w:color w:val="auto"/>
                      <w:sz w:val="21"/>
                      <w:szCs w:val="21"/>
                      <w:highlight w:val="none"/>
                    </w:rPr>
                    <w:t>方式</w:t>
                  </w:r>
                </w:p>
              </w:tc>
              <w:tc>
                <w:tcPr>
                  <w:tcW w:w="9540" w:type="dxa"/>
                  <w:gridSpan w:val="5"/>
                  <w:noWrap w:val="0"/>
                  <w:vAlign w:val="center"/>
                </w:tcPr>
                <w:p>
                  <w:pPr>
                    <w:widowControl/>
                    <w:spacing w:before="72" w:beforeLines="30" w:line="288" w:lineRule="auto"/>
                    <w:jc w:val="left"/>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1、竞标人交货</w:t>
                  </w:r>
                  <w:r>
                    <w:rPr>
                      <w:rFonts w:hint="eastAsia" w:asciiTheme="minorEastAsia" w:hAnsiTheme="minorEastAsia" w:eastAsiaTheme="minorEastAsia" w:cstheme="minorEastAsia"/>
                      <w:b w:val="0"/>
                      <w:bCs w:val="0"/>
                      <w:color w:val="auto"/>
                      <w:kern w:val="0"/>
                      <w:sz w:val="21"/>
                      <w:szCs w:val="21"/>
                      <w:highlight w:val="none"/>
                      <w:lang w:eastAsia="zh-CN"/>
                    </w:rPr>
                    <w:t>安装</w:t>
                  </w:r>
                  <w:r>
                    <w:rPr>
                      <w:rFonts w:hint="eastAsia" w:asciiTheme="minorEastAsia" w:hAnsiTheme="minorEastAsia" w:eastAsiaTheme="minorEastAsia" w:cstheme="minorEastAsia"/>
                      <w:b w:val="0"/>
                      <w:bCs w:val="0"/>
                      <w:color w:val="auto"/>
                      <w:kern w:val="0"/>
                      <w:sz w:val="21"/>
                      <w:szCs w:val="21"/>
                      <w:highlight w:val="none"/>
                    </w:rPr>
                    <w:t>完毕，项目验收合格双方签订验收报告后，竞标人提供相应金额的真实、合法、有效的正式发票给采购人，自采购人收到</w:t>
                  </w:r>
                  <w:r>
                    <w:rPr>
                      <w:rFonts w:hint="eastAsia" w:asciiTheme="minorEastAsia" w:hAnsiTheme="minorEastAsia" w:eastAsiaTheme="minorEastAsia" w:cstheme="minorEastAsia"/>
                      <w:b w:val="0"/>
                      <w:bCs w:val="0"/>
                      <w:color w:val="auto"/>
                      <w:kern w:val="0"/>
                      <w:sz w:val="21"/>
                      <w:szCs w:val="21"/>
                      <w:highlight w:val="none"/>
                      <w:lang w:val="en-US" w:eastAsia="zh-CN"/>
                    </w:rPr>
                    <w:t>请款函、</w:t>
                  </w:r>
                  <w:r>
                    <w:rPr>
                      <w:rFonts w:hint="eastAsia" w:asciiTheme="minorEastAsia" w:hAnsiTheme="minorEastAsia" w:eastAsiaTheme="minorEastAsia" w:cstheme="minorEastAsia"/>
                      <w:b w:val="0"/>
                      <w:bCs w:val="0"/>
                      <w:color w:val="auto"/>
                      <w:kern w:val="0"/>
                      <w:sz w:val="21"/>
                      <w:szCs w:val="21"/>
                      <w:highlight w:val="none"/>
                    </w:rPr>
                    <w:t>发票后一次性支付合同款给竞标人。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84" w:type="dxa"/>
                  <w:gridSpan w:val="2"/>
                  <w:noWrap w:val="0"/>
                  <w:vAlign w:val="center"/>
                </w:tcPr>
                <w:p>
                  <w:pPr>
                    <w:spacing w:before="72" w:beforeLines="30" w:line="288" w:lineRule="auto"/>
                    <w:jc w:val="center"/>
                    <w:rPr>
                      <w:rFonts w:hint="eastAsia" w:asciiTheme="minorEastAsia" w:hAnsiTheme="minorEastAsia" w:eastAsiaTheme="minorEastAsia" w:cstheme="minorEastAsia"/>
                      <w:b w:val="0"/>
                      <w:bCs w:val="0"/>
                      <w:color w:val="auto"/>
                      <w:kern w:val="0"/>
                      <w:sz w:val="21"/>
                      <w:szCs w:val="21"/>
                      <w:highlight w:val="none"/>
                      <w:bdr w:val="single" w:color="000000" w:sz="4" w:space="0"/>
                    </w:rPr>
                  </w:pPr>
                  <w:r>
                    <w:rPr>
                      <w:rFonts w:hint="eastAsia" w:asciiTheme="minorEastAsia" w:hAnsiTheme="minorEastAsia" w:eastAsiaTheme="minorEastAsia" w:cstheme="minorEastAsia"/>
                      <w:b w:val="0"/>
                      <w:bCs w:val="0"/>
                      <w:color w:val="auto"/>
                      <w:sz w:val="21"/>
                      <w:szCs w:val="21"/>
                      <w:highlight w:val="none"/>
                    </w:rPr>
                    <w:t>▲履约保证金</w:t>
                  </w:r>
                </w:p>
              </w:tc>
              <w:tc>
                <w:tcPr>
                  <w:tcW w:w="9540" w:type="dxa"/>
                  <w:gridSpan w:val="5"/>
                  <w:noWrap w:val="0"/>
                  <w:vAlign w:val="center"/>
                </w:tcPr>
                <w:p>
                  <w:pPr>
                    <w:spacing w:before="72" w:beforeLines="30" w:line="288" w:lineRule="auto"/>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1、竞标人在双方签订合同前2个工作日内向采购人缴纳合同金额的5%（竞标人为中小微企业的，履约保证金为合同金额的2%）作为履约保证金，待本项目交货</w:t>
                  </w:r>
                  <w:r>
                    <w:rPr>
                      <w:rFonts w:hint="eastAsia" w:asciiTheme="minorEastAsia" w:hAnsiTheme="minorEastAsia" w:eastAsiaTheme="minorEastAsia" w:cstheme="minorEastAsia"/>
                      <w:b w:val="0"/>
                      <w:bCs w:val="0"/>
                      <w:color w:val="auto"/>
                      <w:sz w:val="21"/>
                      <w:szCs w:val="21"/>
                      <w:highlight w:val="none"/>
                      <w:lang w:eastAsia="zh-CN"/>
                    </w:rPr>
                    <w:t>安装并通过验收合格后十个工作日内无质量问题，由供应商来函申请</w:t>
                  </w:r>
                  <w:r>
                    <w:rPr>
                      <w:rFonts w:hint="eastAsia" w:asciiTheme="minorEastAsia" w:hAnsiTheme="minorEastAsia" w:eastAsiaTheme="minorEastAsia" w:cstheme="minorEastAsia"/>
                      <w:b w:val="0"/>
                      <w:bCs w:val="0"/>
                      <w:color w:val="auto"/>
                      <w:sz w:val="21"/>
                      <w:szCs w:val="21"/>
                      <w:highlight w:val="none"/>
                    </w:rPr>
                    <w:t>无息返还履约保证金。</w:t>
                  </w:r>
                </w:p>
                <w:p>
                  <w:pPr>
                    <w:spacing w:before="72" w:beforeLines="30" w:line="288" w:lineRule="auto"/>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验收不合格的项目，采购人依照合同约定扣除履约保证金，履约保证金不足以抵扣或情况严重的，采购人有权解除合同并追究其违约责任；竞标人应根据服务要求提供售后服务，未按要求提供售后服务的，每次扣除200元履约保证金，保修期内被扣次数达到10次以上的，扣除履约保证金总额的10%。供应商在履约过程中有政府采购法律法规规定的违法违规情形的，采购人将及时报告本级财政部门处理。</w:t>
                  </w:r>
                </w:p>
                <w:p>
                  <w:pPr>
                    <w:spacing w:before="72" w:beforeLines="30" w:line="288" w:lineRule="auto"/>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3、履约保证金递交方式：银行转账、电汇或者银行出具的保函等非现金方式。由竞标人在签订合同前按规定的金额直接缴入以下采购人账户。凭履约保证金缴纳凭证签订合同。</w:t>
                  </w:r>
                </w:p>
                <w:p>
                  <w:pPr>
                    <w:spacing w:before="72" w:beforeLines="30" w:line="288" w:lineRule="auto"/>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4、履约保证金，待本项目交货安装并通过验收合格后十个工作日内无质量问题，由供应商来函申请无息返还履约保证金。</w:t>
                  </w:r>
                </w:p>
                <w:p>
                  <w:pPr>
                    <w:spacing w:line="400" w:lineRule="exact"/>
                    <w:ind w:firstLine="420" w:firstLineChars="200"/>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账户名称：广西壮族自治区疾病预防控制中心</w:t>
                  </w:r>
                </w:p>
                <w:p>
                  <w:pPr>
                    <w:spacing w:line="400" w:lineRule="exact"/>
                    <w:ind w:firstLine="420" w:firstLineChars="200"/>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地    址：广西南宁市青秀区金洲路18号</w:t>
                  </w:r>
                </w:p>
                <w:p>
                  <w:pPr>
                    <w:spacing w:line="400" w:lineRule="exact"/>
                    <w:ind w:firstLine="420" w:firstLineChars="200"/>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账   号：45001604568050700256</w:t>
                  </w:r>
                </w:p>
                <w:p>
                  <w:pPr>
                    <w:spacing w:line="400" w:lineRule="exact"/>
                    <w:ind w:firstLine="420" w:firstLineChars="200"/>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开户行名: 建设银行南宁市汇春路支行</w:t>
                  </w:r>
                </w:p>
                <w:p>
                  <w:pPr>
                    <w:spacing w:line="400" w:lineRule="exact"/>
                    <w:ind w:firstLine="420" w:firstLineChars="200"/>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统一社会信用代码证：12450000729765876F</w:t>
                  </w:r>
                </w:p>
                <w:p>
                  <w:pPr>
                    <w:spacing w:line="40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（注：供应商采用转账方式提交履约保证金的，须从供应商基本账户汇出到达指定账户，并持银行转账凭证到采购人财务处开具收据。）</w:t>
                  </w:r>
                </w:p>
                <w:p>
                  <w:pPr>
                    <w:spacing w:before="72" w:beforeLines="30" w:line="288" w:lineRule="auto"/>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备注：</w:t>
                  </w:r>
                </w:p>
                <w:p>
                  <w:pPr>
                    <w:spacing w:before="72" w:beforeLines="30" w:line="288" w:lineRule="auto"/>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（1）履约保证金不足额缴纳的，或银行出具的保函额度不足的或者银行保函有效期低于合同履行期限（即签订采购合同之日起至履行完合同约定的权利及义务之日止）的，不予签订合同。</w:t>
                  </w:r>
                </w:p>
                <w:p>
                  <w:pPr>
                    <w:spacing w:before="72" w:beforeLines="30" w:line="288" w:lineRule="auto"/>
                    <w:jc w:val="left"/>
                    <w:rPr>
                      <w:rFonts w:hint="eastAsia" w:asciiTheme="minorEastAsia" w:hAnsiTheme="minorEastAsia" w:eastAsiaTheme="minorEastAsia" w:cstheme="minorEastAsia"/>
                      <w:b w:val="0"/>
                      <w:bCs w:val="0"/>
                      <w:color w:val="auto"/>
                      <w:kern w:val="2"/>
                      <w:sz w:val="21"/>
                      <w:szCs w:val="21"/>
                      <w:highlight w:val="none"/>
                    </w:rPr>
                  </w:pPr>
                  <w:r>
                    <w:rPr>
                      <w:rFonts w:hint="eastAsia" w:asciiTheme="minorEastAsia" w:hAnsiTheme="minorEastAsia" w:eastAsiaTheme="minorEastAsia" w:cstheme="minorEastAsia"/>
                      <w:b w:val="0"/>
                      <w:bCs w:val="0"/>
                      <w:color w:val="auto"/>
                      <w:sz w:val="21"/>
                      <w:szCs w:val="21"/>
                      <w:highlight w:val="none"/>
                    </w:rPr>
                    <w:t>（2）采用银行出具的保函的，必须为无条件的银行保函，否则不予签订合同。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084" w:type="dxa"/>
                  <w:gridSpan w:val="2"/>
                  <w:noWrap w:val="0"/>
                  <w:vAlign w:val="center"/>
                </w:tcPr>
                <w:p>
                  <w:pPr>
                    <w:spacing w:before="72" w:beforeLines="30" w:line="288" w:lineRule="auto"/>
                    <w:jc w:val="center"/>
                    <w:rPr>
                      <w:rFonts w:hint="eastAsia" w:asciiTheme="minorEastAsia" w:hAnsiTheme="minorEastAsia" w:eastAsiaTheme="minorEastAsia" w:cstheme="minorEastAsia"/>
                      <w:b w:val="0"/>
                      <w:bCs w:val="0"/>
                      <w:color w:val="auto"/>
                      <w:kern w:val="0"/>
                      <w:sz w:val="21"/>
                      <w:szCs w:val="21"/>
                      <w:highlight w:val="none"/>
                      <w:bdr w:val="single" w:color="000000" w:sz="4" w:space="0"/>
                    </w:rPr>
                  </w:pPr>
                  <w:r>
                    <w:rPr>
                      <w:rFonts w:hint="eastAsia" w:asciiTheme="minorEastAsia" w:hAnsiTheme="minorEastAsia" w:eastAsiaTheme="minorEastAsia" w:cstheme="minorEastAsia"/>
                      <w:b w:val="0"/>
                      <w:bCs w:val="0"/>
                      <w:color w:val="auto"/>
                      <w:sz w:val="21"/>
                      <w:szCs w:val="21"/>
                      <w:highlight w:val="none"/>
                    </w:rPr>
                    <w:t>▲违约责任</w:t>
                  </w:r>
                </w:p>
              </w:tc>
              <w:tc>
                <w:tcPr>
                  <w:tcW w:w="9540" w:type="dxa"/>
                  <w:gridSpan w:val="5"/>
                  <w:noWrap w:val="0"/>
                  <w:vAlign w:val="center"/>
                </w:tcPr>
                <w:p>
                  <w:pPr>
                    <w:tabs>
                      <w:tab w:val="left" w:pos="615"/>
                    </w:tabs>
                    <w:spacing w:before="72" w:beforeLines="30" w:line="288" w:lineRule="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1、若竞标人供应的产品不符合</w:t>
                  </w:r>
                  <w:r>
                    <w:rPr>
                      <w:rFonts w:hint="eastAsia" w:asciiTheme="minorEastAsia" w:hAnsiTheme="minorEastAsia" w:eastAsiaTheme="minorEastAsia" w:cstheme="minorEastAsia"/>
                      <w:b w:val="0"/>
                      <w:bCs w:val="0"/>
                      <w:color w:val="auto"/>
                      <w:sz w:val="21"/>
                      <w:szCs w:val="21"/>
                      <w:highlight w:val="none"/>
                      <w:lang w:eastAsia="zh-CN"/>
                    </w:rPr>
                    <w:t>谈判</w:t>
                  </w:r>
                  <w:r>
                    <w:rPr>
                      <w:rFonts w:hint="eastAsia" w:asciiTheme="minorEastAsia" w:hAnsiTheme="minorEastAsia" w:eastAsiaTheme="minorEastAsia" w:cstheme="minorEastAsia"/>
                      <w:b w:val="0"/>
                      <w:bCs w:val="0"/>
                      <w:color w:val="auto"/>
                      <w:sz w:val="21"/>
                      <w:szCs w:val="21"/>
                      <w:highlight w:val="none"/>
                    </w:rPr>
                    <w:t>文件要求及国家和行业相关的质量标准的，竞标人应在7个日历日内予以替换，逾期未替换或替换后仍无法通过采购人验收的，采购人有权终止合同，并由竞标人承担相应责任（包括但不限于采购人直接经济损失、造成事故的赔偿和法律责任等）。</w:t>
                  </w:r>
                </w:p>
                <w:p>
                  <w:pPr>
                    <w:tabs>
                      <w:tab w:val="left" w:pos="615"/>
                    </w:tabs>
                    <w:spacing w:before="72" w:beforeLines="30" w:line="288" w:lineRule="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2、如因货物本身质量问题而造成安全事故，采购人有权终止合同并由竞标人承担相应责任（包括但不限于采购人直接经济损失、造成事故的赔偿和法律责任等）。</w:t>
                  </w:r>
                </w:p>
                <w:p>
                  <w:pPr>
                    <w:tabs>
                      <w:tab w:val="left" w:pos="615"/>
                    </w:tabs>
                    <w:spacing w:before="72" w:beforeLines="30" w:line="288" w:lineRule="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3、竞标人不能按采购人指定送货时间送达指定地点时，将视认为违约，每超过1天，采购人有权要求竞标人支付1000元违约金，以此类推。</w:t>
                  </w:r>
                </w:p>
                <w:p>
                  <w:pPr>
                    <w:tabs>
                      <w:tab w:val="left" w:pos="615"/>
                    </w:tabs>
                    <w:spacing w:before="72" w:beforeLines="30" w:line="288" w:lineRule="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4、竞标人应根据服务要求提供售后服务，未按要求提供售后服务的，每次扣除200元履约保证金，保修期内被扣次数达到10次以上的，扣除履约保证金总额的10%。</w:t>
                  </w:r>
                </w:p>
                <w:p>
                  <w:pPr>
                    <w:tabs>
                      <w:tab w:val="left" w:pos="615"/>
                    </w:tabs>
                    <w:spacing w:before="72" w:beforeLines="30" w:line="288" w:lineRule="auto"/>
                    <w:rPr>
                      <w:rFonts w:hint="eastAsia" w:asciiTheme="minorEastAsia" w:hAnsiTheme="minorEastAsia" w:eastAsiaTheme="minorEastAsia" w:cstheme="minorEastAsia"/>
                      <w:b w:val="0"/>
                      <w:bCs w:val="0"/>
                      <w:color w:val="auto"/>
                      <w:kern w:val="2"/>
                      <w:sz w:val="21"/>
                      <w:szCs w:val="21"/>
                      <w:highlight w:val="none"/>
                    </w:rPr>
                  </w:pPr>
                  <w:r>
                    <w:rPr>
                      <w:rFonts w:hint="eastAsia" w:asciiTheme="minorEastAsia" w:hAnsiTheme="minorEastAsia" w:eastAsiaTheme="minorEastAsia" w:cstheme="minorEastAsia"/>
                      <w:b w:val="0"/>
                      <w:bCs w:val="0"/>
                      <w:color w:val="auto"/>
                      <w:sz w:val="21"/>
                      <w:szCs w:val="21"/>
                      <w:highlight w:val="none"/>
                    </w:rPr>
                    <w:t>5、竞标人所提供商品必须权属清楚，不得侵害他人的知识产权，否则视为对采购人违约，竞标人承担全部相关责任。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4" w:type="dxa"/>
                  <w:gridSpan w:val="2"/>
                  <w:noWrap w:val="0"/>
                  <w:vAlign w:val="center"/>
                </w:tcPr>
                <w:p>
                  <w:pPr>
                    <w:snapToGrid w:val="0"/>
                    <w:spacing w:before="72" w:beforeLines="30" w:line="288" w:lineRule="auto"/>
                    <w:jc w:val="center"/>
                    <w:rPr>
                      <w:rFonts w:hint="eastAsia" w:asciiTheme="minorEastAsia" w:hAnsiTheme="minorEastAsia" w:eastAsiaTheme="minorEastAsia" w:cstheme="minorEastAsia"/>
                      <w:b w:val="0"/>
                      <w:bCs w:val="0"/>
                      <w:color w:val="auto"/>
                      <w:kern w:val="0"/>
                      <w:sz w:val="21"/>
                      <w:szCs w:val="21"/>
                      <w:highlight w:val="none"/>
                      <w:bdr w:val="single" w:color="000000" w:sz="4" w:space="0"/>
                    </w:rPr>
                  </w:pPr>
                  <w:r>
                    <w:rPr>
                      <w:rFonts w:hint="eastAsia" w:asciiTheme="minorEastAsia" w:hAnsiTheme="minorEastAsia" w:eastAsiaTheme="minorEastAsia" w:cstheme="minorEastAsia"/>
                      <w:b w:val="0"/>
                      <w:bCs w:val="0"/>
                      <w:color w:val="auto"/>
                      <w:sz w:val="21"/>
                      <w:szCs w:val="21"/>
                      <w:highlight w:val="none"/>
                    </w:rPr>
                    <w:t>其它要求及说明</w:t>
                  </w:r>
                </w:p>
              </w:tc>
              <w:tc>
                <w:tcPr>
                  <w:tcW w:w="9540" w:type="dxa"/>
                  <w:gridSpan w:val="5"/>
                  <w:noWrap w:val="0"/>
                  <w:vAlign w:val="center"/>
                </w:tcPr>
                <w:p>
                  <w:pPr>
                    <w:snapToGrid w:val="0"/>
                    <w:spacing w:before="72" w:beforeLines="30" w:line="288" w:lineRule="auto"/>
                    <w:rPr>
                      <w:rFonts w:hint="eastAsia" w:asciiTheme="minorEastAsia" w:hAnsiTheme="minorEastAsia" w:eastAsiaTheme="minorEastAsia" w:cstheme="minorEastAsia"/>
                      <w:b w:val="0"/>
                      <w:bCs w:val="0"/>
                      <w:color w:val="auto"/>
                      <w:sz w:val="21"/>
                      <w:szCs w:val="21"/>
                      <w:highlight w:val="none"/>
                      <w:lang w:val="zh-CN"/>
                    </w:rPr>
                  </w:pPr>
                  <w:r>
                    <w:rPr>
                      <w:rFonts w:hint="eastAsia" w:asciiTheme="minorEastAsia" w:hAnsiTheme="minorEastAsia" w:eastAsiaTheme="minorEastAsia" w:cstheme="minorEastAsia"/>
                      <w:b w:val="0"/>
                      <w:bCs w:val="0"/>
                      <w:color w:val="auto"/>
                      <w:sz w:val="21"/>
                      <w:szCs w:val="21"/>
                      <w:highlight w:val="none"/>
                      <w:lang w:val="zh-CN"/>
                    </w:rPr>
                    <w:t>1、竞标人保证向采购人提供的货物是全新、完整、未使用过的。</w:t>
                  </w:r>
                </w:p>
                <w:p>
                  <w:pPr>
                    <w:widowControl/>
                    <w:shd w:val="clear" w:color="auto" w:fill="FFFFFF"/>
                    <w:spacing w:before="72" w:beforeLines="30" w:line="288" w:lineRule="auto"/>
                    <w:jc w:val="left"/>
                    <w:rPr>
                      <w:rFonts w:hint="eastAsia" w:asciiTheme="minorEastAsia" w:hAnsiTheme="minorEastAsia" w:eastAsiaTheme="minorEastAsia" w:cstheme="minorEastAsia"/>
                      <w:b w:val="0"/>
                      <w:bCs w:val="0"/>
                      <w:color w:val="auto"/>
                      <w:sz w:val="21"/>
                      <w:szCs w:val="21"/>
                      <w:highlight w:val="none"/>
                      <w:lang w:val="zh-CN"/>
                    </w:rPr>
                  </w:pPr>
                  <w:r>
                    <w:rPr>
                      <w:rFonts w:hint="eastAsia" w:asciiTheme="minorEastAsia" w:hAnsiTheme="minorEastAsia" w:eastAsiaTheme="minorEastAsia" w:cstheme="minorEastAsia"/>
                      <w:b w:val="0"/>
                      <w:bCs w:val="0"/>
                      <w:color w:val="auto"/>
                      <w:sz w:val="21"/>
                      <w:szCs w:val="21"/>
                      <w:highlight w:val="none"/>
                      <w:lang w:val="zh-CN"/>
                    </w:rPr>
                    <w:t>2、本项目不接受进口产品（即通过中国海关报关验放进入中国境内且产自关境外的产品）参与竞标，如有此类产品参与竞标的做竞标无效处理。</w:t>
                  </w:r>
                </w:p>
                <w:p>
                  <w:pPr>
                    <w:spacing w:before="72" w:beforeLines="30" w:line="288" w:lineRule="auto"/>
                    <w:rPr>
                      <w:rFonts w:hint="eastAsia" w:asciiTheme="minorEastAsia" w:hAnsiTheme="minorEastAsia" w:eastAsiaTheme="minorEastAsia" w:cstheme="minorEastAsia"/>
                      <w:b w:val="0"/>
                      <w:bCs w:val="0"/>
                      <w:color w:val="auto"/>
                      <w:sz w:val="21"/>
                      <w:szCs w:val="21"/>
                      <w:highlight w:val="none"/>
                      <w:lang w:val="zh-CN"/>
                    </w:rPr>
                  </w:pPr>
                  <w:r>
                    <w:rPr>
                      <w:rFonts w:hint="eastAsia" w:asciiTheme="minorEastAsia" w:hAnsiTheme="minorEastAsia" w:eastAsiaTheme="minorEastAsia" w:cstheme="minorEastAsia"/>
                      <w:b w:val="0"/>
                      <w:bCs w:val="0"/>
                      <w:color w:val="auto"/>
                      <w:sz w:val="21"/>
                      <w:szCs w:val="21"/>
                      <w:highlight w:val="none"/>
                      <w:lang w:val="zh-CN"/>
                    </w:rPr>
                    <w:t>3、</w:t>
                  </w:r>
                  <w:r>
                    <w:rPr>
                      <w:rFonts w:hint="eastAsia" w:asciiTheme="minorEastAsia" w:hAnsiTheme="minorEastAsia" w:eastAsiaTheme="minorEastAsia" w:cstheme="minorEastAsia"/>
                      <w:b w:val="0"/>
                      <w:bCs w:val="0"/>
                      <w:color w:val="auto"/>
                      <w:sz w:val="21"/>
                      <w:szCs w:val="21"/>
                      <w:highlight w:val="none"/>
                    </w:rPr>
                    <w:t>家具的最终外形尺寸须根据实际布置进行调整，对有特殊的定制家具及修改的尺寸均包含在竞标报价中，竞标人在报价时应自行考虑，承诺不因定制或修改家具尺寸的因素而改变竞标报价</w:t>
                  </w:r>
                  <w:r>
                    <w:rPr>
                      <w:rFonts w:hint="eastAsia" w:asciiTheme="minorEastAsia" w:hAnsiTheme="minorEastAsia" w:eastAsiaTheme="minorEastAsia" w:cstheme="minorEastAsia"/>
                      <w:b w:val="0"/>
                      <w:bCs w:val="0"/>
                      <w:color w:val="auto"/>
                      <w:sz w:val="21"/>
                      <w:szCs w:val="21"/>
                      <w:highlight w:val="none"/>
                      <w:lang w:val="zh-CN"/>
                    </w:rPr>
                    <w:t>。</w:t>
                  </w:r>
                </w:p>
                <w:p>
                  <w:pPr>
                    <w:pStyle w:val="22"/>
                    <w:spacing w:before="72" w:beforeLines="30" w:line="288" w:lineRule="auto"/>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zh-CN"/>
                    </w:rPr>
                    <w:t>▲</w:t>
                  </w: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b w:val="0"/>
                      <w:bCs w:val="0"/>
                      <w:color w:val="auto"/>
                      <w:sz w:val="21"/>
                      <w:szCs w:val="21"/>
                      <w:highlight w:val="none"/>
                    </w:rPr>
                    <w:t>、验收：</w:t>
                  </w:r>
                </w:p>
                <w:p>
                  <w:pPr>
                    <w:pStyle w:val="22"/>
                    <w:spacing w:before="72" w:beforeLines="30" w:line="288" w:lineRule="auto"/>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w:t>
                  </w:r>
                  <w:bookmarkStart w:id="31" w:name="OLE_LINK160"/>
                  <w:r>
                    <w:rPr>
                      <w:rFonts w:hint="eastAsia" w:asciiTheme="minorEastAsia" w:hAnsiTheme="minorEastAsia" w:eastAsiaTheme="minorEastAsia" w:cstheme="minorEastAsia"/>
                      <w:b w:val="0"/>
                      <w:bCs w:val="0"/>
                      <w:color w:val="auto"/>
                      <w:sz w:val="21"/>
                      <w:szCs w:val="21"/>
                      <w:highlight w:val="none"/>
                      <w:lang w:val="zh-CN"/>
                    </w:rPr>
                    <w:t>竞标人在签订合同后，提供</w:t>
                  </w:r>
                  <w:r>
                    <w:rPr>
                      <w:rFonts w:hint="eastAsia" w:asciiTheme="minorEastAsia" w:hAnsiTheme="minorEastAsia" w:eastAsiaTheme="minorEastAsia" w:cstheme="minorEastAsia"/>
                      <w:b w:val="0"/>
                      <w:bCs w:val="0"/>
                      <w:color w:val="auto"/>
                      <w:sz w:val="21"/>
                      <w:szCs w:val="21"/>
                      <w:highlight w:val="none"/>
                      <w:lang w:val="en-US" w:eastAsia="zh-CN"/>
                    </w:rPr>
                    <w:t>项号1、2</w:t>
                  </w:r>
                  <w:r>
                    <w:rPr>
                      <w:rFonts w:hint="eastAsia" w:asciiTheme="minorEastAsia" w:hAnsiTheme="minorEastAsia" w:eastAsiaTheme="minorEastAsia" w:cstheme="minorEastAsia"/>
                      <w:b w:val="0"/>
                      <w:bCs w:val="0"/>
                      <w:color w:val="auto"/>
                      <w:sz w:val="21"/>
                      <w:szCs w:val="21"/>
                      <w:highlight w:val="none"/>
                      <w:lang w:val="zh-CN"/>
                    </w:rPr>
                    <w:t>与招标参数一致的</w:t>
                  </w:r>
                  <w:r>
                    <w:rPr>
                      <w:rFonts w:hint="eastAsia" w:asciiTheme="minorEastAsia" w:hAnsiTheme="minorEastAsia" w:eastAsiaTheme="minorEastAsia" w:cstheme="minorEastAsia"/>
                      <w:b w:val="0"/>
                      <w:bCs w:val="0"/>
                      <w:color w:val="auto"/>
                      <w:sz w:val="21"/>
                      <w:szCs w:val="21"/>
                      <w:highlight w:val="none"/>
                      <w:lang w:val="en-US" w:eastAsia="zh-CN"/>
                    </w:rPr>
                    <w:t>样品各</w:t>
                  </w:r>
                  <w:r>
                    <w:rPr>
                      <w:rFonts w:hint="eastAsia" w:asciiTheme="minorEastAsia" w:hAnsiTheme="minorEastAsia" w:eastAsiaTheme="minorEastAsia" w:cstheme="minorEastAsia"/>
                      <w:b w:val="0"/>
                      <w:bCs w:val="0"/>
                      <w:color w:val="auto"/>
                      <w:sz w:val="21"/>
                      <w:szCs w:val="21"/>
                      <w:highlight w:val="none"/>
                      <w:lang w:val="zh-CN"/>
                    </w:rPr>
                    <w:t>一套至采购人处进行检测</w:t>
                  </w:r>
                  <w:bookmarkEnd w:id="31"/>
                  <w:r>
                    <w:rPr>
                      <w:rFonts w:hint="eastAsia" w:asciiTheme="minorEastAsia" w:hAnsiTheme="minorEastAsia" w:eastAsiaTheme="minorEastAsia" w:cstheme="minorEastAsia"/>
                      <w:b w:val="0"/>
                      <w:bCs w:val="0"/>
                      <w:color w:val="auto"/>
                      <w:sz w:val="21"/>
                      <w:szCs w:val="21"/>
                      <w:highlight w:val="none"/>
                      <w:lang w:val="zh-CN"/>
                    </w:rPr>
                    <w:t>，采购人可聘请具有验收资质的检测部门进行检测，检测合格的产品作为验收产品的依据，费用由竞标人负责</w:t>
                  </w:r>
                  <w:r>
                    <w:rPr>
                      <w:rFonts w:hint="eastAsia" w:asciiTheme="minorEastAsia" w:hAnsiTheme="minorEastAsia" w:eastAsiaTheme="minorEastAsia" w:cstheme="minorEastAsia"/>
                      <w:b w:val="0"/>
                      <w:bCs w:val="0"/>
                      <w:color w:val="auto"/>
                      <w:sz w:val="21"/>
                      <w:szCs w:val="21"/>
                      <w:highlight w:val="none"/>
                    </w:rPr>
                    <w:t>。</w:t>
                  </w:r>
                </w:p>
                <w:p>
                  <w:pPr>
                    <w:adjustRightInd w:val="0"/>
                    <w:snapToGrid w:val="0"/>
                    <w:spacing w:before="72" w:beforeLines="30" w:line="288" w:lineRule="auto"/>
                    <w:rPr>
                      <w:rFonts w:hint="eastAsia" w:asciiTheme="minorEastAsia" w:hAnsiTheme="minorEastAsia" w:eastAsiaTheme="minorEastAsia" w:cstheme="minorEastAsia"/>
                      <w:b w:val="0"/>
                      <w:bCs w:val="0"/>
                      <w:caps/>
                      <w:color w:val="auto"/>
                      <w:kern w:val="2"/>
                      <w:sz w:val="21"/>
                      <w:szCs w:val="21"/>
                      <w:highlight w:val="none"/>
                    </w:rPr>
                  </w:pPr>
                  <w:r>
                    <w:rPr>
                      <w:rFonts w:hint="eastAsia" w:asciiTheme="minorEastAsia" w:hAnsiTheme="minorEastAsia" w:eastAsiaTheme="minorEastAsia" w:cstheme="minorEastAsia"/>
                      <w:b w:val="0"/>
                      <w:bCs w:val="0"/>
                      <w:color w:val="auto"/>
                      <w:sz w:val="21"/>
                      <w:szCs w:val="21"/>
                      <w:highlight w:val="none"/>
                    </w:rPr>
                    <w:t>（2）竞标人须按规定时间交货安装完毕，采购人可聘请具有验收能力的检测部门进行验收，验收不合格按照政府采购法及相关规定执行。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084" w:type="dxa"/>
                  <w:gridSpan w:val="2"/>
                  <w:noWrap w:val="0"/>
                  <w:vAlign w:val="center"/>
                </w:tcPr>
                <w:p>
                  <w:pPr>
                    <w:snapToGrid w:val="0"/>
                    <w:spacing w:line="360" w:lineRule="exact"/>
                    <w:jc w:val="center"/>
                    <w:rPr>
                      <w:rFonts w:hint="eastAsia" w:asciiTheme="minorEastAsia" w:hAnsiTheme="minorEastAsia" w:eastAsiaTheme="minorEastAsia" w:cstheme="minorEastAsia"/>
                      <w:b w:val="0"/>
                      <w:bCs w:val="0"/>
                      <w:color w:val="auto"/>
                      <w:kern w:val="0"/>
                      <w:sz w:val="21"/>
                      <w:szCs w:val="21"/>
                      <w:highlight w:val="none"/>
                      <w:lang w:bidi="ar"/>
                    </w:rPr>
                  </w:pPr>
                  <w:r>
                    <w:rPr>
                      <w:rFonts w:hint="eastAsia" w:asciiTheme="minorEastAsia" w:hAnsiTheme="minorEastAsia" w:eastAsiaTheme="minorEastAsia" w:cstheme="minorEastAsia"/>
                      <w:b w:val="0"/>
                      <w:bCs w:val="0"/>
                      <w:color w:val="auto"/>
                      <w:sz w:val="21"/>
                      <w:szCs w:val="21"/>
                      <w:highlight w:val="none"/>
                      <w:lang w:eastAsia="zh-CN"/>
                    </w:rPr>
                    <w:t>可</w:t>
                  </w:r>
                  <w:r>
                    <w:rPr>
                      <w:rFonts w:hint="eastAsia" w:asciiTheme="minorEastAsia" w:hAnsiTheme="minorEastAsia" w:eastAsiaTheme="minorEastAsia" w:cstheme="minorEastAsia"/>
                      <w:b w:val="0"/>
                      <w:bCs w:val="0"/>
                      <w:color w:val="auto"/>
                      <w:sz w:val="21"/>
                      <w:szCs w:val="21"/>
                      <w:highlight w:val="none"/>
                    </w:rPr>
                    <w:t>谈判内容</w:t>
                  </w:r>
                </w:p>
              </w:tc>
              <w:tc>
                <w:tcPr>
                  <w:tcW w:w="9540" w:type="dxa"/>
                  <w:gridSpan w:val="5"/>
                  <w:noWrap w:val="0"/>
                  <w:vAlign w:val="top"/>
                </w:tcPr>
                <w:p>
                  <w:pPr>
                    <w:snapToGrid w:val="0"/>
                    <w:spacing w:before="120" w:beforeLines="50" w:after="120" w:afterLines="50" w:line="360" w:lineRule="exact"/>
                    <w:rPr>
                      <w:rFonts w:hint="eastAsia" w:asciiTheme="minorEastAsia" w:hAnsiTheme="minorEastAsia" w:eastAsiaTheme="minorEastAsia" w:cstheme="minorEastAsia"/>
                      <w:b w:val="0"/>
                      <w:bCs w:val="0"/>
                      <w:color w:val="auto"/>
                      <w:kern w:val="0"/>
                      <w:sz w:val="21"/>
                      <w:szCs w:val="21"/>
                      <w:highlight w:val="none"/>
                      <w:bdr w:val="single" w:color="000000" w:sz="4" w:space="0"/>
                      <w:lang w:bidi="ar"/>
                    </w:rPr>
                  </w:pPr>
                  <w:r>
                    <w:rPr>
                      <w:rFonts w:hint="eastAsia" w:asciiTheme="minorEastAsia" w:hAnsiTheme="minorEastAsia" w:eastAsiaTheme="minorEastAsia" w:cstheme="minorEastAsia"/>
                      <w:b w:val="0"/>
                      <w:bCs w:val="0"/>
                      <w:color w:val="auto"/>
                      <w:sz w:val="21"/>
                      <w:szCs w:val="21"/>
                      <w:highlight w:val="none"/>
                      <w:lang w:val="zh-CN"/>
                    </w:rPr>
                    <w:t xml:space="preserve">本项目第三章采购需求中未标注▲符号的内容均可谈判。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0624" w:type="dxa"/>
                  <w:gridSpan w:val="7"/>
                  <w:noWrap w:val="0"/>
                  <w:vAlign w:val="center"/>
                </w:tcPr>
                <w:p>
                  <w:pPr>
                    <w:pStyle w:val="2"/>
                    <w:tabs>
                      <w:tab w:val="right" w:leader="dot" w:pos="8296"/>
                      <w:tab w:val="right" w:leader="dot" w:pos="8398"/>
                    </w:tabs>
                    <w:spacing w:before="72" w:beforeLines="30" w:line="288" w:lineRule="auto"/>
                    <w:rPr>
                      <w:rFonts w:hint="eastAsia" w:asciiTheme="minorEastAsia" w:hAnsiTheme="minorEastAsia" w:eastAsiaTheme="minorEastAsia" w:cstheme="minorEastAsia"/>
                      <w:b w:val="0"/>
                      <w:bCs w:val="0"/>
                      <w:caps/>
                      <w:color w:val="auto"/>
                      <w:kern w:val="2"/>
                      <w:sz w:val="21"/>
                      <w:szCs w:val="21"/>
                      <w:highlight w:val="none"/>
                    </w:rPr>
                  </w:pPr>
                  <w:r>
                    <w:rPr>
                      <w:rFonts w:hint="eastAsia" w:asciiTheme="minorEastAsia" w:hAnsiTheme="minorEastAsia" w:eastAsiaTheme="minorEastAsia" w:cstheme="minorEastAsia"/>
                      <w:b w:val="0"/>
                      <w:bCs w:val="0"/>
                      <w:color w:val="auto"/>
                      <w:sz w:val="21"/>
                      <w:szCs w:val="21"/>
                      <w:highlight w:val="none"/>
                    </w:rPr>
                    <w:t>备注：本项目第三章采购需求中标注▲符号的，竞标时必须满足或优于，否则，作竞标无效处理。</w:t>
                  </w:r>
                </w:p>
              </w:tc>
            </w:tr>
          </w:tbl>
          <w:p>
            <w:pPr>
              <w:tabs>
                <w:tab w:val="left" w:pos="180"/>
                <w:tab w:val="left" w:pos="1620"/>
              </w:tabs>
              <w:spacing w:line="500" w:lineRule="exact"/>
              <w:rPr>
                <w:rFonts w:hint="eastAsia" w:asciiTheme="minorEastAsia" w:hAnsiTheme="minorEastAsia" w:eastAsiaTheme="minorEastAsia" w:cstheme="minorEastAsia"/>
                <w:b w:val="0"/>
                <w:bCs w:val="0"/>
                <w:color w:val="auto"/>
                <w:sz w:val="21"/>
                <w:szCs w:val="21"/>
                <w:highlight w:val="none"/>
              </w:rPr>
            </w:pPr>
          </w:p>
        </w:tc>
      </w:tr>
    </w:tbl>
    <w:p>
      <w:pPr>
        <w:spacing w:line="520" w:lineRule="exact"/>
        <w:rPr>
          <w:rFonts w:hint="eastAsia" w:eastAsia="黑体"/>
          <w:b w:val="0"/>
          <w:bCs w:val="0"/>
          <w:color w:val="auto"/>
          <w:szCs w:val="21"/>
          <w:highlight w:val="none"/>
        </w:rPr>
      </w:pPr>
    </w:p>
    <w:p>
      <w:pPr>
        <w:spacing w:line="500" w:lineRule="exact"/>
        <w:rPr>
          <w:rFonts w:hint="eastAsia" w:ascii="宋体" w:hAnsi="宋体"/>
          <w:b w:val="0"/>
          <w:bCs w:val="0"/>
          <w:color w:val="auto"/>
          <w:szCs w:val="21"/>
          <w:highlight w:val="none"/>
        </w:rPr>
      </w:pPr>
    </w:p>
    <w:p>
      <w:pPr>
        <w:rPr>
          <w:rFonts w:hint="eastAsia"/>
          <w:b w:val="0"/>
          <w:bCs w:val="0"/>
          <w:color w:val="auto"/>
          <w:highlight w:val="none"/>
        </w:rPr>
      </w:pPr>
      <w:bookmarkStart w:id="32" w:name="_Toc46136759"/>
    </w:p>
    <w:p>
      <w:pPr>
        <w:pStyle w:val="2"/>
        <w:rPr>
          <w:rFonts w:hint="eastAsia"/>
          <w:b w:val="0"/>
          <w:bCs w:val="0"/>
          <w:color w:val="auto"/>
          <w:highlight w:val="none"/>
        </w:rPr>
      </w:pPr>
    </w:p>
    <w:p>
      <w:pPr>
        <w:pStyle w:val="3"/>
        <w:jc w:val="center"/>
        <w:rPr>
          <w:rFonts w:hint="eastAsia"/>
          <w:b w:val="0"/>
          <w:bCs w:val="0"/>
          <w:color w:val="auto"/>
          <w:highlight w:val="none"/>
        </w:rPr>
      </w:pPr>
    </w:p>
    <w:p>
      <w:pPr>
        <w:pStyle w:val="3"/>
        <w:jc w:val="center"/>
        <w:rPr>
          <w:rFonts w:hint="eastAsia"/>
          <w:b w:val="0"/>
          <w:bCs w:val="0"/>
          <w:color w:val="auto"/>
          <w:highlight w:val="none"/>
        </w:rPr>
      </w:pPr>
    </w:p>
    <w:p>
      <w:pPr>
        <w:rPr>
          <w:rFonts w:hint="eastAsia"/>
          <w:b w:val="0"/>
          <w:bCs w:val="0"/>
          <w:color w:val="auto"/>
          <w:highlight w:val="none"/>
        </w:rPr>
      </w:pPr>
    </w:p>
    <w:p>
      <w:pPr>
        <w:pStyle w:val="3"/>
        <w:jc w:val="center"/>
        <w:rPr>
          <w:b w:val="0"/>
          <w:bCs w:val="0"/>
          <w:color w:val="auto"/>
          <w:highlight w:val="none"/>
        </w:rPr>
      </w:pPr>
      <w:r>
        <w:rPr>
          <w:rFonts w:hint="eastAsia"/>
          <w:b w:val="0"/>
          <w:bCs w:val="0"/>
          <w:color w:val="auto"/>
          <w:highlight w:val="none"/>
        </w:rPr>
        <w:t>第四章  竞争性谈判响应文件格式</w:t>
      </w:r>
      <w:bookmarkEnd w:id="32"/>
    </w:p>
    <w:p>
      <w:pPr>
        <w:spacing w:line="500" w:lineRule="exact"/>
        <w:jc w:val="center"/>
        <w:rPr>
          <w:rFonts w:ascii="宋体" w:hAnsi="宋体"/>
          <w:b w:val="0"/>
          <w:bCs w:val="0"/>
          <w:color w:val="auto"/>
          <w:szCs w:val="21"/>
          <w:highlight w:val="none"/>
        </w:rPr>
      </w:pPr>
    </w:p>
    <w:p>
      <w:pPr>
        <w:spacing w:line="500" w:lineRule="exact"/>
        <w:jc w:val="center"/>
        <w:rPr>
          <w:rFonts w:ascii="宋体" w:hAnsi="宋体"/>
          <w:b w:val="0"/>
          <w:bCs w:val="0"/>
          <w:color w:val="auto"/>
          <w:szCs w:val="21"/>
          <w:highlight w:val="none"/>
        </w:rPr>
      </w:pPr>
    </w:p>
    <w:p>
      <w:pPr>
        <w:spacing w:line="500" w:lineRule="exact"/>
        <w:jc w:val="center"/>
        <w:rPr>
          <w:rFonts w:ascii="宋体" w:hAnsi="宋体"/>
          <w:b w:val="0"/>
          <w:bCs w:val="0"/>
          <w:color w:val="auto"/>
          <w:szCs w:val="21"/>
          <w:highlight w:val="none"/>
        </w:rPr>
      </w:pPr>
    </w:p>
    <w:p>
      <w:pPr>
        <w:spacing w:line="500" w:lineRule="exact"/>
        <w:jc w:val="center"/>
        <w:rPr>
          <w:rFonts w:ascii="宋体" w:hAnsi="宋体"/>
          <w:b w:val="0"/>
          <w:bCs w:val="0"/>
          <w:color w:val="auto"/>
          <w:szCs w:val="21"/>
          <w:highlight w:val="none"/>
        </w:rPr>
      </w:pPr>
    </w:p>
    <w:p>
      <w:pPr>
        <w:pageBreakBefore/>
        <w:spacing w:line="500" w:lineRule="exact"/>
        <w:jc w:val="center"/>
        <w:rPr>
          <w:rFonts w:ascii="宋体" w:hAnsi="宋体"/>
          <w:b w:val="0"/>
          <w:bCs w:val="0"/>
          <w:color w:val="auto"/>
          <w:szCs w:val="21"/>
          <w:highlight w:val="none"/>
        </w:rPr>
      </w:pPr>
    </w:p>
    <w:p>
      <w:pPr>
        <w:pStyle w:val="21"/>
        <w:jc w:val="center"/>
        <w:rPr>
          <w:b w:val="0"/>
          <w:bCs w:val="0"/>
          <w:color w:val="auto"/>
          <w:sz w:val="28"/>
          <w:szCs w:val="28"/>
          <w:highlight w:val="none"/>
        </w:rPr>
      </w:pPr>
      <w:r>
        <w:rPr>
          <w:rFonts w:hint="eastAsia"/>
          <w:b w:val="0"/>
          <w:bCs w:val="0"/>
          <w:color w:val="auto"/>
          <w:sz w:val="28"/>
          <w:szCs w:val="28"/>
          <w:highlight w:val="none"/>
        </w:rPr>
        <w:t>一、 竞争性谈判响应文件封面格式</w:t>
      </w:r>
    </w:p>
    <w:p>
      <w:pPr>
        <w:spacing w:after="50" w:line="360" w:lineRule="exact"/>
        <w:rPr>
          <w:rFonts w:ascii="宋体" w:hAnsi="宋体"/>
          <w:b w:val="0"/>
          <w:bCs w:val="0"/>
          <w:color w:val="auto"/>
          <w:szCs w:val="21"/>
          <w:highlight w:val="none"/>
        </w:rPr>
      </w:pPr>
    </w:p>
    <w:p>
      <w:pPr>
        <w:adjustRightInd w:val="0"/>
        <w:snapToGrid w:val="0"/>
        <w:spacing w:line="360" w:lineRule="auto"/>
        <w:ind w:firstLine="640" w:firstLineChars="200"/>
        <w:jc w:val="left"/>
        <w:rPr>
          <w:rFonts w:hint="eastAsia" w:ascii="宋体" w:hAnsi="宋体"/>
          <w:b w:val="0"/>
          <w:bCs w:val="0"/>
          <w:color w:val="auto"/>
          <w:sz w:val="24"/>
          <w:highlight w:val="none"/>
        </w:rPr>
      </w:pPr>
      <w:r>
        <w:rPr>
          <w:rFonts w:hint="eastAsia" w:ascii="宋体" w:hAnsi="宋体"/>
          <w:b w:val="0"/>
          <w:bCs w:val="0"/>
          <w:color w:val="auto"/>
          <w:sz w:val="32"/>
          <w:szCs w:val="32"/>
          <w:highlight w:val="none"/>
        </w:rPr>
        <w:t>封面</w:t>
      </w:r>
    </w:p>
    <w:p>
      <w:pPr>
        <w:adjustRightInd w:val="0"/>
        <w:snapToGrid w:val="0"/>
        <w:spacing w:line="360" w:lineRule="auto"/>
        <w:jc w:val="center"/>
        <w:rPr>
          <w:rFonts w:hint="eastAsia" w:ascii="宋体" w:hAnsi="宋体"/>
          <w:b w:val="0"/>
          <w:bCs w:val="0"/>
          <w:color w:val="auto"/>
          <w:sz w:val="72"/>
          <w:szCs w:val="72"/>
          <w:highlight w:val="none"/>
        </w:rPr>
      </w:pPr>
      <w:r>
        <w:rPr>
          <w:rFonts w:hint="eastAsia" w:ascii="宋体" w:hAnsi="宋体"/>
          <w:b w:val="0"/>
          <w:bCs w:val="0"/>
          <w:color w:val="auto"/>
          <w:sz w:val="72"/>
          <w:szCs w:val="72"/>
          <w:highlight w:val="none"/>
        </w:rPr>
        <w:t>竞争性谈判响应文件</w:t>
      </w:r>
    </w:p>
    <w:p>
      <w:pPr>
        <w:adjustRightInd w:val="0"/>
        <w:snapToGrid w:val="0"/>
        <w:spacing w:line="360" w:lineRule="auto"/>
        <w:jc w:val="center"/>
        <w:rPr>
          <w:rFonts w:hint="eastAsia" w:ascii="宋体" w:hAnsi="宋体"/>
          <w:b w:val="0"/>
          <w:bCs w:val="0"/>
          <w:color w:val="auto"/>
          <w:sz w:val="32"/>
          <w:szCs w:val="32"/>
          <w:highlight w:val="none"/>
        </w:rPr>
      </w:pPr>
    </w:p>
    <w:p>
      <w:pPr>
        <w:adjustRightInd w:val="0"/>
        <w:snapToGrid w:val="0"/>
        <w:spacing w:line="360" w:lineRule="auto"/>
        <w:ind w:firstLine="1904" w:firstLineChars="595"/>
        <w:rPr>
          <w:rFonts w:hint="eastAsia" w:ascii="宋体" w:hAnsi="宋体"/>
          <w:b w:val="0"/>
          <w:bCs w:val="0"/>
          <w:color w:val="auto"/>
          <w:sz w:val="32"/>
          <w:szCs w:val="32"/>
          <w:highlight w:val="none"/>
        </w:rPr>
      </w:pPr>
    </w:p>
    <w:p>
      <w:pPr>
        <w:adjustRightInd w:val="0"/>
        <w:snapToGrid w:val="0"/>
        <w:spacing w:line="360" w:lineRule="auto"/>
        <w:ind w:firstLine="1904" w:firstLineChars="595"/>
        <w:rPr>
          <w:rFonts w:hint="eastAsia" w:ascii="宋体" w:hAnsi="宋体"/>
          <w:b w:val="0"/>
          <w:bCs w:val="0"/>
          <w:color w:val="auto"/>
          <w:sz w:val="32"/>
          <w:szCs w:val="32"/>
          <w:highlight w:val="none"/>
        </w:rPr>
      </w:pPr>
      <w:r>
        <w:rPr>
          <w:rFonts w:hint="eastAsia" w:ascii="宋体" w:hAnsi="宋体"/>
          <w:b w:val="0"/>
          <w:bCs w:val="0"/>
          <w:color w:val="auto"/>
          <w:sz w:val="32"/>
          <w:szCs w:val="32"/>
          <w:highlight w:val="none"/>
        </w:rPr>
        <w:t xml:space="preserve">项目编号：  </w:t>
      </w:r>
    </w:p>
    <w:p>
      <w:pPr>
        <w:adjustRightInd w:val="0"/>
        <w:snapToGrid w:val="0"/>
        <w:spacing w:line="360" w:lineRule="auto"/>
        <w:ind w:firstLine="1904" w:firstLineChars="595"/>
        <w:rPr>
          <w:rFonts w:ascii="宋体" w:hAnsi="宋体"/>
          <w:b w:val="0"/>
          <w:bCs w:val="0"/>
          <w:color w:val="auto"/>
          <w:sz w:val="32"/>
          <w:szCs w:val="32"/>
          <w:highlight w:val="none"/>
        </w:rPr>
      </w:pPr>
      <w:r>
        <w:rPr>
          <w:rFonts w:hint="eastAsia" w:ascii="宋体" w:hAnsi="宋体"/>
          <w:b w:val="0"/>
          <w:bCs w:val="0"/>
          <w:color w:val="auto"/>
          <w:sz w:val="32"/>
          <w:szCs w:val="32"/>
          <w:highlight w:val="none"/>
        </w:rPr>
        <w:t>项目名称：</w:t>
      </w:r>
    </w:p>
    <w:p>
      <w:pPr>
        <w:adjustRightInd w:val="0"/>
        <w:snapToGrid w:val="0"/>
        <w:spacing w:line="360" w:lineRule="auto"/>
        <w:rPr>
          <w:rFonts w:hint="eastAsia" w:ascii="宋体" w:hAnsi="宋体"/>
          <w:b w:val="0"/>
          <w:bCs w:val="0"/>
          <w:color w:val="auto"/>
          <w:sz w:val="32"/>
          <w:szCs w:val="32"/>
          <w:highlight w:val="none"/>
        </w:rPr>
      </w:pPr>
      <w:r>
        <w:rPr>
          <w:rFonts w:ascii="宋体" w:hAnsi="宋体"/>
          <w:b w:val="0"/>
          <w:bCs w:val="0"/>
          <w:color w:val="auto"/>
          <w:sz w:val="32"/>
          <w:szCs w:val="32"/>
          <w:highlight w:val="none"/>
        </w:rPr>
        <w:t xml:space="preserve">           </w:t>
      </w:r>
    </w:p>
    <w:p>
      <w:pPr>
        <w:adjustRightInd w:val="0"/>
        <w:snapToGrid w:val="0"/>
        <w:spacing w:line="360" w:lineRule="auto"/>
        <w:ind w:firstLine="1904" w:firstLineChars="595"/>
        <w:rPr>
          <w:rFonts w:ascii="宋体" w:hAnsi="宋体"/>
          <w:b w:val="0"/>
          <w:bCs w:val="0"/>
          <w:color w:val="auto"/>
          <w:sz w:val="32"/>
          <w:szCs w:val="32"/>
          <w:highlight w:val="none"/>
        </w:rPr>
      </w:pPr>
    </w:p>
    <w:p>
      <w:pPr>
        <w:spacing w:line="360" w:lineRule="auto"/>
        <w:rPr>
          <w:rFonts w:hint="eastAsia" w:ascii="宋体" w:hAnsi="宋体" w:cs="宋体"/>
          <w:b w:val="0"/>
          <w:bCs w:val="0"/>
          <w:color w:val="auto"/>
          <w:kern w:val="0"/>
          <w:sz w:val="24"/>
          <w:highlight w:val="none"/>
        </w:rPr>
      </w:pPr>
    </w:p>
    <w:p>
      <w:pPr>
        <w:spacing w:line="360" w:lineRule="auto"/>
        <w:rPr>
          <w:rFonts w:hint="eastAsia" w:ascii="宋体" w:hAnsi="宋体" w:cs="宋体"/>
          <w:b w:val="0"/>
          <w:bCs w:val="0"/>
          <w:color w:val="auto"/>
          <w:kern w:val="0"/>
          <w:sz w:val="24"/>
          <w:highlight w:val="none"/>
        </w:rPr>
      </w:pPr>
    </w:p>
    <w:p>
      <w:pPr>
        <w:spacing w:line="360" w:lineRule="auto"/>
        <w:rPr>
          <w:rFonts w:hint="eastAsia" w:ascii="宋体" w:hAnsi="宋体"/>
          <w:b w:val="0"/>
          <w:bCs w:val="0"/>
          <w:color w:val="auto"/>
          <w:sz w:val="24"/>
          <w:highlight w:val="none"/>
        </w:rPr>
      </w:pPr>
    </w:p>
    <w:p>
      <w:pPr>
        <w:spacing w:line="360" w:lineRule="auto"/>
        <w:rPr>
          <w:rFonts w:hint="eastAsia" w:ascii="宋体" w:hAnsi="宋体"/>
          <w:b w:val="0"/>
          <w:bCs w:val="0"/>
          <w:color w:val="auto"/>
          <w:sz w:val="30"/>
          <w:szCs w:val="30"/>
          <w:highlight w:val="none"/>
        </w:rPr>
      </w:pPr>
      <w:r>
        <w:rPr>
          <w:rFonts w:hint="eastAsia" w:ascii="宋体" w:hAnsi="宋体"/>
          <w:b w:val="0"/>
          <w:bCs w:val="0"/>
          <w:color w:val="auto"/>
          <w:sz w:val="30"/>
          <w:szCs w:val="30"/>
          <w:highlight w:val="none"/>
        </w:rPr>
        <w:t xml:space="preserve"> </w:t>
      </w:r>
    </w:p>
    <w:p>
      <w:pPr>
        <w:spacing w:line="360" w:lineRule="auto"/>
        <w:rPr>
          <w:rFonts w:hint="eastAsia" w:ascii="宋体" w:hAnsi="宋体"/>
          <w:b w:val="0"/>
          <w:bCs w:val="0"/>
          <w:color w:val="auto"/>
          <w:sz w:val="30"/>
          <w:szCs w:val="30"/>
          <w:highlight w:val="none"/>
        </w:rPr>
      </w:pPr>
    </w:p>
    <w:p>
      <w:pPr>
        <w:spacing w:line="360" w:lineRule="auto"/>
        <w:rPr>
          <w:rFonts w:hint="eastAsia" w:ascii="宋体" w:hAnsi="宋体"/>
          <w:b w:val="0"/>
          <w:bCs w:val="0"/>
          <w:color w:val="auto"/>
          <w:sz w:val="30"/>
          <w:szCs w:val="30"/>
          <w:highlight w:val="none"/>
        </w:rPr>
      </w:pPr>
      <w:r>
        <w:rPr>
          <w:rFonts w:hint="eastAsia" w:ascii="宋体" w:hAnsi="宋体"/>
          <w:b w:val="0"/>
          <w:bCs w:val="0"/>
          <w:color w:val="auto"/>
          <w:sz w:val="30"/>
          <w:szCs w:val="30"/>
          <w:highlight w:val="none"/>
        </w:rPr>
        <w:t xml:space="preserve"> </w:t>
      </w:r>
    </w:p>
    <w:p>
      <w:pPr>
        <w:spacing w:line="360" w:lineRule="auto"/>
        <w:rPr>
          <w:rFonts w:hint="eastAsia" w:ascii="宋体" w:hAnsi="宋体"/>
          <w:b w:val="0"/>
          <w:bCs w:val="0"/>
          <w:color w:val="auto"/>
          <w:sz w:val="30"/>
          <w:szCs w:val="30"/>
          <w:highlight w:val="none"/>
        </w:rPr>
      </w:pPr>
    </w:p>
    <w:p>
      <w:pPr>
        <w:spacing w:line="360" w:lineRule="auto"/>
        <w:rPr>
          <w:rFonts w:hint="eastAsia" w:ascii="宋体" w:hAnsi="宋体"/>
          <w:b w:val="0"/>
          <w:bCs w:val="0"/>
          <w:color w:val="auto"/>
          <w:sz w:val="30"/>
          <w:szCs w:val="30"/>
          <w:highlight w:val="none"/>
        </w:rPr>
      </w:pPr>
      <w:r>
        <w:rPr>
          <w:rFonts w:hint="eastAsia" w:ascii="宋体" w:hAnsi="宋体"/>
          <w:b w:val="0"/>
          <w:bCs w:val="0"/>
          <w:color w:val="auto"/>
          <w:sz w:val="30"/>
          <w:szCs w:val="30"/>
          <w:highlight w:val="none"/>
        </w:rPr>
        <w:t xml:space="preserve"> </w:t>
      </w:r>
    </w:p>
    <w:p>
      <w:pPr>
        <w:spacing w:line="360" w:lineRule="auto"/>
        <w:ind w:firstLine="1744" w:firstLineChars="545"/>
        <w:rPr>
          <w:rFonts w:hint="eastAsia" w:ascii="宋体" w:hAnsi="宋体"/>
          <w:b w:val="0"/>
          <w:bCs w:val="0"/>
          <w:color w:val="auto"/>
          <w:sz w:val="32"/>
          <w:szCs w:val="32"/>
          <w:highlight w:val="none"/>
        </w:rPr>
      </w:pPr>
      <w:r>
        <w:rPr>
          <w:rFonts w:hint="eastAsia" w:ascii="宋体" w:hAnsi="宋体"/>
          <w:b w:val="0"/>
          <w:bCs w:val="0"/>
          <w:color w:val="auto"/>
          <w:sz w:val="32"/>
          <w:szCs w:val="32"/>
          <w:highlight w:val="none"/>
        </w:rPr>
        <w:t>供  应  商：</w:t>
      </w:r>
      <w:r>
        <w:rPr>
          <w:rFonts w:hint="eastAsia" w:ascii="宋体" w:hAnsi="宋体"/>
          <w:b w:val="0"/>
          <w:bCs w:val="0"/>
          <w:color w:val="auto"/>
          <w:sz w:val="32"/>
          <w:szCs w:val="32"/>
          <w:highlight w:val="none"/>
          <w:u w:val="single"/>
        </w:rPr>
        <w:t xml:space="preserve">                 （盖公章） </w:t>
      </w:r>
    </w:p>
    <w:p>
      <w:pPr>
        <w:spacing w:line="360" w:lineRule="auto"/>
        <w:ind w:firstLine="1744" w:firstLineChars="545"/>
        <w:rPr>
          <w:rFonts w:hint="eastAsia" w:ascii="宋体" w:hAnsi="宋体"/>
          <w:b w:val="0"/>
          <w:bCs w:val="0"/>
          <w:color w:val="auto"/>
          <w:sz w:val="32"/>
          <w:szCs w:val="32"/>
          <w:highlight w:val="none"/>
        </w:rPr>
      </w:pPr>
      <w:r>
        <w:rPr>
          <w:rFonts w:hint="eastAsia" w:ascii="宋体" w:hAnsi="宋体"/>
          <w:b w:val="0"/>
          <w:bCs w:val="0"/>
          <w:color w:val="auto"/>
          <w:sz w:val="32"/>
          <w:szCs w:val="32"/>
          <w:highlight w:val="none"/>
        </w:rPr>
        <w:t>供应商地址：</w:t>
      </w:r>
      <w:r>
        <w:rPr>
          <w:rFonts w:hint="eastAsia" w:ascii="宋体" w:hAnsi="宋体"/>
          <w:b w:val="0"/>
          <w:bCs w:val="0"/>
          <w:color w:val="auto"/>
          <w:sz w:val="32"/>
          <w:szCs w:val="32"/>
          <w:highlight w:val="none"/>
          <w:u w:val="single"/>
        </w:rPr>
        <w:t xml:space="preserve">                          </w:t>
      </w:r>
      <w:r>
        <w:rPr>
          <w:rFonts w:hint="eastAsia" w:ascii="宋体" w:hAnsi="宋体"/>
          <w:b w:val="0"/>
          <w:bCs w:val="0"/>
          <w:color w:val="auto"/>
          <w:sz w:val="32"/>
          <w:szCs w:val="32"/>
          <w:highlight w:val="none"/>
        </w:rPr>
        <w:t xml:space="preserve">  </w:t>
      </w:r>
    </w:p>
    <w:p>
      <w:pPr>
        <w:spacing w:line="360" w:lineRule="auto"/>
        <w:jc w:val="center"/>
        <w:rPr>
          <w:rFonts w:hint="eastAsia" w:ascii="宋体" w:hAnsi="宋体"/>
          <w:b w:val="0"/>
          <w:bCs w:val="0"/>
          <w:color w:val="auto"/>
          <w:sz w:val="32"/>
          <w:szCs w:val="32"/>
          <w:highlight w:val="none"/>
        </w:rPr>
      </w:pPr>
    </w:p>
    <w:p>
      <w:pPr>
        <w:spacing w:line="360" w:lineRule="auto"/>
        <w:jc w:val="center"/>
        <w:rPr>
          <w:rFonts w:hint="eastAsia" w:ascii="宋体" w:hAnsi="宋体"/>
          <w:b w:val="0"/>
          <w:bCs w:val="0"/>
          <w:color w:val="auto"/>
          <w:sz w:val="32"/>
          <w:szCs w:val="32"/>
          <w:highlight w:val="none"/>
        </w:rPr>
      </w:pPr>
      <w:r>
        <w:rPr>
          <w:rFonts w:ascii="宋体" w:hAnsi="宋体"/>
          <w:b w:val="0"/>
          <w:bCs w:val="0"/>
          <w:color w:val="auto"/>
          <w:sz w:val="32"/>
          <w:szCs w:val="32"/>
          <w:highlight w:val="none"/>
        </w:rPr>
        <w:t xml:space="preserve">    </w:t>
      </w:r>
      <w:r>
        <w:rPr>
          <w:rFonts w:hint="eastAsia" w:ascii="宋体" w:hAnsi="宋体"/>
          <w:b w:val="0"/>
          <w:bCs w:val="0"/>
          <w:color w:val="auto"/>
          <w:sz w:val="32"/>
          <w:szCs w:val="32"/>
          <w:highlight w:val="none"/>
        </w:rPr>
        <w:t>年  月  日</w:t>
      </w:r>
    </w:p>
    <w:p>
      <w:pPr>
        <w:pageBreakBefore/>
        <w:spacing w:line="520" w:lineRule="exact"/>
        <w:ind w:firstLine="4468"/>
        <w:rPr>
          <w:rFonts w:ascii="宋体" w:hAnsi="宋体"/>
          <w:b w:val="0"/>
          <w:bCs w:val="0"/>
          <w:color w:val="auto"/>
          <w:sz w:val="28"/>
          <w:szCs w:val="28"/>
          <w:highlight w:val="none"/>
        </w:rPr>
      </w:pPr>
      <w:r>
        <w:rPr>
          <w:rFonts w:hint="eastAsia" w:ascii="宋体" w:hAnsi="宋体"/>
          <w:b w:val="0"/>
          <w:bCs w:val="0"/>
          <w:color w:val="auto"/>
          <w:sz w:val="28"/>
          <w:szCs w:val="28"/>
          <w:highlight w:val="none"/>
        </w:rPr>
        <w:t>二、附  件</w:t>
      </w:r>
    </w:p>
    <w:p>
      <w:pPr>
        <w:spacing w:line="520" w:lineRule="exact"/>
        <w:rPr>
          <w:rFonts w:ascii="宋体" w:hAnsi="宋体"/>
          <w:b w:val="0"/>
          <w:bCs w:val="0"/>
          <w:color w:val="auto"/>
          <w:szCs w:val="21"/>
          <w:highlight w:val="none"/>
        </w:rPr>
      </w:pPr>
      <w:r>
        <w:rPr>
          <w:rFonts w:hint="eastAsia" w:ascii="宋体" w:hAnsi="宋体"/>
          <w:b w:val="0"/>
          <w:bCs w:val="0"/>
          <w:color w:val="auto"/>
          <w:szCs w:val="21"/>
          <w:highlight w:val="none"/>
        </w:rPr>
        <w:t xml:space="preserve">附件一 </w:t>
      </w:r>
    </w:p>
    <w:p>
      <w:pPr>
        <w:spacing w:line="520" w:lineRule="exact"/>
        <w:jc w:val="center"/>
        <w:rPr>
          <w:rFonts w:ascii="仿宋_GB2312" w:hAnsi="仿宋_GB2312" w:eastAsia="仿宋_GB2312"/>
          <w:b w:val="0"/>
          <w:bCs w:val="0"/>
          <w:color w:val="auto"/>
          <w:sz w:val="32"/>
          <w:szCs w:val="32"/>
          <w:highlight w:val="none"/>
        </w:rPr>
      </w:pPr>
      <w:r>
        <w:rPr>
          <w:rFonts w:hint="eastAsia" w:ascii="仿宋_GB2312" w:hAnsi="仿宋_GB2312" w:eastAsia="仿宋_GB2312"/>
          <w:b w:val="0"/>
          <w:bCs w:val="0"/>
          <w:color w:val="auto"/>
          <w:sz w:val="32"/>
          <w:szCs w:val="32"/>
          <w:highlight w:val="none"/>
        </w:rPr>
        <w:t>谈 判 书</w:t>
      </w:r>
    </w:p>
    <w:p>
      <w:pPr>
        <w:spacing w:line="520" w:lineRule="exact"/>
        <w:jc w:val="center"/>
        <w:rPr>
          <w:rFonts w:ascii="宋体" w:hAnsi="宋体"/>
          <w:b w:val="0"/>
          <w:bCs w:val="0"/>
          <w:color w:val="auto"/>
          <w:szCs w:val="21"/>
          <w:highlight w:val="none"/>
        </w:rPr>
      </w:pPr>
    </w:p>
    <w:p>
      <w:pPr>
        <w:pStyle w:val="8"/>
        <w:spacing w:line="520" w:lineRule="exact"/>
        <w:rPr>
          <w:b w:val="0"/>
          <w:bCs w:val="0"/>
          <w:color w:val="auto"/>
          <w:highlight w:val="none"/>
        </w:rPr>
      </w:pPr>
      <w:r>
        <w:rPr>
          <w:rFonts w:hint="eastAsia"/>
          <w:b w:val="0"/>
          <w:bCs w:val="0"/>
          <w:color w:val="auto"/>
          <w:highlight w:val="none"/>
          <w:u w:val="single"/>
        </w:rPr>
        <w:t>广西壮族自治区政府采购中心</w:t>
      </w:r>
      <w:r>
        <w:rPr>
          <w:rFonts w:hint="eastAsia"/>
          <w:b w:val="0"/>
          <w:bCs w:val="0"/>
          <w:color w:val="auto"/>
          <w:highlight w:val="none"/>
        </w:rPr>
        <w:t>：</w:t>
      </w:r>
    </w:p>
    <w:p>
      <w:pPr>
        <w:spacing w:line="400" w:lineRule="exact"/>
        <w:ind w:firstLine="420" w:firstLineChars="200"/>
        <w:rPr>
          <w:b w:val="0"/>
          <w:bCs w:val="0"/>
          <w:color w:val="auto"/>
          <w:highlight w:val="none"/>
        </w:rPr>
      </w:pPr>
      <w:r>
        <w:rPr>
          <w:rFonts w:hint="eastAsia"/>
          <w:b w:val="0"/>
          <w:bCs w:val="0"/>
          <w:color w:val="auto"/>
          <w:highlight w:val="none"/>
        </w:rPr>
        <w:t>依据贵方（项目名称/项目编号）项目政府采购的谈判采购文件，我方（姓名和职务）经正式授权并代表本单位（供应商名称、地址）提交下述竞争性谈判响应文件（价格文件、商务技术文件）。</w:t>
      </w:r>
    </w:p>
    <w:p>
      <w:pPr>
        <w:pStyle w:val="8"/>
        <w:spacing w:line="520" w:lineRule="exact"/>
        <w:ind w:firstLine="480"/>
        <w:rPr>
          <w:b w:val="0"/>
          <w:bCs w:val="0"/>
          <w:color w:val="auto"/>
          <w:highlight w:val="none"/>
        </w:rPr>
      </w:pPr>
      <w:r>
        <w:rPr>
          <w:rFonts w:hint="eastAsia"/>
          <w:b w:val="0"/>
          <w:bCs w:val="0"/>
          <w:color w:val="auto"/>
          <w:highlight w:val="none"/>
        </w:rPr>
        <w:t>1. 报价表；</w:t>
      </w:r>
    </w:p>
    <w:p>
      <w:pPr>
        <w:pStyle w:val="8"/>
        <w:spacing w:line="520" w:lineRule="exact"/>
        <w:ind w:firstLine="480"/>
        <w:rPr>
          <w:b w:val="0"/>
          <w:bCs w:val="0"/>
          <w:color w:val="auto"/>
          <w:highlight w:val="none"/>
        </w:rPr>
      </w:pPr>
      <w:r>
        <w:rPr>
          <w:rFonts w:hint="eastAsia"/>
          <w:b w:val="0"/>
          <w:bCs w:val="0"/>
          <w:color w:val="auto"/>
          <w:highlight w:val="none"/>
        </w:rPr>
        <w:t>2. 商务、技术响应、偏离情况说明表；</w:t>
      </w:r>
    </w:p>
    <w:p>
      <w:pPr>
        <w:pStyle w:val="8"/>
        <w:spacing w:line="520" w:lineRule="exact"/>
        <w:ind w:firstLine="480"/>
        <w:rPr>
          <w:b w:val="0"/>
          <w:bCs w:val="0"/>
          <w:color w:val="auto"/>
          <w:highlight w:val="none"/>
        </w:rPr>
      </w:pPr>
      <w:r>
        <w:rPr>
          <w:rFonts w:hint="eastAsia"/>
          <w:b w:val="0"/>
          <w:bCs w:val="0"/>
          <w:color w:val="auto"/>
          <w:highlight w:val="none"/>
        </w:rPr>
        <w:t>3. 资格证明文件；</w:t>
      </w:r>
    </w:p>
    <w:p>
      <w:pPr>
        <w:pStyle w:val="8"/>
        <w:spacing w:line="520" w:lineRule="exact"/>
        <w:ind w:firstLine="480"/>
        <w:rPr>
          <w:b w:val="0"/>
          <w:bCs w:val="0"/>
          <w:color w:val="auto"/>
          <w:highlight w:val="none"/>
        </w:rPr>
      </w:pPr>
      <w:r>
        <w:rPr>
          <w:rFonts w:hint="eastAsia"/>
          <w:b w:val="0"/>
          <w:bCs w:val="0"/>
          <w:color w:val="auto"/>
          <w:highlight w:val="none"/>
        </w:rPr>
        <w:t>4. 按竞争性谈判文件谈判供应商须知和采购需求提供的有关文件；</w:t>
      </w:r>
    </w:p>
    <w:p>
      <w:pPr>
        <w:pStyle w:val="8"/>
        <w:spacing w:line="520" w:lineRule="exact"/>
        <w:ind w:firstLine="315"/>
        <w:rPr>
          <w:b w:val="0"/>
          <w:bCs w:val="0"/>
          <w:color w:val="auto"/>
          <w:highlight w:val="none"/>
        </w:rPr>
      </w:pPr>
      <w:r>
        <w:rPr>
          <w:rFonts w:hint="eastAsia"/>
          <w:b w:val="0"/>
          <w:bCs w:val="0"/>
          <w:color w:val="auto"/>
          <w:highlight w:val="none"/>
        </w:rPr>
        <w:t>在此，授权代表宣布同意如下：</w:t>
      </w:r>
    </w:p>
    <w:p>
      <w:pPr>
        <w:pStyle w:val="8"/>
        <w:spacing w:line="520" w:lineRule="exact"/>
        <w:ind w:firstLine="525" w:firstLineChars="250"/>
        <w:rPr>
          <w:b w:val="0"/>
          <w:bCs w:val="0"/>
          <w:color w:val="auto"/>
          <w:highlight w:val="none"/>
        </w:rPr>
      </w:pPr>
      <w:r>
        <w:rPr>
          <w:rFonts w:hint="eastAsia"/>
          <w:b w:val="0"/>
          <w:bCs w:val="0"/>
          <w:color w:val="auto"/>
          <w:highlight w:val="none"/>
        </w:rPr>
        <w:t>1. 将按竞争性谈判文件的约定履行合同责任和义务；</w:t>
      </w:r>
    </w:p>
    <w:p>
      <w:pPr>
        <w:pStyle w:val="8"/>
        <w:spacing w:line="520" w:lineRule="exact"/>
        <w:ind w:firstLine="525" w:firstLineChars="250"/>
        <w:rPr>
          <w:b w:val="0"/>
          <w:bCs w:val="0"/>
          <w:color w:val="auto"/>
          <w:highlight w:val="none"/>
        </w:rPr>
      </w:pPr>
      <w:r>
        <w:rPr>
          <w:rFonts w:hint="eastAsia"/>
          <w:b w:val="0"/>
          <w:bCs w:val="0"/>
          <w:color w:val="auto"/>
          <w:highlight w:val="none"/>
        </w:rPr>
        <w:t>2. 已详细审查全部竞争性谈判文件，包括</w:t>
      </w:r>
      <w:r>
        <w:rPr>
          <w:rFonts w:hint="eastAsia"/>
          <w:b w:val="0"/>
          <w:bCs w:val="0"/>
          <w:color w:val="auto"/>
          <w:highlight w:val="none"/>
          <w:u w:val="single"/>
        </w:rPr>
        <w:t>（补遗文件）（如果有的话）</w:t>
      </w:r>
      <w:r>
        <w:rPr>
          <w:rFonts w:hint="eastAsia"/>
          <w:b w:val="0"/>
          <w:bCs w:val="0"/>
          <w:color w:val="auto"/>
          <w:highlight w:val="none"/>
        </w:rPr>
        <w:t>；</w:t>
      </w:r>
    </w:p>
    <w:p>
      <w:pPr>
        <w:pStyle w:val="8"/>
        <w:spacing w:line="520" w:lineRule="exact"/>
        <w:ind w:firstLine="525" w:firstLineChars="250"/>
        <w:rPr>
          <w:b w:val="0"/>
          <w:bCs w:val="0"/>
          <w:color w:val="auto"/>
          <w:highlight w:val="none"/>
        </w:rPr>
      </w:pPr>
      <w:r>
        <w:rPr>
          <w:rFonts w:hint="eastAsia"/>
          <w:b w:val="0"/>
          <w:bCs w:val="0"/>
          <w:color w:val="auto"/>
          <w:highlight w:val="none"/>
        </w:rPr>
        <w:t>3. 同意提供按照贵方可能要求的与其谈判有关的一切数据或资料；</w:t>
      </w:r>
    </w:p>
    <w:p>
      <w:pPr>
        <w:pStyle w:val="8"/>
        <w:spacing w:line="520" w:lineRule="exact"/>
        <w:ind w:firstLine="525" w:firstLineChars="250"/>
        <w:rPr>
          <w:b w:val="0"/>
          <w:bCs w:val="0"/>
          <w:color w:val="auto"/>
          <w:highlight w:val="none"/>
          <w:u w:val="single"/>
        </w:rPr>
      </w:pPr>
      <w:r>
        <w:rPr>
          <w:rFonts w:hint="eastAsia"/>
          <w:b w:val="0"/>
          <w:bCs w:val="0"/>
          <w:color w:val="auto"/>
          <w:highlight w:val="none"/>
        </w:rPr>
        <w:t>4. 与本谈判有关的一切正式往来信函请寄：</w:t>
      </w:r>
      <w:r>
        <w:rPr>
          <w:rFonts w:hint="eastAsia"/>
          <w:b w:val="0"/>
          <w:bCs w:val="0"/>
          <w:color w:val="auto"/>
          <w:highlight w:val="none"/>
          <w:u w:val="single"/>
        </w:rPr>
        <w:t xml:space="preserve">                       </w:t>
      </w:r>
    </w:p>
    <w:p>
      <w:pPr>
        <w:pStyle w:val="8"/>
        <w:spacing w:line="520" w:lineRule="exact"/>
        <w:ind w:firstLine="840"/>
        <w:rPr>
          <w:b w:val="0"/>
          <w:bCs w:val="0"/>
          <w:color w:val="auto"/>
          <w:highlight w:val="none"/>
          <w:u w:val="single"/>
        </w:rPr>
      </w:pPr>
      <w:r>
        <w:rPr>
          <w:rFonts w:hint="eastAsia"/>
          <w:b w:val="0"/>
          <w:bCs w:val="0"/>
          <w:color w:val="auto"/>
          <w:highlight w:val="none"/>
        </w:rPr>
        <w:t>开户银行：</w:t>
      </w:r>
      <w:r>
        <w:rPr>
          <w:rFonts w:hint="eastAsia"/>
          <w:b w:val="0"/>
          <w:bCs w:val="0"/>
          <w:color w:val="auto"/>
          <w:highlight w:val="none"/>
          <w:u w:val="single"/>
        </w:rPr>
        <w:t xml:space="preserve">                         </w:t>
      </w:r>
      <w:r>
        <w:rPr>
          <w:rFonts w:hint="eastAsia"/>
          <w:b w:val="0"/>
          <w:bCs w:val="0"/>
          <w:color w:val="auto"/>
          <w:highlight w:val="none"/>
        </w:rPr>
        <w:t xml:space="preserve">  账号/行号：</w:t>
      </w:r>
      <w:r>
        <w:rPr>
          <w:rFonts w:hint="eastAsia"/>
          <w:b w:val="0"/>
          <w:bCs w:val="0"/>
          <w:color w:val="auto"/>
          <w:highlight w:val="none"/>
          <w:u w:val="single"/>
        </w:rPr>
        <w:t xml:space="preserve">          </w:t>
      </w:r>
    </w:p>
    <w:p>
      <w:pPr>
        <w:pStyle w:val="8"/>
        <w:spacing w:line="520" w:lineRule="exact"/>
        <w:ind w:firstLine="840"/>
        <w:rPr>
          <w:b w:val="0"/>
          <w:bCs w:val="0"/>
          <w:color w:val="auto"/>
          <w:highlight w:val="none"/>
        </w:rPr>
      </w:pPr>
      <w:r>
        <w:rPr>
          <w:rFonts w:hint="eastAsia"/>
          <w:b w:val="0"/>
          <w:bCs w:val="0"/>
          <w:color w:val="auto"/>
          <w:highlight w:val="none"/>
        </w:rPr>
        <w:t>电话/传真：</w:t>
      </w:r>
      <w:r>
        <w:rPr>
          <w:rFonts w:hint="eastAsia"/>
          <w:b w:val="0"/>
          <w:bCs w:val="0"/>
          <w:color w:val="auto"/>
          <w:highlight w:val="none"/>
          <w:u w:val="single"/>
        </w:rPr>
        <w:t xml:space="preserve">                        </w:t>
      </w:r>
      <w:r>
        <w:rPr>
          <w:rFonts w:hint="eastAsia"/>
          <w:b w:val="0"/>
          <w:bCs w:val="0"/>
          <w:color w:val="auto"/>
          <w:highlight w:val="none"/>
        </w:rPr>
        <w:t xml:space="preserve"> 电子函件：</w:t>
      </w:r>
      <w:r>
        <w:rPr>
          <w:rFonts w:hint="eastAsia"/>
          <w:b w:val="0"/>
          <w:bCs w:val="0"/>
          <w:color w:val="auto"/>
          <w:highlight w:val="none"/>
          <w:u w:val="single"/>
        </w:rPr>
        <w:t xml:space="preserve">             </w:t>
      </w:r>
      <w:r>
        <w:rPr>
          <w:rFonts w:hint="eastAsia"/>
          <w:b w:val="0"/>
          <w:bCs w:val="0"/>
          <w:color w:val="auto"/>
          <w:highlight w:val="none"/>
        </w:rPr>
        <w:t xml:space="preserve">              </w:t>
      </w:r>
    </w:p>
    <w:p>
      <w:pPr>
        <w:pStyle w:val="8"/>
        <w:spacing w:line="520" w:lineRule="exact"/>
        <w:ind w:firstLine="840"/>
        <w:rPr>
          <w:b w:val="0"/>
          <w:bCs w:val="0"/>
          <w:color w:val="auto"/>
          <w:highlight w:val="none"/>
          <w:u w:val="single"/>
        </w:rPr>
      </w:pPr>
      <w:r>
        <w:rPr>
          <w:rFonts w:hint="eastAsia"/>
          <w:b w:val="0"/>
          <w:bCs w:val="0"/>
          <w:color w:val="auto"/>
          <w:highlight w:val="none"/>
        </w:rPr>
        <w:t>日期：</w:t>
      </w:r>
      <w:r>
        <w:rPr>
          <w:rFonts w:hint="eastAsia"/>
          <w:b w:val="0"/>
          <w:bCs w:val="0"/>
          <w:color w:val="auto"/>
          <w:highlight w:val="none"/>
          <w:u w:val="single"/>
        </w:rPr>
        <w:t xml:space="preserve">      </w:t>
      </w:r>
      <w:r>
        <w:rPr>
          <w:rFonts w:hint="eastAsia"/>
          <w:b w:val="0"/>
          <w:bCs w:val="0"/>
          <w:color w:val="auto"/>
          <w:highlight w:val="none"/>
        </w:rPr>
        <w:t>年</w:t>
      </w:r>
      <w:r>
        <w:rPr>
          <w:rFonts w:hint="eastAsia"/>
          <w:b w:val="0"/>
          <w:bCs w:val="0"/>
          <w:color w:val="auto"/>
          <w:highlight w:val="none"/>
          <w:u w:val="single"/>
        </w:rPr>
        <w:t xml:space="preserve">   </w:t>
      </w:r>
      <w:r>
        <w:rPr>
          <w:rFonts w:hint="eastAsia"/>
          <w:b w:val="0"/>
          <w:bCs w:val="0"/>
          <w:color w:val="auto"/>
          <w:highlight w:val="none"/>
        </w:rPr>
        <w:t>月</w:t>
      </w:r>
      <w:r>
        <w:rPr>
          <w:rFonts w:hint="eastAsia"/>
          <w:b w:val="0"/>
          <w:bCs w:val="0"/>
          <w:color w:val="auto"/>
          <w:highlight w:val="none"/>
          <w:u w:val="single"/>
        </w:rPr>
        <w:t xml:space="preserve">    </w:t>
      </w:r>
      <w:r>
        <w:rPr>
          <w:rFonts w:hint="eastAsia"/>
          <w:b w:val="0"/>
          <w:bCs w:val="0"/>
          <w:color w:val="auto"/>
          <w:highlight w:val="none"/>
        </w:rPr>
        <w:t>日</w:t>
      </w:r>
    </w:p>
    <w:p>
      <w:pPr>
        <w:pStyle w:val="8"/>
        <w:spacing w:line="520" w:lineRule="exact"/>
        <w:ind w:firstLine="840"/>
        <w:rPr>
          <w:b w:val="0"/>
          <w:bCs w:val="0"/>
          <w:color w:val="auto"/>
          <w:highlight w:val="none"/>
          <w:u w:val="single"/>
        </w:rPr>
      </w:pPr>
      <w:r>
        <w:rPr>
          <w:rFonts w:hint="eastAsia"/>
          <w:b w:val="0"/>
          <w:bCs w:val="0"/>
          <w:color w:val="auto"/>
          <w:highlight w:val="none"/>
        </w:rPr>
        <w:t>法定代表人或委托代理人（被授权人）</w:t>
      </w:r>
      <w:r>
        <w:rPr>
          <w:rFonts w:hint="default"/>
          <w:b w:val="0"/>
          <w:bCs w:val="0"/>
          <w:color w:val="auto"/>
          <w:highlight w:val="none"/>
          <w:lang w:val="en" w:eastAsia="zh-CN"/>
        </w:rPr>
        <w:t>签字或签章</w:t>
      </w:r>
      <w:r>
        <w:rPr>
          <w:rFonts w:hint="eastAsia"/>
          <w:b w:val="0"/>
          <w:bCs w:val="0"/>
          <w:color w:val="auto"/>
          <w:highlight w:val="none"/>
        </w:rPr>
        <w:t>：</w:t>
      </w:r>
      <w:r>
        <w:rPr>
          <w:rFonts w:hint="eastAsia"/>
          <w:b w:val="0"/>
          <w:bCs w:val="0"/>
          <w:color w:val="auto"/>
          <w:highlight w:val="none"/>
          <w:u w:val="single"/>
        </w:rPr>
        <w:t xml:space="preserve">                       </w:t>
      </w:r>
    </w:p>
    <w:p>
      <w:pPr>
        <w:pStyle w:val="8"/>
        <w:spacing w:line="520" w:lineRule="exact"/>
        <w:ind w:firstLine="840"/>
        <w:rPr>
          <w:b w:val="0"/>
          <w:bCs w:val="0"/>
          <w:color w:val="auto"/>
          <w:highlight w:val="none"/>
        </w:rPr>
      </w:pPr>
      <w:r>
        <w:rPr>
          <w:rFonts w:hint="eastAsia"/>
          <w:b w:val="0"/>
          <w:bCs w:val="0"/>
          <w:color w:val="auto"/>
          <w:highlight w:val="none"/>
        </w:rPr>
        <w:t>谈判供应商名称（盖章）：</w:t>
      </w:r>
      <w:r>
        <w:rPr>
          <w:rFonts w:hint="eastAsia"/>
          <w:b w:val="0"/>
          <w:bCs w:val="0"/>
          <w:color w:val="auto"/>
          <w:highlight w:val="none"/>
          <w:u w:val="single"/>
        </w:rPr>
        <w:t xml:space="preserve">                                    </w:t>
      </w:r>
      <w:r>
        <w:rPr>
          <w:rFonts w:hint="eastAsia"/>
          <w:b w:val="0"/>
          <w:bCs w:val="0"/>
          <w:color w:val="auto"/>
          <w:highlight w:val="none"/>
        </w:rPr>
        <w:t xml:space="preserve">                           </w:t>
      </w:r>
    </w:p>
    <w:p>
      <w:pPr>
        <w:pStyle w:val="8"/>
        <w:spacing w:line="520" w:lineRule="exact"/>
        <w:ind w:firstLine="840"/>
        <w:rPr>
          <w:b w:val="0"/>
          <w:bCs w:val="0"/>
          <w:color w:val="auto"/>
          <w:highlight w:val="none"/>
        </w:rPr>
      </w:pPr>
      <w:r>
        <w:rPr>
          <w:rFonts w:hint="eastAsia"/>
          <w:b w:val="0"/>
          <w:bCs w:val="0"/>
          <w:color w:val="auto"/>
          <w:highlight w:val="none"/>
        </w:rPr>
        <w:t xml:space="preserve">                     </w:t>
      </w:r>
    </w:p>
    <w:p>
      <w:pPr>
        <w:spacing w:line="500" w:lineRule="exact"/>
        <w:rPr>
          <w:rFonts w:ascii="宋体" w:hAnsi="宋体"/>
          <w:b w:val="0"/>
          <w:bCs w:val="0"/>
          <w:color w:val="auto"/>
          <w:szCs w:val="21"/>
          <w:highlight w:val="none"/>
        </w:rPr>
      </w:pPr>
    </w:p>
    <w:p>
      <w:pPr>
        <w:pageBreakBefore/>
        <w:spacing w:line="500" w:lineRule="exact"/>
        <w:rPr>
          <w:rFonts w:ascii="宋体" w:hAnsi="宋体"/>
          <w:b w:val="0"/>
          <w:bCs w:val="0"/>
          <w:color w:val="auto"/>
          <w:szCs w:val="21"/>
          <w:highlight w:val="none"/>
        </w:rPr>
      </w:pPr>
      <w:r>
        <w:rPr>
          <w:rFonts w:hint="eastAsia" w:ascii="宋体" w:hAnsi="宋体"/>
          <w:b w:val="0"/>
          <w:bCs w:val="0"/>
          <w:color w:val="auto"/>
          <w:szCs w:val="21"/>
          <w:highlight w:val="none"/>
        </w:rPr>
        <w:t xml:space="preserve">附件二             </w:t>
      </w:r>
    </w:p>
    <w:p>
      <w:pPr>
        <w:spacing w:line="500" w:lineRule="exact"/>
        <w:jc w:val="center"/>
        <w:rPr>
          <w:rFonts w:ascii="仿宋_GB2312" w:hAnsi="仿宋_GB2312" w:eastAsia="仿宋_GB2312"/>
          <w:b w:val="0"/>
          <w:bCs w:val="0"/>
          <w:color w:val="auto"/>
          <w:sz w:val="32"/>
          <w:szCs w:val="32"/>
          <w:highlight w:val="none"/>
        </w:rPr>
      </w:pPr>
    </w:p>
    <w:p>
      <w:pPr>
        <w:spacing w:line="500" w:lineRule="exact"/>
        <w:jc w:val="center"/>
        <w:rPr>
          <w:rFonts w:ascii="仿宋_GB2312" w:hAnsi="仿宋_GB2312" w:eastAsia="仿宋_GB2312"/>
          <w:b w:val="0"/>
          <w:bCs w:val="0"/>
          <w:color w:val="auto"/>
          <w:sz w:val="32"/>
          <w:szCs w:val="32"/>
          <w:highlight w:val="none"/>
        </w:rPr>
      </w:pPr>
      <w:r>
        <w:rPr>
          <w:rFonts w:hint="eastAsia" w:ascii="仿宋_GB2312" w:hAnsi="仿宋_GB2312" w:eastAsia="仿宋_GB2312"/>
          <w:b w:val="0"/>
          <w:bCs w:val="0"/>
          <w:color w:val="auto"/>
          <w:sz w:val="32"/>
          <w:szCs w:val="32"/>
          <w:highlight w:val="none"/>
        </w:rPr>
        <w:t>报  价  表</w:t>
      </w:r>
    </w:p>
    <w:p>
      <w:pPr>
        <w:spacing w:line="500" w:lineRule="exact"/>
        <w:rPr>
          <w:rFonts w:ascii="宋体" w:hAnsi="宋体"/>
          <w:b w:val="0"/>
          <w:bCs w:val="0"/>
          <w:color w:val="auto"/>
          <w:szCs w:val="21"/>
          <w:highlight w:val="none"/>
          <w:u w:val="single"/>
        </w:rPr>
      </w:pPr>
      <w:r>
        <w:rPr>
          <w:rFonts w:hint="eastAsia" w:ascii="宋体" w:hAnsi="宋体"/>
          <w:b w:val="0"/>
          <w:bCs w:val="0"/>
          <w:color w:val="auto"/>
          <w:szCs w:val="21"/>
          <w:highlight w:val="none"/>
        </w:rPr>
        <w:t>项目名称:</w:t>
      </w:r>
      <w:r>
        <w:rPr>
          <w:rFonts w:hint="eastAsia" w:ascii="宋体" w:hAnsi="宋体"/>
          <w:b w:val="0"/>
          <w:bCs w:val="0"/>
          <w:color w:val="auto"/>
          <w:szCs w:val="21"/>
          <w:highlight w:val="none"/>
          <w:u w:val="single"/>
        </w:rPr>
        <w:t xml:space="preserve">                 </w:t>
      </w:r>
    </w:p>
    <w:p>
      <w:pPr>
        <w:spacing w:line="500" w:lineRule="exact"/>
        <w:rPr>
          <w:rFonts w:ascii="宋体" w:hAnsi="宋体"/>
          <w:b w:val="0"/>
          <w:bCs w:val="0"/>
          <w:color w:val="auto"/>
          <w:szCs w:val="21"/>
          <w:highlight w:val="none"/>
        </w:rPr>
      </w:pPr>
      <w:r>
        <w:rPr>
          <w:rFonts w:hint="eastAsia" w:ascii="宋体" w:hAnsi="宋体"/>
          <w:b w:val="0"/>
          <w:bCs w:val="0"/>
          <w:color w:val="auto"/>
          <w:szCs w:val="21"/>
          <w:highlight w:val="none"/>
        </w:rPr>
        <w:t>项目编号:</w:t>
      </w:r>
      <w:r>
        <w:rPr>
          <w:rFonts w:hint="eastAsia" w:ascii="宋体" w:hAnsi="宋体"/>
          <w:b w:val="0"/>
          <w:bCs w:val="0"/>
          <w:color w:val="auto"/>
          <w:szCs w:val="21"/>
          <w:highlight w:val="none"/>
          <w:u w:val="single"/>
        </w:rPr>
        <w:t xml:space="preserve">                 </w:t>
      </w:r>
      <w:r>
        <w:rPr>
          <w:rFonts w:hint="eastAsia" w:ascii="宋体" w:hAnsi="宋体"/>
          <w:b w:val="0"/>
          <w:bCs w:val="0"/>
          <w:color w:val="auto"/>
          <w:szCs w:val="21"/>
          <w:highlight w:val="none"/>
        </w:rPr>
        <w:t xml:space="preserve">    </w:t>
      </w:r>
    </w:p>
    <w:p>
      <w:pPr>
        <w:spacing w:line="500" w:lineRule="exact"/>
        <w:rPr>
          <w:rFonts w:hint="eastAsia" w:ascii="宋体" w:hAnsi="宋体"/>
          <w:b w:val="0"/>
          <w:bCs w:val="0"/>
          <w:color w:val="auto"/>
          <w:szCs w:val="21"/>
          <w:highlight w:val="none"/>
        </w:rPr>
      </w:pPr>
    </w:p>
    <w:tbl>
      <w:tblPr>
        <w:tblStyle w:val="15"/>
        <w:tblW w:w="0" w:type="auto"/>
        <w:tblInd w:w="0" w:type="dxa"/>
        <w:tblLayout w:type="fixed"/>
        <w:tblCellMar>
          <w:top w:w="0" w:type="dxa"/>
          <w:left w:w="108" w:type="dxa"/>
          <w:bottom w:w="0" w:type="dxa"/>
          <w:right w:w="108" w:type="dxa"/>
        </w:tblCellMar>
      </w:tblPr>
      <w:tblGrid>
        <w:gridCol w:w="456"/>
        <w:gridCol w:w="1010"/>
        <w:gridCol w:w="1266"/>
        <w:gridCol w:w="712"/>
        <w:gridCol w:w="899"/>
        <w:gridCol w:w="2711"/>
        <w:gridCol w:w="697"/>
        <w:gridCol w:w="1418"/>
        <w:gridCol w:w="995"/>
      </w:tblGrid>
      <w:tr>
        <w:tblPrEx>
          <w:tblCellMar>
            <w:top w:w="0" w:type="dxa"/>
            <w:left w:w="108" w:type="dxa"/>
            <w:bottom w:w="0" w:type="dxa"/>
            <w:right w:w="108" w:type="dxa"/>
          </w:tblCellMar>
        </w:tblPrEx>
        <w:trPr>
          <w:cantSplit/>
          <w:trHeight w:val="1688"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b w:val="0"/>
                <w:bCs w:val="0"/>
                <w:color w:val="auto"/>
                <w:spacing w:val="-29"/>
                <w:highlight w:val="none"/>
              </w:rPr>
            </w:pPr>
            <w:r>
              <w:rPr>
                <w:rFonts w:hint="eastAsia"/>
                <w:b w:val="0"/>
                <w:bCs w:val="0"/>
                <w:color w:val="auto"/>
                <w:spacing w:val="-29"/>
                <w:highlight w:val="none"/>
              </w:rPr>
              <w:t>序号</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spacing w:line="500" w:lineRule="exact"/>
              <w:jc w:val="center"/>
              <w:rPr>
                <w:rFonts w:hint="eastAsia" w:ascii="宋体" w:hAnsi="宋体"/>
                <w:b w:val="0"/>
                <w:bCs w:val="0"/>
                <w:color w:val="auto"/>
                <w:szCs w:val="21"/>
                <w:highlight w:val="none"/>
              </w:rPr>
            </w:pPr>
            <w:r>
              <w:rPr>
                <w:rFonts w:hint="eastAsia" w:ascii="宋体" w:hAnsi="宋体"/>
                <w:b w:val="0"/>
                <w:bCs w:val="0"/>
                <w:color w:val="auto"/>
                <w:szCs w:val="21"/>
                <w:highlight w:val="none"/>
              </w:rPr>
              <w:t>货物</w:t>
            </w:r>
          </w:p>
          <w:p>
            <w:pPr>
              <w:tabs>
                <w:tab w:val="left" w:pos="180"/>
                <w:tab w:val="left" w:pos="1620"/>
              </w:tabs>
              <w:spacing w:line="500" w:lineRule="exact"/>
              <w:jc w:val="center"/>
              <w:rPr>
                <w:rFonts w:ascii="宋体" w:hAnsi="宋体"/>
                <w:b w:val="0"/>
                <w:bCs w:val="0"/>
                <w:color w:val="auto"/>
                <w:szCs w:val="21"/>
                <w:highlight w:val="none"/>
              </w:rPr>
            </w:pPr>
            <w:r>
              <w:rPr>
                <w:rFonts w:hint="eastAsia" w:ascii="宋体" w:hAnsi="宋体"/>
                <w:b w:val="0"/>
                <w:bCs w:val="0"/>
                <w:color w:val="auto"/>
                <w:szCs w:val="21"/>
                <w:highlight w:val="none"/>
              </w:rPr>
              <w:t>名称</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spacing w:line="500" w:lineRule="exact"/>
              <w:jc w:val="center"/>
              <w:rPr>
                <w:rFonts w:ascii="宋体" w:hAnsi="宋体"/>
                <w:b w:val="0"/>
                <w:bCs w:val="0"/>
                <w:color w:val="auto"/>
                <w:szCs w:val="21"/>
                <w:highlight w:val="none"/>
              </w:rPr>
            </w:pPr>
            <w:r>
              <w:rPr>
                <w:rFonts w:hint="eastAsia" w:ascii="宋体" w:hAnsi="宋体"/>
                <w:b w:val="0"/>
                <w:bCs w:val="0"/>
                <w:color w:val="auto"/>
                <w:szCs w:val="21"/>
                <w:highlight w:val="none"/>
              </w:rPr>
              <w:t>品牌、型号规格、生产厂家</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spacing w:line="500" w:lineRule="exact"/>
              <w:jc w:val="center"/>
              <w:rPr>
                <w:rFonts w:ascii="宋体" w:hAnsi="宋体"/>
                <w:b w:val="0"/>
                <w:bCs w:val="0"/>
                <w:color w:val="auto"/>
                <w:szCs w:val="21"/>
                <w:highlight w:val="none"/>
              </w:rPr>
            </w:pPr>
            <w:r>
              <w:rPr>
                <w:rFonts w:hint="eastAsia" w:ascii="宋体" w:hAnsi="宋体"/>
                <w:b w:val="0"/>
                <w:bCs w:val="0"/>
                <w:color w:val="auto"/>
                <w:szCs w:val="21"/>
                <w:highlight w:val="none"/>
              </w:rPr>
              <w:t>数量①</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spacing w:line="500" w:lineRule="exact"/>
              <w:jc w:val="center"/>
              <w:rPr>
                <w:rFonts w:ascii="宋体" w:hAnsi="宋体"/>
                <w:b w:val="0"/>
                <w:bCs w:val="0"/>
                <w:color w:val="auto"/>
                <w:szCs w:val="21"/>
                <w:highlight w:val="none"/>
              </w:rPr>
            </w:pPr>
            <w:r>
              <w:rPr>
                <w:rFonts w:hint="eastAsia" w:ascii="宋体" w:hAnsi="宋体"/>
                <w:b w:val="0"/>
                <w:bCs w:val="0"/>
                <w:color w:val="auto"/>
                <w:szCs w:val="21"/>
                <w:highlight w:val="none"/>
              </w:rPr>
              <w:t>单位</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spacing w:line="500" w:lineRule="exact"/>
              <w:ind w:left="210" w:hanging="210" w:hangingChars="100"/>
              <w:rPr>
                <w:rFonts w:ascii="宋体" w:hAnsi="宋体"/>
                <w:b w:val="0"/>
                <w:bCs w:val="0"/>
                <w:color w:val="auto"/>
                <w:szCs w:val="21"/>
                <w:highlight w:val="none"/>
              </w:rPr>
            </w:pPr>
            <w:r>
              <w:rPr>
                <w:rFonts w:hint="eastAsia" w:ascii="宋体" w:hAnsi="宋体"/>
                <w:b w:val="0"/>
                <w:bCs w:val="0"/>
                <w:color w:val="auto"/>
                <w:szCs w:val="21"/>
                <w:highlight w:val="none"/>
              </w:rPr>
              <w:t>技术参数及性能配置要求（材质工艺要求说明）</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spacing w:line="500" w:lineRule="exact"/>
              <w:jc w:val="center"/>
              <w:rPr>
                <w:rFonts w:ascii="宋体" w:hAnsi="宋体"/>
                <w:b w:val="0"/>
                <w:bCs w:val="0"/>
                <w:color w:val="auto"/>
                <w:szCs w:val="21"/>
                <w:highlight w:val="none"/>
              </w:rPr>
            </w:pPr>
            <w:r>
              <w:rPr>
                <w:rFonts w:hint="eastAsia" w:ascii="宋体" w:hAnsi="宋体"/>
                <w:b w:val="0"/>
                <w:bCs w:val="0"/>
                <w:color w:val="auto"/>
                <w:szCs w:val="21"/>
                <w:highlight w:val="none"/>
              </w:rPr>
              <w:t>单价②</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b w:val="0"/>
                <w:bCs w:val="0"/>
                <w:color w:val="auto"/>
                <w:highlight w:val="none"/>
              </w:rPr>
            </w:pPr>
            <w:r>
              <w:rPr>
                <w:rFonts w:hint="eastAsia"/>
                <w:b w:val="0"/>
                <w:bCs w:val="0"/>
                <w:color w:val="auto"/>
                <w:highlight w:val="none"/>
              </w:rPr>
              <w:t>单项合价</w:t>
            </w:r>
          </w:p>
          <w:p>
            <w:pPr>
              <w:pStyle w:val="8"/>
              <w:jc w:val="center"/>
              <w:rPr>
                <w:b w:val="0"/>
                <w:bCs w:val="0"/>
                <w:color w:val="auto"/>
                <w:highlight w:val="none"/>
              </w:rPr>
            </w:pPr>
            <w:r>
              <w:rPr>
                <w:rFonts w:hint="eastAsia"/>
                <w:b w:val="0"/>
                <w:bCs w:val="0"/>
                <w:color w:val="auto"/>
                <w:highlight w:val="none"/>
              </w:rPr>
              <w:t>（元）</w:t>
            </w:r>
          </w:p>
          <w:p>
            <w:pPr>
              <w:pStyle w:val="8"/>
              <w:jc w:val="center"/>
              <w:rPr>
                <w:b w:val="0"/>
                <w:bCs w:val="0"/>
                <w:color w:val="auto"/>
                <w:highlight w:val="none"/>
              </w:rPr>
            </w:pPr>
            <w:r>
              <w:rPr>
                <w:rFonts w:hint="eastAsia"/>
                <w:b w:val="0"/>
                <w:bCs w:val="0"/>
                <w:color w:val="auto"/>
                <w:highlight w:val="none"/>
              </w:rPr>
              <w:t>③</w:t>
            </w:r>
            <w:r>
              <w:rPr>
                <w:b w:val="0"/>
                <w:bCs w:val="0"/>
                <w:color w:val="auto"/>
                <w:highlight w:val="none"/>
              </w:rPr>
              <w:t>=</w:t>
            </w:r>
            <w:r>
              <w:rPr>
                <w:rFonts w:hint="eastAsia"/>
                <w:b w:val="0"/>
                <w:bCs w:val="0"/>
                <w:color w:val="auto"/>
                <w:highlight w:val="none"/>
              </w:rPr>
              <w:t>①×②</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b w:val="0"/>
                <w:bCs w:val="0"/>
                <w:color w:val="auto"/>
                <w:highlight w:val="none"/>
              </w:rPr>
            </w:pPr>
            <w:r>
              <w:rPr>
                <w:rFonts w:hint="eastAsia"/>
                <w:b w:val="0"/>
                <w:bCs w:val="0"/>
                <w:color w:val="auto"/>
                <w:highlight w:val="none"/>
              </w:rPr>
              <w:t>备注</w:t>
            </w:r>
          </w:p>
        </w:tc>
      </w:tr>
      <w:tr>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b w:val="0"/>
                <w:bCs w:val="0"/>
                <w:color w:val="auto"/>
                <w:sz w:val="24"/>
                <w:highlight w:val="none"/>
              </w:rPr>
            </w:pPr>
            <w:r>
              <w:rPr>
                <w:rFonts w:hint="eastAsia" w:ascii="宋体" w:hAnsi="宋体"/>
                <w:b w:val="0"/>
                <w:bCs w:val="0"/>
                <w:color w:val="auto"/>
                <w:sz w:val="24"/>
                <w:highlight w:val="none"/>
              </w:rPr>
              <w:t>1</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b w:val="0"/>
                <w:bCs w:val="0"/>
                <w:color w:val="auto"/>
                <w:highlight w:val="none"/>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b w:val="0"/>
                <w:bCs w:val="0"/>
                <w:color w:val="auto"/>
                <w:highlight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pStyle w:val="8"/>
              <w:rPr>
                <w:b w:val="0"/>
                <w:bCs w:val="0"/>
                <w:color w:val="auto"/>
                <w:highlight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pStyle w:val="8"/>
              <w:rPr>
                <w:b w:val="0"/>
                <w:bCs w:val="0"/>
                <w:color w:val="auto"/>
                <w:highlight w:val="none"/>
              </w:rPr>
            </w:pPr>
          </w:p>
        </w:tc>
        <w:tc>
          <w:tcPr>
            <w:tcW w:w="2711" w:type="dxa"/>
            <w:tcBorders>
              <w:top w:val="single" w:color="000000" w:sz="4" w:space="0"/>
              <w:left w:val="single" w:color="000000" w:sz="4" w:space="0"/>
              <w:bottom w:val="single" w:color="000000" w:sz="4" w:space="0"/>
              <w:right w:val="single" w:color="000000" w:sz="4" w:space="0"/>
            </w:tcBorders>
            <w:noWrap w:val="0"/>
            <w:vAlign w:val="center"/>
          </w:tcPr>
          <w:p>
            <w:pPr>
              <w:pStyle w:val="8"/>
              <w:rPr>
                <w:b w:val="0"/>
                <w:bCs w:val="0"/>
                <w:color w:val="auto"/>
                <w:highlight w:val="none"/>
              </w:rPr>
            </w:pP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pStyle w:val="8"/>
              <w:rPr>
                <w:b w:val="0"/>
                <w:bCs w:val="0"/>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8"/>
              <w:rPr>
                <w:b w:val="0"/>
                <w:bCs w:val="0"/>
                <w:color w:val="auto"/>
                <w:highlight w:val="none"/>
              </w:rPr>
            </w:pP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pStyle w:val="8"/>
              <w:rPr>
                <w:b w:val="0"/>
                <w:bCs w:val="0"/>
                <w:color w:val="auto"/>
                <w:spacing w:val="-10"/>
                <w:highlight w:val="none"/>
              </w:rPr>
            </w:pPr>
          </w:p>
        </w:tc>
      </w:tr>
      <w:tr>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b w:val="0"/>
                <w:bCs w:val="0"/>
                <w:color w:val="auto"/>
                <w:sz w:val="24"/>
                <w:highlight w:val="none"/>
              </w:rPr>
            </w:pPr>
            <w:r>
              <w:rPr>
                <w:rFonts w:hint="eastAsia" w:ascii="宋体" w:hAnsi="宋体"/>
                <w:b w:val="0"/>
                <w:bCs w:val="0"/>
                <w:color w:val="auto"/>
                <w:sz w:val="24"/>
                <w:highlight w:val="none"/>
              </w:rPr>
              <w:t>…</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b w:val="0"/>
                <w:bCs w:val="0"/>
                <w:color w:val="auto"/>
                <w:highlight w:val="none"/>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b w:val="0"/>
                <w:bCs w:val="0"/>
                <w:color w:val="auto"/>
                <w:highlight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pStyle w:val="8"/>
              <w:rPr>
                <w:b w:val="0"/>
                <w:bCs w:val="0"/>
                <w:color w:val="auto"/>
                <w:highlight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pStyle w:val="8"/>
              <w:rPr>
                <w:b w:val="0"/>
                <w:bCs w:val="0"/>
                <w:color w:val="auto"/>
                <w:highlight w:val="none"/>
              </w:rPr>
            </w:pPr>
          </w:p>
        </w:tc>
        <w:tc>
          <w:tcPr>
            <w:tcW w:w="2711" w:type="dxa"/>
            <w:tcBorders>
              <w:top w:val="single" w:color="000000" w:sz="4" w:space="0"/>
              <w:left w:val="single" w:color="000000" w:sz="4" w:space="0"/>
              <w:bottom w:val="single" w:color="000000" w:sz="4" w:space="0"/>
              <w:right w:val="single" w:color="000000" w:sz="4" w:space="0"/>
            </w:tcBorders>
            <w:noWrap w:val="0"/>
            <w:vAlign w:val="center"/>
          </w:tcPr>
          <w:p>
            <w:pPr>
              <w:pStyle w:val="8"/>
              <w:rPr>
                <w:b w:val="0"/>
                <w:bCs w:val="0"/>
                <w:color w:val="auto"/>
                <w:highlight w:val="none"/>
              </w:rPr>
            </w:pP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pStyle w:val="8"/>
              <w:rPr>
                <w:b w:val="0"/>
                <w:bCs w:val="0"/>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8"/>
              <w:rPr>
                <w:b w:val="0"/>
                <w:bCs w:val="0"/>
                <w:color w:val="auto"/>
                <w:highlight w:val="none"/>
              </w:rPr>
            </w:pP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pStyle w:val="8"/>
              <w:rPr>
                <w:b w:val="0"/>
                <w:bCs w:val="0"/>
                <w:color w:val="auto"/>
                <w:spacing w:val="-10"/>
                <w:highlight w:val="none"/>
              </w:rPr>
            </w:pPr>
          </w:p>
        </w:tc>
      </w:tr>
      <w:tr>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b w:val="0"/>
                <w:bCs w:val="0"/>
                <w:color w:val="auto"/>
                <w:sz w:val="24"/>
                <w:highlight w:val="none"/>
              </w:rPr>
            </w:pPr>
            <w:r>
              <w:rPr>
                <w:rFonts w:ascii="宋体" w:hAnsi="宋体"/>
                <w:b w:val="0"/>
                <w:bCs w:val="0"/>
                <w:color w:val="auto"/>
                <w:sz w:val="24"/>
                <w:highlight w:val="none"/>
              </w:rPr>
              <w:t>N</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b w:val="0"/>
                <w:bCs w:val="0"/>
                <w:color w:val="auto"/>
                <w:highlight w:val="none"/>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b w:val="0"/>
                <w:bCs w:val="0"/>
                <w:color w:val="auto"/>
                <w:highlight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pStyle w:val="8"/>
              <w:rPr>
                <w:b w:val="0"/>
                <w:bCs w:val="0"/>
                <w:color w:val="auto"/>
                <w:highlight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pStyle w:val="8"/>
              <w:rPr>
                <w:b w:val="0"/>
                <w:bCs w:val="0"/>
                <w:color w:val="auto"/>
                <w:highlight w:val="none"/>
              </w:rPr>
            </w:pPr>
          </w:p>
        </w:tc>
        <w:tc>
          <w:tcPr>
            <w:tcW w:w="2711" w:type="dxa"/>
            <w:tcBorders>
              <w:top w:val="single" w:color="000000" w:sz="4" w:space="0"/>
              <w:left w:val="single" w:color="000000" w:sz="4" w:space="0"/>
              <w:bottom w:val="single" w:color="000000" w:sz="4" w:space="0"/>
              <w:right w:val="single" w:color="000000" w:sz="4" w:space="0"/>
            </w:tcBorders>
            <w:noWrap w:val="0"/>
            <w:vAlign w:val="center"/>
          </w:tcPr>
          <w:p>
            <w:pPr>
              <w:pStyle w:val="8"/>
              <w:rPr>
                <w:b w:val="0"/>
                <w:bCs w:val="0"/>
                <w:color w:val="auto"/>
                <w:highlight w:val="none"/>
              </w:rPr>
            </w:pP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pStyle w:val="8"/>
              <w:rPr>
                <w:b w:val="0"/>
                <w:bCs w:val="0"/>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8"/>
              <w:rPr>
                <w:b w:val="0"/>
                <w:bCs w:val="0"/>
                <w:color w:val="auto"/>
                <w:highlight w:val="none"/>
              </w:rPr>
            </w:pP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pStyle w:val="8"/>
              <w:rPr>
                <w:b w:val="0"/>
                <w:bCs w:val="0"/>
                <w:color w:val="auto"/>
                <w:spacing w:val="-10"/>
                <w:highlight w:val="none"/>
              </w:rPr>
            </w:pPr>
          </w:p>
        </w:tc>
      </w:tr>
      <w:tr>
        <w:tblPrEx>
          <w:tblCellMar>
            <w:top w:w="0" w:type="dxa"/>
            <w:left w:w="108" w:type="dxa"/>
            <w:bottom w:w="0" w:type="dxa"/>
            <w:right w:w="108" w:type="dxa"/>
          </w:tblCellMar>
        </w:tblPrEx>
        <w:trPr>
          <w:cantSplit/>
          <w:trHeight w:val="624" w:hRule="atLeast"/>
        </w:trPr>
        <w:tc>
          <w:tcPr>
            <w:tcW w:w="10164"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8"/>
              <w:rPr>
                <w:b w:val="0"/>
                <w:bCs w:val="0"/>
                <w:color w:val="auto"/>
                <w:spacing w:val="-10"/>
                <w:highlight w:val="none"/>
              </w:rPr>
            </w:pPr>
            <w:r>
              <w:rPr>
                <w:rFonts w:hint="eastAsia"/>
                <w:b w:val="0"/>
                <w:bCs w:val="0"/>
                <w:color w:val="auto"/>
                <w:spacing w:val="-10"/>
                <w:highlight w:val="none"/>
              </w:rPr>
              <w:t>总报价（人民币大写）：</w:t>
            </w:r>
            <w:r>
              <w:rPr>
                <w:rFonts w:hint="eastAsia"/>
                <w:b w:val="0"/>
                <w:bCs w:val="0"/>
                <w:color w:val="auto"/>
                <w:spacing w:val="-10"/>
                <w:highlight w:val="none"/>
                <w:u w:val="single"/>
              </w:rPr>
              <w:t xml:space="preserve">                                       </w:t>
            </w:r>
            <w:r>
              <w:rPr>
                <w:rFonts w:hint="eastAsia"/>
                <w:b w:val="0"/>
                <w:bCs w:val="0"/>
                <w:color w:val="auto"/>
                <w:spacing w:val="-10"/>
                <w:highlight w:val="none"/>
              </w:rPr>
              <w:t>（￥</w:t>
            </w:r>
            <w:r>
              <w:rPr>
                <w:rFonts w:hint="eastAsia"/>
                <w:b w:val="0"/>
                <w:bCs w:val="0"/>
                <w:color w:val="auto"/>
                <w:spacing w:val="-10"/>
                <w:highlight w:val="none"/>
                <w:u w:val="single"/>
              </w:rPr>
              <w:t xml:space="preserve">                       </w:t>
            </w:r>
            <w:r>
              <w:rPr>
                <w:rFonts w:hint="eastAsia"/>
                <w:b w:val="0"/>
                <w:bCs w:val="0"/>
                <w:color w:val="auto"/>
                <w:spacing w:val="-10"/>
                <w:highlight w:val="none"/>
              </w:rPr>
              <w:t>元）</w:t>
            </w:r>
          </w:p>
        </w:tc>
      </w:tr>
      <w:tr>
        <w:tblPrEx>
          <w:tblCellMar>
            <w:top w:w="0" w:type="dxa"/>
            <w:left w:w="108" w:type="dxa"/>
            <w:bottom w:w="0" w:type="dxa"/>
            <w:right w:w="108" w:type="dxa"/>
          </w:tblCellMar>
        </w:tblPrEx>
        <w:trPr>
          <w:cantSplit/>
          <w:trHeight w:val="624" w:hRule="atLeast"/>
        </w:trPr>
        <w:tc>
          <w:tcPr>
            <w:tcW w:w="10164"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8"/>
              <w:rPr>
                <w:b w:val="0"/>
                <w:bCs w:val="0"/>
                <w:color w:val="auto"/>
                <w:spacing w:val="-10"/>
                <w:highlight w:val="none"/>
              </w:rPr>
            </w:pPr>
            <w:r>
              <w:rPr>
                <w:rFonts w:hint="eastAsia"/>
                <w:b w:val="0"/>
                <w:bCs w:val="0"/>
                <w:color w:val="auto"/>
                <w:spacing w:val="-10"/>
                <w:highlight w:val="none"/>
              </w:rPr>
              <w:t>交付使用时间：</w:t>
            </w:r>
          </w:p>
        </w:tc>
      </w:tr>
      <w:tr>
        <w:tblPrEx>
          <w:tblCellMar>
            <w:top w:w="0" w:type="dxa"/>
            <w:left w:w="108" w:type="dxa"/>
            <w:bottom w:w="0" w:type="dxa"/>
            <w:right w:w="108" w:type="dxa"/>
          </w:tblCellMar>
        </w:tblPrEx>
        <w:trPr>
          <w:cantSplit/>
          <w:trHeight w:val="624" w:hRule="atLeast"/>
        </w:trPr>
        <w:tc>
          <w:tcPr>
            <w:tcW w:w="10164"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8"/>
              <w:rPr>
                <w:b w:val="0"/>
                <w:bCs w:val="0"/>
                <w:color w:val="auto"/>
                <w:spacing w:val="-10"/>
                <w:highlight w:val="none"/>
              </w:rPr>
            </w:pPr>
            <w:r>
              <w:rPr>
                <w:rFonts w:hint="eastAsia"/>
                <w:b w:val="0"/>
                <w:bCs w:val="0"/>
                <w:color w:val="auto"/>
                <w:spacing w:val="-10"/>
                <w:highlight w:val="none"/>
              </w:rPr>
              <w:t>交付使用地点：</w:t>
            </w:r>
          </w:p>
        </w:tc>
      </w:tr>
    </w:tbl>
    <w:p>
      <w:pPr>
        <w:spacing w:line="500" w:lineRule="exact"/>
        <w:rPr>
          <w:rFonts w:hint="eastAsia" w:ascii="宋体" w:hAnsi="宋体"/>
          <w:b w:val="0"/>
          <w:bCs w:val="0"/>
          <w:color w:val="auto"/>
          <w:szCs w:val="21"/>
          <w:highlight w:val="none"/>
        </w:rPr>
      </w:pPr>
      <w:r>
        <w:rPr>
          <w:rFonts w:hint="eastAsia" w:ascii="宋体" w:hAnsi="宋体"/>
          <w:b w:val="0"/>
          <w:bCs w:val="0"/>
          <w:color w:val="auto"/>
          <w:szCs w:val="21"/>
          <w:highlight w:val="none"/>
        </w:rPr>
        <w:t>注：1、所有价格均用人民币表示，单位为元，精确到个数位。</w:t>
      </w:r>
    </w:p>
    <w:p>
      <w:pPr>
        <w:spacing w:line="500" w:lineRule="exact"/>
        <w:ind w:firstLine="412"/>
        <w:rPr>
          <w:rFonts w:ascii="宋体" w:hAnsi="宋体"/>
          <w:b w:val="0"/>
          <w:bCs w:val="0"/>
          <w:color w:val="auto"/>
          <w:szCs w:val="21"/>
          <w:highlight w:val="none"/>
        </w:rPr>
      </w:pPr>
      <w:r>
        <w:rPr>
          <w:rFonts w:hint="eastAsia" w:ascii="宋体" w:hAnsi="宋体"/>
          <w:b w:val="0"/>
          <w:bCs w:val="0"/>
          <w:color w:val="auto"/>
          <w:highlight w:val="none"/>
        </w:rPr>
        <w:t>2、报价指货物、服务、随配附件、备品备件、工具、货物运抵指定交货地点、安装、调试的各种费用和售后服务、税金及其它所有成本、费用的总和</w:t>
      </w:r>
      <w:r>
        <w:rPr>
          <w:rFonts w:hint="eastAsia" w:ascii="宋体" w:hAnsi="宋体"/>
          <w:b w:val="0"/>
          <w:bCs w:val="0"/>
          <w:color w:val="auto"/>
          <w:szCs w:val="21"/>
          <w:highlight w:val="none"/>
        </w:rPr>
        <w:t>。</w:t>
      </w:r>
    </w:p>
    <w:p>
      <w:pPr>
        <w:spacing w:before="50" w:after="50" w:line="360" w:lineRule="exact"/>
        <w:ind w:firstLine="420"/>
        <w:jc w:val="left"/>
        <w:rPr>
          <w:rFonts w:ascii="宋体" w:hAnsi="宋体"/>
          <w:b w:val="0"/>
          <w:bCs w:val="0"/>
          <w:color w:val="auto"/>
          <w:szCs w:val="21"/>
          <w:highlight w:val="none"/>
        </w:rPr>
      </w:pPr>
      <w:r>
        <w:rPr>
          <w:rFonts w:hint="eastAsia" w:ascii="宋体" w:hAnsi="宋体"/>
          <w:b w:val="0"/>
          <w:bCs w:val="0"/>
          <w:color w:val="auto"/>
          <w:szCs w:val="21"/>
          <w:highlight w:val="none"/>
        </w:rPr>
        <w:t>3、凡需用专用辅材、耗材的专用设备类采购项目，应按采购文件规定的辅材、耗材量或按耗材的常规试用量提供报价。</w:t>
      </w:r>
    </w:p>
    <w:p>
      <w:pPr>
        <w:spacing w:before="50" w:after="50" w:line="360" w:lineRule="exact"/>
        <w:ind w:firstLine="420"/>
        <w:jc w:val="left"/>
        <w:rPr>
          <w:rFonts w:ascii="宋体" w:hAnsi="宋体"/>
          <w:b w:val="0"/>
          <w:bCs w:val="0"/>
          <w:color w:val="auto"/>
          <w:szCs w:val="21"/>
          <w:highlight w:val="none"/>
        </w:rPr>
      </w:pPr>
      <w:r>
        <w:rPr>
          <w:rFonts w:hint="eastAsia" w:ascii="宋体" w:hAnsi="宋体"/>
          <w:b w:val="0"/>
          <w:bCs w:val="0"/>
          <w:color w:val="auto"/>
          <w:szCs w:val="21"/>
          <w:highlight w:val="none"/>
        </w:rPr>
        <w:t>4、报价表中的“货物名称”、“数量”、“单位”、“单价”、“单项合价”列必须填写；设备类项目“品牌、型号规格、生产厂家”列必须填写（定制产品和服务除外）。请认真核准单价、单项合计、总报价。</w:t>
      </w:r>
    </w:p>
    <w:p>
      <w:pPr>
        <w:pStyle w:val="8"/>
        <w:spacing w:line="500" w:lineRule="exact"/>
        <w:ind w:firstLine="420"/>
        <w:rPr>
          <w:b w:val="0"/>
          <w:bCs w:val="0"/>
          <w:color w:val="auto"/>
          <w:highlight w:val="none"/>
        </w:rPr>
      </w:pPr>
    </w:p>
    <w:p>
      <w:pPr>
        <w:pStyle w:val="8"/>
        <w:spacing w:line="500" w:lineRule="exact"/>
        <w:ind w:firstLine="420"/>
        <w:rPr>
          <w:b w:val="0"/>
          <w:bCs w:val="0"/>
          <w:color w:val="auto"/>
          <w:highlight w:val="none"/>
          <w:u w:val="single"/>
        </w:rPr>
      </w:pPr>
      <w:r>
        <w:rPr>
          <w:rFonts w:hint="eastAsia"/>
          <w:b w:val="0"/>
          <w:bCs w:val="0"/>
          <w:color w:val="auto"/>
          <w:highlight w:val="none"/>
        </w:rPr>
        <w:t>法定代表人或委托代理人（</w:t>
      </w:r>
      <w:r>
        <w:rPr>
          <w:rFonts w:hint="default"/>
          <w:b w:val="0"/>
          <w:bCs w:val="0"/>
          <w:color w:val="auto"/>
          <w:highlight w:val="none"/>
          <w:lang w:val="en" w:eastAsia="zh-CN"/>
        </w:rPr>
        <w:t>签字或签章</w:t>
      </w:r>
      <w:r>
        <w:rPr>
          <w:rFonts w:hint="eastAsia"/>
          <w:b w:val="0"/>
          <w:bCs w:val="0"/>
          <w:color w:val="auto"/>
          <w:highlight w:val="none"/>
        </w:rPr>
        <w:t>）:</w:t>
      </w:r>
      <w:r>
        <w:rPr>
          <w:rFonts w:hint="eastAsia"/>
          <w:b w:val="0"/>
          <w:bCs w:val="0"/>
          <w:color w:val="auto"/>
          <w:highlight w:val="none"/>
          <w:u w:val="single"/>
        </w:rPr>
        <w:t xml:space="preserve">              </w:t>
      </w:r>
    </w:p>
    <w:p>
      <w:pPr>
        <w:pStyle w:val="8"/>
        <w:spacing w:line="500" w:lineRule="exact"/>
        <w:ind w:firstLine="420"/>
        <w:rPr>
          <w:b w:val="0"/>
          <w:bCs w:val="0"/>
          <w:color w:val="auto"/>
          <w:highlight w:val="none"/>
          <w:u w:val="single"/>
        </w:rPr>
      </w:pPr>
      <w:r>
        <w:rPr>
          <w:rFonts w:hint="eastAsia"/>
          <w:b w:val="0"/>
          <w:bCs w:val="0"/>
          <w:color w:val="auto"/>
          <w:highlight w:val="none"/>
        </w:rPr>
        <w:t>谈判供应商名称（盖章）：</w:t>
      </w:r>
      <w:r>
        <w:rPr>
          <w:rFonts w:hint="eastAsia"/>
          <w:b w:val="0"/>
          <w:bCs w:val="0"/>
          <w:color w:val="auto"/>
          <w:highlight w:val="none"/>
          <w:u w:val="single"/>
        </w:rPr>
        <w:t xml:space="preserve">       </w:t>
      </w:r>
    </w:p>
    <w:p>
      <w:pPr>
        <w:spacing w:line="500" w:lineRule="exact"/>
        <w:ind w:firstLine="420"/>
        <w:rPr>
          <w:rFonts w:ascii="宋体" w:hAnsi="宋体"/>
          <w:b w:val="0"/>
          <w:bCs w:val="0"/>
          <w:color w:val="auto"/>
          <w:szCs w:val="21"/>
          <w:highlight w:val="none"/>
        </w:rPr>
      </w:pPr>
      <w:r>
        <w:rPr>
          <w:rFonts w:hint="eastAsia" w:ascii="宋体" w:hAnsi="宋体"/>
          <w:b w:val="0"/>
          <w:bCs w:val="0"/>
          <w:color w:val="auto"/>
          <w:highlight w:val="none"/>
        </w:rPr>
        <w:t>报价时间：</w:t>
      </w:r>
      <w:r>
        <w:rPr>
          <w:rFonts w:hint="eastAsia" w:ascii="宋体" w:hAnsi="宋体"/>
          <w:b w:val="0"/>
          <w:bCs w:val="0"/>
          <w:color w:val="auto"/>
          <w:highlight w:val="none"/>
          <w:u w:val="single"/>
        </w:rPr>
        <w:t xml:space="preserve">     </w:t>
      </w:r>
      <w:r>
        <w:rPr>
          <w:rFonts w:hint="eastAsia" w:ascii="宋体" w:hAnsi="宋体"/>
          <w:b w:val="0"/>
          <w:bCs w:val="0"/>
          <w:color w:val="auto"/>
          <w:highlight w:val="none"/>
        </w:rPr>
        <w:t>年</w:t>
      </w:r>
      <w:r>
        <w:rPr>
          <w:rFonts w:hint="eastAsia" w:ascii="宋体" w:hAnsi="宋体"/>
          <w:b w:val="0"/>
          <w:bCs w:val="0"/>
          <w:color w:val="auto"/>
          <w:highlight w:val="none"/>
          <w:u w:val="single"/>
        </w:rPr>
        <w:t xml:space="preserve">     </w:t>
      </w:r>
      <w:r>
        <w:rPr>
          <w:rFonts w:hint="eastAsia" w:ascii="宋体" w:hAnsi="宋体"/>
          <w:b w:val="0"/>
          <w:bCs w:val="0"/>
          <w:color w:val="auto"/>
          <w:highlight w:val="none"/>
        </w:rPr>
        <w:t>月</w:t>
      </w:r>
      <w:r>
        <w:rPr>
          <w:rFonts w:hint="eastAsia" w:ascii="宋体" w:hAnsi="宋体"/>
          <w:b w:val="0"/>
          <w:bCs w:val="0"/>
          <w:color w:val="auto"/>
          <w:highlight w:val="none"/>
          <w:u w:val="single"/>
        </w:rPr>
        <w:t xml:space="preserve">    </w:t>
      </w:r>
      <w:r>
        <w:rPr>
          <w:rFonts w:hint="eastAsia" w:ascii="宋体" w:hAnsi="宋体"/>
          <w:b w:val="0"/>
          <w:bCs w:val="0"/>
          <w:color w:val="auto"/>
          <w:highlight w:val="none"/>
        </w:rPr>
        <w:t>日</w:t>
      </w:r>
    </w:p>
    <w:p>
      <w:pPr>
        <w:pageBreakBefore/>
        <w:spacing w:line="300" w:lineRule="auto"/>
        <w:ind w:left="-91"/>
        <w:rPr>
          <w:rFonts w:ascii="宋体" w:hAnsi="宋体"/>
          <w:b w:val="0"/>
          <w:bCs w:val="0"/>
          <w:color w:val="auto"/>
          <w:szCs w:val="21"/>
          <w:highlight w:val="none"/>
        </w:rPr>
      </w:pPr>
      <w:r>
        <w:rPr>
          <w:rFonts w:hint="eastAsia" w:ascii="宋体" w:hAnsi="宋体"/>
          <w:b w:val="0"/>
          <w:bCs w:val="0"/>
          <w:color w:val="auto"/>
          <w:szCs w:val="21"/>
          <w:highlight w:val="none"/>
        </w:rPr>
        <w:t xml:space="preserve">附件三  </w:t>
      </w:r>
    </w:p>
    <w:p>
      <w:pPr>
        <w:spacing w:line="300" w:lineRule="auto"/>
        <w:rPr>
          <w:rFonts w:ascii="宋体" w:hAnsi="宋体"/>
          <w:b w:val="0"/>
          <w:bCs w:val="0"/>
          <w:color w:val="auto"/>
          <w:szCs w:val="21"/>
          <w:highlight w:val="none"/>
        </w:rPr>
      </w:pPr>
    </w:p>
    <w:p>
      <w:pPr>
        <w:spacing w:line="300" w:lineRule="auto"/>
        <w:jc w:val="center"/>
        <w:rPr>
          <w:rFonts w:ascii="仿宋_GB2312" w:hAnsi="仿宋_GB2312" w:eastAsia="仿宋_GB2312"/>
          <w:b w:val="0"/>
          <w:bCs w:val="0"/>
          <w:color w:val="auto"/>
          <w:sz w:val="32"/>
          <w:szCs w:val="32"/>
          <w:highlight w:val="none"/>
        </w:rPr>
      </w:pPr>
      <w:r>
        <w:rPr>
          <w:rFonts w:hint="eastAsia" w:ascii="仿宋_GB2312" w:hAnsi="仿宋_GB2312" w:eastAsia="仿宋_GB2312"/>
          <w:b w:val="0"/>
          <w:bCs w:val="0"/>
          <w:color w:val="auto"/>
          <w:sz w:val="32"/>
          <w:szCs w:val="32"/>
          <w:highlight w:val="none"/>
        </w:rPr>
        <w:t>商务、技术响应、偏离情况说明表</w:t>
      </w:r>
    </w:p>
    <w:p>
      <w:pPr>
        <w:spacing w:line="300" w:lineRule="auto"/>
        <w:rPr>
          <w:rFonts w:ascii="宋体" w:hAnsi="宋体"/>
          <w:b w:val="0"/>
          <w:bCs w:val="0"/>
          <w:color w:val="auto"/>
          <w:szCs w:val="21"/>
          <w:highlight w:val="none"/>
        </w:rPr>
      </w:pPr>
    </w:p>
    <w:p>
      <w:pPr>
        <w:spacing w:line="500" w:lineRule="exact"/>
        <w:rPr>
          <w:rFonts w:ascii="宋体" w:hAnsi="宋体"/>
          <w:b w:val="0"/>
          <w:bCs w:val="0"/>
          <w:color w:val="auto"/>
          <w:szCs w:val="21"/>
          <w:highlight w:val="none"/>
          <w:u w:val="single"/>
        </w:rPr>
      </w:pPr>
      <w:r>
        <w:rPr>
          <w:rFonts w:hint="eastAsia" w:ascii="宋体" w:hAnsi="宋体"/>
          <w:b w:val="0"/>
          <w:bCs w:val="0"/>
          <w:color w:val="auto"/>
          <w:szCs w:val="21"/>
          <w:highlight w:val="none"/>
        </w:rPr>
        <w:t>项目名称:</w:t>
      </w:r>
      <w:r>
        <w:rPr>
          <w:rFonts w:hint="eastAsia" w:ascii="宋体" w:hAnsi="宋体"/>
          <w:b w:val="0"/>
          <w:bCs w:val="0"/>
          <w:color w:val="auto"/>
          <w:szCs w:val="21"/>
          <w:highlight w:val="none"/>
          <w:u w:val="single"/>
        </w:rPr>
        <w:t xml:space="preserve">                 </w:t>
      </w:r>
    </w:p>
    <w:p>
      <w:pPr>
        <w:spacing w:line="500" w:lineRule="exact"/>
        <w:rPr>
          <w:rFonts w:hint="eastAsia" w:ascii="宋体" w:hAnsi="宋体"/>
          <w:b w:val="0"/>
          <w:bCs w:val="0"/>
          <w:color w:val="auto"/>
          <w:szCs w:val="21"/>
          <w:highlight w:val="none"/>
        </w:rPr>
      </w:pPr>
      <w:r>
        <w:rPr>
          <w:rFonts w:hint="eastAsia" w:ascii="宋体" w:hAnsi="宋体"/>
          <w:b w:val="0"/>
          <w:bCs w:val="0"/>
          <w:color w:val="auto"/>
          <w:szCs w:val="21"/>
          <w:highlight w:val="none"/>
        </w:rPr>
        <w:t>项目编号:</w:t>
      </w:r>
      <w:r>
        <w:rPr>
          <w:rFonts w:hint="eastAsia" w:ascii="宋体" w:hAnsi="宋体"/>
          <w:b w:val="0"/>
          <w:bCs w:val="0"/>
          <w:color w:val="auto"/>
          <w:szCs w:val="21"/>
          <w:highlight w:val="none"/>
          <w:u w:val="single"/>
        </w:rPr>
        <w:t xml:space="preserve">                 </w:t>
      </w:r>
      <w:r>
        <w:rPr>
          <w:rFonts w:hint="eastAsia" w:ascii="宋体" w:hAnsi="宋体"/>
          <w:b w:val="0"/>
          <w:bCs w:val="0"/>
          <w:color w:val="auto"/>
          <w:szCs w:val="21"/>
          <w:highlight w:val="none"/>
        </w:rPr>
        <w:t xml:space="preserve">    </w:t>
      </w:r>
    </w:p>
    <w:tbl>
      <w:tblPr>
        <w:tblStyle w:val="15"/>
        <w:tblW w:w="0" w:type="auto"/>
        <w:tblInd w:w="0" w:type="dxa"/>
        <w:tblLayout w:type="fixed"/>
        <w:tblCellMar>
          <w:top w:w="0" w:type="dxa"/>
          <w:left w:w="108" w:type="dxa"/>
          <w:bottom w:w="0" w:type="dxa"/>
          <w:right w:w="108" w:type="dxa"/>
        </w:tblCellMar>
      </w:tblPr>
      <w:tblGrid>
        <w:gridCol w:w="705"/>
        <w:gridCol w:w="3269"/>
        <w:gridCol w:w="3429"/>
        <w:gridCol w:w="1698"/>
        <w:gridCol w:w="1581"/>
      </w:tblGrid>
      <w:tr>
        <w:tblPrEx>
          <w:tblCellMar>
            <w:top w:w="0" w:type="dxa"/>
            <w:left w:w="108" w:type="dxa"/>
            <w:bottom w:w="0" w:type="dxa"/>
            <w:right w:w="108" w:type="dxa"/>
          </w:tblCellMar>
        </w:tblPrEx>
        <w:trPr>
          <w:cantSplit/>
          <w:trHeight w:val="420" w:hRule="atLeast"/>
        </w:trPr>
        <w:tc>
          <w:tcPr>
            <w:tcW w:w="705" w:type="dxa"/>
            <w:tcBorders>
              <w:top w:val="single" w:color="000000" w:sz="4" w:space="0"/>
              <w:left w:val="single" w:color="000000" w:sz="4" w:space="0"/>
              <w:bottom w:val="single" w:color="000000" w:sz="6" w:space="0"/>
              <w:right w:val="single" w:color="000000" w:sz="6" w:space="0"/>
            </w:tcBorders>
            <w:noWrap w:val="0"/>
            <w:vAlign w:val="center"/>
          </w:tcPr>
          <w:p>
            <w:pPr>
              <w:rPr>
                <w:b w:val="0"/>
                <w:bCs w:val="0"/>
                <w:color w:val="auto"/>
                <w:highlight w:val="none"/>
              </w:rPr>
            </w:pPr>
            <w:bookmarkStart w:id="33" w:name="_Toc254970729"/>
            <w:bookmarkEnd w:id="33"/>
            <w:bookmarkStart w:id="34" w:name="_Toc173066401"/>
            <w:bookmarkEnd w:id="34"/>
            <w:bookmarkStart w:id="35" w:name="_Toc254970588"/>
            <w:bookmarkEnd w:id="35"/>
            <w:bookmarkStart w:id="36" w:name="_Toc173211900"/>
            <w:bookmarkEnd w:id="36"/>
            <w:r>
              <w:rPr>
                <w:rFonts w:hint="eastAsia"/>
                <w:b w:val="0"/>
                <w:bCs w:val="0"/>
                <w:color w:val="auto"/>
                <w:highlight w:val="none"/>
              </w:rPr>
              <w:t>序号</w:t>
            </w:r>
          </w:p>
        </w:tc>
        <w:tc>
          <w:tcPr>
            <w:tcW w:w="3269" w:type="dxa"/>
            <w:tcBorders>
              <w:top w:val="single" w:color="000000" w:sz="4" w:space="0"/>
              <w:left w:val="single" w:color="000000" w:sz="6" w:space="0"/>
              <w:bottom w:val="single" w:color="000000" w:sz="6" w:space="0"/>
              <w:right w:val="single" w:color="000000" w:sz="6" w:space="0"/>
            </w:tcBorders>
            <w:noWrap w:val="0"/>
            <w:vAlign w:val="center"/>
          </w:tcPr>
          <w:p>
            <w:pPr>
              <w:rPr>
                <w:b w:val="0"/>
                <w:bCs w:val="0"/>
                <w:color w:val="auto"/>
                <w:highlight w:val="none"/>
              </w:rPr>
            </w:pPr>
            <w:bookmarkStart w:id="37" w:name="_Toc254970589"/>
            <w:bookmarkEnd w:id="37"/>
            <w:bookmarkStart w:id="38" w:name="_Toc173211901"/>
            <w:bookmarkEnd w:id="38"/>
            <w:bookmarkStart w:id="39" w:name="_Toc173066402"/>
            <w:bookmarkEnd w:id="39"/>
            <w:bookmarkStart w:id="40" w:name="_Toc254970730"/>
            <w:bookmarkEnd w:id="40"/>
            <w:r>
              <w:rPr>
                <w:rFonts w:hint="eastAsia"/>
                <w:b w:val="0"/>
                <w:bCs w:val="0"/>
                <w:color w:val="auto"/>
                <w:highlight w:val="none"/>
              </w:rPr>
              <w:t>竞争性谈判文件要求</w:t>
            </w:r>
          </w:p>
        </w:tc>
        <w:tc>
          <w:tcPr>
            <w:tcW w:w="3429" w:type="dxa"/>
            <w:tcBorders>
              <w:top w:val="single" w:color="000000" w:sz="4" w:space="0"/>
              <w:left w:val="single" w:color="000000" w:sz="6" w:space="0"/>
              <w:bottom w:val="single" w:color="000000" w:sz="6" w:space="0"/>
              <w:right w:val="single" w:color="000000" w:sz="6" w:space="0"/>
            </w:tcBorders>
            <w:noWrap w:val="0"/>
            <w:vAlign w:val="center"/>
          </w:tcPr>
          <w:p>
            <w:pPr>
              <w:rPr>
                <w:b w:val="0"/>
                <w:bCs w:val="0"/>
                <w:color w:val="auto"/>
                <w:highlight w:val="none"/>
              </w:rPr>
            </w:pPr>
            <w:bookmarkStart w:id="41" w:name="_Toc254970731"/>
            <w:bookmarkEnd w:id="41"/>
            <w:bookmarkStart w:id="42" w:name="_Toc254970590"/>
            <w:bookmarkEnd w:id="42"/>
            <w:bookmarkStart w:id="43" w:name="_Toc173211902"/>
            <w:bookmarkEnd w:id="43"/>
            <w:bookmarkStart w:id="44" w:name="_Toc173066403"/>
            <w:bookmarkEnd w:id="44"/>
            <w:r>
              <w:rPr>
                <w:rFonts w:hint="eastAsia"/>
                <w:b w:val="0"/>
                <w:bCs w:val="0"/>
                <w:color w:val="auto"/>
                <w:highlight w:val="none"/>
              </w:rPr>
              <w:t>竞争性谈判响应文件具体响应</w:t>
            </w:r>
          </w:p>
        </w:tc>
        <w:tc>
          <w:tcPr>
            <w:tcW w:w="1698" w:type="dxa"/>
            <w:tcBorders>
              <w:top w:val="single" w:color="000000" w:sz="4" w:space="0"/>
              <w:left w:val="single" w:color="000000" w:sz="6" w:space="0"/>
              <w:bottom w:val="single" w:color="000000" w:sz="6" w:space="0"/>
              <w:right w:val="single" w:color="000000" w:sz="6" w:space="0"/>
            </w:tcBorders>
            <w:noWrap w:val="0"/>
            <w:vAlign w:val="center"/>
          </w:tcPr>
          <w:p>
            <w:pPr>
              <w:rPr>
                <w:b w:val="0"/>
                <w:bCs w:val="0"/>
                <w:color w:val="auto"/>
                <w:highlight w:val="none"/>
              </w:rPr>
            </w:pPr>
            <w:bookmarkStart w:id="45" w:name="_Toc173211903"/>
            <w:bookmarkEnd w:id="45"/>
            <w:bookmarkStart w:id="46" w:name="_Toc254970732"/>
            <w:bookmarkEnd w:id="46"/>
            <w:bookmarkStart w:id="47" w:name="_Toc254970591"/>
            <w:bookmarkEnd w:id="47"/>
            <w:bookmarkStart w:id="48" w:name="_Toc173066404"/>
            <w:bookmarkEnd w:id="48"/>
            <w:r>
              <w:rPr>
                <w:rFonts w:hint="eastAsia"/>
                <w:b w:val="0"/>
                <w:bCs w:val="0"/>
                <w:color w:val="auto"/>
                <w:highlight w:val="none"/>
              </w:rPr>
              <w:t>响应/偏离</w:t>
            </w:r>
          </w:p>
        </w:tc>
        <w:tc>
          <w:tcPr>
            <w:tcW w:w="1581" w:type="dxa"/>
            <w:tcBorders>
              <w:top w:val="single" w:color="000000" w:sz="4" w:space="0"/>
              <w:left w:val="single" w:color="000000" w:sz="6" w:space="0"/>
              <w:bottom w:val="single" w:color="000000" w:sz="6" w:space="0"/>
              <w:right w:val="single" w:color="000000" w:sz="4" w:space="0"/>
            </w:tcBorders>
            <w:noWrap w:val="0"/>
            <w:vAlign w:val="center"/>
          </w:tcPr>
          <w:p>
            <w:pPr>
              <w:rPr>
                <w:b w:val="0"/>
                <w:bCs w:val="0"/>
                <w:color w:val="auto"/>
                <w:highlight w:val="none"/>
              </w:rPr>
            </w:pPr>
            <w:bookmarkStart w:id="49" w:name="_Toc173211904"/>
            <w:bookmarkEnd w:id="49"/>
            <w:bookmarkStart w:id="50" w:name="_Toc254970733"/>
            <w:bookmarkEnd w:id="50"/>
            <w:bookmarkStart w:id="51" w:name="_Toc254970592"/>
            <w:bookmarkEnd w:id="51"/>
            <w:bookmarkStart w:id="52" w:name="_Toc173066405"/>
            <w:bookmarkEnd w:id="52"/>
            <w:r>
              <w:rPr>
                <w:rFonts w:hint="eastAsia"/>
                <w:b w:val="0"/>
                <w:bCs w:val="0"/>
                <w:color w:val="auto"/>
                <w:highlight w:val="none"/>
              </w:rPr>
              <w:t>说明</w:t>
            </w:r>
          </w:p>
        </w:tc>
      </w:tr>
      <w:tr>
        <w:tblPrEx>
          <w:tblCellMar>
            <w:top w:w="0" w:type="dxa"/>
            <w:left w:w="108" w:type="dxa"/>
            <w:bottom w:w="0" w:type="dxa"/>
            <w:right w:w="108" w:type="dxa"/>
          </w:tblCellMar>
        </w:tblPrEx>
        <w:trPr>
          <w:cantSplit/>
          <w:trHeight w:val="420" w:hRule="atLeast"/>
        </w:trPr>
        <w:tc>
          <w:tcPr>
            <w:tcW w:w="10682" w:type="dxa"/>
            <w:gridSpan w:val="5"/>
            <w:tcBorders>
              <w:top w:val="single" w:color="000000" w:sz="6" w:space="0"/>
              <w:left w:val="single" w:color="000000" w:sz="4" w:space="0"/>
              <w:bottom w:val="single" w:color="000000" w:sz="6" w:space="0"/>
              <w:right w:val="single" w:color="000000" w:sz="4" w:space="0"/>
            </w:tcBorders>
            <w:noWrap w:val="0"/>
            <w:vAlign w:val="center"/>
          </w:tcPr>
          <w:p>
            <w:pPr>
              <w:jc w:val="center"/>
              <w:rPr>
                <w:b w:val="0"/>
                <w:bCs w:val="0"/>
                <w:color w:val="auto"/>
                <w:highlight w:val="none"/>
              </w:rPr>
            </w:pPr>
            <w:r>
              <w:rPr>
                <w:rFonts w:hint="eastAsia"/>
                <w:b w:val="0"/>
                <w:bCs w:val="0"/>
                <w:color w:val="auto"/>
                <w:highlight w:val="none"/>
              </w:rPr>
              <w:t>商务部分（商务及其他售后服务要求）</w:t>
            </w:r>
          </w:p>
        </w:tc>
      </w:tr>
      <w:tr>
        <w:tblPrEx>
          <w:tblCellMar>
            <w:top w:w="0" w:type="dxa"/>
            <w:left w:w="108" w:type="dxa"/>
            <w:bottom w:w="0" w:type="dxa"/>
            <w:right w:w="108" w:type="dxa"/>
          </w:tblCellMar>
        </w:tblPrEx>
        <w:trPr>
          <w:cantSplit/>
          <w:trHeight w:val="200" w:hRule="atLeast"/>
        </w:trPr>
        <w:tc>
          <w:tcPr>
            <w:tcW w:w="705" w:type="dxa"/>
            <w:tcBorders>
              <w:top w:val="single" w:color="000000" w:sz="6" w:space="0"/>
              <w:left w:val="single" w:color="000000" w:sz="4" w:space="0"/>
              <w:bottom w:val="single" w:color="000000" w:sz="6" w:space="0"/>
              <w:right w:val="single" w:color="000000" w:sz="6" w:space="0"/>
            </w:tcBorders>
            <w:noWrap w:val="0"/>
            <w:vAlign w:val="center"/>
          </w:tcPr>
          <w:p>
            <w:pPr>
              <w:jc w:val="center"/>
              <w:rPr>
                <w:b w:val="0"/>
                <w:bCs w:val="0"/>
                <w:color w:val="auto"/>
                <w:highlight w:val="none"/>
              </w:rPr>
            </w:pPr>
            <w:bookmarkStart w:id="53" w:name="_Toc254970593"/>
            <w:bookmarkEnd w:id="53"/>
            <w:bookmarkStart w:id="54" w:name="_Toc173066406"/>
            <w:bookmarkEnd w:id="54"/>
            <w:bookmarkStart w:id="55" w:name="_Toc254970734"/>
            <w:bookmarkEnd w:id="55"/>
            <w:bookmarkStart w:id="56" w:name="_Toc173211905"/>
            <w:bookmarkEnd w:id="56"/>
            <w:r>
              <w:rPr>
                <w:rFonts w:hint="eastAsia"/>
                <w:b w:val="0"/>
                <w:bCs w:val="0"/>
                <w:color w:val="auto"/>
                <w:highlight w:val="none"/>
              </w:rPr>
              <w:t>1</w:t>
            </w:r>
          </w:p>
        </w:tc>
        <w:tc>
          <w:tcPr>
            <w:tcW w:w="3269" w:type="dxa"/>
            <w:tcBorders>
              <w:top w:val="single" w:color="000000" w:sz="6" w:space="0"/>
              <w:left w:val="single" w:color="000000" w:sz="6" w:space="0"/>
              <w:bottom w:val="single" w:color="000000" w:sz="6" w:space="0"/>
              <w:right w:val="single" w:color="000000" w:sz="6" w:space="0"/>
            </w:tcBorders>
            <w:noWrap w:val="0"/>
            <w:vAlign w:val="center"/>
          </w:tcPr>
          <w:p>
            <w:pPr>
              <w:jc w:val="center"/>
              <w:rPr>
                <w:b w:val="0"/>
                <w:bCs w:val="0"/>
                <w:color w:val="auto"/>
                <w:highlight w:val="none"/>
              </w:rPr>
            </w:pPr>
          </w:p>
        </w:tc>
        <w:tc>
          <w:tcPr>
            <w:tcW w:w="3429" w:type="dxa"/>
            <w:tcBorders>
              <w:top w:val="single" w:color="000000" w:sz="6" w:space="0"/>
              <w:left w:val="single" w:color="000000" w:sz="6" w:space="0"/>
              <w:bottom w:val="single" w:color="000000" w:sz="6" w:space="0"/>
              <w:right w:val="single" w:color="000000" w:sz="6" w:space="0"/>
            </w:tcBorders>
            <w:noWrap w:val="0"/>
            <w:vAlign w:val="center"/>
          </w:tcPr>
          <w:p>
            <w:pPr>
              <w:jc w:val="center"/>
              <w:rPr>
                <w:b w:val="0"/>
                <w:bCs w:val="0"/>
                <w:color w:val="auto"/>
                <w:highlight w:val="none"/>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pPr>
              <w:jc w:val="center"/>
              <w:rPr>
                <w:b w:val="0"/>
                <w:bCs w:val="0"/>
                <w:color w:val="auto"/>
                <w:highlight w:val="none"/>
              </w:rPr>
            </w:pPr>
          </w:p>
        </w:tc>
        <w:tc>
          <w:tcPr>
            <w:tcW w:w="1581" w:type="dxa"/>
            <w:tcBorders>
              <w:top w:val="single" w:color="000000" w:sz="6" w:space="0"/>
              <w:left w:val="single" w:color="000000" w:sz="6" w:space="0"/>
              <w:bottom w:val="single" w:color="000000" w:sz="6" w:space="0"/>
              <w:right w:val="single" w:color="000000" w:sz="4" w:space="0"/>
            </w:tcBorders>
            <w:noWrap w:val="0"/>
            <w:vAlign w:val="center"/>
          </w:tcPr>
          <w:p>
            <w:pPr>
              <w:jc w:val="center"/>
              <w:rPr>
                <w:b w:val="0"/>
                <w:bCs w:val="0"/>
                <w:color w:val="auto"/>
                <w:highlight w:val="none"/>
              </w:rPr>
            </w:pPr>
          </w:p>
        </w:tc>
      </w:tr>
      <w:tr>
        <w:tblPrEx>
          <w:tblCellMar>
            <w:top w:w="0" w:type="dxa"/>
            <w:left w:w="108" w:type="dxa"/>
            <w:bottom w:w="0" w:type="dxa"/>
            <w:right w:w="108" w:type="dxa"/>
          </w:tblCellMar>
        </w:tblPrEx>
        <w:trPr>
          <w:cantSplit/>
          <w:trHeight w:val="420" w:hRule="atLeast"/>
        </w:trPr>
        <w:tc>
          <w:tcPr>
            <w:tcW w:w="705" w:type="dxa"/>
            <w:tcBorders>
              <w:top w:val="single" w:color="000000" w:sz="6" w:space="0"/>
              <w:left w:val="single" w:color="000000" w:sz="4" w:space="0"/>
              <w:bottom w:val="single" w:color="000000" w:sz="6" w:space="0"/>
              <w:right w:val="single" w:color="000000" w:sz="6" w:space="0"/>
            </w:tcBorders>
            <w:noWrap w:val="0"/>
            <w:vAlign w:val="center"/>
          </w:tcPr>
          <w:p>
            <w:pPr>
              <w:jc w:val="center"/>
              <w:rPr>
                <w:b w:val="0"/>
                <w:bCs w:val="0"/>
                <w:color w:val="auto"/>
                <w:highlight w:val="none"/>
              </w:rPr>
            </w:pPr>
            <w:bookmarkStart w:id="57" w:name="_Toc254970735"/>
            <w:bookmarkEnd w:id="57"/>
            <w:bookmarkStart w:id="58" w:name="_Toc254970594"/>
            <w:bookmarkEnd w:id="58"/>
            <w:bookmarkStart w:id="59" w:name="_Toc173211906"/>
            <w:bookmarkEnd w:id="59"/>
            <w:bookmarkStart w:id="60" w:name="_Toc173066407"/>
            <w:bookmarkEnd w:id="60"/>
            <w:r>
              <w:rPr>
                <w:rFonts w:hint="eastAsia"/>
                <w:b w:val="0"/>
                <w:bCs w:val="0"/>
                <w:color w:val="auto"/>
                <w:highlight w:val="none"/>
              </w:rPr>
              <w:t>2</w:t>
            </w:r>
          </w:p>
        </w:tc>
        <w:tc>
          <w:tcPr>
            <w:tcW w:w="3269" w:type="dxa"/>
            <w:tcBorders>
              <w:top w:val="single" w:color="000000" w:sz="6" w:space="0"/>
              <w:left w:val="single" w:color="000000" w:sz="6" w:space="0"/>
              <w:bottom w:val="single" w:color="000000" w:sz="6" w:space="0"/>
              <w:right w:val="single" w:color="000000" w:sz="6" w:space="0"/>
            </w:tcBorders>
            <w:noWrap w:val="0"/>
            <w:vAlign w:val="center"/>
          </w:tcPr>
          <w:p>
            <w:pPr>
              <w:jc w:val="center"/>
              <w:rPr>
                <w:b w:val="0"/>
                <w:bCs w:val="0"/>
                <w:color w:val="auto"/>
                <w:highlight w:val="none"/>
              </w:rPr>
            </w:pPr>
          </w:p>
        </w:tc>
        <w:tc>
          <w:tcPr>
            <w:tcW w:w="3429" w:type="dxa"/>
            <w:tcBorders>
              <w:top w:val="single" w:color="000000" w:sz="6" w:space="0"/>
              <w:left w:val="single" w:color="000000" w:sz="6" w:space="0"/>
              <w:bottom w:val="single" w:color="000000" w:sz="6" w:space="0"/>
              <w:right w:val="single" w:color="000000" w:sz="6" w:space="0"/>
            </w:tcBorders>
            <w:noWrap w:val="0"/>
            <w:vAlign w:val="center"/>
          </w:tcPr>
          <w:p>
            <w:pPr>
              <w:jc w:val="center"/>
              <w:rPr>
                <w:b w:val="0"/>
                <w:bCs w:val="0"/>
                <w:color w:val="auto"/>
                <w:highlight w:val="none"/>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pPr>
              <w:jc w:val="center"/>
              <w:rPr>
                <w:b w:val="0"/>
                <w:bCs w:val="0"/>
                <w:color w:val="auto"/>
                <w:highlight w:val="none"/>
              </w:rPr>
            </w:pPr>
          </w:p>
        </w:tc>
        <w:tc>
          <w:tcPr>
            <w:tcW w:w="1581" w:type="dxa"/>
            <w:tcBorders>
              <w:top w:val="single" w:color="000000" w:sz="6" w:space="0"/>
              <w:left w:val="single" w:color="000000" w:sz="6" w:space="0"/>
              <w:bottom w:val="single" w:color="000000" w:sz="6" w:space="0"/>
              <w:right w:val="single" w:color="000000" w:sz="4" w:space="0"/>
            </w:tcBorders>
            <w:noWrap w:val="0"/>
            <w:vAlign w:val="center"/>
          </w:tcPr>
          <w:p>
            <w:pPr>
              <w:jc w:val="center"/>
              <w:rPr>
                <w:b w:val="0"/>
                <w:bCs w:val="0"/>
                <w:color w:val="auto"/>
                <w:highlight w:val="none"/>
              </w:rPr>
            </w:pPr>
          </w:p>
        </w:tc>
      </w:tr>
      <w:tr>
        <w:tblPrEx>
          <w:tblCellMar>
            <w:top w:w="0" w:type="dxa"/>
            <w:left w:w="108" w:type="dxa"/>
            <w:bottom w:w="0" w:type="dxa"/>
            <w:right w:w="108" w:type="dxa"/>
          </w:tblCellMar>
        </w:tblPrEx>
        <w:trPr>
          <w:cantSplit/>
          <w:trHeight w:val="420" w:hRule="atLeast"/>
        </w:trPr>
        <w:tc>
          <w:tcPr>
            <w:tcW w:w="705" w:type="dxa"/>
            <w:tcBorders>
              <w:top w:val="single" w:color="000000" w:sz="6" w:space="0"/>
              <w:left w:val="single" w:color="000000" w:sz="4" w:space="0"/>
              <w:bottom w:val="single" w:color="000000" w:sz="6" w:space="0"/>
              <w:right w:val="single" w:color="000000" w:sz="6" w:space="0"/>
            </w:tcBorders>
            <w:noWrap w:val="0"/>
            <w:vAlign w:val="center"/>
          </w:tcPr>
          <w:p>
            <w:pPr>
              <w:jc w:val="center"/>
              <w:rPr>
                <w:b w:val="0"/>
                <w:bCs w:val="0"/>
                <w:color w:val="auto"/>
                <w:highlight w:val="none"/>
              </w:rPr>
            </w:pPr>
            <w:bookmarkStart w:id="61" w:name="_Toc254970736"/>
            <w:bookmarkEnd w:id="61"/>
            <w:bookmarkStart w:id="62" w:name="_Toc173211907"/>
            <w:bookmarkEnd w:id="62"/>
            <w:bookmarkStart w:id="63" w:name="_Toc254970595"/>
            <w:bookmarkEnd w:id="63"/>
            <w:bookmarkStart w:id="64" w:name="_Toc173066408"/>
            <w:bookmarkEnd w:id="64"/>
            <w:r>
              <w:rPr>
                <w:rFonts w:hint="eastAsia"/>
                <w:b w:val="0"/>
                <w:bCs w:val="0"/>
                <w:color w:val="auto"/>
                <w:highlight w:val="none"/>
              </w:rPr>
              <w:t>3</w:t>
            </w:r>
          </w:p>
        </w:tc>
        <w:tc>
          <w:tcPr>
            <w:tcW w:w="3269" w:type="dxa"/>
            <w:tcBorders>
              <w:top w:val="single" w:color="000000" w:sz="6" w:space="0"/>
              <w:left w:val="single" w:color="000000" w:sz="6" w:space="0"/>
              <w:bottom w:val="single" w:color="000000" w:sz="6" w:space="0"/>
              <w:right w:val="single" w:color="000000" w:sz="6" w:space="0"/>
            </w:tcBorders>
            <w:noWrap w:val="0"/>
            <w:vAlign w:val="center"/>
          </w:tcPr>
          <w:p>
            <w:pPr>
              <w:jc w:val="center"/>
              <w:rPr>
                <w:b w:val="0"/>
                <w:bCs w:val="0"/>
                <w:color w:val="auto"/>
                <w:highlight w:val="none"/>
              </w:rPr>
            </w:pPr>
          </w:p>
        </w:tc>
        <w:tc>
          <w:tcPr>
            <w:tcW w:w="3429" w:type="dxa"/>
            <w:tcBorders>
              <w:top w:val="single" w:color="000000" w:sz="6" w:space="0"/>
              <w:left w:val="single" w:color="000000" w:sz="6" w:space="0"/>
              <w:bottom w:val="single" w:color="000000" w:sz="6" w:space="0"/>
              <w:right w:val="single" w:color="000000" w:sz="6" w:space="0"/>
            </w:tcBorders>
            <w:noWrap w:val="0"/>
            <w:vAlign w:val="center"/>
          </w:tcPr>
          <w:p>
            <w:pPr>
              <w:jc w:val="center"/>
              <w:rPr>
                <w:b w:val="0"/>
                <w:bCs w:val="0"/>
                <w:color w:val="auto"/>
                <w:highlight w:val="none"/>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pPr>
              <w:jc w:val="center"/>
              <w:rPr>
                <w:b w:val="0"/>
                <w:bCs w:val="0"/>
                <w:color w:val="auto"/>
                <w:highlight w:val="none"/>
              </w:rPr>
            </w:pPr>
          </w:p>
        </w:tc>
        <w:tc>
          <w:tcPr>
            <w:tcW w:w="1581" w:type="dxa"/>
            <w:tcBorders>
              <w:top w:val="single" w:color="000000" w:sz="6" w:space="0"/>
              <w:left w:val="single" w:color="000000" w:sz="6" w:space="0"/>
              <w:bottom w:val="single" w:color="000000" w:sz="6" w:space="0"/>
              <w:right w:val="single" w:color="000000" w:sz="4" w:space="0"/>
            </w:tcBorders>
            <w:noWrap w:val="0"/>
            <w:vAlign w:val="center"/>
          </w:tcPr>
          <w:p>
            <w:pPr>
              <w:jc w:val="center"/>
              <w:rPr>
                <w:b w:val="0"/>
                <w:bCs w:val="0"/>
                <w:color w:val="auto"/>
                <w:highlight w:val="none"/>
              </w:rPr>
            </w:pPr>
          </w:p>
        </w:tc>
      </w:tr>
      <w:tr>
        <w:tblPrEx>
          <w:tblCellMar>
            <w:top w:w="0" w:type="dxa"/>
            <w:left w:w="108" w:type="dxa"/>
            <w:bottom w:w="0" w:type="dxa"/>
            <w:right w:w="108" w:type="dxa"/>
          </w:tblCellMar>
        </w:tblPrEx>
        <w:trPr>
          <w:cantSplit/>
          <w:trHeight w:val="420" w:hRule="atLeast"/>
        </w:trPr>
        <w:tc>
          <w:tcPr>
            <w:tcW w:w="705" w:type="dxa"/>
            <w:tcBorders>
              <w:top w:val="single" w:color="000000" w:sz="6" w:space="0"/>
              <w:left w:val="single" w:color="000000" w:sz="4" w:space="0"/>
              <w:bottom w:val="single" w:color="000000" w:sz="6" w:space="0"/>
              <w:right w:val="single" w:color="000000" w:sz="6" w:space="0"/>
            </w:tcBorders>
            <w:noWrap w:val="0"/>
            <w:vAlign w:val="center"/>
          </w:tcPr>
          <w:p>
            <w:pPr>
              <w:jc w:val="center"/>
              <w:rPr>
                <w:b w:val="0"/>
                <w:bCs w:val="0"/>
                <w:color w:val="auto"/>
                <w:highlight w:val="none"/>
              </w:rPr>
            </w:pPr>
            <w:r>
              <w:rPr>
                <w:rFonts w:hint="eastAsia"/>
                <w:b w:val="0"/>
                <w:bCs w:val="0"/>
                <w:color w:val="auto"/>
                <w:highlight w:val="none"/>
              </w:rPr>
              <w:t>…</w:t>
            </w:r>
          </w:p>
        </w:tc>
        <w:tc>
          <w:tcPr>
            <w:tcW w:w="3269" w:type="dxa"/>
            <w:tcBorders>
              <w:top w:val="single" w:color="000000" w:sz="6" w:space="0"/>
              <w:left w:val="single" w:color="000000" w:sz="6" w:space="0"/>
              <w:bottom w:val="single" w:color="000000" w:sz="6" w:space="0"/>
              <w:right w:val="single" w:color="000000" w:sz="6" w:space="0"/>
            </w:tcBorders>
            <w:noWrap w:val="0"/>
            <w:vAlign w:val="center"/>
          </w:tcPr>
          <w:p>
            <w:pPr>
              <w:jc w:val="center"/>
              <w:rPr>
                <w:b w:val="0"/>
                <w:bCs w:val="0"/>
                <w:color w:val="auto"/>
                <w:highlight w:val="none"/>
              </w:rPr>
            </w:pPr>
          </w:p>
        </w:tc>
        <w:tc>
          <w:tcPr>
            <w:tcW w:w="3429" w:type="dxa"/>
            <w:tcBorders>
              <w:top w:val="single" w:color="000000" w:sz="6" w:space="0"/>
              <w:left w:val="single" w:color="000000" w:sz="6" w:space="0"/>
              <w:bottom w:val="single" w:color="000000" w:sz="6" w:space="0"/>
              <w:right w:val="single" w:color="000000" w:sz="6" w:space="0"/>
            </w:tcBorders>
            <w:noWrap w:val="0"/>
            <w:vAlign w:val="center"/>
          </w:tcPr>
          <w:p>
            <w:pPr>
              <w:jc w:val="center"/>
              <w:rPr>
                <w:b w:val="0"/>
                <w:bCs w:val="0"/>
                <w:color w:val="auto"/>
                <w:highlight w:val="none"/>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pPr>
              <w:jc w:val="center"/>
              <w:rPr>
                <w:b w:val="0"/>
                <w:bCs w:val="0"/>
                <w:color w:val="auto"/>
                <w:highlight w:val="none"/>
              </w:rPr>
            </w:pPr>
          </w:p>
        </w:tc>
        <w:tc>
          <w:tcPr>
            <w:tcW w:w="1581" w:type="dxa"/>
            <w:tcBorders>
              <w:top w:val="single" w:color="000000" w:sz="6" w:space="0"/>
              <w:left w:val="single" w:color="000000" w:sz="6" w:space="0"/>
              <w:bottom w:val="single" w:color="000000" w:sz="6" w:space="0"/>
              <w:right w:val="single" w:color="000000" w:sz="4" w:space="0"/>
            </w:tcBorders>
            <w:noWrap w:val="0"/>
            <w:vAlign w:val="center"/>
          </w:tcPr>
          <w:p>
            <w:pPr>
              <w:jc w:val="center"/>
              <w:rPr>
                <w:b w:val="0"/>
                <w:bCs w:val="0"/>
                <w:color w:val="auto"/>
                <w:highlight w:val="none"/>
              </w:rPr>
            </w:pPr>
          </w:p>
        </w:tc>
      </w:tr>
      <w:tr>
        <w:tblPrEx>
          <w:tblCellMar>
            <w:top w:w="0" w:type="dxa"/>
            <w:left w:w="108" w:type="dxa"/>
            <w:bottom w:w="0" w:type="dxa"/>
            <w:right w:w="108" w:type="dxa"/>
          </w:tblCellMar>
        </w:tblPrEx>
        <w:trPr>
          <w:cantSplit/>
          <w:trHeight w:val="420" w:hRule="atLeast"/>
        </w:trPr>
        <w:tc>
          <w:tcPr>
            <w:tcW w:w="10682" w:type="dxa"/>
            <w:gridSpan w:val="5"/>
            <w:tcBorders>
              <w:top w:val="single" w:color="000000" w:sz="6" w:space="0"/>
              <w:left w:val="single" w:color="000000" w:sz="4" w:space="0"/>
              <w:bottom w:val="single" w:color="000000" w:sz="6" w:space="0"/>
              <w:right w:val="single" w:color="000000" w:sz="4" w:space="0"/>
            </w:tcBorders>
            <w:noWrap w:val="0"/>
            <w:vAlign w:val="center"/>
          </w:tcPr>
          <w:p>
            <w:pPr>
              <w:jc w:val="center"/>
              <w:rPr>
                <w:b w:val="0"/>
                <w:bCs w:val="0"/>
                <w:color w:val="auto"/>
                <w:highlight w:val="none"/>
              </w:rPr>
            </w:pPr>
            <w:r>
              <w:rPr>
                <w:rFonts w:hint="eastAsia"/>
                <w:b w:val="0"/>
                <w:bCs w:val="0"/>
                <w:color w:val="auto"/>
                <w:highlight w:val="none"/>
              </w:rPr>
              <w:t>技术部分（技术参数及性能配置要求）</w:t>
            </w:r>
          </w:p>
        </w:tc>
      </w:tr>
      <w:tr>
        <w:tblPrEx>
          <w:tblCellMar>
            <w:top w:w="0" w:type="dxa"/>
            <w:left w:w="108" w:type="dxa"/>
            <w:bottom w:w="0" w:type="dxa"/>
            <w:right w:w="108" w:type="dxa"/>
          </w:tblCellMar>
        </w:tblPrEx>
        <w:trPr>
          <w:cantSplit/>
          <w:trHeight w:val="420" w:hRule="atLeast"/>
        </w:trPr>
        <w:tc>
          <w:tcPr>
            <w:tcW w:w="705" w:type="dxa"/>
            <w:tcBorders>
              <w:top w:val="single" w:color="000000" w:sz="6" w:space="0"/>
              <w:left w:val="single" w:color="000000" w:sz="4" w:space="0"/>
              <w:bottom w:val="single" w:color="000000" w:sz="6" w:space="0"/>
              <w:right w:val="single" w:color="000000" w:sz="6" w:space="0"/>
            </w:tcBorders>
            <w:noWrap w:val="0"/>
            <w:vAlign w:val="center"/>
          </w:tcPr>
          <w:p>
            <w:pPr>
              <w:jc w:val="center"/>
              <w:rPr>
                <w:b w:val="0"/>
                <w:bCs w:val="0"/>
                <w:color w:val="auto"/>
                <w:highlight w:val="none"/>
              </w:rPr>
            </w:pPr>
            <w:r>
              <w:rPr>
                <w:rFonts w:hint="eastAsia"/>
                <w:b w:val="0"/>
                <w:bCs w:val="0"/>
                <w:color w:val="auto"/>
                <w:highlight w:val="none"/>
              </w:rPr>
              <w:t>1</w:t>
            </w:r>
          </w:p>
        </w:tc>
        <w:tc>
          <w:tcPr>
            <w:tcW w:w="3269" w:type="dxa"/>
            <w:tcBorders>
              <w:top w:val="single" w:color="000000" w:sz="6" w:space="0"/>
              <w:left w:val="single" w:color="000000" w:sz="6" w:space="0"/>
              <w:bottom w:val="single" w:color="000000" w:sz="6" w:space="0"/>
              <w:right w:val="single" w:color="000000" w:sz="6" w:space="0"/>
            </w:tcBorders>
            <w:noWrap w:val="0"/>
            <w:vAlign w:val="center"/>
          </w:tcPr>
          <w:p>
            <w:pPr>
              <w:jc w:val="center"/>
              <w:rPr>
                <w:b w:val="0"/>
                <w:bCs w:val="0"/>
                <w:color w:val="auto"/>
                <w:highlight w:val="none"/>
              </w:rPr>
            </w:pPr>
          </w:p>
        </w:tc>
        <w:tc>
          <w:tcPr>
            <w:tcW w:w="3429" w:type="dxa"/>
            <w:tcBorders>
              <w:top w:val="single" w:color="000000" w:sz="6" w:space="0"/>
              <w:left w:val="single" w:color="000000" w:sz="6" w:space="0"/>
              <w:bottom w:val="single" w:color="000000" w:sz="6" w:space="0"/>
              <w:right w:val="single" w:color="000000" w:sz="6" w:space="0"/>
            </w:tcBorders>
            <w:noWrap w:val="0"/>
            <w:vAlign w:val="center"/>
          </w:tcPr>
          <w:p>
            <w:pPr>
              <w:jc w:val="center"/>
              <w:rPr>
                <w:b w:val="0"/>
                <w:bCs w:val="0"/>
                <w:color w:val="auto"/>
                <w:highlight w:val="none"/>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pPr>
              <w:jc w:val="center"/>
              <w:rPr>
                <w:b w:val="0"/>
                <w:bCs w:val="0"/>
                <w:color w:val="auto"/>
                <w:highlight w:val="none"/>
              </w:rPr>
            </w:pPr>
          </w:p>
        </w:tc>
        <w:tc>
          <w:tcPr>
            <w:tcW w:w="1581" w:type="dxa"/>
            <w:tcBorders>
              <w:top w:val="single" w:color="000000" w:sz="6" w:space="0"/>
              <w:left w:val="single" w:color="000000" w:sz="6" w:space="0"/>
              <w:bottom w:val="single" w:color="000000" w:sz="6" w:space="0"/>
              <w:right w:val="single" w:color="000000" w:sz="4" w:space="0"/>
            </w:tcBorders>
            <w:noWrap w:val="0"/>
            <w:vAlign w:val="center"/>
          </w:tcPr>
          <w:p>
            <w:pPr>
              <w:jc w:val="center"/>
              <w:rPr>
                <w:b w:val="0"/>
                <w:bCs w:val="0"/>
                <w:color w:val="auto"/>
                <w:highlight w:val="none"/>
              </w:rPr>
            </w:pPr>
          </w:p>
        </w:tc>
      </w:tr>
      <w:tr>
        <w:tblPrEx>
          <w:tblCellMar>
            <w:top w:w="0" w:type="dxa"/>
            <w:left w:w="108" w:type="dxa"/>
            <w:bottom w:w="0" w:type="dxa"/>
            <w:right w:w="108" w:type="dxa"/>
          </w:tblCellMar>
        </w:tblPrEx>
        <w:trPr>
          <w:cantSplit/>
          <w:trHeight w:val="420" w:hRule="atLeast"/>
        </w:trPr>
        <w:tc>
          <w:tcPr>
            <w:tcW w:w="705" w:type="dxa"/>
            <w:tcBorders>
              <w:top w:val="single" w:color="000000" w:sz="6" w:space="0"/>
              <w:left w:val="single" w:color="000000" w:sz="4" w:space="0"/>
              <w:bottom w:val="single" w:color="000000" w:sz="6" w:space="0"/>
              <w:right w:val="single" w:color="000000" w:sz="6" w:space="0"/>
            </w:tcBorders>
            <w:noWrap w:val="0"/>
            <w:vAlign w:val="center"/>
          </w:tcPr>
          <w:p>
            <w:pPr>
              <w:jc w:val="center"/>
              <w:rPr>
                <w:b w:val="0"/>
                <w:bCs w:val="0"/>
                <w:color w:val="auto"/>
                <w:highlight w:val="none"/>
              </w:rPr>
            </w:pPr>
            <w:r>
              <w:rPr>
                <w:rFonts w:hint="eastAsia"/>
                <w:b w:val="0"/>
                <w:bCs w:val="0"/>
                <w:color w:val="auto"/>
                <w:highlight w:val="none"/>
              </w:rPr>
              <w:t>2</w:t>
            </w:r>
          </w:p>
        </w:tc>
        <w:tc>
          <w:tcPr>
            <w:tcW w:w="3269" w:type="dxa"/>
            <w:tcBorders>
              <w:top w:val="single" w:color="000000" w:sz="6" w:space="0"/>
              <w:left w:val="single" w:color="000000" w:sz="6" w:space="0"/>
              <w:bottom w:val="single" w:color="000000" w:sz="6" w:space="0"/>
              <w:right w:val="single" w:color="000000" w:sz="6" w:space="0"/>
            </w:tcBorders>
            <w:noWrap w:val="0"/>
            <w:vAlign w:val="center"/>
          </w:tcPr>
          <w:p>
            <w:pPr>
              <w:jc w:val="center"/>
              <w:rPr>
                <w:b w:val="0"/>
                <w:bCs w:val="0"/>
                <w:color w:val="auto"/>
                <w:highlight w:val="none"/>
              </w:rPr>
            </w:pPr>
          </w:p>
        </w:tc>
        <w:tc>
          <w:tcPr>
            <w:tcW w:w="3429" w:type="dxa"/>
            <w:tcBorders>
              <w:top w:val="single" w:color="000000" w:sz="6" w:space="0"/>
              <w:left w:val="single" w:color="000000" w:sz="6" w:space="0"/>
              <w:bottom w:val="single" w:color="000000" w:sz="6" w:space="0"/>
              <w:right w:val="single" w:color="000000" w:sz="6" w:space="0"/>
            </w:tcBorders>
            <w:noWrap w:val="0"/>
            <w:vAlign w:val="center"/>
          </w:tcPr>
          <w:p>
            <w:pPr>
              <w:jc w:val="center"/>
              <w:rPr>
                <w:b w:val="0"/>
                <w:bCs w:val="0"/>
                <w:color w:val="auto"/>
                <w:highlight w:val="none"/>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pPr>
              <w:jc w:val="center"/>
              <w:rPr>
                <w:b w:val="0"/>
                <w:bCs w:val="0"/>
                <w:color w:val="auto"/>
                <w:highlight w:val="none"/>
              </w:rPr>
            </w:pPr>
          </w:p>
        </w:tc>
        <w:tc>
          <w:tcPr>
            <w:tcW w:w="1581" w:type="dxa"/>
            <w:tcBorders>
              <w:top w:val="single" w:color="000000" w:sz="6" w:space="0"/>
              <w:left w:val="single" w:color="000000" w:sz="6" w:space="0"/>
              <w:bottom w:val="single" w:color="000000" w:sz="6" w:space="0"/>
              <w:right w:val="single" w:color="000000" w:sz="4" w:space="0"/>
            </w:tcBorders>
            <w:noWrap w:val="0"/>
            <w:vAlign w:val="center"/>
          </w:tcPr>
          <w:p>
            <w:pPr>
              <w:jc w:val="center"/>
              <w:rPr>
                <w:b w:val="0"/>
                <w:bCs w:val="0"/>
                <w:color w:val="auto"/>
                <w:highlight w:val="none"/>
              </w:rPr>
            </w:pPr>
          </w:p>
        </w:tc>
      </w:tr>
      <w:tr>
        <w:tblPrEx>
          <w:tblCellMar>
            <w:top w:w="0" w:type="dxa"/>
            <w:left w:w="108" w:type="dxa"/>
            <w:bottom w:w="0" w:type="dxa"/>
            <w:right w:w="108" w:type="dxa"/>
          </w:tblCellMar>
        </w:tblPrEx>
        <w:trPr>
          <w:cantSplit/>
          <w:trHeight w:val="420" w:hRule="atLeast"/>
        </w:trPr>
        <w:tc>
          <w:tcPr>
            <w:tcW w:w="705" w:type="dxa"/>
            <w:tcBorders>
              <w:top w:val="single" w:color="000000" w:sz="6" w:space="0"/>
              <w:left w:val="single" w:color="000000" w:sz="4" w:space="0"/>
              <w:bottom w:val="single" w:color="000000" w:sz="6" w:space="0"/>
              <w:right w:val="single" w:color="000000" w:sz="6" w:space="0"/>
            </w:tcBorders>
            <w:noWrap w:val="0"/>
            <w:vAlign w:val="center"/>
          </w:tcPr>
          <w:p>
            <w:pPr>
              <w:jc w:val="center"/>
              <w:rPr>
                <w:b w:val="0"/>
                <w:bCs w:val="0"/>
                <w:color w:val="auto"/>
                <w:highlight w:val="none"/>
              </w:rPr>
            </w:pPr>
            <w:r>
              <w:rPr>
                <w:rFonts w:hint="eastAsia"/>
                <w:b w:val="0"/>
                <w:bCs w:val="0"/>
                <w:color w:val="auto"/>
                <w:highlight w:val="none"/>
              </w:rPr>
              <w:t>3</w:t>
            </w:r>
          </w:p>
        </w:tc>
        <w:tc>
          <w:tcPr>
            <w:tcW w:w="3269" w:type="dxa"/>
            <w:tcBorders>
              <w:top w:val="single" w:color="000000" w:sz="6" w:space="0"/>
              <w:left w:val="single" w:color="000000" w:sz="6" w:space="0"/>
              <w:bottom w:val="single" w:color="000000" w:sz="6" w:space="0"/>
              <w:right w:val="single" w:color="000000" w:sz="6" w:space="0"/>
            </w:tcBorders>
            <w:noWrap w:val="0"/>
            <w:vAlign w:val="center"/>
          </w:tcPr>
          <w:p>
            <w:pPr>
              <w:jc w:val="center"/>
              <w:rPr>
                <w:b w:val="0"/>
                <w:bCs w:val="0"/>
                <w:color w:val="auto"/>
                <w:highlight w:val="none"/>
              </w:rPr>
            </w:pPr>
          </w:p>
        </w:tc>
        <w:tc>
          <w:tcPr>
            <w:tcW w:w="3429" w:type="dxa"/>
            <w:tcBorders>
              <w:top w:val="single" w:color="000000" w:sz="6" w:space="0"/>
              <w:left w:val="single" w:color="000000" w:sz="6" w:space="0"/>
              <w:bottom w:val="single" w:color="000000" w:sz="6" w:space="0"/>
              <w:right w:val="single" w:color="000000" w:sz="6" w:space="0"/>
            </w:tcBorders>
            <w:noWrap w:val="0"/>
            <w:vAlign w:val="center"/>
          </w:tcPr>
          <w:p>
            <w:pPr>
              <w:jc w:val="center"/>
              <w:rPr>
                <w:b w:val="0"/>
                <w:bCs w:val="0"/>
                <w:color w:val="auto"/>
                <w:highlight w:val="none"/>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pPr>
              <w:jc w:val="center"/>
              <w:rPr>
                <w:b w:val="0"/>
                <w:bCs w:val="0"/>
                <w:color w:val="auto"/>
                <w:highlight w:val="none"/>
              </w:rPr>
            </w:pPr>
          </w:p>
        </w:tc>
        <w:tc>
          <w:tcPr>
            <w:tcW w:w="1581" w:type="dxa"/>
            <w:tcBorders>
              <w:top w:val="single" w:color="000000" w:sz="6" w:space="0"/>
              <w:left w:val="single" w:color="000000" w:sz="6" w:space="0"/>
              <w:bottom w:val="single" w:color="000000" w:sz="6" w:space="0"/>
              <w:right w:val="single" w:color="000000" w:sz="4" w:space="0"/>
            </w:tcBorders>
            <w:noWrap w:val="0"/>
            <w:vAlign w:val="center"/>
          </w:tcPr>
          <w:p>
            <w:pPr>
              <w:jc w:val="center"/>
              <w:rPr>
                <w:b w:val="0"/>
                <w:bCs w:val="0"/>
                <w:color w:val="auto"/>
                <w:highlight w:val="none"/>
              </w:rPr>
            </w:pPr>
          </w:p>
        </w:tc>
      </w:tr>
      <w:tr>
        <w:tblPrEx>
          <w:tblCellMar>
            <w:top w:w="0" w:type="dxa"/>
            <w:left w:w="108" w:type="dxa"/>
            <w:bottom w:w="0" w:type="dxa"/>
            <w:right w:w="108" w:type="dxa"/>
          </w:tblCellMar>
        </w:tblPrEx>
        <w:trPr>
          <w:trHeight w:val="190" w:hRule="atLeast"/>
        </w:trPr>
        <w:tc>
          <w:tcPr>
            <w:tcW w:w="705" w:type="dxa"/>
            <w:tcBorders>
              <w:top w:val="single" w:color="000000" w:sz="6" w:space="0"/>
              <w:left w:val="single" w:color="000000" w:sz="4" w:space="0"/>
              <w:bottom w:val="single" w:color="000000" w:sz="4" w:space="0"/>
              <w:right w:val="single" w:color="000000" w:sz="6" w:space="0"/>
            </w:tcBorders>
            <w:noWrap w:val="0"/>
            <w:vAlign w:val="center"/>
          </w:tcPr>
          <w:p>
            <w:pPr>
              <w:jc w:val="center"/>
              <w:rPr>
                <w:b w:val="0"/>
                <w:bCs w:val="0"/>
                <w:color w:val="auto"/>
                <w:highlight w:val="none"/>
              </w:rPr>
            </w:pPr>
            <w:r>
              <w:rPr>
                <w:rFonts w:hint="eastAsia"/>
                <w:b w:val="0"/>
                <w:bCs w:val="0"/>
                <w:color w:val="auto"/>
                <w:highlight w:val="none"/>
              </w:rPr>
              <w:t>…</w:t>
            </w:r>
          </w:p>
        </w:tc>
        <w:tc>
          <w:tcPr>
            <w:tcW w:w="3269" w:type="dxa"/>
            <w:tcBorders>
              <w:top w:val="single" w:color="000000" w:sz="6" w:space="0"/>
              <w:left w:val="single" w:color="000000" w:sz="6" w:space="0"/>
              <w:bottom w:val="single" w:color="000000" w:sz="4" w:space="0"/>
              <w:right w:val="single" w:color="000000" w:sz="6" w:space="0"/>
            </w:tcBorders>
            <w:noWrap w:val="0"/>
            <w:vAlign w:val="center"/>
          </w:tcPr>
          <w:p>
            <w:pPr>
              <w:jc w:val="center"/>
              <w:rPr>
                <w:b w:val="0"/>
                <w:bCs w:val="0"/>
                <w:color w:val="auto"/>
                <w:highlight w:val="none"/>
              </w:rPr>
            </w:pPr>
          </w:p>
        </w:tc>
        <w:tc>
          <w:tcPr>
            <w:tcW w:w="3429" w:type="dxa"/>
            <w:tcBorders>
              <w:top w:val="single" w:color="000000" w:sz="6" w:space="0"/>
              <w:left w:val="single" w:color="000000" w:sz="6" w:space="0"/>
              <w:bottom w:val="single" w:color="000000" w:sz="4" w:space="0"/>
              <w:right w:val="single" w:color="000000" w:sz="6" w:space="0"/>
            </w:tcBorders>
            <w:noWrap w:val="0"/>
            <w:vAlign w:val="center"/>
          </w:tcPr>
          <w:p>
            <w:pPr>
              <w:jc w:val="center"/>
              <w:rPr>
                <w:b w:val="0"/>
                <w:bCs w:val="0"/>
                <w:color w:val="auto"/>
                <w:highlight w:val="none"/>
              </w:rPr>
            </w:pPr>
          </w:p>
        </w:tc>
        <w:tc>
          <w:tcPr>
            <w:tcW w:w="1698" w:type="dxa"/>
            <w:tcBorders>
              <w:top w:val="single" w:color="000000" w:sz="6" w:space="0"/>
              <w:left w:val="single" w:color="000000" w:sz="6" w:space="0"/>
              <w:bottom w:val="single" w:color="000000" w:sz="4" w:space="0"/>
              <w:right w:val="single" w:color="000000" w:sz="4" w:space="0"/>
            </w:tcBorders>
            <w:noWrap w:val="0"/>
            <w:vAlign w:val="center"/>
          </w:tcPr>
          <w:p>
            <w:pPr>
              <w:jc w:val="center"/>
              <w:rPr>
                <w:b w:val="0"/>
                <w:bCs w:val="0"/>
                <w:color w:val="auto"/>
                <w:highlight w:val="none"/>
              </w:rPr>
            </w:pPr>
          </w:p>
        </w:tc>
        <w:tc>
          <w:tcPr>
            <w:tcW w:w="1581" w:type="dxa"/>
            <w:tcBorders>
              <w:top w:val="single" w:color="000000" w:sz="6" w:space="0"/>
              <w:left w:val="single" w:color="000000" w:sz="4" w:space="0"/>
              <w:bottom w:val="single" w:color="000000" w:sz="4" w:space="0"/>
              <w:right w:val="single" w:color="000000" w:sz="4" w:space="0"/>
            </w:tcBorders>
            <w:noWrap w:val="0"/>
            <w:vAlign w:val="center"/>
          </w:tcPr>
          <w:p>
            <w:pPr>
              <w:jc w:val="center"/>
              <w:rPr>
                <w:b w:val="0"/>
                <w:bCs w:val="0"/>
                <w:color w:val="auto"/>
                <w:highlight w:val="none"/>
              </w:rPr>
            </w:pPr>
          </w:p>
        </w:tc>
      </w:tr>
    </w:tbl>
    <w:p>
      <w:pPr>
        <w:spacing w:line="360" w:lineRule="exact"/>
        <w:rPr>
          <w:rFonts w:ascii="宋体" w:hAnsi="宋体"/>
          <w:b w:val="0"/>
          <w:bCs w:val="0"/>
          <w:color w:val="auto"/>
          <w:szCs w:val="21"/>
          <w:highlight w:val="none"/>
        </w:rPr>
      </w:pPr>
      <w:r>
        <w:rPr>
          <w:rFonts w:hint="eastAsia" w:ascii="宋体" w:hAnsi="宋体"/>
          <w:b w:val="0"/>
          <w:bCs w:val="0"/>
          <w:color w:val="auto"/>
          <w:szCs w:val="21"/>
          <w:highlight w:val="none"/>
        </w:rPr>
        <w:t>说明：</w:t>
      </w:r>
      <w:r>
        <w:rPr>
          <w:rFonts w:hint="eastAsia" w:ascii="宋体" w:hAnsi="宋体"/>
          <w:b w:val="0"/>
          <w:bCs w:val="0"/>
          <w:color w:val="auto"/>
          <w:highlight w:val="none"/>
        </w:rPr>
        <w:t>1、应写明竞</w:t>
      </w:r>
      <w:r>
        <w:rPr>
          <w:rFonts w:hint="eastAsia" w:ascii="宋体" w:hAnsi="宋体"/>
          <w:b w:val="0"/>
          <w:bCs w:val="0"/>
          <w:color w:val="auto"/>
          <w:szCs w:val="21"/>
          <w:highlight w:val="none"/>
        </w:rPr>
        <w:t>争性谈判响应文件对</w:t>
      </w:r>
      <w:r>
        <w:rPr>
          <w:rFonts w:hint="eastAsia"/>
          <w:b w:val="0"/>
          <w:bCs w:val="0"/>
          <w:color w:val="auto"/>
          <w:highlight w:val="none"/>
        </w:rPr>
        <w:t>商务</w:t>
      </w:r>
      <w:r>
        <w:rPr>
          <w:rFonts w:hint="eastAsia" w:ascii="宋体" w:hAnsi="宋体"/>
          <w:b w:val="0"/>
          <w:bCs w:val="0"/>
          <w:color w:val="auto"/>
          <w:highlight w:val="none"/>
        </w:rPr>
        <w:t>与技术要求的</w:t>
      </w:r>
      <w:r>
        <w:rPr>
          <w:rFonts w:hint="eastAsia" w:ascii="宋体" w:hAnsi="宋体"/>
          <w:b w:val="0"/>
          <w:bCs w:val="0"/>
          <w:color w:val="auto"/>
          <w:szCs w:val="21"/>
          <w:highlight w:val="none"/>
        </w:rPr>
        <w:t>响应和偏离情况</w:t>
      </w:r>
      <w:r>
        <w:rPr>
          <w:rFonts w:hint="eastAsia"/>
          <w:b w:val="0"/>
          <w:bCs w:val="0"/>
          <w:color w:val="auto"/>
          <w:szCs w:val="21"/>
          <w:highlight w:val="none"/>
        </w:rPr>
        <w:t>；</w:t>
      </w:r>
    </w:p>
    <w:p>
      <w:pPr>
        <w:pStyle w:val="7"/>
        <w:spacing w:line="360" w:lineRule="exact"/>
        <w:ind w:firstLine="630"/>
        <w:rPr>
          <w:rFonts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2、应对照竞争性谈判文件“第三章  采购项目技术规格、参数及要求”，逐条说明所提供货物和服务已对竞争性谈判文件的商务、技术做出了实质性的响应，并申明商务、技术条文的响应和偏离。特别对有具体商务、技术参数要求的，谈判供应商必须提供对应的详细应答。如果仅注明“符合”、“满足”或简单复制竞争性谈判文件要求，将有可能导致谈判被拒绝。</w:t>
      </w:r>
    </w:p>
    <w:p>
      <w:pPr>
        <w:pStyle w:val="8"/>
        <w:spacing w:line="360" w:lineRule="exact"/>
        <w:rPr>
          <w:b w:val="0"/>
          <w:bCs w:val="0"/>
          <w:color w:val="auto"/>
          <w:highlight w:val="none"/>
        </w:rPr>
      </w:pPr>
    </w:p>
    <w:p>
      <w:pPr>
        <w:pStyle w:val="8"/>
        <w:spacing w:line="360" w:lineRule="exact"/>
        <w:ind w:firstLine="1470"/>
        <w:rPr>
          <w:b w:val="0"/>
          <w:bCs w:val="0"/>
          <w:color w:val="auto"/>
          <w:highlight w:val="none"/>
        </w:rPr>
      </w:pPr>
      <w:r>
        <w:rPr>
          <w:rFonts w:hint="eastAsia"/>
          <w:b w:val="0"/>
          <w:bCs w:val="0"/>
          <w:color w:val="auto"/>
          <w:highlight w:val="none"/>
        </w:rPr>
        <w:t>法定代表人或委托代理人</w:t>
      </w:r>
      <w:r>
        <w:rPr>
          <w:rFonts w:hint="default"/>
          <w:b w:val="0"/>
          <w:bCs w:val="0"/>
          <w:color w:val="auto"/>
          <w:highlight w:val="none"/>
          <w:lang w:val="en" w:eastAsia="zh-CN"/>
        </w:rPr>
        <w:t>签字或签章</w:t>
      </w:r>
      <w:r>
        <w:rPr>
          <w:rFonts w:hint="eastAsia"/>
          <w:b w:val="0"/>
          <w:bCs w:val="0"/>
          <w:color w:val="auto"/>
          <w:highlight w:val="none"/>
        </w:rPr>
        <w:t>:</w:t>
      </w:r>
      <w:r>
        <w:rPr>
          <w:rFonts w:hint="eastAsia"/>
          <w:b w:val="0"/>
          <w:bCs w:val="0"/>
          <w:color w:val="auto"/>
          <w:highlight w:val="none"/>
          <w:u w:val="single"/>
        </w:rPr>
        <w:t xml:space="preserve">                          </w:t>
      </w:r>
      <w:r>
        <w:rPr>
          <w:rFonts w:hint="eastAsia"/>
          <w:b w:val="0"/>
          <w:bCs w:val="0"/>
          <w:color w:val="auto"/>
          <w:highlight w:val="none"/>
        </w:rPr>
        <w:t xml:space="preserve">  </w:t>
      </w:r>
    </w:p>
    <w:p>
      <w:pPr>
        <w:pStyle w:val="8"/>
        <w:spacing w:line="500" w:lineRule="exact"/>
        <w:ind w:firstLine="1470"/>
        <w:rPr>
          <w:b w:val="0"/>
          <w:bCs w:val="0"/>
          <w:color w:val="auto"/>
          <w:highlight w:val="none"/>
          <w:u w:val="single"/>
        </w:rPr>
      </w:pPr>
      <w:r>
        <w:rPr>
          <w:rFonts w:hint="eastAsia"/>
          <w:b w:val="0"/>
          <w:bCs w:val="0"/>
          <w:color w:val="auto"/>
          <w:highlight w:val="none"/>
        </w:rPr>
        <w:t>谈判供应商名称（盖章）：</w:t>
      </w:r>
      <w:r>
        <w:rPr>
          <w:rFonts w:hint="eastAsia"/>
          <w:b w:val="0"/>
          <w:bCs w:val="0"/>
          <w:color w:val="auto"/>
          <w:highlight w:val="none"/>
          <w:u w:val="single"/>
        </w:rPr>
        <w:t xml:space="preserve">                              </w:t>
      </w:r>
    </w:p>
    <w:p>
      <w:pPr>
        <w:pStyle w:val="8"/>
        <w:spacing w:line="360" w:lineRule="exact"/>
        <w:ind w:firstLine="4935"/>
        <w:rPr>
          <w:b w:val="0"/>
          <w:bCs w:val="0"/>
          <w:color w:val="auto"/>
          <w:highlight w:val="none"/>
          <w:u w:val="single"/>
        </w:rPr>
      </w:pPr>
    </w:p>
    <w:p>
      <w:pPr>
        <w:pStyle w:val="8"/>
        <w:spacing w:line="360" w:lineRule="exact"/>
        <w:ind w:firstLine="4935"/>
        <w:rPr>
          <w:b w:val="0"/>
          <w:bCs w:val="0"/>
          <w:color w:val="auto"/>
          <w:highlight w:val="none"/>
          <w:u w:val="single"/>
        </w:rPr>
      </w:pPr>
      <w:r>
        <w:rPr>
          <w:rFonts w:hint="eastAsia"/>
          <w:b w:val="0"/>
          <w:bCs w:val="0"/>
          <w:color w:val="auto"/>
          <w:highlight w:val="none"/>
          <w:u w:val="single"/>
        </w:rPr>
        <w:t xml:space="preserve">      </w:t>
      </w:r>
      <w:r>
        <w:rPr>
          <w:rFonts w:hint="eastAsia"/>
          <w:b w:val="0"/>
          <w:bCs w:val="0"/>
          <w:color w:val="auto"/>
          <w:highlight w:val="none"/>
        </w:rPr>
        <w:t>年</w:t>
      </w:r>
      <w:r>
        <w:rPr>
          <w:rFonts w:hint="eastAsia"/>
          <w:b w:val="0"/>
          <w:bCs w:val="0"/>
          <w:color w:val="auto"/>
          <w:highlight w:val="none"/>
          <w:u w:val="single"/>
        </w:rPr>
        <w:t xml:space="preserve">   </w:t>
      </w:r>
      <w:r>
        <w:rPr>
          <w:rFonts w:hint="eastAsia"/>
          <w:b w:val="0"/>
          <w:bCs w:val="0"/>
          <w:color w:val="auto"/>
          <w:highlight w:val="none"/>
        </w:rPr>
        <w:t>月</w:t>
      </w:r>
      <w:r>
        <w:rPr>
          <w:rFonts w:hint="eastAsia"/>
          <w:b w:val="0"/>
          <w:bCs w:val="0"/>
          <w:color w:val="auto"/>
          <w:highlight w:val="none"/>
          <w:u w:val="single"/>
        </w:rPr>
        <w:t xml:space="preserve">   </w:t>
      </w:r>
      <w:r>
        <w:rPr>
          <w:rFonts w:hint="eastAsia"/>
          <w:b w:val="0"/>
          <w:bCs w:val="0"/>
          <w:color w:val="auto"/>
          <w:highlight w:val="none"/>
        </w:rPr>
        <w:t>日</w:t>
      </w:r>
    </w:p>
    <w:p>
      <w:pPr>
        <w:spacing w:line="300" w:lineRule="auto"/>
        <w:rPr>
          <w:rFonts w:ascii="宋体" w:hAnsi="宋体"/>
          <w:b w:val="0"/>
          <w:bCs w:val="0"/>
          <w:color w:val="auto"/>
          <w:szCs w:val="21"/>
          <w:highlight w:val="none"/>
        </w:rPr>
      </w:pPr>
    </w:p>
    <w:p>
      <w:pPr>
        <w:spacing w:line="300" w:lineRule="auto"/>
        <w:rPr>
          <w:rFonts w:ascii="宋体" w:hAnsi="宋体"/>
          <w:b w:val="0"/>
          <w:bCs w:val="0"/>
          <w:color w:val="auto"/>
          <w:szCs w:val="21"/>
          <w:highlight w:val="none"/>
        </w:rPr>
      </w:pPr>
    </w:p>
    <w:p>
      <w:pPr>
        <w:pageBreakBefore/>
        <w:spacing w:line="300" w:lineRule="auto"/>
        <w:rPr>
          <w:rFonts w:ascii="宋体" w:hAnsi="宋体"/>
          <w:b w:val="0"/>
          <w:bCs w:val="0"/>
          <w:color w:val="auto"/>
          <w:szCs w:val="21"/>
          <w:highlight w:val="none"/>
        </w:rPr>
      </w:pPr>
    </w:p>
    <w:p>
      <w:pPr>
        <w:spacing w:line="300" w:lineRule="auto"/>
        <w:rPr>
          <w:rFonts w:ascii="宋体" w:hAnsi="宋体"/>
          <w:b w:val="0"/>
          <w:bCs w:val="0"/>
          <w:color w:val="auto"/>
          <w:szCs w:val="21"/>
          <w:highlight w:val="none"/>
        </w:rPr>
      </w:pPr>
      <w:r>
        <w:rPr>
          <w:rFonts w:hint="eastAsia" w:ascii="宋体" w:hAnsi="宋体"/>
          <w:b w:val="0"/>
          <w:bCs w:val="0"/>
          <w:color w:val="auto"/>
          <w:szCs w:val="21"/>
          <w:highlight w:val="none"/>
        </w:rPr>
        <w:t>附件四</w:t>
      </w:r>
    </w:p>
    <w:p>
      <w:pPr>
        <w:spacing w:line="300" w:lineRule="auto"/>
        <w:jc w:val="center"/>
        <w:rPr>
          <w:rFonts w:ascii="仿宋_GB2312" w:hAnsi="仿宋_GB2312" w:eastAsia="仿宋_GB2312"/>
          <w:b w:val="0"/>
          <w:bCs w:val="0"/>
          <w:color w:val="auto"/>
          <w:sz w:val="32"/>
          <w:szCs w:val="32"/>
          <w:highlight w:val="none"/>
        </w:rPr>
      </w:pPr>
      <w:r>
        <w:rPr>
          <w:rFonts w:hint="eastAsia" w:ascii="仿宋_GB2312" w:hAnsi="仿宋_GB2312" w:eastAsia="仿宋_GB2312"/>
          <w:b w:val="0"/>
          <w:bCs w:val="0"/>
          <w:color w:val="auto"/>
          <w:sz w:val="32"/>
          <w:szCs w:val="32"/>
          <w:highlight w:val="none"/>
        </w:rPr>
        <w:t>法定代表人授权委托书</w:t>
      </w:r>
    </w:p>
    <w:p>
      <w:pPr>
        <w:spacing w:line="520" w:lineRule="exact"/>
        <w:rPr>
          <w:rFonts w:ascii="宋体" w:hAnsi="宋体"/>
          <w:b w:val="0"/>
          <w:bCs w:val="0"/>
          <w:color w:val="auto"/>
          <w:szCs w:val="21"/>
          <w:highlight w:val="none"/>
        </w:rPr>
      </w:pPr>
    </w:p>
    <w:p>
      <w:pPr>
        <w:spacing w:line="520" w:lineRule="exact"/>
        <w:rPr>
          <w:rFonts w:ascii="宋体" w:hAnsi="宋体"/>
          <w:b w:val="0"/>
          <w:bCs w:val="0"/>
          <w:color w:val="auto"/>
          <w:szCs w:val="21"/>
          <w:highlight w:val="none"/>
        </w:rPr>
      </w:pPr>
      <w:r>
        <w:rPr>
          <w:rFonts w:hint="eastAsia" w:ascii="宋体" w:hAnsi="宋体"/>
          <w:b w:val="0"/>
          <w:bCs w:val="0"/>
          <w:color w:val="auto"/>
          <w:szCs w:val="21"/>
          <w:highlight w:val="none"/>
          <w:u w:val="single"/>
        </w:rPr>
        <w:t>广西壮族自治区政府采购中心</w:t>
      </w:r>
      <w:r>
        <w:rPr>
          <w:rFonts w:hint="eastAsia" w:ascii="宋体" w:hAnsi="宋体"/>
          <w:b w:val="0"/>
          <w:bCs w:val="0"/>
          <w:color w:val="auto"/>
          <w:szCs w:val="21"/>
          <w:highlight w:val="none"/>
        </w:rPr>
        <w:t>：</w:t>
      </w:r>
    </w:p>
    <w:p>
      <w:pPr>
        <w:spacing w:line="520" w:lineRule="exact"/>
        <w:ind w:firstLine="420"/>
        <w:rPr>
          <w:rFonts w:ascii="宋体" w:hAnsi="宋体"/>
          <w:b w:val="0"/>
          <w:bCs w:val="0"/>
          <w:color w:val="auto"/>
          <w:szCs w:val="21"/>
          <w:highlight w:val="none"/>
        </w:rPr>
      </w:pPr>
      <w:r>
        <w:rPr>
          <w:rFonts w:hint="eastAsia" w:ascii="宋体" w:hAnsi="宋体"/>
          <w:b w:val="0"/>
          <w:bCs w:val="0"/>
          <w:color w:val="auto"/>
          <w:szCs w:val="21"/>
          <w:highlight w:val="none"/>
        </w:rPr>
        <w:t>兹授权</w:t>
      </w:r>
      <w:r>
        <w:rPr>
          <w:rFonts w:hint="eastAsia" w:ascii="宋体" w:hAnsi="宋体"/>
          <w:b w:val="0"/>
          <w:bCs w:val="0"/>
          <w:color w:val="auto"/>
          <w:szCs w:val="21"/>
          <w:highlight w:val="none"/>
          <w:u w:val="single"/>
        </w:rPr>
        <w:t xml:space="preserve">      </w:t>
      </w:r>
      <w:r>
        <w:rPr>
          <w:rFonts w:hint="eastAsia" w:ascii="宋体" w:hAnsi="宋体"/>
          <w:b w:val="0"/>
          <w:bCs w:val="0"/>
          <w:color w:val="auto"/>
          <w:szCs w:val="21"/>
          <w:highlight w:val="none"/>
        </w:rPr>
        <w:t>同志为我公司参加贵单位组织的</w:t>
      </w:r>
      <w:r>
        <w:rPr>
          <w:rFonts w:hint="eastAsia" w:ascii="宋体" w:hAnsi="宋体"/>
          <w:b w:val="0"/>
          <w:bCs w:val="0"/>
          <w:color w:val="auto"/>
          <w:szCs w:val="21"/>
          <w:highlight w:val="none"/>
          <w:u w:val="single"/>
        </w:rPr>
        <w:t>（项目名称、项目编号）竞争性谈判</w:t>
      </w:r>
      <w:r>
        <w:rPr>
          <w:rFonts w:hint="eastAsia" w:ascii="宋体" w:hAnsi="宋体"/>
          <w:b w:val="0"/>
          <w:bCs w:val="0"/>
          <w:color w:val="auto"/>
          <w:szCs w:val="21"/>
          <w:highlight w:val="none"/>
        </w:rPr>
        <w:t>采购活动的委托代理人，全权代表我公司处理在该项目活动中的一切事宜。代理期限从</w:t>
      </w:r>
      <w:r>
        <w:rPr>
          <w:rFonts w:hint="eastAsia" w:ascii="宋体" w:hAnsi="宋体"/>
          <w:b w:val="0"/>
          <w:bCs w:val="0"/>
          <w:color w:val="auto"/>
          <w:szCs w:val="21"/>
          <w:highlight w:val="none"/>
          <w:u w:val="single"/>
        </w:rPr>
        <w:t xml:space="preserve">     </w:t>
      </w:r>
      <w:r>
        <w:rPr>
          <w:rFonts w:hint="eastAsia" w:ascii="宋体" w:hAnsi="宋体"/>
          <w:b w:val="0"/>
          <w:bCs w:val="0"/>
          <w:color w:val="auto"/>
          <w:szCs w:val="21"/>
          <w:highlight w:val="none"/>
        </w:rPr>
        <w:t>年</w:t>
      </w:r>
      <w:r>
        <w:rPr>
          <w:rFonts w:hint="eastAsia" w:ascii="宋体" w:hAnsi="宋体"/>
          <w:b w:val="0"/>
          <w:bCs w:val="0"/>
          <w:color w:val="auto"/>
          <w:szCs w:val="21"/>
          <w:highlight w:val="none"/>
          <w:u w:val="single"/>
        </w:rPr>
        <w:t xml:space="preserve">   </w:t>
      </w:r>
      <w:r>
        <w:rPr>
          <w:rFonts w:hint="eastAsia" w:ascii="宋体" w:hAnsi="宋体"/>
          <w:b w:val="0"/>
          <w:bCs w:val="0"/>
          <w:color w:val="auto"/>
          <w:szCs w:val="21"/>
          <w:highlight w:val="none"/>
        </w:rPr>
        <w:t>月</w:t>
      </w:r>
      <w:r>
        <w:rPr>
          <w:rFonts w:hint="eastAsia" w:ascii="宋体" w:hAnsi="宋体"/>
          <w:b w:val="0"/>
          <w:bCs w:val="0"/>
          <w:color w:val="auto"/>
          <w:szCs w:val="21"/>
          <w:highlight w:val="none"/>
          <w:u w:val="single"/>
        </w:rPr>
        <w:t xml:space="preserve">   </w:t>
      </w:r>
      <w:r>
        <w:rPr>
          <w:rFonts w:hint="eastAsia" w:ascii="宋体" w:hAnsi="宋体"/>
          <w:b w:val="0"/>
          <w:bCs w:val="0"/>
          <w:color w:val="auto"/>
          <w:szCs w:val="21"/>
          <w:highlight w:val="none"/>
        </w:rPr>
        <w:t>日起至</w:t>
      </w:r>
      <w:r>
        <w:rPr>
          <w:rFonts w:hint="eastAsia" w:ascii="宋体" w:hAnsi="宋体"/>
          <w:b w:val="0"/>
          <w:bCs w:val="0"/>
          <w:color w:val="auto"/>
          <w:szCs w:val="21"/>
          <w:highlight w:val="none"/>
          <w:u w:val="single"/>
        </w:rPr>
        <w:t xml:space="preserve">     </w:t>
      </w:r>
      <w:r>
        <w:rPr>
          <w:rFonts w:hint="eastAsia" w:ascii="宋体" w:hAnsi="宋体"/>
          <w:b w:val="0"/>
          <w:bCs w:val="0"/>
          <w:color w:val="auto"/>
          <w:szCs w:val="21"/>
          <w:highlight w:val="none"/>
        </w:rPr>
        <w:t>年</w:t>
      </w:r>
      <w:r>
        <w:rPr>
          <w:rFonts w:hint="eastAsia" w:ascii="宋体" w:hAnsi="宋体"/>
          <w:b w:val="0"/>
          <w:bCs w:val="0"/>
          <w:color w:val="auto"/>
          <w:szCs w:val="21"/>
          <w:highlight w:val="none"/>
          <w:u w:val="single"/>
        </w:rPr>
        <w:t xml:space="preserve">   </w:t>
      </w:r>
      <w:r>
        <w:rPr>
          <w:rFonts w:hint="eastAsia" w:ascii="宋体" w:hAnsi="宋体"/>
          <w:b w:val="0"/>
          <w:bCs w:val="0"/>
          <w:color w:val="auto"/>
          <w:szCs w:val="21"/>
          <w:highlight w:val="none"/>
        </w:rPr>
        <w:t>月</w:t>
      </w:r>
      <w:r>
        <w:rPr>
          <w:rFonts w:hint="eastAsia" w:ascii="宋体" w:hAnsi="宋体"/>
          <w:b w:val="0"/>
          <w:bCs w:val="0"/>
          <w:color w:val="auto"/>
          <w:szCs w:val="21"/>
          <w:highlight w:val="none"/>
          <w:u w:val="single"/>
        </w:rPr>
        <w:t xml:space="preserve">   </w:t>
      </w:r>
      <w:r>
        <w:rPr>
          <w:rFonts w:hint="eastAsia" w:ascii="宋体" w:hAnsi="宋体"/>
          <w:b w:val="0"/>
          <w:bCs w:val="0"/>
          <w:color w:val="auto"/>
          <w:szCs w:val="21"/>
          <w:highlight w:val="none"/>
        </w:rPr>
        <w:t xml:space="preserve">日止。 </w:t>
      </w:r>
    </w:p>
    <w:p>
      <w:pPr>
        <w:spacing w:line="520" w:lineRule="exact"/>
        <w:rPr>
          <w:rFonts w:ascii="宋体" w:hAnsi="宋体"/>
          <w:b w:val="0"/>
          <w:bCs w:val="0"/>
          <w:color w:val="auto"/>
          <w:szCs w:val="21"/>
          <w:highlight w:val="none"/>
        </w:rPr>
      </w:pPr>
    </w:p>
    <w:p>
      <w:pPr>
        <w:spacing w:line="520" w:lineRule="exact"/>
        <w:rPr>
          <w:rFonts w:ascii="宋体" w:hAnsi="宋体"/>
          <w:b w:val="0"/>
          <w:bCs w:val="0"/>
          <w:color w:val="auto"/>
          <w:szCs w:val="21"/>
          <w:highlight w:val="none"/>
        </w:rPr>
      </w:pPr>
      <w:r>
        <w:rPr>
          <w:rFonts w:hint="eastAsia" w:ascii="宋体" w:hAnsi="宋体"/>
          <w:b w:val="0"/>
          <w:bCs w:val="0"/>
          <w:color w:val="auto"/>
          <w:szCs w:val="21"/>
          <w:highlight w:val="none"/>
        </w:rPr>
        <w:t>谈判供应商（盖章）：</w:t>
      </w:r>
      <w:r>
        <w:rPr>
          <w:rFonts w:hint="eastAsia" w:ascii="宋体" w:hAnsi="宋体"/>
          <w:b w:val="0"/>
          <w:bCs w:val="0"/>
          <w:color w:val="auto"/>
          <w:szCs w:val="21"/>
          <w:highlight w:val="none"/>
          <w:u w:val="single"/>
        </w:rPr>
        <w:t xml:space="preserve">               </w:t>
      </w:r>
    </w:p>
    <w:p>
      <w:pPr>
        <w:spacing w:line="520" w:lineRule="exact"/>
        <w:rPr>
          <w:rFonts w:ascii="宋体" w:hAnsi="宋体"/>
          <w:b w:val="0"/>
          <w:bCs w:val="0"/>
          <w:color w:val="auto"/>
          <w:szCs w:val="21"/>
          <w:highlight w:val="none"/>
        </w:rPr>
      </w:pPr>
      <w:r>
        <w:rPr>
          <w:rFonts w:hint="eastAsia" w:ascii="宋体" w:hAnsi="宋体"/>
          <w:b w:val="0"/>
          <w:bCs w:val="0"/>
          <w:color w:val="auto"/>
          <w:szCs w:val="21"/>
          <w:highlight w:val="none"/>
        </w:rPr>
        <w:t>法定代表人（签字或签章）：</w:t>
      </w:r>
      <w:r>
        <w:rPr>
          <w:rFonts w:hint="eastAsia" w:ascii="宋体" w:hAnsi="宋体"/>
          <w:b w:val="0"/>
          <w:bCs w:val="0"/>
          <w:color w:val="auto"/>
          <w:szCs w:val="21"/>
          <w:highlight w:val="none"/>
          <w:u w:val="single"/>
        </w:rPr>
        <w:t xml:space="preserve">       </w:t>
      </w:r>
    </w:p>
    <w:p>
      <w:pPr>
        <w:spacing w:line="520" w:lineRule="exact"/>
        <w:rPr>
          <w:rFonts w:ascii="宋体" w:hAnsi="宋体"/>
          <w:b w:val="0"/>
          <w:bCs w:val="0"/>
          <w:color w:val="auto"/>
          <w:szCs w:val="21"/>
          <w:highlight w:val="none"/>
        </w:rPr>
      </w:pPr>
      <w:r>
        <w:rPr>
          <w:rFonts w:hint="eastAsia" w:ascii="宋体" w:hAnsi="宋体"/>
          <w:b w:val="0"/>
          <w:bCs w:val="0"/>
          <w:color w:val="auto"/>
          <w:szCs w:val="21"/>
          <w:highlight w:val="none"/>
        </w:rPr>
        <w:t>签发日期：</w:t>
      </w:r>
      <w:r>
        <w:rPr>
          <w:rFonts w:hint="eastAsia" w:ascii="宋体" w:hAnsi="宋体"/>
          <w:b w:val="0"/>
          <w:bCs w:val="0"/>
          <w:color w:val="auto"/>
          <w:szCs w:val="21"/>
          <w:highlight w:val="none"/>
          <w:u w:val="single"/>
        </w:rPr>
        <w:t xml:space="preserve">      </w:t>
      </w:r>
      <w:r>
        <w:rPr>
          <w:rFonts w:hint="eastAsia" w:ascii="宋体" w:hAnsi="宋体"/>
          <w:b w:val="0"/>
          <w:bCs w:val="0"/>
          <w:color w:val="auto"/>
          <w:szCs w:val="21"/>
          <w:highlight w:val="none"/>
        </w:rPr>
        <w:t>年</w:t>
      </w:r>
      <w:r>
        <w:rPr>
          <w:rFonts w:hint="eastAsia" w:ascii="宋体" w:hAnsi="宋体"/>
          <w:b w:val="0"/>
          <w:bCs w:val="0"/>
          <w:color w:val="auto"/>
          <w:szCs w:val="21"/>
          <w:highlight w:val="none"/>
          <w:u w:val="single"/>
        </w:rPr>
        <w:t xml:space="preserve">    </w:t>
      </w:r>
      <w:r>
        <w:rPr>
          <w:rFonts w:hint="eastAsia" w:ascii="宋体" w:hAnsi="宋体"/>
          <w:b w:val="0"/>
          <w:bCs w:val="0"/>
          <w:color w:val="auto"/>
          <w:szCs w:val="21"/>
          <w:highlight w:val="none"/>
        </w:rPr>
        <w:t>月</w:t>
      </w:r>
      <w:r>
        <w:rPr>
          <w:rFonts w:hint="eastAsia" w:ascii="宋体" w:hAnsi="宋体"/>
          <w:b w:val="0"/>
          <w:bCs w:val="0"/>
          <w:color w:val="auto"/>
          <w:szCs w:val="21"/>
          <w:highlight w:val="none"/>
          <w:u w:val="single"/>
        </w:rPr>
        <w:t xml:space="preserve">   </w:t>
      </w:r>
      <w:r>
        <w:rPr>
          <w:rFonts w:hint="eastAsia" w:ascii="宋体" w:hAnsi="宋体"/>
          <w:b w:val="0"/>
          <w:bCs w:val="0"/>
          <w:color w:val="auto"/>
          <w:szCs w:val="21"/>
          <w:highlight w:val="none"/>
        </w:rPr>
        <w:t>日</w:t>
      </w:r>
    </w:p>
    <w:p>
      <w:pPr>
        <w:spacing w:line="520" w:lineRule="exact"/>
        <w:rPr>
          <w:rFonts w:ascii="宋体" w:hAnsi="宋体"/>
          <w:b w:val="0"/>
          <w:bCs w:val="0"/>
          <w:color w:val="auto"/>
          <w:szCs w:val="21"/>
          <w:highlight w:val="none"/>
        </w:rPr>
      </w:pPr>
    </w:p>
    <w:p>
      <w:pPr>
        <w:spacing w:line="520" w:lineRule="exact"/>
        <w:rPr>
          <w:rFonts w:ascii="宋体" w:hAnsi="宋体"/>
          <w:b w:val="0"/>
          <w:bCs w:val="0"/>
          <w:color w:val="auto"/>
          <w:szCs w:val="21"/>
          <w:highlight w:val="none"/>
        </w:rPr>
      </w:pPr>
      <w:r>
        <w:rPr>
          <w:rFonts w:hint="eastAsia" w:ascii="宋体" w:hAnsi="宋体"/>
          <w:b w:val="0"/>
          <w:bCs w:val="0"/>
          <w:color w:val="auto"/>
          <w:szCs w:val="21"/>
          <w:highlight w:val="none"/>
        </w:rPr>
        <w:t>附：委托代理人工作单位</w:t>
      </w:r>
      <w:r>
        <w:rPr>
          <w:rFonts w:hint="eastAsia" w:ascii="宋体" w:hAnsi="宋体"/>
          <w:b w:val="0"/>
          <w:bCs w:val="0"/>
          <w:color w:val="auto"/>
          <w:szCs w:val="21"/>
          <w:highlight w:val="none"/>
          <w:u w:val="single"/>
        </w:rPr>
        <w:t xml:space="preserve">               </w:t>
      </w:r>
    </w:p>
    <w:p>
      <w:pPr>
        <w:spacing w:line="520" w:lineRule="exact"/>
        <w:ind w:firstLine="420"/>
        <w:rPr>
          <w:rFonts w:ascii="宋体" w:hAnsi="宋体"/>
          <w:b w:val="0"/>
          <w:bCs w:val="0"/>
          <w:color w:val="auto"/>
          <w:szCs w:val="21"/>
          <w:highlight w:val="none"/>
        </w:rPr>
      </w:pPr>
      <w:r>
        <w:rPr>
          <w:rFonts w:hint="eastAsia" w:ascii="宋体" w:hAnsi="宋体"/>
          <w:b w:val="0"/>
          <w:bCs w:val="0"/>
          <w:color w:val="auto"/>
          <w:szCs w:val="21"/>
          <w:highlight w:val="none"/>
        </w:rPr>
        <w:t>职务：</w:t>
      </w:r>
      <w:r>
        <w:rPr>
          <w:rFonts w:hint="eastAsia" w:ascii="宋体" w:hAnsi="宋体"/>
          <w:b w:val="0"/>
          <w:bCs w:val="0"/>
          <w:color w:val="auto"/>
          <w:szCs w:val="21"/>
          <w:highlight w:val="none"/>
          <w:u w:val="single"/>
        </w:rPr>
        <w:t xml:space="preserve">                    </w:t>
      </w:r>
      <w:r>
        <w:rPr>
          <w:rFonts w:hint="eastAsia" w:ascii="宋体" w:hAnsi="宋体"/>
          <w:b w:val="0"/>
          <w:bCs w:val="0"/>
          <w:color w:val="auto"/>
          <w:szCs w:val="21"/>
          <w:highlight w:val="none"/>
        </w:rPr>
        <w:t xml:space="preserve">      性别：</w:t>
      </w:r>
      <w:r>
        <w:rPr>
          <w:rFonts w:hint="eastAsia" w:ascii="宋体" w:hAnsi="宋体"/>
          <w:b w:val="0"/>
          <w:bCs w:val="0"/>
          <w:color w:val="auto"/>
          <w:szCs w:val="21"/>
          <w:highlight w:val="none"/>
          <w:u w:val="single"/>
        </w:rPr>
        <w:t xml:space="preserve">    </w:t>
      </w:r>
    </w:p>
    <w:p>
      <w:pPr>
        <w:spacing w:line="520" w:lineRule="exact"/>
        <w:ind w:firstLine="420"/>
        <w:rPr>
          <w:rFonts w:ascii="宋体" w:hAnsi="宋体"/>
          <w:b w:val="0"/>
          <w:bCs w:val="0"/>
          <w:color w:val="auto"/>
          <w:szCs w:val="21"/>
          <w:highlight w:val="none"/>
          <w:u w:val="single"/>
        </w:rPr>
      </w:pPr>
      <w:r>
        <w:rPr>
          <w:rFonts w:hint="eastAsia" w:ascii="宋体" w:hAnsi="宋体"/>
          <w:b w:val="0"/>
          <w:bCs w:val="0"/>
          <w:color w:val="auto"/>
          <w:szCs w:val="21"/>
          <w:highlight w:val="none"/>
        </w:rPr>
        <w:t>身份证号码：</w:t>
      </w:r>
      <w:r>
        <w:rPr>
          <w:rFonts w:hint="eastAsia" w:ascii="宋体" w:hAnsi="宋体"/>
          <w:b w:val="0"/>
          <w:bCs w:val="0"/>
          <w:color w:val="auto"/>
          <w:szCs w:val="21"/>
          <w:highlight w:val="none"/>
          <w:u w:val="single"/>
        </w:rPr>
        <w:t xml:space="preserve">                              </w:t>
      </w:r>
    </w:p>
    <w:tbl>
      <w:tblPr>
        <w:tblStyle w:val="15"/>
        <w:tblW w:w="0" w:type="auto"/>
        <w:tblInd w:w="331" w:type="dxa"/>
        <w:tblLayout w:type="fixed"/>
        <w:tblCellMar>
          <w:top w:w="0" w:type="dxa"/>
          <w:left w:w="108" w:type="dxa"/>
          <w:bottom w:w="0" w:type="dxa"/>
          <w:right w:w="108" w:type="dxa"/>
        </w:tblCellMar>
      </w:tblPr>
      <w:tblGrid>
        <w:gridCol w:w="10351"/>
      </w:tblGrid>
      <w:tr>
        <w:tblPrEx>
          <w:tblCellMar>
            <w:top w:w="0" w:type="dxa"/>
            <w:left w:w="108" w:type="dxa"/>
            <w:bottom w:w="0" w:type="dxa"/>
            <w:right w:w="108" w:type="dxa"/>
          </w:tblCellMar>
        </w:tblPrEx>
        <w:trPr>
          <w:trHeight w:val="1869" w:hRule="atLeast"/>
        </w:trPr>
        <w:tc>
          <w:tcPr>
            <w:tcW w:w="10351" w:type="dxa"/>
            <w:tcBorders>
              <w:top w:val="single" w:color="000000" w:sz="4" w:space="0"/>
              <w:left w:val="single" w:color="000000" w:sz="4" w:space="0"/>
              <w:bottom w:val="single" w:color="000000" w:sz="4" w:space="0"/>
              <w:right w:val="single" w:color="000000" w:sz="4" w:space="0"/>
            </w:tcBorders>
            <w:noWrap w:val="0"/>
            <w:vAlign w:val="top"/>
          </w:tcPr>
          <w:p>
            <w:pPr>
              <w:spacing w:line="300" w:lineRule="auto"/>
              <w:rPr>
                <w:rFonts w:ascii="宋体" w:hAnsi="宋体"/>
                <w:b w:val="0"/>
                <w:bCs w:val="0"/>
                <w:color w:val="auto"/>
                <w:szCs w:val="21"/>
                <w:highlight w:val="none"/>
              </w:rPr>
            </w:pPr>
            <w:r>
              <w:rPr>
                <w:rFonts w:hint="eastAsia" w:ascii="宋体" w:hAnsi="宋体"/>
                <w:b w:val="0"/>
                <w:bCs w:val="0"/>
                <w:color w:val="auto"/>
                <w:szCs w:val="21"/>
                <w:highlight w:val="none"/>
              </w:rPr>
              <w:t>粘贴委托代理人的正面及反面身份证复印件</w:t>
            </w:r>
          </w:p>
        </w:tc>
      </w:tr>
    </w:tbl>
    <w:p>
      <w:pPr>
        <w:spacing w:line="300" w:lineRule="auto"/>
        <w:ind w:left="480" w:hanging="480"/>
        <w:rPr>
          <w:rFonts w:ascii="宋体" w:hAnsi="宋体"/>
          <w:b w:val="0"/>
          <w:bCs w:val="0"/>
          <w:color w:val="auto"/>
          <w:szCs w:val="21"/>
          <w:highlight w:val="none"/>
        </w:rPr>
      </w:pPr>
    </w:p>
    <w:p>
      <w:pPr>
        <w:spacing w:line="300" w:lineRule="auto"/>
        <w:rPr>
          <w:rFonts w:ascii="宋体" w:hAnsi="宋体"/>
          <w:b w:val="0"/>
          <w:bCs w:val="0"/>
          <w:color w:val="auto"/>
          <w:szCs w:val="21"/>
          <w:highlight w:val="none"/>
        </w:rPr>
      </w:pPr>
    </w:p>
    <w:p>
      <w:pPr>
        <w:spacing w:line="300" w:lineRule="auto"/>
        <w:rPr>
          <w:rFonts w:ascii="宋体" w:hAnsi="宋体"/>
          <w:b w:val="0"/>
          <w:bCs w:val="0"/>
          <w:color w:val="auto"/>
          <w:szCs w:val="21"/>
          <w:highlight w:val="none"/>
        </w:rPr>
      </w:pPr>
    </w:p>
    <w:p>
      <w:pPr>
        <w:pageBreakBefore/>
        <w:spacing w:line="300" w:lineRule="auto"/>
        <w:ind w:left="420" w:hanging="420"/>
        <w:rPr>
          <w:rFonts w:ascii="宋体" w:hAnsi="宋体"/>
          <w:b w:val="0"/>
          <w:bCs w:val="0"/>
          <w:color w:val="auto"/>
          <w:szCs w:val="21"/>
          <w:highlight w:val="none"/>
        </w:rPr>
      </w:pPr>
      <w:r>
        <w:rPr>
          <w:rFonts w:ascii="宋体" w:hAnsi="宋体"/>
          <w:b w:val="0"/>
          <w:bCs w:val="0"/>
          <w:color w:val="auto"/>
          <w:szCs w:val="21"/>
          <w:highlight w:val="none"/>
        </w:rPr>
        <w:t xml:space="preserve"> </w:t>
      </w:r>
    </w:p>
    <w:p>
      <w:pPr>
        <w:spacing w:line="300" w:lineRule="auto"/>
        <w:ind w:left="420" w:hanging="420"/>
        <w:rPr>
          <w:rFonts w:ascii="宋体" w:hAnsi="宋体"/>
          <w:b w:val="0"/>
          <w:bCs w:val="0"/>
          <w:color w:val="auto"/>
          <w:szCs w:val="21"/>
          <w:highlight w:val="none"/>
        </w:rPr>
      </w:pPr>
      <w:r>
        <w:rPr>
          <w:rFonts w:hint="eastAsia" w:ascii="宋体" w:hAnsi="宋体"/>
          <w:b w:val="0"/>
          <w:bCs w:val="0"/>
          <w:color w:val="auto"/>
          <w:szCs w:val="21"/>
          <w:highlight w:val="none"/>
        </w:rPr>
        <w:t>附件五</w:t>
      </w:r>
    </w:p>
    <w:p>
      <w:pPr>
        <w:spacing w:line="360" w:lineRule="exact"/>
        <w:jc w:val="center"/>
        <w:rPr>
          <w:rFonts w:ascii="宋体" w:hAnsi="宋体" w:cs="宋体"/>
          <w:b w:val="0"/>
          <w:bCs w:val="0"/>
          <w:color w:val="auto"/>
          <w:sz w:val="28"/>
          <w:szCs w:val="28"/>
          <w:highlight w:val="none"/>
        </w:rPr>
      </w:pPr>
      <w:r>
        <w:rPr>
          <w:rFonts w:hint="eastAsia" w:ascii="宋体" w:hAnsi="宋体" w:cs="宋体"/>
          <w:b w:val="0"/>
          <w:bCs w:val="0"/>
          <w:color w:val="auto"/>
          <w:sz w:val="28"/>
          <w:szCs w:val="28"/>
          <w:highlight w:val="none"/>
        </w:rPr>
        <w:t>参加政府采购活动前三年内在经营活动中没有重大违法记录的书面声明</w:t>
      </w:r>
    </w:p>
    <w:p>
      <w:pPr>
        <w:spacing w:line="360" w:lineRule="exact"/>
        <w:jc w:val="center"/>
        <w:rPr>
          <w:rFonts w:ascii="宋体" w:hAnsi="宋体"/>
          <w:b w:val="0"/>
          <w:bCs w:val="0"/>
          <w:color w:val="auto"/>
          <w:szCs w:val="21"/>
          <w:highlight w:val="none"/>
        </w:rPr>
      </w:pPr>
      <w:r>
        <w:rPr>
          <w:rFonts w:hint="eastAsia" w:ascii="宋体" w:hAnsi="宋体"/>
          <w:b w:val="0"/>
          <w:bCs w:val="0"/>
          <w:color w:val="auto"/>
          <w:szCs w:val="21"/>
          <w:highlight w:val="none"/>
        </w:rPr>
        <w:t>（格式自拟，必须提供）</w:t>
      </w:r>
    </w:p>
    <w:p>
      <w:pPr>
        <w:spacing w:line="360" w:lineRule="exact"/>
        <w:ind w:firstLine="412"/>
        <w:jc w:val="center"/>
        <w:rPr>
          <w:rFonts w:ascii="宋体" w:hAnsi="宋体"/>
          <w:b w:val="0"/>
          <w:bCs w:val="0"/>
          <w:color w:val="auto"/>
          <w:szCs w:val="21"/>
          <w:highlight w:val="none"/>
        </w:rPr>
      </w:pPr>
    </w:p>
    <w:p>
      <w:pPr>
        <w:pStyle w:val="8"/>
        <w:tabs>
          <w:tab w:val="left" w:pos="5580"/>
        </w:tabs>
        <w:spacing w:line="360" w:lineRule="auto"/>
        <w:ind w:left="1080" w:hanging="540"/>
        <w:rPr>
          <w:rFonts w:ascii="仿宋_GB2312" w:hAnsi="仿宋_GB2312" w:eastAsia="仿宋_GB2312"/>
          <w:b w:val="0"/>
          <w:bCs w:val="0"/>
          <w:color w:val="auto"/>
          <w:sz w:val="24"/>
          <w:highlight w:val="none"/>
        </w:rPr>
      </w:pPr>
    </w:p>
    <w:p>
      <w:pPr>
        <w:spacing w:line="360" w:lineRule="exact"/>
        <w:ind w:firstLine="567"/>
        <w:jc w:val="left"/>
        <w:rPr>
          <w:rFonts w:ascii="宋体" w:hAnsi="宋体" w:cs="宋体"/>
          <w:b w:val="0"/>
          <w:bCs w:val="0"/>
          <w:color w:val="auto"/>
          <w:szCs w:val="21"/>
          <w:highlight w:val="none"/>
        </w:rPr>
      </w:pPr>
      <w:r>
        <w:rPr>
          <w:rFonts w:hint="eastAsia" w:ascii="宋体" w:hAnsi="宋体" w:cs="宋体"/>
          <w:b w:val="0"/>
          <w:bCs w:val="0"/>
          <w:color w:val="auto"/>
          <w:szCs w:val="21"/>
          <w:highlight w:val="none"/>
        </w:rPr>
        <w:t>说明： 1、竞标人应按照相关法规规定如实作出声明。</w:t>
      </w:r>
    </w:p>
    <w:p>
      <w:pPr>
        <w:spacing w:line="360" w:lineRule="exact"/>
        <w:ind w:firstLine="1239"/>
        <w:jc w:val="left"/>
        <w:rPr>
          <w:rFonts w:ascii="宋体" w:hAnsi="宋体" w:cs="宋体"/>
          <w:b w:val="0"/>
          <w:bCs w:val="0"/>
          <w:color w:val="auto"/>
          <w:szCs w:val="21"/>
          <w:highlight w:val="none"/>
        </w:rPr>
      </w:pPr>
      <w:r>
        <w:rPr>
          <w:rFonts w:hint="eastAsia" w:ascii="宋体" w:hAnsi="宋体" w:cs="宋体"/>
          <w:b w:val="0"/>
          <w:bCs w:val="0"/>
          <w:color w:val="auto"/>
          <w:szCs w:val="21"/>
          <w:highlight w:val="none"/>
        </w:rPr>
        <w:t xml:space="preserve"> 2、按照采购文件的规定盖章（自然人竞标的无需盖章，需要</w:t>
      </w:r>
      <w:r>
        <w:rPr>
          <w:rFonts w:hint="default" w:ascii="宋体" w:hAnsi="宋体" w:cs="宋体"/>
          <w:b w:val="0"/>
          <w:bCs w:val="0"/>
          <w:color w:val="auto"/>
          <w:szCs w:val="21"/>
          <w:highlight w:val="none"/>
          <w:lang w:val="en"/>
        </w:rPr>
        <w:t>签字或签章</w:t>
      </w:r>
      <w:r>
        <w:rPr>
          <w:rFonts w:hint="eastAsia" w:ascii="宋体" w:hAnsi="宋体" w:cs="宋体"/>
          <w:b w:val="0"/>
          <w:bCs w:val="0"/>
          <w:color w:val="auto"/>
          <w:szCs w:val="21"/>
          <w:highlight w:val="none"/>
        </w:rPr>
        <w:t>）。</w:t>
      </w:r>
    </w:p>
    <w:p>
      <w:pPr>
        <w:spacing w:line="300" w:lineRule="auto"/>
        <w:ind w:left="420" w:hanging="420"/>
        <w:rPr>
          <w:rFonts w:hint="eastAsia" w:ascii="黑体" w:hAnsi="黑体" w:eastAsia="黑体"/>
          <w:b w:val="0"/>
          <w:bCs w:val="0"/>
          <w:color w:val="auto"/>
          <w:sz w:val="32"/>
          <w:szCs w:val="32"/>
          <w:highlight w:val="none"/>
        </w:rPr>
      </w:pPr>
    </w:p>
    <w:p>
      <w:pPr>
        <w:pageBreakBefore/>
        <w:spacing w:line="300" w:lineRule="auto"/>
        <w:ind w:left="420" w:hanging="420"/>
        <w:rPr>
          <w:rFonts w:ascii="宋体" w:hAnsi="宋体"/>
          <w:b w:val="0"/>
          <w:bCs w:val="0"/>
          <w:color w:val="auto"/>
          <w:szCs w:val="21"/>
          <w:highlight w:val="none"/>
        </w:rPr>
      </w:pPr>
    </w:p>
    <w:p>
      <w:pPr>
        <w:spacing w:line="300" w:lineRule="auto"/>
        <w:ind w:left="420" w:hanging="420"/>
        <w:rPr>
          <w:rFonts w:ascii="宋体" w:hAnsi="宋体"/>
          <w:b w:val="0"/>
          <w:bCs w:val="0"/>
          <w:color w:val="auto"/>
          <w:szCs w:val="21"/>
          <w:highlight w:val="none"/>
        </w:rPr>
      </w:pPr>
      <w:r>
        <w:rPr>
          <w:rFonts w:hint="eastAsia" w:ascii="宋体" w:hAnsi="宋体"/>
          <w:b w:val="0"/>
          <w:bCs w:val="0"/>
          <w:color w:val="auto"/>
          <w:szCs w:val="21"/>
          <w:highlight w:val="none"/>
        </w:rPr>
        <w:t>附件六      (如有，请提供)</w:t>
      </w:r>
    </w:p>
    <w:p>
      <w:pPr>
        <w:pStyle w:val="23"/>
        <w:spacing w:line="506" w:lineRule="exact"/>
        <w:ind w:firstLine="0"/>
        <w:jc w:val="center"/>
        <w:rPr>
          <w:rFonts w:hint="eastAsia"/>
          <w:b w:val="0"/>
          <w:bCs w:val="0"/>
          <w:color w:val="auto"/>
          <w:sz w:val="21"/>
          <w:szCs w:val="21"/>
          <w:highlight w:val="none"/>
        </w:rPr>
      </w:pPr>
      <w:r>
        <w:rPr>
          <w:b w:val="0"/>
          <w:bCs w:val="0"/>
          <w:color w:val="auto"/>
          <w:highlight w:val="none"/>
        </w:rPr>
        <w:t>中小企业声明函</w:t>
      </w:r>
    </w:p>
    <w:p>
      <w:pPr>
        <w:pStyle w:val="23"/>
        <w:spacing w:line="506" w:lineRule="exact"/>
        <w:ind w:firstLine="640"/>
        <w:jc w:val="both"/>
        <w:rPr>
          <w:rFonts w:hint="eastAsia"/>
          <w:b w:val="0"/>
          <w:bCs w:val="0"/>
          <w:color w:val="auto"/>
          <w:sz w:val="21"/>
          <w:szCs w:val="21"/>
          <w:highlight w:val="none"/>
        </w:rPr>
      </w:pPr>
    </w:p>
    <w:p>
      <w:pPr>
        <w:pStyle w:val="23"/>
        <w:spacing w:line="506" w:lineRule="exact"/>
        <w:ind w:firstLine="640"/>
        <w:jc w:val="both"/>
        <w:rPr>
          <w:b w:val="0"/>
          <w:bCs w:val="0"/>
          <w:color w:val="auto"/>
          <w:sz w:val="21"/>
          <w:szCs w:val="21"/>
          <w:highlight w:val="none"/>
        </w:rPr>
      </w:pPr>
      <w:r>
        <w:rPr>
          <w:b w:val="0"/>
          <w:bCs w:val="0"/>
          <w:color w:val="auto"/>
          <w:sz w:val="21"/>
          <w:szCs w:val="21"/>
          <w:highlight w:val="none"/>
        </w:rPr>
        <w:t>本公司（联合体）郑重声明，根据《政府采购促进中小企业发展管理办法》（财库〔2020〕46号）的规定，本公司 （联合体）参加</w:t>
      </w:r>
      <w:r>
        <w:rPr>
          <w:b w:val="0"/>
          <w:bCs w:val="0"/>
          <w:color w:val="auto"/>
          <w:sz w:val="21"/>
          <w:szCs w:val="21"/>
          <w:highlight w:val="none"/>
          <w:u w:val="single"/>
        </w:rPr>
        <w:t>（单位名称）</w:t>
      </w:r>
      <w:r>
        <w:rPr>
          <w:b w:val="0"/>
          <w:bCs w:val="0"/>
          <w:color w:val="auto"/>
          <w:sz w:val="21"/>
          <w:szCs w:val="21"/>
          <w:highlight w:val="none"/>
        </w:rPr>
        <w:t>的</w:t>
      </w:r>
      <w:r>
        <w:rPr>
          <w:b w:val="0"/>
          <w:bCs w:val="0"/>
          <w:color w:val="auto"/>
          <w:sz w:val="21"/>
          <w:szCs w:val="21"/>
          <w:highlight w:val="none"/>
          <w:u w:val="single"/>
        </w:rPr>
        <w:t>（项目名称）</w:t>
      </w:r>
      <w:r>
        <w:rPr>
          <w:b w:val="0"/>
          <w:bCs w:val="0"/>
          <w:color w:val="auto"/>
          <w:sz w:val="21"/>
          <w:szCs w:val="21"/>
          <w:highlight w:val="none"/>
        </w:rPr>
        <w:t>釆购活动,提供的货物全部由符合政策要求的中小企业制造。相关企业（含联合体中的中小企业、签订分包意向协议的中小企业）的具体情况如下</w:t>
      </w:r>
      <w:bookmarkStart w:id="65" w:name="bookmark1"/>
      <w:bookmarkEnd w:id="65"/>
      <w:r>
        <w:rPr>
          <w:rFonts w:hint="eastAsia"/>
          <w:b w:val="0"/>
          <w:bCs w:val="0"/>
          <w:color w:val="auto"/>
          <w:sz w:val="21"/>
          <w:szCs w:val="21"/>
          <w:highlight w:val="none"/>
        </w:rPr>
        <w:t>：</w:t>
      </w:r>
    </w:p>
    <w:p>
      <w:pPr>
        <w:pStyle w:val="23"/>
        <w:spacing w:line="506" w:lineRule="exact"/>
        <w:ind w:firstLine="640"/>
        <w:jc w:val="both"/>
        <w:rPr>
          <w:b w:val="0"/>
          <w:bCs w:val="0"/>
          <w:color w:val="auto"/>
          <w:sz w:val="21"/>
          <w:szCs w:val="21"/>
          <w:highlight w:val="none"/>
        </w:rPr>
      </w:pPr>
      <w:r>
        <w:rPr>
          <w:rFonts w:hint="eastAsia"/>
          <w:b w:val="0"/>
          <w:bCs w:val="0"/>
          <w:color w:val="auto"/>
          <w:sz w:val="21"/>
          <w:szCs w:val="21"/>
          <w:highlight w:val="none"/>
        </w:rPr>
        <w:t>1.</w:t>
      </w:r>
      <w:r>
        <w:rPr>
          <w:rFonts w:hint="eastAsia"/>
          <w:b w:val="0"/>
          <w:bCs w:val="0"/>
          <w:color w:val="auto"/>
          <w:sz w:val="21"/>
          <w:szCs w:val="21"/>
          <w:highlight w:val="none"/>
          <w:u w:val="single"/>
        </w:rPr>
        <w:t xml:space="preserve">     （</w:t>
      </w:r>
      <w:r>
        <w:rPr>
          <w:b w:val="0"/>
          <w:bCs w:val="0"/>
          <w:color w:val="auto"/>
          <w:sz w:val="21"/>
          <w:szCs w:val="21"/>
          <w:highlight w:val="none"/>
          <w:u w:val="single"/>
        </w:rPr>
        <w:t>标的名称</w:t>
      </w:r>
      <w:r>
        <w:rPr>
          <w:rFonts w:hint="eastAsia"/>
          <w:b w:val="0"/>
          <w:bCs w:val="0"/>
          <w:color w:val="auto"/>
          <w:sz w:val="21"/>
          <w:szCs w:val="21"/>
          <w:highlight w:val="none"/>
          <w:u w:val="single"/>
        </w:rPr>
        <w:t>）</w:t>
      </w:r>
      <w:r>
        <w:rPr>
          <w:rFonts w:hint="eastAsia"/>
          <w:b w:val="0"/>
          <w:bCs w:val="0"/>
          <w:color w:val="auto"/>
          <w:sz w:val="21"/>
          <w:szCs w:val="21"/>
          <w:highlight w:val="none"/>
        </w:rPr>
        <w:t>，</w:t>
      </w:r>
      <w:r>
        <w:rPr>
          <w:b w:val="0"/>
          <w:bCs w:val="0"/>
          <w:color w:val="auto"/>
          <w:sz w:val="21"/>
          <w:szCs w:val="21"/>
          <w:highlight w:val="none"/>
        </w:rPr>
        <w:t>属于</w:t>
      </w:r>
      <w:r>
        <w:rPr>
          <w:rFonts w:hint="eastAsia"/>
          <w:b w:val="0"/>
          <w:bCs w:val="0"/>
          <w:color w:val="auto"/>
          <w:sz w:val="21"/>
          <w:szCs w:val="21"/>
          <w:highlight w:val="none"/>
          <w:u w:val="single"/>
        </w:rPr>
        <w:t xml:space="preserve">     </w:t>
      </w:r>
      <w:r>
        <w:rPr>
          <w:b w:val="0"/>
          <w:bCs w:val="0"/>
          <w:color w:val="auto"/>
          <w:sz w:val="21"/>
          <w:szCs w:val="21"/>
          <w:highlight w:val="none"/>
          <w:u w:val="single"/>
        </w:rPr>
        <w:t>（釆购文件中明确的所属行业）行业</w:t>
      </w:r>
      <w:r>
        <w:rPr>
          <w:rFonts w:hint="eastAsia"/>
          <w:b w:val="0"/>
          <w:bCs w:val="0"/>
          <w:color w:val="auto"/>
          <w:sz w:val="21"/>
          <w:szCs w:val="21"/>
          <w:highlight w:val="none"/>
        </w:rPr>
        <w:t>；</w:t>
      </w:r>
      <w:r>
        <w:rPr>
          <w:b w:val="0"/>
          <w:bCs w:val="0"/>
          <w:color w:val="auto"/>
          <w:sz w:val="21"/>
          <w:szCs w:val="21"/>
          <w:highlight w:val="none"/>
        </w:rPr>
        <w:t>制造商为</w:t>
      </w:r>
      <w:r>
        <w:rPr>
          <w:b w:val="0"/>
          <w:bCs w:val="0"/>
          <w:color w:val="auto"/>
          <w:sz w:val="21"/>
          <w:szCs w:val="21"/>
          <w:highlight w:val="none"/>
          <w:u w:val="single"/>
        </w:rPr>
        <w:t>（企业名称）</w:t>
      </w:r>
      <w:r>
        <w:rPr>
          <w:rFonts w:hint="eastAsia"/>
          <w:b w:val="0"/>
          <w:bCs w:val="0"/>
          <w:color w:val="auto"/>
          <w:sz w:val="21"/>
          <w:szCs w:val="21"/>
          <w:highlight w:val="none"/>
        </w:rPr>
        <w:t>，</w:t>
      </w:r>
      <w:r>
        <w:rPr>
          <w:b w:val="0"/>
          <w:bCs w:val="0"/>
          <w:color w:val="auto"/>
          <w:sz w:val="21"/>
          <w:szCs w:val="21"/>
          <w:highlight w:val="none"/>
        </w:rPr>
        <w:t>从业人员</w:t>
      </w:r>
      <w:r>
        <w:rPr>
          <w:rFonts w:hint="eastAsia"/>
          <w:b w:val="0"/>
          <w:bCs w:val="0"/>
          <w:color w:val="auto"/>
          <w:sz w:val="21"/>
          <w:szCs w:val="21"/>
          <w:highlight w:val="none"/>
          <w:u w:val="single"/>
        </w:rPr>
        <w:t xml:space="preserve"> </w:t>
      </w:r>
      <w:r>
        <w:rPr>
          <w:b w:val="0"/>
          <w:bCs w:val="0"/>
          <w:color w:val="auto"/>
          <w:sz w:val="21"/>
          <w:szCs w:val="21"/>
          <w:highlight w:val="none"/>
          <w:u w:val="single"/>
        </w:rPr>
        <w:tab/>
      </w:r>
      <w:r>
        <w:rPr>
          <w:b w:val="0"/>
          <w:bCs w:val="0"/>
          <w:color w:val="auto"/>
          <w:sz w:val="21"/>
          <w:szCs w:val="21"/>
          <w:highlight w:val="none"/>
        </w:rPr>
        <w:t>人，营业收入为</w:t>
      </w:r>
      <w:r>
        <w:rPr>
          <w:rFonts w:hint="eastAsia"/>
          <w:b w:val="0"/>
          <w:bCs w:val="0"/>
          <w:color w:val="auto"/>
          <w:sz w:val="21"/>
          <w:szCs w:val="21"/>
          <w:highlight w:val="none"/>
          <w:u w:val="single"/>
        </w:rPr>
        <w:t xml:space="preserve">    </w:t>
      </w:r>
      <w:r>
        <w:rPr>
          <w:b w:val="0"/>
          <w:bCs w:val="0"/>
          <w:color w:val="auto"/>
          <w:sz w:val="21"/>
          <w:szCs w:val="21"/>
          <w:highlight w:val="none"/>
        </w:rPr>
        <w:t>万元，资产总额为</w:t>
      </w:r>
      <w:r>
        <w:rPr>
          <w:rFonts w:hint="eastAsia"/>
          <w:b w:val="0"/>
          <w:bCs w:val="0"/>
          <w:color w:val="auto"/>
          <w:sz w:val="21"/>
          <w:szCs w:val="21"/>
          <w:highlight w:val="none"/>
          <w:u w:val="single"/>
        </w:rPr>
        <w:t xml:space="preserve">     </w:t>
      </w:r>
      <w:r>
        <w:rPr>
          <w:b w:val="0"/>
          <w:bCs w:val="0"/>
          <w:color w:val="auto"/>
          <w:sz w:val="21"/>
          <w:szCs w:val="21"/>
          <w:highlight w:val="none"/>
        </w:rPr>
        <w:t>万元</w:t>
      </w:r>
      <w:r>
        <w:rPr>
          <w:rFonts w:hint="eastAsia"/>
          <w:b w:val="0"/>
          <w:bCs w:val="0"/>
          <w:color w:val="auto"/>
          <w:sz w:val="21"/>
          <w:szCs w:val="21"/>
          <w:highlight w:val="none"/>
        </w:rPr>
        <w:t>，</w:t>
      </w:r>
      <w:r>
        <w:rPr>
          <w:b w:val="0"/>
          <w:bCs w:val="0"/>
          <w:color w:val="auto"/>
          <w:sz w:val="21"/>
          <w:szCs w:val="21"/>
          <w:highlight w:val="none"/>
        </w:rPr>
        <w:t>属于</w:t>
      </w:r>
      <w:r>
        <w:rPr>
          <w:b w:val="0"/>
          <w:bCs w:val="0"/>
          <w:color w:val="auto"/>
          <w:sz w:val="21"/>
          <w:szCs w:val="21"/>
          <w:highlight w:val="none"/>
          <w:u w:val="single"/>
        </w:rPr>
        <w:t>（中型企业、小型企业、微型企业）</w:t>
      </w:r>
      <w:r>
        <w:rPr>
          <w:rFonts w:hint="eastAsia"/>
          <w:b w:val="0"/>
          <w:bCs w:val="0"/>
          <w:color w:val="auto"/>
          <w:sz w:val="21"/>
          <w:szCs w:val="21"/>
          <w:highlight w:val="none"/>
        </w:rPr>
        <w:t>；</w:t>
      </w:r>
      <w:r>
        <w:rPr>
          <w:b w:val="0"/>
          <w:bCs w:val="0"/>
          <w:color w:val="auto"/>
          <w:sz w:val="21"/>
          <w:szCs w:val="21"/>
          <w:highlight w:val="none"/>
        </w:rPr>
        <w:t xml:space="preserve"> </w:t>
      </w:r>
    </w:p>
    <w:p>
      <w:pPr>
        <w:pStyle w:val="23"/>
        <w:spacing w:line="506" w:lineRule="exact"/>
        <w:ind w:firstLine="640"/>
        <w:jc w:val="both"/>
        <w:rPr>
          <w:b w:val="0"/>
          <w:bCs w:val="0"/>
          <w:color w:val="auto"/>
          <w:sz w:val="21"/>
          <w:szCs w:val="21"/>
          <w:highlight w:val="none"/>
        </w:rPr>
      </w:pPr>
      <w:r>
        <w:rPr>
          <w:rFonts w:hint="eastAsia"/>
          <w:b w:val="0"/>
          <w:bCs w:val="0"/>
          <w:color w:val="auto"/>
          <w:sz w:val="21"/>
          <w:szCs w:val="21"/>
          <w:highlight w:val="none"/>
        </w:rPr>
        <w:t>2.</w:t>
      </w:r>
      <w:r>
        <w:rPr>
          <w:rFonts w:hint="eastAsia"/>
          <w:b w:val="0"/>
          <w:bCs w:val="0"/>
          <w:color w:val="auto"/>
          <w:sz w:val="21"/>
          <w:szCs w:val="21"/>
          <w:highlight w:val="none"/>
          <w:u w:val="single"/>
        </w:rPr>
        <w:t xml:space="preserve">     </w:t>
      </w:r>
      <w:r>
        <w:rPr>
          <w:b w:val="0"/>
          <w:bCs w:val="0"/>
          <w:color w:val="auto"/>
          <w:sz w:val="21"/>
          <w:szCs w:val="21"/>
          <w:highlight w:val="none"/>
          <w:u w:val="single"/>
        </w:rPr>
        <w:t>（标的名称）</w:t>
      </w:r>
      <w:r>
        <w:rPr>
          <w:rFonts w:hint="eastAsia"/>
          <w:b w:val="0"/>
          <w:bCs w:val="0"/>
          <w:color w:val="auto"/>
          <w:sz w:val="21"/>
          <w:szCs w:val="21"/>
          <w:highlight w:val="none"/>
        </w:rPr>
        <w:t>，</w:t>
      </w:r>
      <w:r>
        <w:rPr>
          <w:b w:val="0"/>
          <w:bCs w:val="0"/>
          <w:color w:val="auto"/>
          <w:sz w:val="21"/>
          <w:szCs w:val="21"/>
          <w:highlight w:val="none"/>
        </w:rPr>
        <w:t>属于</w:t>
      </w:r>
      <w:r>
        <w:rPr>
          <w:rFonts w:hint="eastAsia"/>
          <w:b w:val="0"/>
          <w:bCs w:val="0"/>
          <w:color w:val="auto"/>
          <w:sz w:val="21"/>
          <w:szCs w:val="21"/>
          <w:highlight w:val="none"/>
          <w:u w:val="single"/>
        </w:rPr>
        <w:t xml:space="preserve">     </w:t>
      </w:r>
      <w:r>
        <w:rPr>
          <w:b w:val="0"/>
          <w:bCs w:val="0"/>
          <w:color w:val="auto"/>
          <w:sz w:val="21"/>
          <w:szCs w:val="21"/>
          <w:highlight w:val="none"/>
          <w:u w:val="single"/>
        </w:rPr>
        <w:t>（釆购文件中明确的所属行业）行业</w:t>
      </w:r>
      <w:r>
        <w:rPr>
          <w:rFonts w:hint="eastAsia"/>
          <w:b w:val="0"/>
          <w:bCs w:val="0"/>
          <w:color w:val="auto"/>
          <w:sz w:val="21"/>
          <w:szCs w:val="21"/>
          <w:highlight w:val="none"/>
        </w:rPr>
        <w:t>；</w:t>
      </w:r>
      <w:r>
        <w:rPr>
          <w:b w:val="0"/>
          <w:bCs w:val="0"/>
          <w:color w:val="auto"/>
          <w:sz w:val="21"/>
          <w:szCs w:val="21"/>
          <w:highlight w:val="none"/>
        </w:rPr>
        <w:t>制造商为</w:t>
      </w:r>
      <w:r>
        <w:rPr>
          <w:b w:val="0"/>
          <w:bCs w:val="0"/>
          <w:color w:val="auto"/>
          <w:sz w:val="21"/>
          <w:szCs w:val="21"/>
          <w:highlight w:val="none"/>
          <w:u w:val="single"/>
        </w:rPr>
        <w:t>（企业名称）</w:t>
      </w:r>
      <w:r>
        <w:rPr>
          <w:rFonts w:hint="eastAsia"/>
          <w:b w:val="0"/>
          <w:bCs w:val="0"/>
          <w:color w:val="auto"/>
          <w:sz w:val="21"/>
          <w:szCs w:val="21"/>
          <w:highlight w:val="none"/>
        </w:rPr>
        <w:t>，</w:t>
      </w:r>
      <w:r>
        <w:rPr>
          <w:b w:val="0"/>
          <w:bCs w:val="0"/>
          <w:color w:val="auto"/>
          <w:sz w:val="21"/>
          <w:szCs w:val="21"/>
          <w:highlight w:val="none"/>
        </w:rPr>
        <w:t>从业人员</w:t>
      </w:r>
      <w:r>
        <w:rPr>
          <w:b w:val="0"/>
          <w:bCs w:val="0"/>
          <w:color w:val="auto"/>
          <w:sz w:val="21"/>
          <w:szCs w:val="21"/>
          <w:highlight w:val="none"/>
          <w:u w:val="single"/>
        </w:rPr>
        <w:tab/>
      </w:r>
      <w:r>
        <w:rPr>
          <w:b w:val="0"/>
          <w:bCs w:val="0"/>
          <w:color w:val="auto"/>
          <w:sz w:val="21"/>
          <w:szCs w:val="21"/>
          <w:highlight w:val="none"/>
        </w:rPr>
        <w:t>人，营业收入为</w:t>
      </w:r>
      <w:r>
        <w:rPr>
          <w:rFonts w:hint="eastAsia"/>
          <w:b w:val="0"/>
          <w:bCs w:val="0"/>
          <w:color w:val="auto"/>
          <w:sz w:val="21"/>
          <w:szCs w:val="21"/>
          <w:highlight w:val="none"/>
          <w:u w:val="single"/>
        </w:rPr>
        <w:t xml:space="preserve">    </w:t>
      </w:r>
      <w:r>
        <w:rPr>
          <w:b w:val="0"/>
          <w:bCs w:val="0"/>
          <w:color w:val="auto"/>
          <w:sz w:val="21"/>
          <w:szCs w:val="21"/>
          <w:highlight w:val="none"/>
        </w:rPr>
        <w:t>万元，资产总额为</w:t>
      </w:r>
      <w:r>
        <w:rPr>
          <w:rFonts w:hint="eastAsia"/>
          <w:b w:val="0"/>
          <w:bCs w:val="0"/>
          <w:color w:val="auto"/>
          <w:sz w:val="21"/>
          <w:szCs w:val="21"/>
          <w:highlight w:val="none"/>
          <w:u w:val="single"/>
        </w:rPr>
        <w:t xml:space="preserve">    </w:t>
      </w:r>
      <w:r>
        <w:rPr>
          <w:b w:val="0"/>
          <w:bCs w:val="0"/>
          <w:color w:val="auto"/>
          <w:sz w:val="21"/>
          <w:szCs w:val="21"/>
          <w:highlight w:val="none"/>
        </w:rPr>
        <w:t>万元，属于</w:t>
      </w:r>
      <w:r>
        <w:rPr>
          <w:b w:val="0"/>
          <w:bCs w:val="0"/>
          <w:color w:val="auto"/>
          <w:sz w:val="21"/>
          <w:szCs w:val="21"/>
          <w:highlight w:val="none"/>
          <w:u w:val="single"/>
        </w:rPr>
        <w:t>（中型企业、小型 企业、微型企业）</w:t>
      </w:r>
      <w:r>
        <w:rPr>
          <w:rFonts w:hint="eastAsia"/>
          <w:b w:val="0"/>
          <w:bCs w:val="0"/>
          <w:color w:val="auto"/>
          <w:sz w:val="21"/>
          <w:szCs w:val="21"/>
          <w:highlight w:val="none"/>
        </w:rPr>
        <w:t>；</w:t>
      </w:r>
    </w:p>
    <w:p>
      <w:pPr>
        <w:pStyle w:val="23"/>
        <w:spacing w:line="506" w:lineRule="exact"/>
        <w:ind w:firstLine="640"/>
        <w:jc w:val="both"/>
        <w:rPr>
          <w:b w:val="0"/>
          <w:bCs w:val="0"/>
          <w:color w:val="auto"/>
          <w:sz w:val="21"/>
          <w:szCs w:val="21"/>
          <w:highlight w:val="none"/>
        </w:rPr>
      </w:pPr>
      <w:r>
        <w:rPr>
          <w:rFonts w:hint="eastAsia"/>
          <w:b w:val="0"/>
          <w:bCs w:val="0"/>
          <w:color w:val="auto"/>
          <w:sz w:val="21"/>
          <w:szCs w:val="21"/>
          <w:highlight w:val="none"/>
        </w:rPr>
        <w:t>......</w:t>
      </w:r>
    </w:p>
    <w:p>
      <w:pPr>
        <w:pStyle w:val="23"/>
        <w:spacing w:line="499" w:lineRule="exact"/>
        <w:ind w:firstLine="640"/>
        <w:jc w:val="both"/>
        <w:rPr>
          <w:b w:val="0"/>
          <w:bCs w:val="0"/>
          <w:color w:val="auto"/>
          <w:sz w:val="21"/>
          <w:szCs w:val="21"/>
          <w:highlight w:val="none"/>
        </w:rPr>
      </w:pPr>
      <w:r>
        <w:rPr>
          <w:b w:val="0"/>
          <w:bCs w:val="0"/>
          <w:color w:val="auto"/>
          <w:sz w:val="21"/>
          <w:szCs w:val="21"/>
          <w:highlight w:val="none"/>
        </w:rPr>
        <w:t>以上企业，不属于大企业的分支机构，不存在控股股东为大企业的情形，也不存在与大企业的负责人为同一人的情形。</w:t>
      </w:r>
    </w:p>
    <w:p>
      <w:pPr>
        <w:pStyle w:val="23"/>
        <w:spacing w:after="40" w:line="499" w:lineRule="exact"/>
        <w:ind w:firstLine="640"/>
        <w:jc w:val="both"/>
        <w:rPr>
          <w:rFonts w:hint="eastAsia"/>
          <w:b w:val="0"/>
          <w:bCs w:val="0"/>
          <w:color w:val="auto"/>
          <w:sz w:val="21"/>
          <w:szCs w:val="21"/>
          <w:highlight w:val="none"/>
        </w:rPr>
      </w:pPr>
      <w:r>
        <w:rPr>
          <w:b w:val="0"/>
          <w:bCs w:val="0"/>
          <w:color w:val="auto"/>
          <w:sz w:val="21"/>
          <w:szCs w:val="21"/>
          <w:highlight w:val="none"/>
        </w:rPr>
        <w:t>本企业对上述声明内容的真实性</w:t>
      </w:r>
      <w:r>
        <w:rPr>
          <w:rFonts w:hint="eastAsia"/>
          <w:b w:val="0"/>
          <w:bCs w:val="0"/>
          <w:color w:val="auto"/>
          <w:sz w:val="21"/>
          <w:szCs w:val="21"/>
          <w:highlight w:val="none"/>
        </w:rPr>
        <w:t>负责</w:t>
      </w:r>
      <w:r>
        <w:rPr>
          <w:b w:val="0"/>
          <w:bCs w:val="0"/>
          <w:color w:val="auto"/>
          <w:sz w:val="21"/>
          <w:szCs w:val="21"/>
          <w:highlight w:val="none"/>
        </w:rPr>
        <w:t>。如有虚假，将依法承担相应责任。</w:t>
      </w:r>
    </w:p>
    <w:p>
      <w:pPr>
        <w:pStyle w:val="23"/>
        <w:spacing w:after="40" w:line="499" w:lineRule="exact"/>
        <w:ind w:firstLine="640"/>
        <w:jc w:val="both"/>
        <w:rPr>
          <w:b w:val="0"/>
          <w:bCs w:val="0"/>
          <w:color w:val="auto"/>
          <w:sz w:val="21"/>
          <w:szCs w:val="21"/>
          <w:highlight w:val="none"/>
        </w:rPr>
      </w:pPr>
    </w:p>
    <w:p>
      <w:pPr>
        <w:pStyle w:val="23"/>
        <w:spacing w:line="506" w:lineRule="exact"/>
        <w:ind w:firstLine="640"/>
        <w:jc w:val="both"/>
        <w:rPr>
          <w:b w:val="0"/>
          <w:bCs w:val="0"/>
          <w:color w:val="auto"/>
          <w:sz w:val="21"/>
          <w:szCs w:val="21"/>
          <w:highlight w:val="none"/>
        </w:rPr>
      </w:pPr>
      <w:r>
        <w:rPr>
          <w:rFonts w:hint="eastAsia"/>
          <w:b w:val="0"/>
          <w:bCs w:val="0"/>
          <w:color w:val="auto"/>
          <w:sz w:val="21"/>
          <w:szCs w:val="21"/>
          <w:highlight w:val="none"/>
        </w:rPr>
        <w:t xml:space="preserve">                          </w:t>
      </w:r>
      <w:r>
        <w:rPr>
          <w:b w:val="0"/>
          <w:bCs w:val="0"/>
          <w:color w:val="auto"/>
          <w:sz w:val="21"/>
          <w:szCs w:val="21"/>
          <w:highlight w:val="none"/>
        </w:rPr>
        <w:t>企业名称（盖章）：</w:t>
      </w:r>
    </w:p>
    <w:p>
      <w:pPr>
        <w:pStyle w:val="23"/>
        <w:spacing w:line="506" w:lineRule="exact"/>
        <w:ind w:firstLine="640"/>
        <w:jc w:val="both"/>
        <w:rPr>
          <w:b w:val="0"/>
          <w:bCs w:val="0"/>
          <w:color w:val="auto"/>
          <w:sz w:val="21"/>
          <w:szCs w:val="21"/>
          <w:highlight w:val="none"/>
        </w:rPr>
      </w:pPr>
      <w:r>
        <w:rPr>
          <w:rFonts w:hint="eastAsia"/>
          <w:b w:val="0"/>
          <w:bCs w:val="0"/>
          <w:color w:val="auto"/>
          <w:sz w:val="21"/>
          <w:szCs w:val="21"/>
          <w:highlight w:val="none"/>
        </w:rPr>
        <w:t xml:space="preserve">                          日期：</w:t>
      </w:r>
    </w:p>
    <w:p>
      <w:pPr>
        <w:pStyle w:val="24"/>
        <w:spacing w:after="0"/>
        <w:rPr>
          <w:rFonts w:hint="eastAsia"/>
          <w:b w:val="0"/>
          <w:bCs w:val="0"/>
          <w:color w:val="auto"/>
          <w:sz w:val="21"/>
          <w:szCs w:val="21"/>
          <w:highlight w:val="none"/>
        </w:rPr>
      </w:pPr>
    </w:p>
    <w:p>
      <w:pPr>
        <w:pStyle w:val="24"/>
        <w:spacing w:after="0"/>
        <w:rPr>
          <w:rFonts w:hint="eastAsia"/>
          <w:b w:val="0"/>
          <w:bCs w:val="0"/>
          <w:color w:val="auto"/>
          <w:highlight w:val="none"/>
        </w:rPr>
      </w:pPr>
    </w:p>
    <w:p>
      <w:pPr>
        <w:pStyle w:val="24"/>
        <w:adjustRightInd w:val="0"/>
        <w:snapToGrid w:val="0"/>
        <w:spacing w:after="0" w:line="360" w:lineRule="exact"/>
        <w:jc w:val="left"/>
        <w:rPr>
          <w:rFonts w:hint="eastAsia"/>
          <w:b w:val="0"/>
          <w:bCs w:val="0"/>
          <w:color w:val="auto"/>
          <w:sz w:val="21"/>
          <w:szCs w:val="21"/>
          <w:highlight w:val="none"/>
        </w:rPr>
      </w:pPr>
      <w:r>
        <w:rPr>
          <w:b w:val="0"/>
          <w:bCs w:val="0"/>
          <w:color w:val="auto"/>
          <w:sz w:val="21"/>
          <w:szCs w:val="21"/>
          <w:highlight w:val="none"/>
        </w:rPr>
        <w:t>备注：</w:t>
      </w:r>
    </w:p>
    <w:p>
      <w:pPr>
        <w:pStyle w:val="24"/>
        <w:adjustRightInd w:val="0"/>
        <w:snapToGrid w:val="0"/>
        <w:spacing w:after="0" w:line="360" w:lineRule="exact"/>
        <w:jc w:val="left"/>
        <w:rPr>
          <w:rFonts w:hint="eastAsia"/>
          <w:b w:val="0"/>
          <w:bCs w:val="0"/>
          <w:color w:val="auto"/>
          <w:sz w:val="21"/>
          <w:szCs w:val="21"/>
          <w:highlight w:val="none"/>
        </w:rPr>
      </w:pPr>
      <w:r>
        <w:rPr>
          <w:rFonts w:hint="eastAsia"/>
          <w:b w:val="0"/>
          <w:bCs w:val="0"/>
          <w:color w:val="auto"/>
          <w:sz w:val="21"/>
          <w:szCs w:val="21"/>
          <w:highlight w:val="none"/>
        </w:rPr>
        <w:t>1、</w:t>
      </w:r>
      <w:r>
        <w:rPr>
          <w:b w:val="0"/>
          <w:bCs w:val="0"/>
          <w:color w:val="auto"/>
          <w:sz w:val="21"/>
          <w:szCs w:val="21"/>
          <w:highlight w:val="none"/>
        </w:rPr>
        <w:t>从业人员、营业收入、资产总额填报上一年度数据，无上一年度数据的新成立企业可不填报</w:t>
      </w:r>
      <w:r>
        <w:rPr>
          <w:rFonts w:hint="eastAsia"/>
          <w:b w:val="0"/>
          <w:bCs w:val="0"/>
          <w:color w:val="auto"/>
          <w:sz w:val="21"/>
          <w:szCs w:val="21"/>
          <w:highlight w:val="none"/>
        </w:rPr>
        <w:t>相关数据。</w:t>
      </w:r>
    </w:p>
    <w:p>
      <w:pPr>
        <w:pStyle w:val="24"/>
        <w:adjustRightInd w:val="0"/>
        <w:snapToGrid w:val="0"/>
        <w:spacing w:after="0" w:line="360" w:lineRule="exact"/>
        <w:jc w:val="left"/>
        <w:rPr>
          <w:rFonts w:hint="eastAsia"/>
          <w:b w:val="0"/>
          <w:bCs w:val="0"/>
          <w:color w:val="auto"/>
          <w:sz w:val="21"/>
          <w:szCs w:val="21"/>
          <w:highlight w:val="none"/>
        </w:rPr>
      </w:pPr>
      <w:r>
        <w:rPr>
          <w:rFonts w:hint="eastAsia"/>
          <w:b w:val="0"/>
          <w:bCs w:val="0"/>
          <w:color w:val="auto"/>
          <w:sz w:val="21"/>
          <w:szCs w:val="21"/>
          <w:highlight w:val="none"/>
        </w:rPr>
        <w:t>2、供应商须依据《采购需求》中明确的标的所属行业进行填报。</w:t>
      </w:r>
    </w:p>
    <w:p>
      <w:pPr>
        <w:pStyle w:val="24"/>
        <w:adjustRightInd w:val="0"/>
        <w:snapToGrid w:val="0"/>
        <w:spacing w:after="0" w:line="360" w:lineRule="exact"/>
        <w:jc w:val="left"/>
        <w:rPr>
          <w:rFonts w:hint="eastAsia"/>
          <w:b w:val="0"/>
          <w:bCs w:val="0"/>
          <w:color w:val="auto"/>
          <w:sz w:val="21"/>
          <w:szCs w:val="21"/>
          <w:highlight w:val="none"/>
        </w:rPr>
      </w:pPr>
      <w:r>
        <w:rPr>
          <w:rFonts w:hint="eastAsia"/>
          <w:b w:val="0"/>
          <w:bCs w:val="0"/>
          <w:color w:val="auto"/>
          <w:sz w:val="21"/>
          <w:szCs w:val="21"/>
          <w:highlight w:val="none"/>
        </w:rPr>
        <w:t>3、填报依据：《政府采购促进中小企业发展管理办法》（财库[2020]46号）；</w:t>
      </w:r>
    </w:p>
    <w:p>
      <w:pPr>
        <w:pStyle w:val="24"/>
        <w:adjustRightInd w:val="0"/>
        <w:snapToGrid w:val="0"/>
        <w:spacing w:after="0" w:line="360" w:lineRule="exact"/>
        <w:jc w:val="left"/>
        <w:rPr>
          <w:rFonts w:hint="eastAsia"/>
          <w:b w:val="0"/>
          <w:bCs w:val="0"/>
          <w:color w:val="auto"/>
          <w:sz w:val="21"/>
          <w:szCs w:val="21"/>
          <w:highlight w:val="none"/>
        </w:rPr>
      </w:pPr>
      <w:r>
        <w:rPr>
          <w:rFonts w:hint="eastAsia"/>
          <w:b w:val="0"/>
          <w:bCs w:val="0"/>
          <w:color w:val="auto"/>
          <w:sz w:val="21"/>
          <w:szCs w:val="21"/>
          <w:highlight w:val="none"/>
        </w:rPr>
        <w:t xml:space="preserve">             《关于印发中小企业划型标准规定的通知》（工信部联企业[2011]300号）</w:t>
      </w:r>
    </w:p>
    <w:p>
      <w:pPr>
        <w:spacing w:line="300" w:lineRule="auto"/>
        <w:ind w:left="420" w:hanging="420"/>
        <w:rPr>
          <w:rFonts w:ascii="黑体" w:hAnsi="黑体" w:eastAsia="黑体"/>
          <w:b w:val="0"/>
          <w:bCs w:val="0"/>
          <w:color w:val="auto"/>
          <w:sz w:val="32"/>
          <w:szCs w:val="32"/>
          <w:highlight w:val="none"/>
        </w:rPr>
      </w:pPr>
    </w:p>
    <w:p>
      <w:pPr>
        <w:spacing w:line="300" w:lineRule="auto"/>
        <w:ind w:left="420" w:hanging="420"/>
        <w:jc w:val="center"/>
        <w:rPr>
          <w:rFonts w:ascii="黑体" w:hAnsi="黑体" w:eastAsia="黑体"/>
          <w:b w:val="0"/>
          <w:bCs w:val="0"/>
          <w:color w:val="auto"/>
          <w:sz w:val="32"/>
          <w:szCs w:val="32"/>
          <w:highlight w:val="none"/>
        </w:rPr>
      </w:pPr>
    </w:p>
    <w:p>
      <w:pPr>
        <w:spacing w:line="300" w:lineRule="auto"/>
        <w:ind w:left="420" w:hanging="420"/>
        <w:jc w:val="center"/>
        <w:rPr>
          <w:rFonts w:ascii="黑体" w:hAnsi="黑体" w:eastAsia="黑体"/>
          <w:b w:val="0"/>
          <w:bCs w:val="0"/>
          <w:color w:val="auto"/>
          <w:sz w:val="32"/>
          <w:szCs w:val="32"/>
          <w:highlight w:val="none"/>
        </w:rPr>
      </w:pPr>
    </w:p>
    <w:p>
      <w:pPr>
        <w:pageBreakBefore/>
        <w:spacing w:line="300" w:lineRule="auto"/>
        <w:ind w:left="420" w:hanging="420"/>
        <w:jc w:val="center"/>
        <w:rPr>
          <w:rFonts w:ascii="黑体" w:hAnsi="黑体" w:eastAsia="黑体"/>
          <w:b w:val="0"/>
          <w:bCs w:val="0"/>
          <w:color w:val="auto"/>
          <w:sz w:val="32"/>
          <w:szCs w:val="32"/>
          <w:highlight w:val="none"/>
        </w:rPr>
      </w:pPr>
    </w:p>
    <w:p>
      <w:pPr>
        <w:spacing w:line="300" w:lineRule="auto"/>
        <w:ind w:left="420" w:hanging="420"/>
        <w:jc w:val="center"/>
        <w:rPr>
          <w:rFonts w:ascii="黑体" w:hAnsi="黑体" w:eastAsia="黑体"/>
          <w:b w:val="0"/>
          <w:bCs w:val="0"/>
          <w:color w:val="auto"/>
          <w:sz w:val="32"/>
          <w:szCs w:val="32"/>
          <w:highlight w:val="none"/>
        </w:rPr>
      </w:pPr>
    </w:p>
    <w:p>
      <w:pPr>
        <w:spacing w:line="300" w:lineRule="auto"/>
        <w:ind w:left="420" w:hanging="420"/>
        <w:jc w:val="center"/>
        <w:rPr>
          <w:rFonts w:ascii="黑体" w:hAnsi="黑体" w:eastAsia="黑体"/>
          <w:b w:val="0"/>
          <w:bCs w:val="0"/>
          <w:color w:val="auto"/>
          <w:sz w:val="32"/>
          <w:szCs w:val="32"/>
          <w:highlight w:val="none"/>
        </w:rPr>
      </w:pPr>
    </w:p>
    <w:p>
      <w:pPr>
        <w:spacing w:line="300" w:lineRule="auto"/>
        <w:ind w:left="420" w:hanging="420"/>
        <w:jc w:val="center"/>
        <w:rPr>
          <w:rFonts w:ascii="黑体" w:hAnsi="黑体" w:eastAsia="黑体"/>
          <w:b w:val="0"/>
          <w:bCs w:val="0"/>
          <w:color w:val="auto"/>
          <w:sz w:val="32"/>
          <w:szCs w:val="32"/>
          <w:highlight w:val="none"/>
        </w:rPr>
      </w:pPr>
    </w:p>
    <w:p>
      <w:pPr>
        <w:spacing w:line="300" w:lineRule="auto"/>
        <w:ind w:left="420" w:hanging="420"/>
        <w:jc w:val="center"/>
        <w:rPr>
          <w:rFonts w:ascii="黑体" w:hAnsi="黑体" w:eastAsia="黑体"/>
          <w:b w:val="0"/>
          <w:bCs w:val="0"/>
          <w:color w:val="auto"/>
          <w:sz w:val="32"/>
          <w:szCs w:val="32"/>
          <w:highlight w:val="none"/>
        </w:rPr>
      </w:pPr>
    </w:p>
    <w:p>
      <w:pPr>
        <w:spacing w:line="300" w:lineRule="auto"/>
        <w:ind w:left="420" w:hanging="420"/>
        <w:jc w:val="center"/>
        <w:rPr>
          <w:rFonts w:ascii="黑体" w:hAnsi="黑体" w:eastAsia="黑体"/>
          <w:b w:val="0"/>
          <w:bCs w:val="0"/>
          <w:color w:val="auto"/>
          <w:sz w:val="32"/>
          <w:szCs w:val="32"/>
          <w:highlight w:val="none"/>
        </w:rPr>
      </w:pPr>
    </w:p>
    <w:p>
      <w:pPr>
        <w:spacing w:line="300" w:lineRule="auto"/>
        <w:ind w:left="420" w:hanging="420"/>
        <w:jc w:val="center"/>
        <w:rPr>
          <w:rFonts w:ascii="黑体" w:hAnsi="黑体" w:eastAsia="黑体"/>
          <w:b w:val="0"/>
          <w:bCs w:val="0"/>
          <w:color w:val="auto"/>
          <w:sz w:val="32"/>
          <w:szCs w:val="32"/>
          <w:highlight w:val="none"/>
        </w:rPr>
      </w:pPr>
    </w:p>
    <w:p>
      <w:pPr>
        <w:spacing w:line="300" w:lineRule="auto"/>
        <w:ind w:left="420" w:hanging="420"/>
        <w:jc w:val="center"/>
        <w:rPr>
          <w:rFonts w:ascii="黑体" w:hAnsi="黑体" w:eastAsia="黑体"/>
          <w:b w:val="0"/>
          <w:bCs w:val="0"/>
          <w:color w:val="auto"/>
          <w:sz w:val="32"/>
          <w:szCs w:val="32"/>
          <w:highlight w:val="none"/>
        </w:rPr>
      </w:pPr>
    </w:p>
    <w:p>
      <w:pPr>
        <w:spacing w:line="300" w:lineRule="auto"/>
        <w:ind w:left="420" w:hanging="420"/>
        <w:jc w:val="center"/>
        <w:rPr>
          <w:rFonts w:ascii="黑体" w:hAnsi="黑体" w:eastAsia="黑体"/>
          <w:b w:val="0"/>
          <w:bCs w:val="0"/>
          <w:color w:val="auto"/>
          <w:sz w:val="32"/>
          <w:szCs w:val="32"/>
          <w:highlight w:val="none"/>
        </w:rPr>
      </w:pPr>
    </w:p>
    <w:p>
      <w:pPr>
        <w:spacing w:line="300" w:lineRule="auto"/>
        <w:ind w:left="420" w:hanging="420"/>
        <w:jc w:val="center"/>
        <w:rPr>
          <w:rFonts w:ascii="黑体" w:hAnsi="黑体" w:eastAsia="黑体"/>
          <w:b w:val="0"/>
          <w:bCs w:val="0"/>
          <w:color w:val="auto"/>
          <w:sz w:val="32"/>
          <w:szCs w:val="32"/>
          <w:highlight w:val="none"/>
        </w:rPr>
      </w:pPr>
    </w:p>
    <w:p>
      <w:pPr>
        <w:spacing w:line="300" w:lineRule="auto"/>
        <w:ind w:left="420" w:hanging="420"/>
        <w:jc w:val="center"/>
        <w:rPr>
          <w:rFonts w:ascii="黑体" w:hAnsi="黑体" w:eastAsia="黑体"/>
          <w:b w:val="0"/>
          <w:bCs w:val="0"/>
          <w:color w:val="auto"/>
          <w:sz w:val="32"/>
          <w:szCs w:val="32"/>
          <w:highlight w:val="none"/>
        </w:rPr>
      </w:pPr>
    </w:p>
    <w:p>
      <w:pPr>
        <w:pStyle w:val="3"/>
        <w:jc w:val="center"/>
        <w:rPr>
          <w:b w:val="0"/>
          <w:bCs w:val="0"/>
          <w:color w:val="auto"/>
          <w:highlight w:val="none"/>
        </w:rPr>
      </w:pPr>
      <w:bookmarkStart w:id="66" w:name="_Toc46136760"/>
      <w:r>
        <w:rPr>
          <w:rFonts w:hint="eastAsia"/>
          <w:b w:val="0"/>
          <w:bCs w:val="0"/>
          <w:color w:val="auto"/>
          <w:highlight w:val="none"/>
        </w:rPr>
        <w:t>第五章  合同主要条款</w:t>
      </w:r>
      <w:bookmarkEnd w:id="66"/>
    </w:p>
    <w:p>
      <w:pPr>
        <w:pStyle w:val="8"/>
        <w:jc w:val="center"/>
        <w:rPr>
          <w:b w:val="0"/>
          <w:bCs w:val="0"/>
          <w:color w:val="auto"/>
          <w:sz w:val="52"/>
          <w:szCs w:val="52"/>
          <w:highlight w:val="none"/>
        </w:rPr>
      </w:pPr>
    </w:p>
    <w:p>
      <w:pPr>
        <w:pStyle w:val="8"/>
        <w:jc w:val="center"/>
        <w:rPr>
          <w:b w:val="0"/>
          <w:bCs w:val="0"/>
          <w:color w:val="auto"/>
          <w:sz w:val="52"/>
          <w:szCs w:val="52"/>
          <w:highlight w:val="none"/>
        </w:rPr>
      </w:pPr>
    </w:p>
    <w:p>
      <w:pPr>
        <w:pStyle w:val="8"/>
        <w:jc w:val="center"/>
        <w:rPr>
          <w:b w:val="0"/>
          <w:bCs w:val="0"/>
          <w:color w:val="auto"/>
          <w:sz w:val="52"/>
          <w:szCs w:val="52"/>
          <w:highlight w:val="none"/>
        </w:rPr>
      </w:pPr>
    </w:p>
    <w:p>
      <w:pPr>
        <w:pStyle w:val="8"/>
        <w:jc w:val="center"/>
        <w:rPr>
          <w:b w:val="0"/>
          <w:bCs w:val="0"/>
          <w:color w:val="auto"/>
          <w:sz w:val="52"/>
          <w:szCs w:val="52"/>
          <w:highlight w:val="none"/>
        </w:rPr>
      </w:pPr>
    </w:p>
    <w:p>
      <w:pPr>
        <w:pStyle w:val="8"/>
        <w:pageBreakBefore/>
        <w:jc w:val="center"/>
        <w:rPr>
          <w:b w:val="0"/>
          <w:bCs w:val="0"/>
          <w:color w:val="auto"/>
          <w:sz w:val="52"/>
          <w:szCs w:val="52"/>
          <w:highlight w:val="none"/>
        </w:rPr>
      </w:pPr>
    </w:p>
    <w:p>
      <w:pPr>
        <w:pStyle w:val="8"/>
        <w:jc w:val="center"/>
        <w:rPr>
          <w:b w:val="0"/>
          <w:bCs w:val="0"/>
          <w:color w:val="auto"/>
          <w:sz w:val="52"/>
          <w:szCs w:val="52"/>
          <w:highlight w:val="none"/>
        </w:rPr>
      </w:pPr>
    </w:p>
    <w:p>
      <w:pPr>
        <w:pStyle w:val="8"/>
        <w:jc w:val="center"/>
        <w:rPr>
          <w:b w:val="0"/>
          <w:bCs w:val="0"/>
          <w:color w:val="auto"/>
          <w:sz w:val="52"/>
          <w:szCs w:val="52"/>
          <w:highlight w:val="none"/>
        </w:rPr>
      </w:pPr>
      <w:r>
        <w:rPr>
          <w:rFonts w:hint="eastAsia"/>
          <w:b w:val="0"/>
          <w:bCs w:val="0"/>
          <w:color w:val="auto"/>
          <w:sz w:val="52"/>
          <w:szCs w:val="52"/>
          <w:highlight w:val="none"/>
        </w:rPr>
        <w:t>广西壮族自治区政府采购合同</w:t>
      </w:r>
    </w:p>
    <w:p>
      <w:pPr>
        <w:pStyle w:val="8"/>
        <w:rPr>
          <w:b w:val="0"/>
          <w:bCs w:val="0"/>
          <w:color w:val="auto"/>
          <w:highlight w:val="none"/>
        </w:rPr>
      </w:pPr>
    </w:p>
    <w:p>
      <w:pPr>
        <w:pStyle w:val="8"/>
        <w:rPr>
          <w:b w:val="0"/>
          <w:bCs w:val="0"/>
          <w:color w:val="auto"/>
          <w:highlight w:val="none"/>
        </w:rPr>
      </w:pPr>
    </w:p>
    <w:p>
      <w:pPr>
        <w:pStyle w:val="8"/>
        <w:rPr>
          <w:rFonts w:hint="eastAsia"/>
          <w:b w:val="0"/>
          <w:bCs w:val="0"/>
          <w:color w:val="auto"/>
          <w:highlight w:val="none"/>
        </w:rPr>
      </w:pPr>
    </w:p>
    <w:p>
      <w:pPr>
        <w:pStyle w:val="8"/>
        <w:rPr>
          <w:rFonts w:hint="eastAsia"/>
          <w:b w:val="0"/>
          <w:bCs w:val="0"/>
          <w:color w:val="auto"/>
          <w:highlight w:val="none"/>
        </w:rPr>
      </w:pPr>
    </w:p>
    <w:p>
      <w:pPr>
        <w:pStyle w:val="8"/>
        <w:rPr>
          <w:b w:val="0"/>
          <w:bCs w:val="0"/>
          <w:color w:val="auto"/>
          <w:highlight w:val="none"/>
        </w:rPr>
      </w:pPr>
    </w:p>
    <w:p>
      <w:pPr>
        <w:pStyle w:val="8"/>
        <w:rPr>
          <w:b w:val="0"/>
          <w:bCs w:val="0"/>
          <w:color w:val="auto"/>
          <w:highlight w:val="none"/>
        </w:rPr>
      </w:pPr>
    </w:p>
    <w:p>
      <w:pPr>
        <w:pStyle w:val="8"/>
        <w:ind w:firstLine="1590"/>
        <w:rPr>
          <w:b w:val="0"/>
          <w:bCs w:val="0"/>
          <w:color w:val="auto"/>
          <w:sz w:val="32"/>
          <w:szCs w:val="32"/>
          <w:highlight w:val="none"/>
          <w:u w:val="single"/>
        </w:rPr>
      </w:pPr>
      <w:r>
        <w:rPr>
          <w:rFonts w:hint="eastAsia"/>
          <w:b w:val="0"/>
          <w:bCs w:val="0"/>
          <w:color w:val="auto"/>
          <w:sz w:val="32"/>
          <w:szCs w:val="32"/>
          <w:highlight w:val="none"/>
        </w:rPr>
        <w:t>合同名称：</w:t>
      </w:r>
      <w:r>
        <w:rPr>
          <w:rFonts w:hint="eastAsia"/>
          <w:b w:val="0"/>
          <w:bCs w:val="0"/>
          <w:color w:val="auto"/>
          <w:sz w:val="32"/>
          <w:szCs w:val="32"/>
          <w:highlight w:val="none"/>
          <w:u w:val="single"/>
        </w:rPr>
        <w:t xml:space="preserve">                    </w:t>
      </w:r>
    </w:p>
    <w:p>
      <w:pPr>
        <w:pStyle w:val="8"/>
        <w:ind w:firstLine="1590"/>
        <w:rPr>
          <w:b w:val="0"/>
          <w:bCs w:val="0"/>
          <w:color w:val="auto"/>
          <w:sz w:val="32"/>
          <w:szCs w:val="32"/>
          <w:highlight w:val="none"/>
          <w:u w:val="single"/>
        </w:rPr>
      </w:pPr>
      <w:r>
        <w:rPr>
          <w:rFonts w:hint="eastAsia"/>
          <w:b w:val="0"/>
          <w:bCs w:val="0"/>
          <w:color w:val="auto"/>
          <w:sz w:val="32"/>
          <w:szCs w:val="32"/>
          <w:highlight w:val="none"/>
        </w:rPr>
        <w:t>合同编号：</w:t>
      </w:r>
      <w:r>
        <w:rPr>
          <w:rFonts w:hint="eastAsia"/>
          <w:b w:val="0"/>
          <w:bCs w:val="0"/>
          <w:color w:val="auto"/>
          <w:sz w:val="32"/>
          <w:szCs w:val="32"/>
          <w:highlight w:val="none"/>
          <w:u w:val="single"/>
        </w:rPr>
        <w:t xml:space="preserve">                    </w:t>
      </w:r>
    </w:p>
    <w:p>
      <w:pPr>
        <w:pStyle w:val="8"/>
        <w:jc w:val="center"/>
        <w:rPr>
          <w:b w:val="0"/>
          <w:bCs w:val="0"/>
          <w:color w:val="auto"/>
          <w:highlight w:val="none"/>
        </w:rPr>
      </w:pPr>
    </w:p>
    <w:p>
      <w:pPr>
        <w:pStyle w:val="8"/>
        <w:jc w:val="center"/>
        <w:rPr>
          <w:rFonts w:hint="eastAsia"/>
          <w:b w:val="0"/>
          <w:bCs w:val="0"/>
          <w:color w:val="auto"/>
          <w:highlight w:val="none"/>
        </w:rPr>
      </w:pPr>
    </w:p>
    <w:p>
      <w:pPr>
        <w:pStyle w:val="8"/>
        <w:jc w:val="center"/>
        <w:rPr>
          <w:rFonts w:hint="eastAsia"/>
          <w:b w:val="0"/>
          <w:bCs w:val="0"/>
          <w:color w:val="auto"/>
          <w:highlight w:val="none"/>
        </w:rPr>
      </w:pPr>
    </w:p>
    <w:p>
      <w:pPr>
        <w:pStyle w:val="8"/>
        <w:jc w:val="center"/>
        <w:rPr>
          <w:b w:val="0"/>
          <w:bCs w:val="0"/>
          <w:color w:val="auto"/>
          <w:highlight w:val="none"/>
        </w:rPr>
      </w:pPr>
    </w:p>
    <w:p>
      <w:pPr>
        <w:pStyle w:val="8"/>
        <w:jc w:val="center"/>
        <w:rPr>
          <w:b w:val="0"/>
          <w:bCs w:val="0"/>
          <w:color w:val="auto"/>
          <w:highlight w:val="none"/>
        </w:rPr>
      </w:pPr>
    </w:p>
    <w:p>
      <w:pPr>
        <w:pStyle w:val="8"/>
        <w:spacing w:line="340" w:lineRule="exact"/>
        <w:ind w:firstLine="1590"/>
        <w:rPr>
          <w:b w:val="0"/>
          <w:bCs w:val="0"/>
          <w:color w:val="auto"/>
          <w:sz w:val="32"/>
          <w:szCs w:val="32"/>
          <w:highlight w:val="none"/>
        </w:rPr>
      </w:pPr>
      <w:r>
        <w:rPr>
          <w:rFonts w:hint="eastAsia"/>
          <w:b w:val="0"/>
          <w:bCs w:val="0"/>
          <w:color w:val="auto"/>
          <w:sz w:val="32"/>
          <w:szCs w:val="32"/>
          <w:highlight w:val="none"/>
        </w:rPr>
        <w:t>采购人（甲方）</w:t>
      </w:r>
      <w:r>
        <w:rPr>
          <w:rFonts w:hint="eastAsia"/>
          <w:b w:val="0"/>
          <w:bCs w:val="0"/>
          <w:color w:val="auto"/>
          <w:sz w:val="32"/>
          <w:szCs w:val="32"/>
          <w:highlight w:val="none"/>
          <w:u w:val="single"/>
        </w:rPr>
        <w:t xml:space="preserve">                    </w:t>
      </w:r>
    </w:p>
    <w:p>
      <w:pPr>
        <w:pStyle w:val="8"/>
        <w:spacing w:line="340" w:lineRule="exact"/>
        <w:ind w:firstLine="1590"/>
        <w:rPr>
          <w:b w:val="0"/>
          <w:bCs w:val="0"/>
          <w:color w:val="auto"/>
          <w:sz w:val="32"/>
          <w:szCs w:val="32"/>
          <w:highlight w:val="none"/>
        </w:rPr>
      </w:pPr>
    </w:p>
    <w:p>
      <w:pPr>
        <w:pStyle w:val="8"/>
        <w:spacing w:line="340" w:lineRule="exact"/>
        <w:ind w:firstLine="1590"/>
        <w:rPr>
          <w:b w:val="0"/>
          <w:bCs w:val="0"/>
          <w:color w:val="auto"/>
          <w:sz w:val="32"/>
          <w:szCs w:val="32"/>
          <w:highlight w:val="none"/>
          <w:u w:val="single"/>
        </w:rPr>
      </w:pPr>
      <w:r>
        <w:rPr>
          <w:b w:val="0"/>
          <w:bCs w:val="0"/>
          <w:color w:val="auto"/>
          <w:sz w:val="32"/>
          <w:szCs w:val="32"/>
          <w:highlight w:val="none"/>
        </w:rPr>
        <w:t>住   所</w:t>
      </w:r>
      <w:r>
        <w:rPr>
          <w:rFonts w:hint="eastAsia"/>
          <w:b w:val="0"/>
          <w:bCs w:val="0"/>
          <w:color w:val="auto"/>
          <w:sz w:val="32"/>
          <w:szCs w:val="32"/>
          <w:highlight w:val="none"/>
        </w:rPr>
        <w:t>：</w:t>
      </w:r>
      <w:r>
        <w:rPr>
          <w:rFonts w:hint="eastAsia"/>
          <w:b w:val="0"/>
          <w:bCs w:val="0"/>
          <w:color w:val="auto"/>
          <w:sz w:val="32"/>
          <w:szCs w:val="32"/>
          <w:highlight w:val="none"/>
          <w:u w:val="single"/>
        </w:rPr>
        <w:t xml:space="preserve">                          </w:t>
      </w:r>
    </w:p>
    <w:p>
      <w:pPr>
        <w:pStyle w:val="8"/>
        <w:spacing w:line="340" w:lineRule="exact"/>
        <w:ind w:firstLine="1590"/>
        <w:rPr>
          <w:b w:val="0"/>
          <w:bCs w:val="0"/>
          <w:color w:val="auto"/>
          <w:sz w:val="32"/>
          <w:szCs w:val="32"/>
          <w:highlight w:val="none"/>
        </w:rPr>
      </w:pPr>
    </w:p>
    <w:p>
      <w:pPr>
        <w:pStyle w:val="8"/>
        <w:spacing w:line="340" w:lineRule="exact"/>
        <w:ind w:firstLine="1590"/>
        <w:rPr>
          <w:b w:val="0"/>
          <w:bCs w:val="0"/>
          <w:color w:val="auto"/>
          <w:sz w:val="32"/>
          <w:szCs w:val="32"/>
          <w:highlight w:val="none"/>
        </w:rPr>
      </w:pPr>
      <w:r>
        <w:rPr>
          <w:rFonts w:hint="eastAsia"/>
          <w:b w:val="0"/>
          <w:bCs w:val="0"/>
          <w:color w:val="auto"/>
          <w:sz w:val="32"/>
          <w:szCs w:val="32"/>
          <w:highlight w:val="none"/>
        </w:rPr>
        <w:t>供 应 商（乙方）</w:t>
      </w:r>
      <w:r>
        <w:rPr>
          <w:rFonts w:hint="eastAsia"/>
          <w:b w:val="0"/>
          <w:bCs w:val="0"/>
          <w:color w:val="auto"/>
          <w:sz w:val="32"/>
          <w:szCs w:val="32"/>
          <w:highlight w:val="none"/>
          <w:u w:val="single"/>
        </w:rPr>
        <w:t xml:space="preserve">                   </w:t>
      </w:r>
    </w:p>
    <w:p>
      <w:pPr>
        <w:pStyle w:val="8"/>
        <w:spacing w:line="340" w:lineRule="exact"/>
        <w:ind w:firstLine="1039"/>
        <w:rPr>
          <w:b w:val="0"/>
          <w:bCs w:val="0"/>
          <w:color w:val="auto"/>
          <w:highlight w:val="none"/>
        </w:rPr>
      </w:pPr>
      <w:r>
        <w:rPr>
          <w:rFonts w:hint="eastAsia"/>
          <w:b w:val="0"/>
          <w:bCs w:val="0"/>
          <w:color w:val="auto"/>
          <w:highlight w:val="none"/>
        </w:rPr>
        <w:t xml:space="preserve">     </w:t>
      </w:r>
    </w:p>
    <w:p>
      <w:pPr>
        <w:pStyle w:val="8"/>
        <w:spacing w:line="340" w:lineRule="exact"/>
        <w:ind w:firstLine="1590"/>
        <w:rPr>
          <w:b w:val="0"/>
          <w:bCs w:val="0"/>
          <w:color w:val="auto"/>
          <w:sz w:val="32"/>
          <w:szCs w:val="32"/>
          <w:highlight w:val="none"/>
          <w:u w:val="single"/>
        </w:rPr>
      </w:pPr>
      <w:r>
        <w:rPr>
          <w:b w:val="0"/>
          <w:bCs w:val="0"/>
          <w:color w:val="auto"/>
          <w:sz w:val="32"/>
          <w:szCs w:val="32"/>
          <w:highlight w:val="none"/>
        </w:rPr>
        <w:t>住   所</w:t>
      </w:r>
      <w:r>
        <w:rPr>
          <w:rFonts w:hint="eastAsia"/>
          <w:b w:val="0"/>
          <w:bCs w:val="0"/>
          <w:color w:val="auto"/>
          <w:sz w:val="32"/>
          <w:szCs w:val="32"/>
          <w:highlight w:val="none"/>
        </w:rPr>
        <w:t>：</w:t>
      </w:r>
      <w:r>
        <w:rPr>
          <w:rFonts w:hint="eastAsia"/>
          <w:b w:val="0"/>
          <w:bCs w:val="0"/>
          <w:color w:val="auto"/>
          <w:sz w:val="32"/>
          <w:szCs w:val="32"/>
          <w:highlight w:val="none"/>
          <w:u w:val="single"/>
        </w:rPr>
        <w:t xml:space="preserve">                          </w:t>
      </w:r>
    </w:p>
    <w:p>
      <w:pPr>
        <w:pStyle w:val="8"/>
        <w:rPr>
          <w:b w:val="0"/>
          <w:bCs w:val="0"/>
          <w:color w:val="auto"/>
          <w:highlight w:val="none"/>
        </w:rPr>
      </w:pPr>
    </w:p>
    <w:p>
      <w:pPr>
        <w:pStyle w:val="8"/>
        <w:jc w:val="center"/>
        <w:rPr>
          <w:b w:val="0"/>
          <w:bCs w:val="0"/>
          <w:color w:val="auto"/>
          <w:highlight w:val="none"/>
        </w:rPr>
      </w:pPr>
    </w:p>
    <w:p>
      <w:pPr>
        <w:pStyle w:val="8"/>
        <w:jc w:val="center"/>
        <w:rPr>
          <w:rFonts w:hint="eastAsia"/>
          <w:b w:val="0"/>
          <w:bCs w:val="0"/>
          <w:color w:val="auto"/>
          <w:highlight w:val="none"/>
        </w:rPr>
      </w:pPr>
    </w:p>
    <w:p>
      <w:pPr>
        <w:pStyle w:val="8"/>
        <w:jc w:val="center"/>
        <w:rPr>
          <w:rFonts w:hint="eastAsia"/>
          <w:b w:val="0"/>
          <w:bCs w:val="0"/>
          <w:color w:val="auto"/>
          <w:highlight w:val="none"/>
        </w:rPr>
      </w:pPr>
    </w:p>
    <w:p>
      <w:pPr>
        <w:pStyle w:val="8"/>
        <w:jc w:val="center"/>
        <w:rPr>
          <w:rFonts w:hint="eastAsia"/>
          <w:b w:val="0"/>
          <w:bCs w:val="0"/>
          <w:color w:val="auto"/>
          <w:highlight w:val="none"/>
        </w:rPr>
      </w:pPr>
    </w:p>
    <w:p>
      <w:pPr>
        <w:pStyle w:val="8"/>
        <w:jc w:val="center"/>
        <w:rPr>
          <w:b w:val="0"/>
          <w:bCs w:val="0"/>
          <w:color w:val="auto"/>
          <w:highlight w:val="none"/>
        </w:rPr>
      </w:pPr>
    </w:p>
    <w:p>
      <w:pPr>
        <w:pStyle w:val="8"/>
        <w:jc w:val="center"/>
        <w:rPr>
          <w:b w:val="0"/>
          <w:bCs w:val="0"/>
          <w:color w:val="auto"/>
          <w:highlight w:val="none"/>
        </w:rPr>
      </w:pPr>
    </w:p>
    <w:p>
      <w:pPr>
        <w:pStyle w:val="8"/>
        <w:ind w:firstLine="1590"/>
        <w:rPr>
          <w:b w:val="0"/>
          <w:bCs w:val="0"/>
          <w:color w:val="auto"/>
          <w:sz w:val="32"/>
          <w:szCs w:val="32"/>
          <w:highlight w:val="none"/>
          <w:u w:val="single"/>
        </w:rPr>
      </w:pPr>
      <w:r>
        <w:rPr>
          <w:rFonts w:hint="eastAsia"/>
          <w:b w:val="0"/>
          <w:bCs w:val="0"/>
          <w:color w:val="auto"/>
          <w:sz w:val="32"/>
          <w:szCs w:val="32"/>
          <w:highlight w:val="none"/>
        </w:rPr>
        <w:t>签订合同地点：</w:t>
      </w:r>
      <w:r>
        <w:rPr>
          <w:rFonts w:hint="eastAsia"/>
          <w:b w:val="0"/>
          <w:bCs w:val="0"/>
          <w:color w:val="auto"/>
          <w:sz w:val="32"/>
          <w:szCs w:val="32"/>
          <w:highlight w:val="none"/>
          <w:u w:val="single"/>
        </w:rPr>
        <w:t xml:space="preserve">                    </w:t>
      </w:r>
    </w:p>
    <w:p>
      <w:pPr>
        <w:pStyle w:val="8"/>
        <w:ind w:firstLine="1590"/>
        <w:rPr>
          <w:b w:val="0"/>
          <w:bCs w:val="0"/>
          <w:color w:val="auto"/>
          <w:sz w:val="32"/>
          <w:szCs w:val="32"/>
          <w:highlight w:val="none"/>
        </w:rPr>
      </w:pPr>
      <w:r>
        <w:rPr>
          <w:rFonts w:hint="eastAsia"/>
          <w:b w:val="0"/>
          <w:bCs w:val="0"/>
          <w:color w:val="auto"/>
          <w:sz w:val="32"/>
          <w:szCs w:val="32"/>
          <w:highlight w:val="none"/>
        </w:rPr>
        <w:t>签订合同时间：</w:t>
      </w:r>
      <w:r>
        <w:rPr>
          <w:rFonts w:hint="eastAsia"/>
          <w:b w:val="0"/>
          <w:bCs w:val="0"/>
          <w:color w:val="auto"/>
          <w:sz w:val="32"/>
          <w:szCs w:val="32"/>
          <w:highlight w:val="none"/>
          <w:u w:val="single"/>
        </w:rPr>
        <w:t xml:space="preserve">                    </w:t>
      </w:r>
    </w:p>
    <w:p>
      <w:pPr>
        <w:pStyle w:val="8"/>
        <w:jc w:val="center"/>
        <w:rPr>
          <w:b w:val="0"/>
          <w:bCs w:val="0"/>
          <w:color w:val="auto"/>
          <w:highlight w:val="none"/>
        </w:rPr>
      </w:pPr>
      <w:r>
        <w:rPr>
          <w:rFonts w:hint="eastAsia"/>
          <w:b w:val="0"/>
          <w:bCs w:val="0"/>
          <w:color w:val="auto"/>
          <w:highlight w:val="none"/>
        </w:rPr>
        <w:t xml:space="preserve"> </w:t>
      </w:r>
    </w:p>
    <w:p>
      <w:pPr>
        <w:pStyle w:val="8"/>
        <w:jc w:val="center"/>
        <w:rPr>
          <w:rFonts w:hint="eastAsia"/>
          <w:b w:val="0"/>
          <w:bCs w:val="0"/>
          <w:color w:val="auto"/>
          <w:highlight w:val="none"/>
        </w:rPr>
      </w:pPr>
    </w:p>
    <w:p>
      <w:pPr>
        <w:pStyle w:val="8"/>
        <w:jc w:val="center"/>
        <w:rPr>
          <w:rFonts w:hint="eastAsia"/>
          <w:b w:val="0"/>
          <w:bCs w:val="0"/>
          <w:color w:val="auto"/>
          <w:highlight w:val="none"/>
        </w:rPr>
      </w:pPr>
    </w:p>
    <w:p>
      <w:pPr>
        <w:pStyle w:val="8"/>
        <w:jc w:val="center"/>
        <w:rPr>
          <w:rFonts w:hint="eastAsia"/>
          <w:b w:val="0"/>
          <w:bCs w:val="0"/>
          <w:color w:val="auto"/>
          <w:highlight w:val="none"/>
        </w:rPr>
      </w:pPr>
    </w:p>
    <w:p>
      <w:pPr>
        <w:pStyle w:val="8"/>
        <w:jc w:val="center"/>
        <w:rPr>
          <w:b w:val="0"/>
          <w:bCs w:val="0"/>
          <w:color w:val="auto"/>
          <w:highlight w:val="none"/>
        </w:rPr>
      </w:pPr>
    </w:p>
    <w:p>
      <w:pPr>
        <w:pStyle w:val="8"/>
        <w:rPr>
          <w:b w:val="0"/>
          <w:bCs w:val="0"/>
          <w:color w:val="auto"/>
          <w:highlight w:val="none"/>
        </w:rPr>
      </w:pPr>
    </w:p>
    <w:p>
      <w:pPr>
        <w:pStyle w:val="8"/>
        <w:jc w:val="center"/>
        <w:rPr>
          <w:b w:val="0"/>
          <w:bCs w:val="0"/>
          <w:color w:val="auto"/>
          <w:highlight w:val="none"/>
        </w:rPr>
      </w:pPr>
    </w:p>
    <w:p>
      <w:pPr>
        <w:pStyle w:val="8"/>
        <w:jc w:val="center"/>
        <w:rPr>
          <w:rFonts w:hint="eastAsia"/>
          <w:b w:val="0"/>
          <w:bCs w:val="0"/>
          <w:color w:val="auto"/>
          <w:highlight w:val="none"/>
        </w:rPr>
      </w:pPr>
      <w:r>
        <w:rPr>
          <w:rFonts w:hint="eastAsia"/>
          <w:b w:val="0"/>
          <w:bCs w:val="0"/>
          <w:color w:val="auto"/>
          <w:highlight w:val="none"/>
        </w:rPr>
        <w:t>合同使用说明：根据《中华人民共和国政府采购法》、《中华人民共和国民法典》等法律、法规规定，</w:t>
      </w:r>
    </w:p>
    <w:p>
      <w:pPr>
        <w:pStyle w:val="8"/>
        <w:jc w:val="center"/>
        <w:rPr>
          <w:b w:val="0"/>
          <w:bCs w:val="0"/>
          <w:color w:val="auto"/>
          <w:highlight w:val="none"/>
        </w:rPr>
      </w:pPr>
      <w:r>
        <w:rPr>
          <w:rFonts w:hint="eastAsia"/>
          <w:b w:val="0"/>
          <w:bCs w:val="0"/>
          <w:color w:val="auto"/>
          <w:highlight w:val="none"/>
        </w:rPr>
        <w:t>按照竞争性谈判文件规定条款和成交供应商竞争性谈判响应文件及其承诺，甲乙双方签订本合同。</w:t>
      </w:r>
    </w:p>
    <w:p>
      <w:pPr>
        <w:spacing w:line="300" w:lineRule="auto"/>
        <w:ind w:left="420" w:hanging="420"/>
        <w:jc w:val="center"/>
        <w:rPr>
          <w:rFonts w:ascii="黑体" w:hAnsi="黑体" w:eastAsia="黑体"/>
          <w:b w:val="0"/>
          <w:bCs w:val="0"/>
          <w:color w:val="auto"/>
          <w:sz w:val="32"/>
          <w:szCs w:val="32"/>
          <w:highlight w:val="none"/>
        </w:rPr>
      </w:pPr>
    </w:p>
    <w:p>
      <w:pPr>
        <w:pStyle w:val="9"/>
        <w:rPr>
          <w:b w:val="0"/>
          <w:bCs w:val="0"/>
          <w:color w:val="auto"/>
          <w:highlight w:val="none"/>
        </w:rPr>
      </w:pPr>
    </w:p>
    <w:p>
      <w:pPr>
        <w:spacing w:line="480" w:lineRule="auto"/>
        <w:jc w:val="center"/>
        <w:rPr>
          <w:rFonts w:ascii="宋体" w:hAnsi="宋体"/>
          <w:b w:val="0"/>
          <w:bCs w:val="0"/>
          <w:color w:val="auto"/>
          <w:szCs w:val="21"/>
          <w:highlight w:val="none"/>
        </w:rPr>
      </w:pPr>
    </w:p>
    <w:p>
      <w:pPr>
        <w:spacing w:line="300" w:lineRule="auto"/>
        <w:jc w:val="center"/>
        <w:rPr>
          <w:rFonts w:hint="eastAsia" w:ascii="黑体" w:hAnsi="宋体" w:eastAsia="黑体"/>
          <w:b w:val="0"/>
          <w:bCs w:val="0"/>
          <w:color w:val="auto"/>
          <w:sz w:val="44"/>
          <w:szCs w:val="44"/>
          <w:highlight w:val="none"/>
        </w:rPr>
      </w:pPr>
      <w:r>
        <w:rPr>
          <w:rFonts w:hint="eastAsia" w:ascii="黑体" w:hAnsi="宋体" w:eastAsia="黑体"/>
          <w:b w:val="0"/>
          <w:bCs w:val="0"/>
          <w:color w:val="auto"/>
          <w:sz w:val="44"/>
          <w:szCs w:val="44"/>
          <w:highlight w:val="none"/>
        </w:rPr>
        <w:t>采购合同文本</w:t>
      </w:r>
    </w:p>
    <w:p>
      <w:pPr>
        <w:snapToGrid w:val="0"/>
        <w:spacing w:line="360" w:lineRule="exact"/>
        <w:ind w:right="480"/>
        <w:jc w:val="center"/>
        <w:rPr>
          <w:rFonts w:hint="eastAsia" w:ascii="宋体" w:hAnsi="宋体"/>
          <w:b w:val="0"/>
          <w:bCs w:val="0"/>
          <w:color w:val="auto"/>
          <w:szCs w:val="21"/>
          <w:highlight w:val="none"/>
        </w:rPr>
      </w:pPr>
      <w:r>
        <w:rPr>
          <w:rFonts w:hint="eastAsia" w:ascii="宋体" w:hAnsi="宋体"/>
          <w:b w:val="0"/>
          <w:bCs w:val="0"/>
          <w:color w:val="auto"/>
          <w:szCs w:val="21"/>
          <w:highlight w:val="none"/>
        </w:rPr>
        <w:t xml:space="preserve">    广西壮族自治区政府采购合同</w:t>
      </w:r>
    </w:p>
    <w:p>
      <w:pPr>
        <w:snapToGrid w:val="0"/>
        <w:spacing w:line="360" w:lineRule="exact"/>
        <w:ind w:right="480"/>
        <w:jc w:val="center"/>
        <w:rPr>
          <w:rFonts w:hint="eastAsia" w:ascii="宋体" w:hAnsi="宋体"/>
          <w:b w:val="0"/>
          <w:bCs w:val="0"/>
          <w:color w:val="auto"/>
          <w:szCs w:val="21"/>
          <w:highlight w:val="none"/>
        </w:rPr>
      </w:pPr>
      <w:r>
        <w:rPr>
          <w:rFonts w:hint="eastAsia" w:ascii="宋体" w:hAnsi="宋体"/>
          <w:b w:val="0"/>
          <w:bCs w:val="0"/>
          <w:color w:val="auto"/>
          <w:szCs w:val="21"/>
          <w:highlight w:val="none"/>
        </w:rPr>
        <w:t xml:space="preserve">                                        </w:t>
      </w:r>
    </w:p>
    <w:p>
      <w:pPr>
        <w:snapToGrid w:val="0"/>
        <w:spacing w:line="360" w:lineRule="exact"/>
        <w:ind w:right="480"/>
        <w:jc w:val="center"/>
        <w:rPr>
          <w:rFonts w:hint="eastAsia" w:ascii="宋体" w:hAnsi="宋体"/>
          <w:b w:val="0"/>
          <w:bCs w:val="0"/>
          <w:color w:val="auto"/>
          <w:szCs w:val="21"/>
          <w:highlight w:val="none"/>
        </w:rPr>
      </w:pPr>
      <w:r>
        <w:rPr>
          <w:rFonts w:hint="eastAsia" w:ascii="宋体" w:hAnsi="宋体"/>
          <w:b w:val="0"/>
          <w:bCs w:val="0"/>
          <w:color w:val="auto"/>
          <w:szCs w:val="21"/>
          <w:highlight w:val="none"/>
        </w:rPr>
        <w:t xml:space="preserve">                                                              合同编号：</w:t>
      </w:r>
    </w:p>
    <w:p>
      <w:pPr>
        <w:snapToGrid w:val="0"/>
        <w:spacing w:line="360" w:lineRule="exact"/>
        <w:ind w:firstLine="3670" w:firstLineChars="1748"/>
        <w:rPr>
          <w:rFonts w:hint="eastAsia" w:ascii="宋体" w:hAnsi="宋体"/>
          <w:b w:val="0"/>
          <w:bCs w:val="0"/>
          <w:color w:val="auto"/>
          <w:szCs w:val="21"/>
          <w:highlight w:val="none"/>
        </w:rPr>
      </w:pPr>
    </w:p>
    <w:p>
      <w:pPr>
        <w:snapToGrid w:val="0"/>
        <w:spacing w:line="360" w:lineRule="exact"/>
        <w:rPr>
          <w:rFonts w:hint="eastAsia" w:ascii="宋体" w:hAnsi="宋体"/>
          <w:b w:val="0"/>
          <w:bCs w:val="0"/>
          <w:color w:val="auto"/>
          <w:szCs w:val="21"/>
          <w:highlight w:val="none"/>
          <w:u w:val="single"/>
        </w:rPr>
      </w:pPr>
      <w:r>
        <w:rPr>
          <w:rFonts w:hint="eastAsia" w:ascii="宋体" w:hAnsi="宋体"/>
          <w:b w:val="0"/>
          <w:bCs w:val="0"/>
          <w:color w:val="auto"/>
          <w:szCs w:val="21"/>
          <w:highlight w:val="none"/>
        </w:rPr>
        <w:t xml:space="preserve">   采购单位（甲方）</w:t>
      </w:r>
      <w:r>
        <w:rPr>
          <w:rFonts w:hint="eastAsia" w:ascii="宋体" w:hAnsi="宋体"/>
          <w:b w:val="0"/>
          <w:bCs w:val="0"/>
          <w:color w:val="auto"/>
          <w:szCs w:val="21"/>
          <w:highlight w:val="none"/>
          <w:u w:val="single"/>
        </w:rPr>
        <w:t xml:space="preserve">                          </w:t>
      </w:r>
      <w:r>
        <w:rPr>
          <w:rFonts w:hint="eastAsia" w:ascii="宋体" w:hAnsi="宋体"/>
          <w:b w:val="0"/>
          <w:bCs w:val="0"/>
          <w:color w:val="auto"/>
          <w:spacing w:val="-20"/>
          <w:szCs w:val="21"/>
          <w:highlight w:val="none"/>
        </w:rPr>
        <w:t xml:space="preserve">       采  购  计  划  号</w:t>
      </w:r>
      <w:r>
        <w:rPr>
          <w:rFonts w:hint="eastAsia" w:ascii="宋体" w:hAnsi="宋体"/>
          <w:b w:val="0"/>
          <w:bCs w:val="0"/>
          <w:color w:val="auto"/>
          <w:szCs w:val="21"/>
          <w:highlight w:val="none"/>
          <w:u w:val="single"/>
        </w:rPr>
        <w:t xml:space="preserve">                                          </w:t>
      </w:r>
    </w:p>
    <w:p>
      <w:pPr>
        <w:snapToGrid w:val="0"/>
        <w:spacing w:line="360" w:lineRule="exact"/>
        <w:rPr>
          <w:rFonts w:hint="eastAsia" w:ascii="宋体" w:hAnsi="宋体"/>
          <w:b w:val="0"/>
          <w:bCs w:val="0"/>
          <w:color w:val="auto"/>
          <w:szCs w:val="21"/>
          <w:highlight w:val="none"/>
          <w:u w:val="single"/>
        </w:rPr>
      </w:pPr>
      <w:r>
        <w:rPr>
          <w:rFonts w:hint="eastAsia" w:ascii="宋体" w:hAnsi="宋体"/>
          <w:b w:val="0"/>
          <w:bCs w:val="0"/>
          <w:color w:val="auto"/>
          <w:szCs w:val="21"/>
          <w:highlight w:val="none"/>
        </w:rPr>
        <w:t xml:space="preserve">   供 应 商（乙方）</w:t>
      </w:r>
      <w:r>
        <w:rPr>
          <w:rFonts w:hint="eastAsia" w:ascii="宋体" w:hAnsi="宋体"/>
          <w:b w:val="0"/>
          <w:bCs w:val="0"/>
          <w:color w:val="auto"/>
          <w:szCs w:val="21"/>
          <w:highlight w:val="none"/>
          <w:u w:val="single"/>
        </w:rPr>
        <w:t xml:space="preserve">                          </w:t>
      </w:r>
      <w:r>
        <w:rPr>
          <w:rFonts w:hint="eastAsia" w:ascii="宋体" w:hAnsi="宋体"/>
          <w:b w:val="0"/>
          <w:bCs w:val="0"/>
          <w:color w:val="auto"/>
          <w:szCs w:val="21"/>
          <w:highlight w:val="none"/>
        </w:rPr>
        <w:t xml:space="preserve">    项目名称和编号</w:t>
      </w:r>
      <w:r>
        <w:rPr>
          <w:rFonts w:hint="eastAsia" w:ascii="宋体" w:hAnsi="宋体"/>
          <w:b w:val="0"/>
          <w:bCs w:val="0"/>
          <w:color w:val="auto"/>
          <w:szCs w:val="21"/>
          <w:highlight w:val="none"/>
          <w:u w:val="single"/>
        </w:rPr>
        <w:t xml:space="preserve">                                       </w:t>
      </w:r>
    </w:p>
    <w:p>
      <w:pPr>
        <w:snapToGrid w:val="0"/>
        <w:spacing w:line="360" w:lineRule="exact"/>
        <w:rPr>
          <w:rFonts w:hint="eastAsia" w:ascii="宋体" w:hAnsi="宋体"/>
          <w:b w:val="0"/>
          <w:bCs w:val="0"/>
          <w:color w:val="auto"/>
          <w:szCs w:val="21"/>
          <w:highlight w:val="none"/>
          <w:u w:val="single"/>
        </w:rPr>
      </w:pPr>
      <w:r>
        <w:rPr>
          <w:rFonts w:hint="eastAsia" w:ascii="宋体" w:hAnsi="宋体"/>
          <w:b w:val="0"/>
          <w:bCs w:val="0"/>
          <w:color w:val="auto"/>
          <w:szCs w:val="21"/>
          <w:highlight w:val="none"/>
        </w:rPr>
        <w:t xml:space="preserve">   签  订  地  点  </w:t>
      </w:r>
      <w:r>
        <w:rPr>
          <w:rFonts w:hint="eastAsia" w:ascii="宋体" w:hAnsi="宋体"/>
          <w:b w:val="0"/>
          <w:bCs w:val="0"/>
          <w:color w:val="auto"/>
          <w:szCs w:val="21"/>
          <w:highlight w:val="none"/>
          <w:u w:val="single"/>
        </w:rPr>
        <w:t xml:space="preserve">                          </w:t>
      </w:r>
      <w:r>
        <w:rPr>
          <w:rFonts w:hint="eastAsia" w:ascii="宋体" w:hAnsi="宋体"/>
          <w:b w:val="0"/>
          <w:bCs w:val="0"/>
          <w:color w:val="auto"/>
          <w:szCs w:val="21"/>
          <w:highlight w:val="none"/>
        </w:rPr>
        <w:t xml:space="preserve">    签  订  时  间</w:t>
      </w:r>
      <w:r>
        <w:rPr>
          <w:rFonts w:hint="eastAsia" w:ascii="宋体" w:hAnsi="宋体"/>
          <w:b w:val="0"/>
          <w:bCs w:val="0"/>
          <w:color w:val="auto"/>
          <w:szCs w:val="21"/>
          <w:highlight w:val="none"/>
          <w:u w:val="single"/>
        </w:rPr>
        <w:t xml:space="preserve">                                   </w:t>
      </w:r>
    </w:p>
    <w:p>
      <w:pPr>
        <w:snapToGrid w:val="0"/>
        <w:spacing w:line="400" w:lineRule="exact"/>
        <w:ind w:firstLine="420" w:firstLineChars="200"/>
        <w:rPr>
          <w:rFonts w:hint="eastAsia" w:ascii="宋体" w:hAnsi="宋体"/>
          <w:b w:val="0"/>
          <w:bCs w:val="0"/>
          <w:color w:val="auto"/>
          <w:szCs w:val="21"/>
          <w:highlight w:val="none"/>
        </w:rPr>
      </w:pPr>
    </w:p>
    <w:p>
      <w:pPr>
        <w:pStyle w:val="8"/>
        <w:rPr>
          <w:rFonts w:hint="eastAsia"/>
          <w:b w:val="0"/>
          <w:bCs w:val="0"/>
          <w:color w:val="auto"/>
          <w:highlight w:val="none"/>
        </w:rPr>
      </w:pPr>
      <w:r>
        <w:rPr>
          <w:rFonts w:hint="eastAsia"/>
          <w:b w:val="0"/>
          <w:bCs w:val="0"/>
          <w:color w:val="auto"/>
          <w:highlight w:val="none"/>
        </w:rPr>
        <w:t xml:space="preserve">    根据《中华人民共和国政府采购法》、《</w:t>
      </w:r>
      <w:r>
        <w:rPr>
          <w:b w:val="0"/>
          <w:bCs w:val="0"/>
          <w:color w:val="auto"/>
          <w:highlight w:val="none"/>
        </w:rPr>
        <w:t>中华人民共和国民法典</w:t>
      </w:r>
      <w:r>
        <w:rPr>
          <w:rFonts w:hint="eastAsia"/>
          <w:b w:val="0"/>
          <w:bCs w:val="0"/>
          <w:color w:val="auto"/>
          <w:highlight w:val="none"/>
        </w:rPr>
        <w:t>》等法律、法规规定，按照竞争性谈判文件规定条款和成交供应商竞争性谈判响应文件及其承诺，甲乙双方签订本合同。</w:t>
      </w:r>
    </w:p>
    <w:p>
      <w:pPr>
        <w:snapToGrid w:val="0"/>
        <w:spacing w:line="400" w:lineRule="exact"/>
        <w:ind w:firstLine="522" w:firstLineChars="249"/>
        <w:rPr>
          <w:rFonts w:hint="eastAsia" w:ascii="宋体" w:hAnsi="宋体"/>
          <w:b w:val="0"/>
          <w:bCs w:val="0"/>
          <w:color w:val="auto"/>
          <w:szCs w:val="21"/>
          <w:highlight w:val="none"/>
        </w:rPr>
      </w:pPr>
      <w:r>
        <w:rPr>
          <w:rFonts w:hint="eastAsia" w:ascii="宋体" w:hAnsi="宋体"/>
          <w:b w:val="0"/>
          <w:bCs w:val="0"/>
          <w:color w:val="auto"/>
          <w:szCs w:val="21"/>
          <w:highlight w:val="none"/>
        </w:rPr>
        <w:t>第一条  合同标的</w:t>
      </w:r>
    </w:p>
    <w:p>
      <w:pPr>
        <w:snapToGrid w:val="0"/>
        <w:spacing w:line="400" w:lineRule="exact"/>
        <w:rPr>
          <w:rFonts w:hint="eastAsia" w:ascii="宋体" w:hAnsi="宋体"/>
          <w:b w:val="0"/>
          <w:bCs w:val="0"/>
          <w:color w:val="auto"/>
          <w:szCs w:val="21"/>
          <w:highlight w:val="none"/>
        </w:rPr>
      </w:pPr>
      <w:r>
        <w:rPr>
          <w:rFonts w:hint="eastAsia" w:ascii="宋体" w:hAnsi="宋体"/>
          <w:b w:val="0"/>
          <w:bCs w:val="0"/>
          <w:color w:val="auto"/>
          <w:szCs w:val="21"/>
          <w:highlight w:val="none"/>
        </w:rPr>
        <w:t xml:space="preserve">    1、家具一览表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1083"/>
        <w:gridCol w:w="1333"/>
        <w:gridCol w:w="3271"/>
        <w:gridCol w:w="812"/>
        <w:gridCol w:w="812"/>
        <w:gridCol w:w="1421"/>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4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b w:val="0"/>
                <w:bCs w:val="0"/>
                <w:color w:val="auto"/>
                <w:szCs w:val="21"/>
                <w:highlight w:val="none"/>
              </w:rPr>
            </w:pPr>
            <w:r>
              <w:rPr>
                <w:rFonts w:hint="eastAsia" w:ascii="宋体" w:hAnsi="宋体"/>
                <w:b w:val="0"/>
                <w:bCs w:val="0"/>
                <w:color w:val="auto"/>
                <w:szCs w:val="21"/>
                <w:highlight w:val="none"/>
              </w:rPr>
              <w:t>序号</w:t>
            </w:r>
          </w:p>
        </w:tc>
        <w:tc>
          <w:tcPr>
            <w:tcW w:w="50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b w:val="0"/>
                <w:bCs w:val="0"/>
                <w:color w:val="auto"/>
                <w:szCs w:val="21"/>
                <w:highlight w:val="none"/>
              </w:rPr>
            </w:pPr>
            <w:r>
              <w:rPr>
                <w:rFonts w:hint="eastAsia" w:ascii="宋体" w:hAnsi="宋体"/>
                <w:b w:val="0"/>
                <w:bCs w:val="0"/>
                <w:color w:val="auto"/>
                <w:szCs w:val="21"/>
                <w:highlight w:val="none"/>
              </w:rPr>
              <w:t>货物</w:t>
            </w:r>
          </w:p>
          <w:p>
            <w:pPr>
              <w:snapToGrid w:val="0"/>
              <w:spacing w:line="360" w:lineRule="exact"/>
              <w:jc w:val="center"/>
              <w:rPr>
                <w:rFonts w:ascii="宋体" w:hAnsi="宋体"/>
                <w:b w:val="0"/>
                <w:bCs w:val="0"/>
                <w:color w:val="auto"/>
                <w:szCs w:val="21"/>
                <w:highlight w:val="none"/>
              </w:rPr>
            </w:pPr>
            <w:r>
              <w:rPr>
                <w:rFonts w:hint="eastAsia" w:ascii="宋体" w:hAnsi="宋体"/>
                <w:b w:val="0"/>
                <w:bCs w:val="0"/>
                <w:color w:val="auto"/>
                <w:szCs w:val="21"/>
                <w:highlight w:val="none"/>
              </w:rPr>
              <w:t>名称</w:t>
            </w:r>
          </w:p>
        </w:tc>
        <w:tc>
          <w:tcPr>
            <w:tcW w:w="624"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b w:val="0"/>
                <w:bCs w:val="0"/>
                <w:color w:val="auto"/>
                <w:szCs w:val="21"/>
                <w:highlight w:val="none"/>
              </w:rPr>
            </w:pPr>
            <w:r>
              <w:rPr>
                <w:rFonts w:hint="eastAsia" w:ascii="宋体" w:hAnsi="宋体"/>
                <w:b w:val="0"/>
                <w:bCs w:val="0"/>
                <w:color w:val="auto"/>
                <w:szCs w:val="21"/>
                <w:highlight w:val="none"/>
              </w:rPr>
              <w:t>品牌、</w:t>
            </w:r>
          </w:p>
          <w:p>
            <w:pPr>
              <w:snapToGrid w:val="0"/>
              <w:spacing w:line="360" w:lineRule="exact"/>
              <w:jc w:val="center"/>
              <w:rPr>
                <w:rFonts w:ascii="宋体" w:hAnsi="宋体"/>
                <w:b w:val="0"/>
                <w:bCs w:val="0"/>
                <w:color w:val="auto"/>
                <w:szCs w:val="21"/>
                <w:highlight w:val="none"/>
              </w:rPr>
            </w:pPr>
            <w:r>
              <w:rPr>
                <w:rFonts w:hint="eastAsia" w:ascii="宋体" w:hAnsi="宋体"/>
                <w:b w:val="0"/>
                <w:bCs w:val="0"/>
                <w:color w:val="auto"/>
                <w:szCs w:val="21"/>
                <w:highlight w:val="none"/>
              </w:rPr>
              <w:t>型号规格、生产厂家</w:t>
            </w:r>
          </w:p>
        </w:tc>
        <w:tc>
          <w:tcPr>
            <w:tcW w:w="1531" w:type="pct"/>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1620"/>
              </w:tabs>
              <w:spacing w:line="500" w:lineRule="exact"/>
              <w:ind w:firstLine="315" w:firstLineChars="150"/>
              <w:rPr>
                <w:rFonts w:hint="eastAsia" w:ascii="宋体" w:hAnsi="宋体"/>
                <w:b w:val="0"/>
                <w:bCs w:val="0"/>
                <w:color w:val="auto"/>
                <w:szCs w:val="21"/>
                <w:highlight w:val="none"/>
              </w:rPr>
            </w:pPr>
            <w:r>
              <w:rPr>
                <w:rFonts w:hint="eastAsia" w:ascii="宋体" w:hAnsi="宋体"/>
                <w:b w:val="0"/>
                <w:bCs w:val="0"/>
                <w:color w:val="auto"/>
                <w:szCs w:val="21"/>
                <w:highlight w:val="none"/>
              </w:rPr>
              <w:t>技术参数及性能配置要求</w:t>
            </w:r>
          </w:p>
          <w:p>
            <w:pPr>
              <w:tabs>
                <w:tab w:val="left" w:pos="180"/>
                <w:tab w:val="left" w:pos="1620"/>
              </w:tabs>
              <w:spacing w:line="500" w:lineRule="exact"/>
              <w:ind w:firstLine="315" w:firstLineChars="150"/>
              <w:rPr>
                <w:rFonts w:ascii="宋体" w:hAnsi="宋体"/>
                <w:b w:val="0"/>
                <w:bCs w:val="0"/>
                <w:color w:val="auto"/>
                <w:szCs w:val="21"/>
                <w:highlight w:val="none"/>
              </w:rPr>
            </w:pPr>
            <w:r>
              <w:rPr>
                <w:rFonts w:hint="eastAsia" w:ascii="宋体" w:hAnsi="宋体"/>
                <w:b w:val="0"/>
                <w:bCs w:val="0"/>
                <w:color w:val="auto"/>
                <w:szCs w:val="21"/>
                <w:highlight w:val="none"/>
              </w:rPr>
              <w:t>（材质工艺要求说明）</w:t>
            </w:r>
          </w:p>
        </w:tc>
        <w:tc>
          <w:tcPr>
            <w:tcW w:w="38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b w:val="0"/>
                <w:bCs w:val="0"/>
                <w:color w:val="auto"/>
                <w:szCs w:val="21"/>
                <w:highlight w:val="none"/>
              </w:rPr>
            </w:pPr>
            <w:r>
              <w:rPr>
                <w:rFonts w:hint="eastAsia" w:ascii="宋体" w:hAnsi="宋体"/>
                <w:b w:val="0"/>
                <w:bCs w:val="0"/>
                <w:color w:val="auto"/>
                <w:szCs w:val="21"/>
                <w:highlight w:val="none"/>
              </w:rPr>
              <w:t>数量</w:t>
            </w:r>
          </w:p>
        </w:tc>
        <w:tc>
          <w:tcPr>
            <w:tcW w:w="38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b w:val="0"/>
                <w:bCs w:val="0"/>
                <w:color w:val="auto"/>
                <w:szCs w:val="21"/>
                <w:highlight w:val="none"/>
              </w:rPr>
            </w:pPr>
            <w:r>
              <w:rPr>
                <w:rFonts w:hint="eastAsia" w:ascii="宋体" w:hAnsi="宋体"/>
                <w:b w:val="0"/>
                <w:bCs w:val="0"/>
                <w:color w:val="auto"/>
                <w:szCs w:val="21"/>
                <w:highlight w:val="none"/>
              </w:rPr>
              <w:t>单位</w:t>
            </w:r>
          </w:p>
        </w:tc>
        <w:tc>
          <w:tcPr>
            <w:tcW w:w="665"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b w:val="0"/>
                <w:bCs w:val="0"/>
                <w:color w:val="auto"/>
                <w:szCs w:val="21"/>
                <w:highlight w:val="none"/>
              </w:rPr>
            </w:pPr>
            <w:r>
              <w:rPr>
                <w:rFonts w:hint="eastAsia" w:ascii="宋体" w:hAnsi="宋体"/>
                <w:b w:val="0"/>
                <w:bCs w:val="0"/>
                <w:color w:val="auto"/>
                <w:szCs w:val="21"/>
                <w:highlight w:val="none"/>
              </w:rPr>
              <w:t>单价（元）</w:t>
            </w:r>
          </w:p>
        </w:tc>
        <w:tc>
          <w:tcPr>
            <w:tcW w:w="66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b w:val="0"/>
                <w:bCs w:val="0"/>
                <w:color w:val="auto"/>
                <w:szCs w:val="21"/>
                <w:highlight w:val="none"/>
              </w:rPr>
            </w:pPr>
            <w:r>
              <w:rPr>
                <w:rFonts w:hint="eastAsia" w:ascii="宋体" w:hAnsi="宋体"/>
                <w:b w:val="0"/>
                <w:bCs w:val="0"/>
                <w:color w:val="auto"/>
                <w:szCs w:val="21"/>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firstLine="3360" w:firstLineChars="1600"/>
              <w:rPr>
                <w:rFonts w:ascii="宋体" w:hAnsi="宋体"/>
                <w:b w:val="0"/>
                <w:bCs w:val="0"/>
                <w:color w:val="auto"/>
                <w:szCs w:val="21"/>
                <w:highlight w:val="none"/>
              </w:rPr>
            </w:pPr>
            <w:r>
              <w:rPr>
                <w:rFonts w:hint="eastAsia" w:ascii="宋体"/>
                <w:b w:val="0"/>
                <w:bCs w:val="0"/>
                <w:color w:val="auto"/>
                <w:szCs w:val="21"/>
                <w:highlight w:val="none"/>
              </w:rPr>
              <w:t>详细内容见“竞标报价明细表”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b w:val="0"/>
                <w:bCs w:val="0"/>
                <w:color w:val="auto"/>
                <w:szCs w:val="21"/>
                <w:highlight w:val="none"/>
              </w:rPr>
            </w:pPr>
            <w:r>
              <w:rPr>
                <w:rFonts w:hint="eastAsia" w:ascii="宋体" w:hAnsi="宋体"/>
                <w:b w:val="0"/>
                <w:bCs w:val="0"/>
                <w:color w:val="auto"/>
                <w:szCs w:val="21"/>
                <w:highlight w:val="none"/>
              </w:rPr>
              <w:t>人民币合计金额（大写）：                                （小写）</w:t>
            </w:r>
          </w:p>
        </w:tc>
      </w:tr>
    </w:tbl>
    <w:p>
      <w:pPr>
        <w:snapToGrid w:val="0"/>
        <w:spacing w:line="400" w:lineRule="exact"/>
        <w:ind w:right="420" w:firstLine="436" w:firstLineChars="200"/>
        <w:rPr>
          <w:rFonts w:hint="eastAsia" w:ascii="宋体" w:hAnsi="宋体"/>
          <w:b w:val="0"/>
          <w:bCs w:val="0"/>
          <w:color w:val="auto"/>
          <w:spacing w:val="4"/>
          <w:szCs w:val="21"/>
          <w:highlight w:val="none"/>
        </w:rPr>
      </w:pPr>
      <w:r>
        <w:rPr>
          <w:rFonts w:hint="eastAsia" w:ascii="宋体" w:hAnsi="宋体"/>
          <w:b w:val="0"/>
          <w:bCs w:val="0"/>
          <w:color w:val="auto"/>
          <w:spacing w:val="4"/>
          <w:szCs w:val="21"/>
          <w:highlight w:val="none"/>
        </w:rPr>
        <w:t>2、合同合计金额包括家具价款、备件、专用工具、安装、检验、技术资料和包装、运输等</w:t>
      </w:r>
    </w:p>
    <w:p>
      <w:pPr>
        <w:snapToGrid w:val="0"/>
        <w:spacing w:line="400" w:lineRule="exact"/>
        <w:ind w:right="420"/>
        <w:rPr>
          <w:rFonts w:hint="eastAsia" w:ascii="宋体" w:hAnsi="宋体"/>
          <w:b w:val="0"/>
          <w:bCs w:val="0"/>
          <w:color w:val="auto"/>
          <w:spacing w:val="4"/>
          <w:szCs w:val="21"/>
          <w:highlight w:val="none"/>
        </w:rPr>
      </w:pPr>
      <w:r>
        <w:rPr>
          <w:rFonts w:hint="eastAsia" w:ascii="宋体" w:hAnsi="宋体"/>
          <w:b w:val="0"/>
          <w:bCs w:val="0"/>
          <w:color w:val="auto"/>
          <w:spacing w:val="4"/>
          <w:szCs w:val="21"/>
          <w:highlight w:val="none"/>
        </w:rPr>
        <w:t>全部费用。如</w:t>
      </w:r>
      <w:r>
        <w:rPr>
          <w:rFonts w:hint="eastAsia" w:ascii="宋体" w:hAnsi="宋体"/>
          <w:b w:val="0"/>
          <w:bCs w:val="0"/>
          <w:color w:val="auto"/>
          <w:szCs w:val="21"/>
          <w:highlight w:val="none"/>
        </w:rPr>
        <w:t>谈判文件、响应文件</w:t>
      </w:r>
      <w:r>
        <w:rPr>
          <w:rFonts w:hint="eastAsia" w:ascii="宋体" w:hAnsi="宋体"/>
          <w:b w:val="0"/>
          <w:bCs w:val="0"/>
          <w:color w:val="auto"/>
          <w:spacing w:val="4"/>
          <w:szCs w:val="21"/>
          <w:highlight w:val="none"/>
        </w:rPr>
        <w:t>对其另有规定的，从其规定。</w:t>
      </w:r>
    </w:p>
    <w:p>
      <w:pPr>
        <w:snapToGrid w:val="0"/>
        <w:spacing w:line="400" w:lineRule="exact"/>
        <w:ind w:right="525" w:firstLine="654" w:firstLineChars="300"/>
        <w:rPr>
          <w:rFonts w:hint="eastAsia" w:ascii="宋体" w:hAnsi="宋体"/>
          <w:b w:val="0"/>
          <w:bCs w:val="0"/>
          <w:color w:val="auto"/>
          <w:spacing w:val="4"/>
          <w:szCs w:val="21"/>
          <w:highlight w:val="none"/>
        </w:rPr>
      </w:pPr>
      <w:r>
        <w:rPr>
          <w:rFonts w:hint="eastAsia" w:ascii="宋体" w:hAnsi="宋体"/>
          <w:b w:val="0"/>
          <w:bCs w:val="0"/>
          <w:color w:val="auto"/>
          <w:spacing w:val="4"/>
          <w:szCs w:val="21"/>
          <w:highlight w:val="none"/>
        </w:rPr>
        <w:t>第二条  质量保证</w:t>
      </w:r>
    </w:p>
    <w:p>
      <w:pPr>
        <w:snapToGrid w:val="0"/>
        <w:spacing w:line="400" w:lineRule="exact"/>
        <w:ind w:firstLine="436" w:firstLineChars="200"/>
        <w:rPr>
          <w:rFonts w:hint="eastAsia" w:ascii="宋体" w:hAnsi="宋体"/>
          <w:b w:val="0"/>
          <w:bCs w:val="0"/>
          <w:color w:val="auto"/>
          <w:spacing w:val="4"/>
          <w:szCs w:val="21"/>
          <w:highlight w:val="none"/>
        </w:rPr>
      </w:pPr>
      <w:r>
        <w:rPr>
          <w:rFonts w:hint="eastAsia" w:ascii="宋体" w:hAnsi="宋体"/>
          <w:b w:val="0"/>
          <w:bCs w:val="0"/>
          <w:color w:val="auto"/>
          <w:spacing w:val="4"/>
          <w:szCs w:val="21"/>
          <w:highlight w:val="none"/>
        </w:rPr>
        <w:t>1、乙方所提供的家具规格、技术标准、材料等质量必须与</w:t>
      </w:r>
      <w:r>
        <w:rPr>
          <w:rFonts w:hint="eastAsia" w:ascii="宋体" w:hAnsi="宋体"/>
          <w:b w:val="0"/>
          <w:bCs w:val="0"/>
          <w:color w:val="auto"/>
          <w:szCs w:val="21"/>
          <w:highlight w:val="none"/>
        </w:rPr>
        <w:t>谈判文件、响应文件</w:t>
      </w:r>
      <w:r>
        <w:rPr>
          <w:rFonts w:hint="eastAsia" w:ascii="宋体" w:hAnsi="宋体"/>
          <w:b w:val="0"/>
          <w:bCs w:val="0"/>
          <w:color w:val="auto"/>
          <w:spacing w:val="4"/>
          <w:szCs w:val="21"/>
          <w:highlight w:val="none"/>
        </w:rPr>
        <w:t>和承诺相一致。乙方提供的节能和环保产品必须是列入政府采购清单的产品。</w:t>
      </w:r>
    </w:p>
    <w:p>
      <w:pPr>
        <w:snapToGrid w:val="0"/>
        <w:spacing w:line="400" w:lineRule="exact"/>
        <w:ind w:firstLine="436" w:firstLineChars="200"/>
        <w:jc w:val="left"/>
        <w:rPr>
          <w:rFonts w:hint="eastAsia" w:ascii="宋体" w:hAnsi="宋体"/>
          <w:b w:val="0"/>
          <w:bCs w:val="0"/>
          <w:color w:val="auto"/>
          <w:spacing w:val="4"/>
          <w:szCs w:val="21"/>
          <w:highlight w:val="none"/>
          <w:u w:val="single"/>
        </w:rPr>
      </w:pPr>
      <w:r>
        <w:rPr>
          <w:rFonts w:hint="eastAsia" w:ascii="宋体" w:hAnsi="宋体"/>
          <w:b w:val="0"/>
          <w:bCs w:val="0"/>
          <w:color w:val="auto"/>
          <w:spacing w:val="4"/>
          <w:szCs w:val="21"/>
          <w:highlight w:val="none"/>
        </w:rPr>
        <w:t>2、乙方所提供的家具必须是全新、未使用的产品，且在正常使用条件下，其使用寿命应达到承诺年限。</w:t>
      </w:r>
    </w:p>
    <w:p>
      <w:pPr>
        <w:snapToGrid w:val="0"/>
        <w:spacing w:line="400" w:lineRule="exact"/>
        <w:ind w:firstLine="649" w:firstLineChars="298"/>
        <w:rPr>
          <w:rFonts w:hint="eastAsia" w:ascii="宋体" w:hAnsi="宋体"/>
          <w:b w:val="0"/>
          <w:bCs w:val="0"/>
          <w:color w:val="auto"/>
          <w:spacing w:val="4"/>
          <w:szCs w:val="21"/>
          <w:highlight w:val="none"/>
        </w:rPr>
      </w:pPr>
      <w:r>
        <w:rPr>
          <w:rFonts w:hint="eastAsia" w:ascii="宋体" w:hAnsi="宋体"/>
          <w:b w:val="0"/>
          <w:bCs w:val="0"/>
          <w:color w:val="auto"/>
          <w:spacing w:val="4"/>
          <w:szCs w:val="21"/>
          <w:highlight w:val="none"/>
        </w:rPr>
        <w:t>第三条  权利保证</w:t>
      </w:r>
    </w:p>
    <w:p>
      <w:pPr>
        <w:snapToGrid w:val="0"/>
        <w:spacing w:line="400" w:lineRule="exact"/>
        <w:ind w:firstLine="436" w:firstLineChars="200"/>
        <w:rPr>
          <w:rFonts w:hint="eastAsia" w:ascii="宋体" w:hAnsi="宋体"/>
          <w:b w:val="0"/>
          <w:bCs w:val="0"/>
          <w:color w:val="auto"/>
          <w:spacing w:val="4"/>
          <w:szCs w:val="21"/>
          <w:highlight w:val="none"/>
        </w:rPr>
      </w:pPr>
      <w:r>
        <w:rPr>
          <w:rFonts w:hint="eastAsia" w:ascii="宋体" w:hAnsi="宋体"/>
          <w:b w:val="0"/>
          <w:bCs w:val="0"/>
          <w:color w:val="auto"/>
          <w:spacing w:val="4"/>
          <w:szCs w:val="21"/>
          <w:highlight w:val="none"/>
        </w:rPr>
        <w:t>乙方应保证所提供家具在使用时不会侵犯任何第三方的专利权、商标权、工业设计权或其他权利。</w:t>
      </w:r>
    </w:p>
    <w:p>
      <w:pPr>
        <w:snapToGrid w:val="0"/>
        <w:spacing w:line="400" w:lineRule="exact"/>
        <w:ind w:firstLine="640" w:firstLineChars="294"/>
        <w:rPr>
          <w:rFonts w:hint="eastAsia" w:ascii="宋体" w:hAnsi="宋体"/>
          <w:b w:val="0"/>
          <w:bCs w:val="0"/>
          <w:color w:val="auto"/>
          <w:spacing w:val="4"/>
          <w:szCs w:val="21"/>
          <w:highlight w:val="none"/>
        </w:rPr>
      </w:pPr>
      <w:r>
        <w:rPr>
          <w:rFonts w:hint="eastAsia" w:ascii="宋体" w:hAnsi="宋体"/>
          <w:b w:val="0"/>
          <w:bCs w:val="0"/>
          <w:color w:val="auto"/>
          <w:spacing w:val="4"/>
          <w:szCs w:val="21"/>
          <w:highlight w:val="none"/>
        </w:rPr>
        <w:t>第四条  包装和运输</w:t>
      </w:r>
    </w:p>
    <w:p>
      <w:pPr>
        <w:snapToGrid w:val="0"/>
        <w:spacing w:line="400" w:lineRule="exact"/>
        <w:ind w:firstLine="436" w:firstLineChars="200"/>
        <w:rPr>
          <w:rFonts w:hint="eastAsia" w:ascii="宋体" w:hAnsi="宋体"/>
          <w:b w:val="0"/>
          <w:bCs w:val="0"/>
          <w:color w:val="auto"/>
          <w:spacing w:val="4"/>
          <w:szCs w:val="21"/>
          <w:highlight w:val="none"/>
        </w:rPr>
      </w:pPr>
      <w:r>
        <w:rPr>
          <w:rFonts w:hint="eastAsia" w:ascii="宋体" w:hAnsi="宋体"/>
          <w:b w:val="0"/>
          <w:bCs w:val="0"/>
          <w:color w:val="auto"/>
          <w:spacing w:val="4"/>
          <w:szCs w:val="21"/>
          <w:highlight w:val="none"/>
        </w:rPr>
        <w:t>1、乙方提供的家具均应按</w:t>
      </w:r>
      <w:r>
        <w:rPr>
          <w:rFonts w:hint="eastAsia" w:ascii="宋体" w:hAnsi="宋体"/>
          <w:b w:val="0"/>
          <w:bCs w:val="0"/>
          <w:color w:val="auto"/>
          <w:szCs w:val="21"/>
          <w:highlight w:val="none"/>
        </w:rPr>
        <w:t>谈判文件、响应文件</w:t>
      </w:r>
      <w:r>
        <w:rPr>
          <w:rFonts w:hint="eastAsia" w:ascii="宋体" w:hAnsi="宋体"/>
          <w:b w:val="0"/>
          <w:bCs w:val="0"/>
          <w:color w:val="auto"/>
          <w:spacing w:val="4"/>
          <w:szCs w:val="21"/>
          <w:highlight w:val="none"/>
        </w:rPr>
        <w:t>要求的包装材料、包装标准、包装方式进行包装。</w:t>
      </w:r>
    </w:p>
    <w:p>
      <w:pPr>
        <w:snapToGrid w:val="0"/>
        <w:spacing w:line="400" w:lineRule="exact"/>
        <w:ind w:firstLine="436" w:firstLineChars="200"/>
        <w:rPr>
          <w:rFonts w:hint="eastAsia" w:ascii="宋体" w:hAnsi="宋体"/>
          <w:b w:val="0"/>
          <w:bCs w:val="0"/>
          <w:color w:val="auto"/>
          <w:spacing w:val="4"/>
          <w:szCs w:val="21"/>
          <w:highlight w:val="none"/>
        </w:rPr>
      </w:pPr>
      <w:r>
        <w:rPr>
          <w:rFonts w:hint="eastAsia" w:ascii="宋体" w:hAnsi="宋体"/>
          <w:b w:val="0"/>
          <w:bCs w:val="0"/>
          <w:color w:val="auto"/>
          <w:spacing w:val="4"/>
          <w:szCs w:val="21"/>
          <w:highlight w:val="none"/>
        </w:rPr>
        <w:t>2、乙方负责家具运输，家具的运输方式：</w:t>
      </w:r>
      <w:r>
        <w:rPr>
          <w:rFonts w:hint="eastAsia" w:ascii="宋体" w:hAnsi="宋体"/>
          <w:b w:val="0"/>
          <w:bCs w:val="0"/>
          <w:color w:val="auto"/>
          <w:spacing w:val="4"/>
          <w:szCs w:val="21"/>
          <w:highlight w:val="none"/>
          <w:u w:val="single"/>
        </w:rPr>
        <w:t xml:space="preserve">                                 。</w:t>
      </w:r>
    </w:p>
    <w:p>
      <w:pPr>
        <w:snapToGrid w:val="0"/>
        <w:spacing w:line="400" w:lineRule="exact"/>
        <w:ind w:firstLine="649" w:firstLineChars="298"/>
        <w:rPr>
          <w:rFonts w:hint="eastAsia" w:ascii="宋体" w:hAnsi="宋体"/>
          <w:b w:val="0"/>
          <w:bCs w:val="0"/>
          <w:color w:val="auto"/>
          <w:spacing w:val="4"/>
          <w:szCs w:val="21"/>
          <w:highlight w:val="none"/>
        </w:rPr>
      </w:pPr>
      <w:r>
        <w:rPr>
          <w:rFonts w:hint="eastAsia" w:ascii="宋体" w:hAnsi="宋体"/>
          <w:b w:val="0"/>
          <w:bCs w:val="0"/>
          <w:color w:val="auto"/>
          <w:spacing w:val="4"/>
          <w:szCs w:val="21"/>
          <w:highlight w:val="none"/>
        </w:rPr>
        <w:t>第五条  交付和验收</w:t>
      </w:r>
    </w:p>
    <w:p>
      <w:pPr>
        <w:snapToGrid w:val="0"/>
        <w:spacing w:line="400" w:lineRule="exact"/>
        <w:ind w:firstLine="436" w:firstLineChars="200"/>
        <w:rPr>
          <w:rFonts w:hint="eastAsia" w:ascii="宋体" w:hAnsi="宋体"/>
          <w:b w:val="0"/>
          <w:bCs w:val="0"/>
          <w:color w:val="auto"/>
          <w:spacing w:val="4"/>
          <w:szCs w:val="21"/>
          <w:highlight w:val="none"/>
        </w:rPr>
      </w:pPr>
      <w:r>
        <w:rPr>
          <w:rFonts w:hint="eastAsia" w:ascii="宋体" w:hAnsi="宋体"/>
          <w:b w:val="0"/>
          <w:bCs w:val="0"/>
          <w:color w:val="auto"/>
          <w:spacing w:val="4"/>
          <w:szCs w:val="21"/>
          <w:highlight w:val="none"/>
        </w:rPr>
        <w:t>1、交付使用时间：</w:t>
      </w:r>
      <w:r>
        <w:rPr>
          <w:rFonts w:hint="eastAsia" w:ascii="宋体" w:hAnsi="宋体"/>
          <w:b w:val="0"/>
          <w:bCs w:val="0"/>
          <w:color w:val="auto"/>
          <w:spacing w:val="4"/>
          <w:szCs w:val="21"/>
          <w:highlight w:val="none"/>
          <w:u w:val="single"/>
        </w:rPr>
        <w:t xml:space="preserve">                              </w:t>
      </w:r>
      <w:r>
        <w:rPr>
          <w:rFonts w:hint="eastAsia" w:ascii="宋体" w:hAnsi="宋体"/>
          <w:b w:val="0"/>
          <w:bCs w:val="0"/>
          <w:color w:val="auto"/>
          <w:spacing w:val="4"/>
          <w:szCs w:val="21"/>
          <w:highlight w:val="none"/>
        </w:rPr>
        <w:t>、地点：</w:t>
      </w:r>
      <w:r>
        <w:rPr>
          <w:rFonts w:hint="eastAsia" w:ascii="宋体" w:hAnsi="宋体"/>
          <w:b w:val="0"/>
          <w:bCs w:val="0"/>
          <w:color w:val="auto"/>
          <w:spacing w:val="4"/>
          <w:szCs w:val="21"/>
          <w:highlight w:val="none"/>
          <w:u w:val="single"/>
        </w:rPr>
        <w:t xml:space="preserve">                                </w:t>
      </w:r>
      <w:r>
        <w:rPr>
          <w:rFonts w:hint="eastAsia" w:ascii="宋体" w:hAnsi="宋体"/>
          <w:b w:val="0"/>
          <w:bCs w:val="0"/>
          <w:color w:val="auto"/>
          <w:spacing w:val="4"/>
          <w:szCs w:val="21"/>
          <w:highlight w:val="none"/>
        </w:rPr>
        <w:t>。</w:t>
      </w:r>
    </w:p>
    <w:p>
      <w:pPr>
        <w:snapToGrid w:val="0"/>
        <w:spacing w:line="400" w:lineRule="exact"/>
        <w:ind w:firstLine="436" w:firstLineChars="200"/>
        <w:rPr>
          <w:rFonts w:hint="eastAsia" w:ascii="宋体" w:hAnsi="宋体"/>
          <w:b w:val="0"/>
          <w:bCs w:val="0"/>
          <w:color w:val="auto"/>
          <w:szCs w:val="21"/>
          <w:highlight w:val="none"/>
        </w:rPr>
      </w:pPr>
      <w:r>
        <w:rPr>
          <w:rFonts w:hint="eastAsia" w:ascii="宋体" w:hAnsi="宋体"/>
          <w:b w:val="0"/>
          <w:bCs w:val="0"/>
          <w:color w:val="auto"/>
          <w:spacing w:val="4"/>
          <w:szCs w:val="21"/>
          <w:highlight w:val="none"/>
        </w:rPr>
        <w:t>2、乙</w:t>
      </w:r>
      <w:r>
        <w:rPr>
          <w:rFonts w:hint="eastAsia" w:ascii="宋体" w:hAnsi="宋体"/>
          <w:b w:val="0"/>
          <w:bCs w:val="0"/>
          <w:color w:val="auto"/>
          <w:szCs w:val="21"/>
          <w:highlight w:val="none"/>
        </w:rPr>
        <w:t>方提供不符合谈判文件、响应文件和本合同规定的家具，甲方有权拒绝接受。</w:t>
      </w:r>
    </w:p>
    <w:p>
      <w:pPr>
        <w:snapToGrid w:val="0"/>
        <w:spacing w:line="400" w:lineRule="exact"/>
        <w:ind w:firstLine="436" w:firstLineChars="200"/>
        <w:rPr>
          <w:rFonts w:hint="eastAsia" w:ascii="宋体" w:hAnsi="宋体"/>
          <w:b w:val="0"/>
          <w:bCs w:val="0"/>
          <w:color w:val="auto"/>
          <w:spacing w:val="4"/>
          <w:szCs w:val="21"/>
          <w:highlight w:val="none"/>
        </w:rPr>
      </w:pPr>
      <w:r>
        <w:rPr>
          <w:rFonts w:hint="eastAsia" w:ascii="宋体" w:hAnsi="宋体"/>
          <w:b w:val="0"/>
          <w:bCs w:val="0"/>
          <w:color w:val="auto"/>
          <w:spacing w:val="4"/>
          <w:szCs w:val="21"/>
          <w:highlight w:val="none"/>
        </w:rPr>
        <w:t>3、乙方应按照甲方的要求，在</w:t>
      </w:r>
      <w:r>
        <w:rPr>
          <w:rFonts w:hint="eastAsia" w:ascii="宋体" w:hAnsi="宋体"/>
          <w:b w:val="0"/>
          <w:bCs w:val="0"/>
          <w:color w:val="auto"/>
          <w:spacing w:val="4"/>
          <w:szCs w:val="21"/>
          <w:highlight w:val="none"/>
          <w:u w:val="single"/>
        </w:rPr>
        <w:t xml:space="preserve">       </w:t>
      </w:r>
      <w:r>
        <w:rPr>
          <w:rFonts w:hint="eastAsia" w:ascii="宋体" w:hAnsi="宋体"/>
          <w:b w:val="0"/>
          <w:bCs w:val="0"/>
          <w:color w:val="auto"/>
          <w:spacing w:val="4"/>
          <w:szCs w:val="21"/>
          <w:highlight w:val="none"/>
        </w:rPr>
        <w:t>年</w:t>
      </w:r>
      <w:r>
        <w:rPr>
          <w:rFonts w:hint="eastAsia" w:ascii="宋体" w:hAnsi="宋体"/>
          <w:b w:val="0"/>
          <w:bCs w:val="0"/>
          <w:color w:val="auto"/>
          <w:spacing w:val="4"/>
          <w:szCs w:val="21"/>
          <w:highlight w:val="none"/>
          <w:u w:val="single"/>
        </w:rPr>
        <w:t xml:space="preserve">   </w:t>
      </w:r>
      <w:r>
        <w:rPr>
          <w:rFonts w:hint="eastAsia" w:ascii="宋体" w:hAnsi="宋体"/>
          <w:b w:val="0"/>
          <w:bCs w:val="0"/>
          <w:color w:val="auto"/>
          <w:spacing w:val="4"/>
          <w:szCs w:val="21"/>
          <w:highlight w:val="none"/>
        </w:rPr>
        <w:t xml:space="preserve">月 </w:t>
      </w:r>
      <w:r>
        <w:rPr>
          <w:rFonts w:hint="eastAsia" w:ascii="宋体" w:hAnsi="宋体"/>
          <w:b w:val="0"/>
          <w:bCs w:val="0"/>
          <w:color w:val="auto"/>
          <w:spacing w:val="4"/>
          <w:szCs w:val="21"/>
          <w:highlight w:val="none"/>
          <w:u w:val="single"/>
        </w:rPr>
        <w:t xml:space="preserve">     </w:t>
      </w:r>
      <w:r>
        <w:rPr>
          <w:rFonts w:hint="eastAsia" w:ascii="宋体" w:hAnsi="宋体"/>
          <w:b w:val="0"/>
          <w:bCs w:val="0"/>
          <w:color w:val="auto"/>
          <w:spacing w:val="4"/>
          <w:szCs w:val="21"/>
          <w:highlight w:val="none"/>
        </w:rPr>
        <w:t>日内安装完毕并承担安装费用。甲方应提供必要安装条件（如场地、电源等）。</w:t>
      </w:r>
    </w:p>
    <w:p>
      <w:pPr>
        <w:snapToGrid w:val="0"/>
        <w:spacing w:line="400" w:lineRule="exact"/>
        <w:ind w:firstLine="436" w:firstLineChars="200"/>
        <w:rPr>
          <w:rFonts w:hint="eastAsia" w:ascii="宋体" w:hAnsi="宋体"/>
          <w:b w:val="0"/>
          <w:bCs w:val="0"/>
          <w:color w:val="auto"/>
          <w:spacing w:val="4"/>
          <w:szCs w:val="21"/>
          <w:highlight w:val="none"/>
        </w:rPr>
      </w:pPr>
      <w:r>
        <w:rPr>
          <w:rFonts w:hint="eastAsia" w:ascii="宋体" w:hAnsi="宋体"/>
          <w:b w:val="0"/>
          <w:bCs w:val="0"/>
          <w:color w:val="auto"/>
          <w:spacing w:val="4"/>
          <w:szCs w:val="21"/>
          <w:highlight w:val="none"/>
        </w:rPr>
        <w:t>4、乙方在全面安装调试完成后，书面通知甲方，甲方自收到通知</w:t>
      </w:r>
      <w:r>
        <w:rPr>
          <w:rFonts w:hint="eastAsia" w:ascii="宋体" w:hAnsi="宋体"/>
          <w:b w:val="0"/>
          <w:bCs w:val="0"/>
          <w:color w:val="auto"/>
          <w:spacing w:val="4"/>
          <w:szCs w:val="21"/>
          <w:highlight w:val="none"/>
          <w:u w:val="single"/>
        </w:rPr>
        <w:t xml:space="preserve">     </w:t>
      </w:r>
      <w:r>
        <w:rPr>
          <w:rFonts w:hint="eastAsia" w:ascii="宋体" w:hAnsi="宋体"/>
          <w:b w:val="0"/>
          <w:bCs w:val="0"/>
          <w:color w:val="auto"/>
          <w:spacing w:val="4"/>
          <w:szCs w:val="21"/>
          <w:highlight w:val="none"/>
        </w:rPr>
        <w:t>日内组织验收。逾期不验收的，乙方可视同验收合格。验收合格后由甲乙双方签署货物验收单并加盖采购人公章，甲乙双方各执壹份。</w:t>
      </w:r>
    </w:p>
    <w:p>
      <w:pPr>
        <w:snapToGrid w:val="0"/>
        <w:spacing w:line="400" w:lineRule="exact"/>
        <w:ind w:firstLine="436" w:firstLineChars="200"/>
        <w:rPr>
          <w:rFonts w:hint="eastAsia" w:ascii="宋体" w:hAnsi="宋体"/>
          <w:b w:val="0"/>
          <w:bCs w:val="0"/>
          <w:color w:val="auto"/>
          <w:spacing w:val="4"/>
          <w:szCs w:val="21"/>
          <w:highlight w:val="none"/>
        </w:rPr>
      </w:pPr>
      <w:r>
        <w:rPr>
          <w:rFonts w:hint="eastAsia" w:ascii="宋体" w:hAnsi="宋体"/>
          <w:b w:val="0"/>
          <w:bCs w:val="0"/>
          <w:color w:val="auto"/>
          <w:spacing w:val="4"/>
          <w:szCs w:val="21"/>
          <w:highlight w:val="none"/>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00" w:lineRule="exact"/>
        <w:ind w:firstLine="436" w:firstLineChars="200"/>
        <w:rPr>
          <w:rFonts w:hint="eastAsia" w:ascii="宋体" w:hAnsi="宋体"/>
          <w:b w:val="0"/>
          <w:bCs w:val="0"/>
          <w:color w:val="auto"/>
          <w:spacing w:val="4"/>
          <w:szCs w:val="21"/>
          <w:highlight w:val="none"/>
        </w:rPr>
      </w:pPr>
      <w:r>
        <w:rPr>
          <w:rFonts w:hint="eastAsia" w:ascii="宋体" w:hAnsi="宋体"/>
          <w:b w:val="0"/>
          <w:bCs w:val="0"/>
          <w:color w:val="auto"/>
          <w:spacing w:val="4"/>
          <w:szCs w:val="21"/>
          <w:highlight w:val="none"/>
        </w:rPr>
        <w:t>6、甲方对验收有异议的，在验收后</w:t>
      </w:r>
      <w:r>
        <w:rPr>
          <w:rFonts w:hint="eastAsia" w:ascii="宋体" w:hAnsi="宋体"/>
          <w:b w:val="0"/>
          <w:bCs w:val="0"/>
          <w:color w:val="auto"/>
          <w:spacing w:val="4"/>
          <w:szCs w:val="21"/>
          <w:highlight w:val="none"/>
          <w:u w:val="single"/>
        </w:rPr>
        <w:t xml:space="preserve">     </w:t>
      </w:r>
      <w:r>
        <w:rPr>
          <w:rFonts w:hint="eastAsia" w:ascii="宋体" w:hAnsi="宋体"/>
          <w:b w:val="0"/>
          <w:bCs w:val="0"/>
          <w:color w:val="auto"/>
          <w:spacing w:val="4"/>
          <w:szCs w:val="21"/>
          <w:highlight w:val="none"/>
        </w:rPr>
        <w:t>个工作日内以书面形式向乙方提出，乙方应自收到甲方书面异议后</w:t>
      </w:r>
      <w:r>
        <w:rPr>
          <w:rFonts w:hint="eastAsia" w:ascii="宋体" w:hAnsi="宋体"/>
          <w:b w:val="0"/>
          <w:bCs w:val="0"/>
          <w:color w:val="auto"/>
          <w:spacing w:val="4"/>
          <w:szCs w:val="21"/>
          <w:highlight w:val="none"/>
          <w:u w:val="single"/>
        </w:rPr>
        <w:t xml:space="preserve">    </w:t>
      </w:r>
      <w:r>
        <w:rPr>
          <w:rFonts w:hint="eastAsia" w:ascii="宋体" w:hAnsi="宋体"/>
          <w:b w:val="0"/>
          <w:bCs w:val="0"/>
          <w:color w:val="auto"/>
          <w:spacing w:val="4"/>
          <w:szCs w:val="21"/>
          <w:highlight w:val="none"/>
        </w:rPr>
        <w:t>日内及时予以解决。</w:t>
      </w:r>
    </w:p>
    <w:p>
      <w:pPr>
        <w:snapToGrid w:val="0"/>
        <w:spacing w:line="400" w:lineRule="exact"/>
        <w:ind w:firstLine="534" w:firstLineChars="245"/>
        <w:rPr>
          <w:rFonts w:hint="eastAsia" w:ascii="宋体" w:hAnsi="宋体"/>
          <w:b w:val="0"/>
          <w:bCs w:val="0"/>
          <w:color w:val="auto"/>
          <w:spacing w:val="4"/>
          <w:szCs w:val="21"/>
          <w:highlight w:val="none"/>
          <w:u w:val="single"/>
        </w:rPr>
      </w:pPr>
      <w:r>
        <w:rPr>
          <w:rFonts w:hint="eastAsia" w:ascii="宋体" w:hAnsi="宋体"/>
          <w:b w:val="0"/>
          <w:bCs w:val="0"/>
          <w:color w:val="auto"/>
          <w:spacing w:val="4"/>
          <w:szCs w:val="21"/>
          <w:highlight w:val="none"/>
        </w:rPr>
        <w:t>第六条  定做家具图纸提供方法及要求：</w:t>
      </w:r>
      <w:r>
        <w:rPr>
          <w:rFonts w:hint="eastAsia" w:ascii="宋体" w:hAnsi="宋体"/>
          <w:b w:val="0"/>
          <w:bCs w:val="0"/>
          <w:color w:val="auto"/>
          <w:spacing w:val="4"/>
          <w:szCs w:val="21"/>
          <w:highlight w:val="none"/>
          <w:u w:val="single"/>
        </w:rPr>
        <w:t xml:space="preserve">                                                  。</w:t>
      </w:r>
    </w:p>
    <w:p>
      <w:pPr>
        <w:snapToGrid w:val="0"/>
        <w:spacing w:line="400" w:lineRule="exact"/>
        <w:ind w:firstLine="540" w:firstLineChars="248"/>
        <w:rPr>
          <w:rFonts w:hint="eastAsia" w:ascii="宋体" w:hAnsi="宋体"/>
          <w:b w:val="0"/>
          <w:bCs w:val="0"/>
          <w:color w:val="auto"/>
          <w:spacing w:val="4"/>
          <w:szCs w:val="21"/>
          <w:highlight w:val="none"/>
        </w:rPr>
      </w:pPr>
      <w:r>
        <w:rPr>
          <w:rFonts w:hint="eastAsia" w:ascii="宋体" w:hAnsi="宋体"/>
          <w:b w:val="0"/>
          <w:bCs w:val="0"/>
          <w:color w:val="auto"/>
          <w:spacing w:val="4"/>
          <w:szCs w:val="21"/>
          <w:highlight w:val="none"/>
        </w:rPr>
        <w:t>第七条  售后服务、保修期（质量保证期）</w:t>
      </w:r>
    </w:p>
    <w:p>
      <w:pPr>
        <w:snapToGrid w:val="0"/>
        <w:spacing w:line="400" w:lineRule="exact"/>
        <w:ind w:firstLine="436" w:firstLineChars="200"/>
        <w:rPr>
          <w:rFonts w:hint="eastAsia" w:ascii="宋体" w:hAnsi="宋体"/>
          <w:b w:val="0"/>
          <w:bCs w:val="0"/>
          <w:color w:val="auto"/>
          <w:spacing w:val="4"/>
          <w:szCs w:val="21"/>
          <w:highlight w:val="none"/>
        </w:rPr>
      </w:pPr>
      <w:r>
        <w:rPr>
          <w:rFonts w:hint="eastAsia" w:ascii="宋体" w:hAnsi="宋体"/>
          <w:b w:val="0"/>
          <w:bCs w:val="0"/>
          <w:color w:val="auto"/>
          <w:spacing w:val="4"/>
          <w:szCs w:val="21"/>
          <w:highlight w:val="none"/>
        </w:rPr>
        <w:t>1、乙方应按照国家有关法律法规和“三包”规定以及</w:t>
      </w:r>
      <w:r>
        <w:rPr>
          <w:rFonts w:hint="eastAsia" w:ascii="宋体" w:hAnsi="宋体"/>
          <w:b w:val="0"/>
          <w:bCs w:val="0"/>
          <w:color w:val="auto"/>
          <w:szCs w:val="21"/>
          <w:highlight w:val="none"/>
        </w:rPr>
        <w:t>谈判文件、响应文件</w:t>
      </w:r>
      <w:r>
        <w:rPr>
          <w:rFonts w:hint="eastAsia" w:ascii="宋体" w:hAnsi="宋体"/>
          <w:b w:val="0"/>
          <w:bCs w:val="0"/>
          <w:color w:val="auto"/>
          <w:spacing w:val="4"/>
          <w:szCs w:val="21"/>
          <w:highlight w:val="none"/>
        </w:rPr>
        <w:t>和本合同所附的《服务承诺》，为甲方提供售后服务。</w:t>
      </w:r>
    </w:p>
    <w:p>
      <w:pPr>
        <w:snapToGrid w:val="0"/>
        <w:spacing w:line="400" w:lineRule="exact"/>
        <w:ind w:firstLine="436" w:firstLineChars="200"/>
        <w:rPr>
          <w:rFonts w:hint="eastAsia" w:ascii="宋体" w:hAnsi="宋体"/>
          <w:b w:val="0"/>
          <w:bCs w:val="0"/>
          <w:color w:val="auto"/>
          <w:spacing w:val="4"/>
          <w:szCs w:val="21"/>
          <w:highlight w:val="none"/>
        </w:rPr>
      </w:pPr>
      <w:r>
        <w:rPr>
          <w:rFonts w:hint="eastAsia" w:ascii="宋体" w:hAnsi="宋体"/>
          <w:b w:val="0"/>
          <w:bCs w:val="0"/>
          <w:color w:val="auto"/>
          <w:spacing w:val="4"/>
          <w:szCs w:val="21"/>
          <w:highlight w:val="none"/>
        </w:rPr>
        <w:t>2、家具保修期为</w:t>
      </w:r>
      <w:r>
        <w:rPr>
          <w:rFonts w:hint="eastAsia" w:ascii="宋体" w:hAnsi="宋体"/>
          <w:b w:val="0"/>
          <w:bCs w:val="0"/>
          <w:color w:val="auto"/>
          <w:spacing w:val="4"/>
          <w:szCs w:val="21"/>
          <w:highlight w:val="none"/>
          <w:u w:val="single"/>
        </w:rPr>
        <w:t xml:space="preserve">       </w:t>
      </w:r>
      <w:r>
        <w:rPr>
          <w:rFonts w:hint="eastAsia" w:ascii="宋体" w:hAnsi="宋体"/>
          <w:b w:val="0"/>
          <w:bCs w:val="0"/>
          <w:color w:val="auto"/>
          <w:spacing w:val="4"/>
          <w:szCs w:val="21"/>
          <w:highlight w:val="none"/>
        </w:rPr>
        <w:t xml:space="preserve"> 个月，在保修期内出现家具质量问题，乙方须在</w:t>
      </w:r>
      <w:r>
        <w:rPr>
          <w:rFonts w:hint="eastAsia" w:ascii="宋体" w:hAnsi="宋体"/>
          <w:b w:val="0"/>
          <w:bCs w:val="0"/>
          <w:color w:val="auto"/>
          <w:spacing w:val="4"/>
          <w:szCs w:val="21"/>
          <w:highlight w:val="none"/>
          <w:u w:val="single"/>
        </w:rPr>
        <w:t xml:space="preserve">      </w:t>
      </w:r>
      <w:r>
        <w:rPr>
          <w:rFonts w:hint="eastAsia" w:ascii="宋体" w:hAnsi="宋体"/>
          <w:b w:val="0"/>
          <w:bCs w:val="0"/>
          <w:color w:val="auto"/>
          <w:spacing w:val="4"/>
          <w:szCs w:val="21"/>
          <w:highlight w:val="none"/>
        </w:rPr>
        <w:t>天内修理好或更换，并承担全部费用，家具更换后保修期重新开始计算。修理不好或不能更换的，予以退货，乙方应退回该家具全部货款。</w:t>
      </w:r>
    </w:p>
    <w:p>
      <w:pPr>
        <w:snapToGrid w:val="0"/>
        <w:spacing w:line="400" w:lineRule="exact"/>
        <w:ind w:firstLine="436" w:firstLineChars="200"/>
        <w:rPr>
          <w:rFonts w:hint="eastAsia" w:ascii="宋体" w:hAnsi="宋体"/>
          <w:b w:val="0"/>
          <w:bCs w:val="0"/>
          <w:color w:val="auto"/>
          <w:spacing w:val="4"/>
          <w:szCs w:val="21"/>
          <w:highlight w:val="none"/>
        </w:rPr>
      </w:pPr>
      <w:r>
        <w:rPr>
          <w:rFonts w:hint="eastAsia" w:ascii="宋体" w:hAnsi="宋体"/>
          <w:b w:val="0"/>
          <w:bCs w:val="0"/>
          <w:color w:val="auto"/>
          <w:spacing w:val="4"/>
          <w:szCs w:val="21"/>
          <w:highlight w:val="none"/>
        </w:rPr>
        <w:t>3、乙方提供的服务承诺和售后服务及保修期责任等其它具体约定事项。（见合同附件）</w:t>
      </w:r>
    </w:p>
    <w:p>
      <w:pPr>
        <w:snapToGrid w:val="0"/>
        <w:spacing w:line="400" w:lineRule="exact"/>
        <w:ind w:firstLine="501" w:firstLineChars="230"/>
        <w:rPr>
          <w:rFonts w:hint="eastAsia" w:ascii="宋体" w:hAnsi="宋体"/>
          <w:b w:val="0"/>
          <w:bCs w:val="0"/>
          <w:color w:val="auto"/>
          <w:spacing w:val="4"/>
          <w:szCs w:val="21"/>
          <w:highlight w:val="none"/>
        </w:rPr>
      </w:pPr>
      <w:r>
        <w:rPr>
          <w:rFonts w:hint="eastAsia" w:ascii="宋体" w:hAnsi="宋体"/>
          <w:b w:val="0"/>
          <w:bCs w:val="0"/>
          <w:color w:val="auto"/>
          <w:spacing w:val="4"/>
          <w:szCs w:val="21"/>
          <w:highlight w:val="none"/>
        </w:rPr>
        <w:t>第八条  付款方式和保证金</w:t>
      </w:r>
    </w:p>
    <w:p>
      <w:pPr>
        <w:snapToGrid w:val="0"/>
        <w:spacing w:line="400" w:lineRule="exact"/>
        <w:ind w:firstLine="436" w:firstLineChars="200"/>
        <w:rPr>
          <w:rFonts w:hint="eastAsia" w:ascii="宋体" w:hAnsi="宋体"/>
          <w:b w:val="0"/>
          <w:bCs w:val="0"/>
          <w:color w:val="auto"/>
          <w:spacing w:val="4"/>
          <w:szCs w:val="21"/>
          <w:highlight w:val="none"/>
          <w:u w:val="single"/>
        </w:rPr>
      </w:pPr>
      <w:r>
        <w:rPr>
          <w:rFonts w:hint="eastAsia" w:ascii="宋体" w:hAnsi="宋体"/>
          <w:b w:val="0"/>
          <w:bCs w:val="0"/>
          <w:color w:val="auto"/>
          <w:spacing w:val="4"/>
          <w:szCs w:val="21"/>
          <w:highlight w:val="none"/>
        </w:rPr>
        <w:t>1、资金性质：</w:t>
      </w:r>
      <w:r>
        <w:rPr>
          <w:rFonts w:hint="eastAsia" w:ascii="宋体" w:hAnsi="宋体"/>
          <w:b w:val="0"/>
          <w:bCs w:val="0"/>
          <w:color w:val="auto"/>
          <w:spacing w:val="4"/>
          <w:szCs w:val="21"/>
          <w:highlight w:val="none"/>
          <w:u w:val="single"/>
        </w:rPr>
        <w:t xml:space="preserve">                           。</w:t>
      </w:r>
    </w:p>
    <w:p>
      <w:pPr>
        <w:spacing w:line="400" w:lineRule="exact"/>
        <w:ind w:firstLine="427" w:firstLineChars="196"/>
        <w:rPr>
          <w:b w:val="0"/>
          <w:bCs w:val="0"/>
          <w:color w:val="auto"/>
          <w:highlight w:val="none"/>
        </w:rPr>
      </w:pPr>
      <w:r>
        <w:rPr>
          <w:rFonts w:hint="eastAsia" w:ascii="宋体" w:hAnsi="宋体"/>
          <w:b w:val="0"/>
          <w:bCs w:val="0"/>
          <w:color w:val="auto"/>
          <w:spacing w:val="4"/>
          <w:szCs w:val="21"/>
          <w:highlight w:val="none"/>
        </w:rPr>
        <w:t>2、付款方式：按“第三章采购需求”的规定执行</w:t>
      </w:r>
      <w:r>
        <w:rPr>
          <w:rFonts w:hint="eastAsia" w:ascii="宋体" w:hAnsi="宋体" w:cs="宋体"/>
          <w:b w:val="0"/>
          <w:bCs w:val="0"/>
          <w:color w:val="auto"/>
          <w:highlight w:val="none"/>
          <w:lang w:val="zh-CN"/>
        </w:rPr>
        <w:t>。</w:t>
      </w:r>
    </w:p>
    <w:p>
      <w:pPr>
        <w:spacing w:line="400" w:lineRule="exact"/>
        <w:rPr>
          <w:rFonts w:hint="eastAsia" w:ascii="宋体" w:hAnsi="宋体"/>
          <w:b w:val="0"/>
          <w:bCs w:val="0"/>
          <w:color w:val="auto"/>
          <w:szCs w:val="21"/>
          <w:highlight w:val="none"/>
        </w:rPr>
      </w:pPr>
      <w:r>
        <w:rPr>
          <w:rFonts w:hint="eastAsia" w:ascii="宋体" w:hAnsi="宋体"/>
          <w:b w:val="0"/>
          <w:bCs w:val="0"/>
          <w:color w:val="auto"/>
          <w:spacing w:val="4"/>
          <w:szCs w:val="21"/>
          <w:highlight w:val="none"/>
        </w:rPr>
        <w:t xml:space="preserve">    第九条　</w:t>
      </w:r>
      <w:r>
        <w:rPr>
          <w:rFonts w:hint="eastAsia" w:ascii="宋体" w:hAnsi="宋体" w:cs="Courier New"/>
          <w:b w:val="0"/>
          <w:bCs w:val="0"/>
          <w:color w:val="auto"/>
          <w:szCs w:val="21"/>
          <w:highlight w:val="none"/>
        </w:rPr>
        <w:t>履约保</w:t>
      </w:r>
      <w:r>
        <w:rPr>
          <w:rFonts w:hint="eastAsia" w:ascii="宋体" w:hAnsi="宋体"/>
          <w:b w:val="0"/>
          <w:bCs w:val="0"/>
          <w:color w:val="auto"/>
          <w:szCs w:val="21"/>
          <w:highlight w:val="none"/>
        </w:rPr>
        <w:t>证金</w:t>
      </w:r>
    </w:p>
    <w:p>
      <w:pPr>
        <w:snapToGrid w:val="0"/>
        <w:spacing w:line="400" w:lineRule="exact"/>
        <w:ind w:firstLine="436" w:firstLineChars="200"/>
        <w:rPr>
          <w:rFonts w:hint="eastAsia" w:ascii="宋体" w:hAnsi="宋体" w:cs="宋体"/>
          <w:b w:val="0"/>
          <w:bCs w:val="0"/>
          <w:color w:val="auto"/>
          <w:highlight w:val="none"/>
          <w:lang w:val="zh-CN"/>
        </w:rPr>
      </w:pPr>
      <w:r>
        <w:rPr>
          <w:rFonts w:hint="eastAsia" w:ascii="宋体" w:hAnsi="宋体"/>
          <w:b w:val="0"/>
          <w:bCs w:val="0"/>
          <w:color w:val="auto"/>
          <w:spacing w:val="4"/>
          <w:szCs w:val="21"/>
          <w:highlight w:val="none"/>
        </w:rPr>
        <w:t>1.缴纳方式及金额按“第三章采购需求”的规定执行</w:t>
      </w:r>
      <w:r>
        <w:rPr>
          <w:rFonts w:hint="eastAsia" w:ascii="宋体" w:hAnsi="宋体" w:cs="宋体"/>
          <w:b w:val="0"/>
          <w:bCs w:val="0"/>
          <w:color w:val="auto"/>
          <w:highlight w:val="none"/>
          <w:lang w:val="zh-CN"/>
        </w:rPr>
        <w:t>。</w:t>
      </w:r>
    </w:p>
    <w:p>
      <w:pPr>
        <w:snapToGrid w:val="0"/>
        <w:spacing w:line="400" w:lineRule="exact"/>
        <w:ind w:firstLine="420" w:firstLineChars="200"/>
        <w:rPr>
          <w:rFonts w:ascii="宋体" w:hAnsi="宋体" w:cs="宋体"/>
          <w:b w:val="0"/>
          <w:bCs w:val="0"/>
          <w:color w:val="auto"/>
          <w:highlight w:val="none"/>
          <w:u w:val="single"/>
        </w:rPr>
      </w:pPr>
      <w:r>
        <w:rPr>
          <w:rFonts w:hint="eastAsia" w:ascii="宋体" w:hAnsi="宋体" w:cs="宋体"/>
          <w:b w:val="0"/>
          <w:bCs w:val="0"/>
          <w:color w:val="auto"/>
          <w:highlight w:val="none"/>
        </w:rPr>
        <w:t>2.退还方式，乙方提供的家具验收合格、</w:t>
      </w:r>
      <w:r>
        <w:rPr>
          <w:rFonts w:hint="eastAsia" w:ascii="宋体" w:hAnsi="宋体" w:cs="宋体"/>
          <w:b w:val="0"/>
          <w:bCs w:val="0"/>
          <w:color w:val="auto"/>
          <w:highlight w:val="none"/>
          <w:u w:val="single"/>
        </w:rPr>
        <w:t>抵扣违约金（如有）后    个工作日内一次性无息退还。</w:t>
      </w:r>
    </w:p>
    <w:p>
      <w:pPr>
        <w:snapToGrid w:val="0"/>
        <w:spacing w:line="400" w:lineRule="exact"/>
        <w:ind w:firstLine="436" w:firstLineChars="200"/>
        <w:rPr>
          <w:rFonts w:hint="eastAsia" w:ascii="宋体" w:hAnsi="宋体"/>
          <w:b w:val="0"/>
          <w:bCs w:val="0"/>
          <w:color w:val="auto"/>
          <w:spacing w:val="4"/>
          <w:szCs w:val="21"/>
          <w:highlight w:val="none"/>
        </w:rPr>
      </w:pPr>
      <w:r>
        <w:rPr>
          <w:rFonts w:hint="eastAsia" w:ascii="宋体" w:hAnsi="宋体"/>
          <w:b w:val="0"/>
          <w:bCs w:val="0"/>
          <w:color w:val="auto"/>
          <w:spacing w:val="4"/>
          <w:szCs w:val="21"/>
          <w:highlight w:val="none"/>
        </w:rPr>
        <w:t>第十条  合同的变更、终止与转让</w:t>
      </w:r>
    </w:p>
    <w:p>
      <w:pPr>
        <w:snapToGrid w:val="0"/>
        <w:spacing w:line="400" w:lineRule="exact"/>
        <w:ind w:firstLine="436" w:firstLineChars="200"/>
        <w:rPr>
          <w:rFonts w:hint="eastAsia" w:ascii="宋体" w:hAnsi="宋体"/>
          <w:b w:val="0"/>
          <w:bCs w:val="0"/>
          <w:color w:val="auto"/>
          <w:spacing w:val="4"/>
          <w:szCs w:val="21"/>
          <w:highlight w:val="none"/>
        </w:rPr>
      </w:pPr>
      <w:r>
        <w:rPr>
          <w:rFonts w:hint="eastAsia" w:ascii="宋体" w:hAnsi="宋体"/>
          <w:b w:val="0"/>
          <w:bCs w:val="0"/>
          <w:color w:val="auto"/>
          <w:spacing w:val="4"/>
          <w:szCs w:val="21"/>
          <w:highlight w:val="none"/>
        </w:rPr>
        <w:t>1、除《中华人民共和国政府采购法》第五十条规定的情形外，本合同一经签订，甲乙双方不得擅自变更、中止或终止。</w:t>
      </w:r>
    </w:p>
    <w:p>
      <w:pPr>
        <w:snapToGrid w:val="0"/>
        <w:spacing w:line="400" w:lineRule="exact"/>
        <w:ind w:firstLine="436" w:firstLineChars="200"/>
        <w:rPr>
          <w:rFonts w:hint="eastAsia" w:ascii="宋体" w:hAnsi="宋体"/>
          <w:b w:val="0"/>
          <w:bCs w:val="0"/>
          <w:color w:val="auto"/>
          <w:spacing w:val="4"/>
          <w:szCs w:val="21"/>
          <w:highlight w:val="none"/>
        </w:rPr>
      </w:pPr>
      <w:r>
        <w:rPr>
          <w:rFonts w:hint="eastAsia" w:ascii="宋体" w:hAnsi="宋体"/>
          <w:b w:val="0"/>
          <w:bCs w:val="0"/>
          <w:color w:val="auto"/>
          <w:spacing w:val="4"/>
          <w:szCs w:val="21"/>
          <w:highlight w:val="none"/>
        </w:rPr>
        <w:t>2、乙方不得擅自转让其应履行的合同义务。</w:t>
      </w:r>
    </w:p>
    <w:p>
      <w:pPr>
        <w:snapToGrid w:val="0"/>
        <w:spacing w:line="400" w:lineRule="exact"/>
        <w:ind w:firstLine="436" w:firstLineChars="200"/>
        <w:rPr>
          <w:rFonts w:hint="eastAsia" w:ascii="宋体" w:hAnsi="宋体"/>
          <w:b w:val="0"/>
          <w:bCs w:val="0"/>
          <w:color w:val="auto"/>
          <w:spacing w:val="4"/>
          <w:szCs w:val="21"/>
          <w:highlight w:val="none"/>
        </w:rPr>
      </w:pPr>
      <w:r>
        <w:rPr>
          <w:rFonts w:hint="eastAsia" w:ascii="宋体" w:hAnsi="宋体"/>
          <w:b w:val="0"/>
          <w:bCs w:val="0"/>
          <w:color w:val="auto"/>
          <w:spacing w:val="4"/>
          <w:szCs w:val="21"/>
          <w:highlight w:val="none"/>
        </w:rPr>
        <w:t>第十一条  违约责任</w:t>
      </w:r>
    </w:p>
    <w:p>
      <w:pPr>
        <w:snapToGrid w:val="0"/>
        <w:spacing w:line="400" w:lineRule="exact"/>
        <w:ind w:firstLine="436" w:firstLineChars="200"/>
        <w:rPr>
          <w:rFonts w:hint="eastAsia" w:ascii="宋体" w:hAnsi="宋体"/>
          <w:b w:val="0"/>
          <w:bCs w:val="0"/>
          <w:color w:val="auto"/>
          <w:spacing w:val="4"/>
          <w:szCs w:val="21"/>
          <w:highlight w:val="none"/>
        </w:rPr>
      </w:pPr>
      <w:r>
        <w:rPr>
          <w:rFonts w:hint="eastAsia" w:ascii="宋体" w:hAnsi="宋体"/>
          <w:b w:val="0"/>
          <w:bCs w:val="0"/>
          <w:color w:val="auto"/>
          <w:spacing w:val="4"/>
          <w:szCs w:val="21"/>
          <w:highlight w:val="none"/>
        </w:rPr>
        <w:t xml:space="preserve">1、乙方所提供的家具规格、技术标准、材料等质量不合格的，应及时更换，更换不及时的按逾期交货处罚；因质量问题甲方不同意接收的或特殊情况甲方同意接收的，乙方应向甲方支付违约货款额 </w:t>
      </w:r>
      <w:r>
        <w:rPr>
          <w:rFonts w:hint="eastAsia" w:ascii="宋体" w:hAnsi="宋体"/>
          <w:b w:val="0"/>
          <w:bCs w:val="0"/>
          <w:color w:val="auto"/>
          <w:spacing w:val="4"/>
          <w:szCs w:val="21"/>
          <w:highlight w:val="none"/>
          <w:u w:val="single"/>
        </w:rPr>
        <w:t xml:space="preserve">     </w:t>
      </w:r>
      <w:r>
        <w:rPr>
          <w:rFonts w:hint="eastAsia" w:ascii="宋体" w:hAnsi="宋体"/>
          <w:b w:val="0"/>
          <w:bCs w:val="0"/>
          <w:color w:val="auto"/>
          <w:spacing w:val="4"/>
          <w:szCs w:val="21"/>
          <w:highlight w:val="none"/>
        </w:rPr>
        <w:t>%违约金并乙方应赔偿甲方经济损失。</w:t>
      </w:r>
    </w:p>
    <w:p>
      <w:pPr>
        <w:snapToGrid w:val="0"/>
        <w:spacing w:line="400" w:lineRule="exact"/>
        <w:ind w:firstLine="436" w:firstLineChars="200"/>
        <w:rPr>
          <w:rFonts w:hint="eastAsia" w:ascii="宋体" w:hAnsi="宋体"/>
          <w:b w:val="0"/>
          <w:bCs w:val="0"/>
          <w:color w:val="auto"/>
          <w:spacing w:val="4"/>
          <w:szCs w:val="21"/>
          <w:highlight w:val="none"/>
        </w:rPr>
      </w:pPr>
      <w:r>
        <w:rPr>
          <w:rFonts w:hint="eastAsia" w:ascii="宋体" w:hAnsi="宋体"/>
          <w:b w:val="0"/>
          <w:bCs w:val="0"/>
          <w:color w:val="auto"/>
          <w:spacing w:val="4"/>
          <w:szCs w:val="21"/>
          <w:highlight w:val="none"/>
        </w:rPr>
        <w:t>2、乙方提供的货物如侵犯第三方合法权益而引发的任何纠纷或诉讼，均由乙方负责交涉并承担全部责任。</w:t>
      </w:r>
    </w:p>
    <w:p>
      <w:pPr>
        <w:snapToGrid w:val="0"/>
        <w:spacing w:line="400" w:lineRule="exact"/>
        <w:ind w:firstLine="436" w:firstLineChars="200"/>
        <w:rPr>
          <w:rFonts w:hint="eastAsia" w:ascii="宋体" w:hAnsi="宋体"/>
          <w:b w:val="0"/>
          <w:bCs w:val="0"/>
          <w:color w:val="auto"/>
          <w:spacing w:val="4"/>
          <w:szCs w:val="21"/>
          <w:highlight w:val="none"/>
        </w:rPr>
      </w:pPr>
      <w:r>
        <w:rPr>
          <w:rFonts w:hint="eastAsia" w:ascii="宋体" w:hAnsi="宋体"/>
          <w:b w:val="0"/>
          <w:bCs w:val="0"/>
          <w:color w:val="auto"/>
          <w:spacing w:val="4"/>
          <w:szCs w:val="21"/>
          <w:highlight w:val="none"/>
        </w:rPr>
        <w:t>3、因包装、运输引起的货物损坏，按质量不合格处罚。</w:t>
      </w:r>
    </w:p>
    <w:p>
      <w:pPr>
        <w:snapToGrid w:val="0"/>
        <w:spacing w:line="400" w:lineRule="exact"/>
        <w:ind w:firstLine="436" w:firstLineChars="200"/>
        <w:rPr>
          <w:rFonts w:hint="eastAsia" w:ascii="宋体" w:hAnsi="宋体"/>
          <w:b w:val="0"/>
          <w:bCs w:val="0"/>
          <w:color w:val="auto"/>
          <w:spacing w:val="4"/>
          <w:szCs w:val="21"/>
          <w:highlight w:val="none"/>
        </w:rPr>
      </w:pPr>
      <w:r>
        <w:rPr>
          <w:rFonts w:hint="eastAsia" w:ascii="宋体" w:hAnsi="宋体"/>
          <w:b w:val="0"/>
          <w:bCs w:val="0"/>
          <w:color w:val="auto"/>
          <w:spacing w:val="4"/>
          <w:szCs w:val="21"/>
          <w:highlight w:val="none"/>
        </w:rPr>
        <w:t>4、甲方无故延期接收货物、乙方逾期交货的，每天向对方偿付违约货款额</w:t>
      </w:r>
      <w:r>
        <w:rPr>
          <w:rFonts w:hint="eastAsia" w:ascii="宋体" w:hAnsi="宋体"/>
          <w:b w:val="0"/>
          <w:bCs w:val="0"/>
          <w:color w:val="auto"/>
          <w:spacing w:val="4"/>
          <w:szCs w:val="21"/>
          <w:highlight w:val="none"/>
          <w:u w:val="single"/>
        </w:rPr>
        <w:t xml:space="preserve">      </w:t>
      </w:r>
      <w:r>
        <w:rPr>
          <w:rFonts w:hint="eastAsia" w:ascii="宋体" w:hAnsi="宋体"/>
          <w:b w:val="0"/>
          <w:bCs w:val="0"/>
          <w:color w:val="auto"/>
          <w:spacing w:val="4"/>
          <w:szCs w:val="21"/>
          <w:highlight w:val="none"/>
        </w:rPr>
        <w:t>‰违约金，但违约金累计不得超过违约货款额</w:t>
      </w:r>
      <w:r>
        <w:rPr>
          <w:rFonts w:hint="eastAsia" w:ascii="宋体" w:hAnsi="宋体"/>
          <w:b w:val="0"/>
          <w:bCs w:val="0"/>
          <w:color w:val="auto"/>
          <w:spacing w:val="4"/>
          <w:szCs w:val="21"/>
          <w:highlight w:val="none"/>
          <w:u w:val="single"/>
        </w:rPr>
        <w:t xml:space="preserve">        </w:t>
      </w:r>
      <w:r>
        <w:rPr>
          <w:rFonts w:hint="eastAsia" w:ascii="宋体" w:hAnsi="宋体"/>
          <w:b w:val="0"/>
          <w:bCs w:val="0"/>
          <w:color w:val="auto"/>
          <w:spacing w:val="4"/>
          <w:szCs w:val="21"/>
          <w:highlight w:val="none"/>
        </w:rPr>
        <w:t>%，超过</w:t>
      </w:r>
      <w:r>
        <w:rPr>
          <w:rFonts w:hint="eastAsia" w:ascii="宋体" w:hAnsi="宋体"/>
          <w:b w:val="0"/>
          <w:bCs w:val="0"/>
          <w:color w:val="auto"/>
          <w:spacing w:val="4"/>
          <w:szCs w:val="21"/>
          <w:highlight w:val="none"/>
          <w:u w:val="single"/>
        </w:rPr>
        <w:t xml:space="preserve">        </w:t>
      </w:r>
      <w:r>
        <w:rPr>
          <w:rFonts w:hint="eastAsia" w:ascii="宋体" w:hAnsi="宋体"/>
          <w:b w:val="0"/>
          <w:bCs w:val="0"/>
          <w:color w:val="auto"/>
          <w:spacing w:val="4"/>
          <w:szCs w:val="21"/>
          <w:highlight w:val="none"/>
        </w:rPr>
        <w:t>天对方有权解除合同，违约方承担因此给对方造成经济损失；甲方延期付货款的，每天向乙方偿付延期货款额</w:t>
      </w:r>
      <w:r>
        <w:rPr>
          <w:rFonts w:hint="eastAsia" w:ascii="宋体" w:hAnsi="宋体"/>
          <w:b w:val="0"/>
          <w:bCs w:val="0"/>
          <w:color w:val="auto"/>
          <w:spacing w:val="4"/>
          <w:szCs w:val="21"/>
          <w:highlight w:val="none"/>
          <w:u w:val="single"/>
        </w:rPr>
        <w:t xml:space="preserve">       </w:t>
      </w:r>
      <w:r>
        <w:rPr>
          <w:rFonts w:hint="eastAsia" w:ascii="宋体" w:hAnsi="宋体"/>
          <w:b w:val="0"/>
          <w:bCs w:val="0"/>
          <w:color w:val="auto"/>
          <w:spacing w:val="4"/>
          <w:szCs w:val="21"/>
          <w:highlight w:val="none"/>
        </w:rPr>
        <w:t>‰滞纳金，但滞纳金累计不得超过延期货款额</w:t>
      </w:r>
      <w:r>
        <w:rPr>
          <w:rFonts w:hint="eastAsia" w:ascii="宋体" w:hAnsi="宋体"/>
          <w:b w:val="0"/>
          <w:bCs w:val="0"/>
          <w:color w:val="auto"/>
          <w:spacing w:val="4"/>
          <w:szCs w:val="21"/>
          <w:highlight w:val="none"/>
          <w:u w:val="single"/>
        </w:rPr>
        <w:t xml:space="preserve">      </w:t>
      </w:r>
      <w:r>
        <w:rPr>
          <w:rFonts w:hint="eastAsia" w:ascii="宋体" w:hAnsi="宋体"/>
          <w:b w:val="0"/>
          <w:bCs w:val="0"/>
          <w:color w:val="auto"/>
          <w:spacing w:val="4"/>
          <w:szCs w:val="21"/>
          <w:highlight w:val="none"/>
        </w:rPr>
        <w:t>%。</w:t>
      </w:r>
    </w:p>
    <w:p>
      <w:pPr>
        <w:snapToGrid w:val="0"/>
        <w:spacing w:line="400" w:lineRule="exact"/>
        <w:ind w:firstLine="436" w:firstLineChars="200"/>
        <w:rPr>
          <w:rFonts w:hint="eastAsia" w:ascii="宋体" w:hAnsi="宋体"/>
          <w:b w:val="0"/>
          <w:bCs w:val="0"/>
          <w:color w:val="auto"/>
          <w:spacing w:val="4"/>
          <w:szCs w:val="21"/>
          <w:highlight w:val="none"/>
        </w:rPr>
      </w:pPr>
      <w:r>
        <w:rPr>
          <w:rFonts w:hint="eastAsia" w:ascii="宋体" w:hAnsi="宋体"/>
          <w:b w:val="0"/>
          <w:bCs w:val="0"/>
          <w:color w:val="auto"/>
          <w:spacing w:val="4"/>
          <w:szCs w:val="21"/>
          <w:highlight w:val="none"/>
        </w:rPr>
        <w:t>5、乙方未按本合同和响应文件中规定的服务承诺提供售后服务的，乙方应按本合同合计金额</w:t>
      </w:r>
      <w:r>
        <w:rPr>
          <w:rFonts w:hint="eastAsia" w:ascii="宋体" w:hAnsi="宋体"/>
          <w:b w:val="0"/>
          <w:bCs w:val="0"/>
          <w:color w:val="auto"/>
          <w:spacing w:val="4"/>
          <w:szCs w:val="21"/>
          <w:highlight w:val="none"/>
          <w:u w:val="single"/>
        </w:rPr>
        <w:t xml:space="preserve">     </w:t>
      </w:r>
      <w:r>
        <w:rPr>
          <w:rFonts w:hint="eastAsia" w:ascii="宋体" w:hAnsi="宋体"/>
          <w:b w:val="0"/>
          <w:bCs w:val="0"/>
          <w:color w:val="auto"/>
          <w:spacing w:val="4"/>
          <w:szCs w:val="21"/>
          <w:highlight w:val="none"/>
        </w:rPr>
        <w:t>%向甲方支付违约金。</w:t>
      </w:r>
    </w:p>
    <w:p>
      <w:pPr>
        <w:snapToGrid w:val="0"/>
        <w:spacing w:line="400" w:lineRule="exact"/>
        <w:ind w:firstLine="436" w:firstLineChars="200"/>
        <w:rPr>
          <w:rFonts w:hint="eastAsia" w:ascii="宋体" w:hAnsi="宋体"/>
          <w:b w:val="0"/>
          <w:bCs w:val="0"/>
          <w:color w:val="auto"/>
          <w:spacing w:val="4"/>
          <w:szCs w:val="21"/>
          <w:highlight w:val="none"/>
        </w:rPr>
      </w:pPr>
      <w:r>
        <w:rPr>
          <w:rFonts w:hint="eastAsia" w:ascii="宋体" w:hAnsi="宋体"/>
          <w:b w:val="0"/>
          <w:bCs w:val="0"/>
          <w:color w:val="auto"/>
          <w:spacing w:val="4"/>
          <w:szCs w:val="21"/>
          <w:highlight w:val="none"/>
        </w:rPr>
        <w:t>6、如本合同签订之时，竞标质疑期尚未届满。故本合同签订后，若本次招竞标质疑期内出现因相关方提出质疑、质疑事项成立，导致本次中标结果被宣告无效的，本合同因中标无效而无效。由此造成的损失乙方自行承担。</w:t>
      </w:r>
    </w:p>
    <w:p>
      <w:pPr>
        <w:snapToGrid w:val="0"/>
        <w:spacing w:line="400" w:lineRule="exact"/>
        <w:ind w:firstLine="436" w:firstLineChars="200"/>
        <w:rPr>
          <w:rFonts w:ascii="宋体" w:hAnsi="宋体"/>
          <w:b w:val="0"/>
          <w:bCs w:val="0"/>
          <w:color w:val="auto"/>
          <w:spacing w:val="4"/>
          <w:szCs w:val="21"/>
          <w:highlight w:val="none"/>
        </w:rPr>
      </w:pPr>
      <w:r>
        <w:rPr>
          <w:rFonts w:hint="eastAsia" w:ascii="宋体" w:hAnsi="宋体"/>
          <w:b w:val="0"/>
          <w:bCs w:val="0"/>
          <w:color w:val="auto"/>
          <w:spacing w:val="4"/>
          <w:szCs w:val="21"/>
          <w:highlight w:val="none"/>
        </w:rPr>
        <w:t>7、其它违约行为按违约货款额</w:t>
      </w:r>
      <w:r>
        <w:rPr>
          <w:rFonts w:hint="eastAsia" w:ascii="宋体" w:hAnsi="宋体"/>
          <w:b w:val="0"/>
          <w:bCs w:val="0"/>
          <w:color w:val="auto"/>
          <w:spacing w:val="4"/>
          <w:szCs w:val="21"/>
          <w:highlight w:val="none"/>
          <w:u w:val="single"/>
        </w:rPr>
        <w:t xml:space="preserve">        </w:t>
      </w:r>
      <w:r>
        <w:rPr>
          <w:rFonts w:hint="eastAsia" w:ascii="宋体" w:hAnsi="宋体"/>
          <w:b w:val="0"/>
          <w:bCs w:val="0"/>
          <w:color w:val="auto"/>
          <w:spacing w:val="4"/>
          <w:szCs w:val="21"/>
          <w:highlight w:val="none"/>
        </w:rPr>
        <w:t>%收取违约金并赔偿经济损失，这里的经济损失包括但不限于守约方为主张权利而产生的诉讼费、保全保函费、律师费、交通费、公证费、邮寄费等。</w:t>
      </w:r>
    </w:p>
    <w:p>
      <w:pPr>
        <w:snapToGrid w:val="0"/>
        <w:spacing w:line="400" w:lineRule="exact"/>
        <w:ind w:firstLine="436" w:firstLineChars="200"/>
        <w:rPr>
          <w:rFonts w:hint="eastAsia" w:ascii="宋体" w:hAnsi="宋体"/>
          <w:b w:val="0"/>
          <w:bCs w:val="0"/>
          <w:color w:val="auto"/>
          <w:spacing w:val="4"/>
          <w:szCs w:val="21"/>
          <w:highlight w:val="none"/>
        </w:rPr>
      </w:pPr>
      <w:r>
        <w:rPr>
          <w:rFonts w:ascii="宋体" w:hAnsi="宋体"/>
          <w:b w:val="0"/>
          <w:bCs w:val="0"/>
          <w:color w:val="auto"/>
          <w:spacing w:val="4"/>
          <w:szCs w:val="21"/>
          <w:highlight w:val="none"/>
          <w:lang w:val="en"/>
        </w:rPr>
        <w:t>8.乙方在合同履行过程中因违约而产生的违约金及给甲方造成的损失，甲方均有权从乙方的履约保证金中扣除，如履约保证金不足以抵扣的，乙方还应补足。</w:t>
      </w:r>
    </w:p>
    <w:p>
      <w:pPr>
        <w:snapToGrid w:val="0"/>
        <w:spacing w:line="400" w:lineRule="exact"/>
        <w:ind w:firstLine="436" w:firstLineChars="200"/>
        <w:rPr>
          <w:rFonts w:hint="eastAsia" w:ascii="宋体" w:hAnsi="宋体"/>
          <w:b w:val="0"/>
          <w:bCs w:val="0"/>
          <w:color w:val="auto"/>
          <w:spacing w:val="4"/>
          <w:szCs w:val="21"/>
          <w:highlight w:val="none"/>
        </w:rPr>
      </w:pPr>
      <w:r>
        <w:rPr>
          <w:rFonts w:hint="eastAsia" w:ascii="宋体" w:hAnsi="宋体"/>
          <w:b w:val="0"/>
          <w:bCs w:val="0"/>
          <w:color w:val="auto"/>
          <w:spacing w:val="4"/>
          <w:szCs w:val="21"/>
          <w:highlight w:val="none"/>
        </w:rPr>
        <w:t>第十二条  合同争议解决</w:t>
      </w:r>
    </w:p>
    <w:p>
      <w:pPr>
        <w:snapToGrid w:val="0"/>
        <w:spacing w:line="400" w:lineRule="exact"/>
        <w:ind w:firstLine="436" w:firstLineChars="200"/>
        <w:rPr>
          <w:rFonts w:hint="eastAsia" w:ascii="宋体" w:hAnsi="宋体"/>
          <w:b w:val="0"/>
          <w:bCs w:val="0"/>
          <w:color w:val="auto"/>
          <w:spacing w:val="4"/>
          <w:szCs w:val="21"/>
          <w:highlight w:val="none"/>
        </w:rPr>
      </w:pPr>
      <w:r>
        <w:rPr>
          <w:rFonts w:hint="eastAsia" w:ascii="宋体" w:hAnsi="宋体"/>
          <w:b w:val="0"/>
          <w:bCs w:val="0"/>
          <w:color w:val="auto"/>
          <w:spacing w:val="4"/>
          <w:szCs w:val="21"/>
          <w:highlight w:val="none"/>
        </w:rPr>
        <w:t>1、因家具质量问题发生争议的，应邀请国家认可的质量检测机构对家具质量进行鉴定。家具符合标准的，鉴定费由甲方承担；家具不符合标准的，鉴定费由乙方承担。</w:t>
      </w:r>
    </w:p>
    <w:p>
      <w:pPr>
        <w:snapToGrid w:val="0"/>
        <w:spacing w:line="400" w:lineRule="exact"/>
        <w:ind w:firstLine="436" w:firstLineChars="200"/>
        <w:rPr>
          <w:rFonts w:hint="eastAsia" w:ascii="宋体" w:hAnsi="宋体"/>
          <w:b w:val="0"/>
          <w:bCs w:val="0"/>
          <w:color w:val="auto"/>
          <w:spacing w:val="4"/>
          <w:szCs w:val="21"/>
          <w:highlight w:val="none"/>
        </w:rPr>
      </w:pPr>
      <w:r>
        <w:rPr>
          <w:rFonts w:hint="eastAsia" w:ascii="宋体" w:hAnsi="宋体"/>
          <w:b w:val="0"/>
          <w:bCs w:val="0"/>
          <w:color w:val="auto"/>
          <w:spacing w:val="4"/>
          <w:szCs w:val="21"/>
          <w:highlight w:val="none"/>
        </w:rPr>
        <w:t>2、因履行本合同引起的或与本合同有关的争议，甲乙双方应首先通过友好协商解决，如果协商不能解决，可</w:t>
      </w:r>
      <w:r>
        <w:rPr>
          <w:rFonts w:hint="eastAsia" w:ascii="宋体" w:hAnsi="宋体" w:cs="宋体"/>
          <w:b w:val="0"/>
          <w:bCs w:val="0"/>
          <w:color w:val="auto"/>
          <w:szCs w:val="21"/>
          <w:highlight w:val="none"/>
        </w:rPr>
        <w:t>向甲方所在地的人民法院提起诉讼</w:t>
      </w:r>
      <w:r>
        <w:rPr>
          <w:rFonts w:hint="eastAsia" w:ascii="宋体" w:hAnsi="宋体"/>
          <w:b w:val="0"/>
          <w:bCs w:val="0"/>
          <w:color w:val="auto"/>
          <w:spacing w:val="4"/>
          <w:szCs w:val="21"/>
          <w:highlight w:val="none"/>
        </w:rPr>
        <w:t>。</w:t>
      </w:r>
    </w:p>
    <w:p>
      <w:pPr>
        <w:snapToGrid w:val="0"/>
        <w:spacing w:line="400" w:lineRule="exact"/>
        <w:ind w:firstLine="436" w:firstLineChars="200"/>
        <w:rPr>
          <w:rFonts w:hint="eastAsia" w:ascii="宋体" w:hAnsi="宋体"/>
          <w:b w:val="0"/>
          <w:bCs w:val="0"/>
          <w:color w:val="auto"/>
          <w:spacing w:val="4"/>
          <w:szCs w:val="21"/>
          <w:highlight w:val="none"/>
        </w:rPr>
      </w:pPr>
      <w:r>
        <w:rPr>
          <w:rFonts w:hint="eastAsia" w:ascii="宋体" w:hAnsi="宋体"/>
          <w:b w:val="0"/>
          <w:bCs w:val="0"/>
          <w:color w:val="auto"/>
          <w:spacing w:val="4"/>
          <w:szCs w:val="21"/>
          <w:highlight w:val="none"/>
        </w:rPr>
        <w:t>3、诉讼期间，本合同继续履行。</w:t>
      </w:r>
    </w:p>
    <w:p>
      <w:pPr>
        <w:snapToGrid w:val="0"/>
        <w:spacing w:line="400" w:lineRule="exact"/>
        <w:ind w:firstLine="436" w:firstLineChars="200"/>
        <w:rPr>
          <w:rFonts w:hint="eastAsia" w:ascii="宋体" w:hAnsi="宋体"/>
          <w:b w:val="0"/>
          <w:bCs w:val="0"/>
          <w:color w:val="auto"/>
          <w:spacing w:val="4"/>
          <w:szCs w:val="21"/>
          <w:highlight w:val="none"/>
        </w:rPr>
      </w:pPr>
      <w:r>
        <w:rPr>
          <w:rFonts w:hint="eastAsia" w:ascii="宋体" w:hAnsi="宋体"/>
          <w:b w:val="0"/>
          <w:bCs w:val="0"/>
          <w:color w:val="auto"/>
          <w:spacing w:val="4"/>
          <w:szCs w:val="21"/>
          <w:highlight w:val="none"/>
        </w:rPr>
        <w:t>第十三条  签订本合同依据</w:t>
      </w:r>
    </w:p>
    <w:p>
      <w:pPr>
        <w:snapToGrid w:val="0"/>
        <w:spacing w:line="400" w:lineRule="exact"/>
        <w:ind w:firstLine="436" w:firstLineChars="200"/>
        <w:rPr>
          <w:rFonts w:hint="eastAsia" w:ascii="宋体" w:hAnsi="宋体"/>
          <w:b w:val="0"/>
          <w:bCs w:val="0"/>
          <w:color w:val="auto"/>
          <w:spacing w:val="4"/>
          <w:szCs w:val="21"/>
          <w:highlight w:val="none"/>
        </w:rPr>
      </w:pPr>
      <w:r>
        <w:rPr>
          <w:rFonts w:hint="eastAsia" w:ascii="宋体" w:hAnsi="宋体"/>
          <w:b w:val="0"/>
          <w:bCs w:val="0"/>
          <w:color w:val="auto"/>
          <w:spacing w:val="4"/>
          <w:szCs w:val="21"/>
          <w:highlight w:val="none"/>
        </w:rPr>
        <w:t>1、谈判文件</w:t>
      </w:r>
    </w:p>
    <w:p>
      <w:pPr>
        <w:snapToGrid w:val="0"/>
        <w:spacing w:line="400" w:lineRule="exact"/>
        <w:ind w:firstLine="436" w:firstLineChars="200"/>
        <w:rPr>
          <w:rFonts w:hint="eastAsia" w:ascii="宋体" w:hAnsi="宋体"/>
          <w:b w:val="0"/>
          <w:bCs w:val="0"/>
          <w:color w:val="auto"/>
          <w:spacing w:val="4"/>
          <w:szCs w:val="21"/>
          <w:highlight w:val="none"/>
        </w:rPr>
      </w:pPr>
      <w:r>
        <w:rPr>
          <w:rFonts w:hint="eastAsia" w:ascii="宋体" w:hAnsi="宋体"/>
          <w:b w:val="0"/>
          <w:bCs w:val="0"/>
          <w:color w:val="auto"/>
          <w:spacing w:val="4"/>
          <w:szCs w:val="21"/>
          <w:highlight w:val="none"/>
        </w:rPr>
        <w:t>2、乙方提供的响应文件</w:t>
      </w:r>
    </w:p>
    <w:p>
      <w:pPr>
        <w:snapToGrid w:val="0"/>
        <w:spacing w:line="400" w:lineRule="exact"/>
        <w:ind w:firstLine="436" w:firstLineChars="200"/>
        <w:rPr>
          <w:rFonts w:hint="eastAsia" w:ascii="宋体" w:hAnsi="宋体"/>
          <w:b w:val="0"/>
          <w:bCs w:val="0"/>
          <w:color w:val="auto"/>
          <w:spacing w:val="4"/>
          <w:szCs w:val="21"/>
          <w:highlight w:val="none"/>
        </w:rPr>
      </w:pPr>
      <w:r>
        <w:rPr>
          <w:rFonts w:hint="eastAsia" w:ascii="宋体" w:hAnsi="宋体"/>
          <w:b w:val="0"/>
          <w:bCs w:val="0"/>
          <w:color w:val="auto"/>
          <w:spacing w:val="4"/>
          <w:szCs w:val="21"/>
          <w:highlight w:val="none"/>
        </w:rPr>
        <w:t>3、谈判书</w:t>
      </w:r>
    </w:p>
    <w:p>
      <w:pPr>
        <w:snapToGrid w:val="0"/>
        <w:spacing w:line="400" w:lineRule="exact"/>
        <w:ind w:firstLine="436" w:firstLineChars="200"/>
        <w:rPr>
          <w:rFonts w:hint="eastAsia" w:ascii="宋体" w:hAnsi="宋体"/>
          <w:b w:val="0"/>
          <w:bCs w:val="0"/>
          <w:color w:val="auto"/>
          <w:spacing w:val="4"/>
          <w:szCs w:val="21"/>
          <w:highlight w:val="none"/>
          <w:u w:val="single"/>
        </w:rPr>
      </w:pPr>
      <w:r>
        <w:rPr>
          <w:rFonts w:hint="eastAsia" w:ascii="宋体" w:hAnsi="宋体"/>
          <w:b w:val="0"/>
          <w:bCs w:val="0"/>
          <w:color w:val="auto"/>
          <w:spacing w:val="4"/>
          <w:szCs w:val="21"/>
          <w:highlight w:val="none"/>
        </w:rPr>
        <w:t>4、成交通知书</w:t>
      </w:r>
    </w:p>
    <w:p>
      <w:pPr>
        <w:snapToGrid w:val="0"/>
        <w:spacing w:line="400" w:lineRule="exact"/>
        <w:ind w:firstLine="436" w:firstLineChars="200"/>
        <w:rPr>
          <w:rFonts w:hint="eastAsia" w:ascii="宋体" w:hAnsi="宋体"/>
          <w:b w:val="0"/>
          <w:bCs w:val="0"/>
          <w:color w:val="auto"/>
          <w:spacing w:val="4"/>
          <w:szCs w:val="21"/>
          <w:highlight w:val="none"/>
        </w:rPr>
      </w:pPr>
      <w:r>
        <w:rPr>
          <w:rFonts w:hint="eastAsia" w:ascii="宋体" w:hAnsi="宋体"/>
          <w:b w:val="0"/>
          <w:bCs w:val="0"/>
          <w:color w:val="auto"/>
          <w:spacing w:val="4"/>
          <w:szCs w:val="21"/>
          <w:highlight w:val="none"/>
        </w:rPr>
        <w:t xml:space="preserve">第十四条  </w:t>
      </w:r>
      <w:r>
        <w:rPr>
          <w:rFonts w:hint="eastAsia" w:ascii="宋体" w:hAnsi="宋体"/>
          <w:b w:val="0"/>
          <w:bCs w:val="0"/>
          <w:color w:val="auto"/>
          <w:szCs w:val="21"/>
          <w:highlight w:val="none"/>
        </w:rPr>
        <w:t>本合同一式陆份，具有同等法律效力。</w:t>
      </w:r>
      <w:r>
        <w:rPr>
          <w:rFonts w:hint="eastAsia" w:ascii="宋体" w:hAnsi="宋体"/>
          <w:b w:val="0"/>
          <w:bCs w:val="0"/>
          <w:color w:val="auto"/>
          <w:spacing w:val="4"/>
          <w:szCs w:val="21"/>
          <w:highlight w:val="none"/>
        </w:rPr>
        <w:t>广西壮族自治区财政厅政府采购监督管理处、广西壮族自治区政府采购中心</w:t>
      </w:r>
      <w:r>
        <w:rPr>
          <w:rFonts w:hint="eastAsia" w:ascii="宋体" w:hAnsi="宋体"/>
          <w:b w:val="0"/>
          <w:bCs w:val="0"/>
          <w:color w:val="auto"/>
          <w:szCs w:val="21"/>
          <w:highlight w:val="none"/>
        </w:rPr>
        <w:t>各壹份，甲方叁份，乙方壹份</w:t>
      </w:r>
      <w:r>
        <w:rPr>
          <w:rFonts w:hint="eastAsia" w:ascii="宋体" w:hAnsi="宋体"/>
          <w:b w:val="0"/>
          <w:bCs w:val="0"/>
          <w:color w:val="auto"/>
          <w:spacing w:val="4"/>
          <w:szCs w:val="21"/>
          <w:highlight w:val="none"/>
        </w:rPr>
        <w:t>。</w:t>
      </w:r>
      <w:r>
        <w:rPr>
          <w:rFonts w:hint="eastAsia" w:ascii="宋体" w:hAnsi="宋体"/>
          <w:b w:val="0"/>
          <w:bCs w:val="0"/>
          <w:color w:val="auto"/>
          <w:szCs w:val="21"/>
          <w:highlight w:val="none"/>
        </w:rPr>
        <w:t>（可根据需要另增加）</w:t>
      </w:r>
    </w:p>
    <w:p>
      <w:pPr>
        <w:snapToGrid w:val="0"/>
        <w:spacing w:line="400" w:lineRule="exact"/>
        <w:ind w:firstLine="436" w:firstLineChars="200"/>
        <w:rPr>
          <w:rFonts w:hint="eastAsia" w:ascii="宋体" w:hAnsi="宋体"/>
          <w:b w:val="0"/>
          <w:bCs w:val="0"/>
          <w:color w:val="auto"/>
          <w:spacing w:val="4"/>
          <w:szCs w:val="21"/>
          <w:highlight w:val="none"/>
        </w:rPr>
      </w:pPr>
      <w:r>
        <w:rPr>
          <w:rFonts w:hint="eastAsia" w:ascii="宋体" w:hAnsi="宋体"/>
          <w:b w:val="0"/>
          <w:bCs w:val="0"/>
          <w:color w:val="auto"/>
          <w:spacing w:val="4"/>
          <w:szCs w:val="21"/>
          <w:highlight w:val="none"/>
        </w:rPr>
        <w:t>本合同甲乙双方签字盖章后生效，自签订之日起2个工作日内，采购人应当将合同通过广西政府采购云平台上传完成合同网上公示。</w:t>
      </w:r>
    </w:p>
    <w:p>
      <w:pPr>
        <w:snapToGrid w:val="0"/>
        <w:spacing w:line="360" w:lineRule="exact"/>
        <w:ind w:firstLine="420" w:firstLineChars="200"/>
        <w:rPr>
          <w:rFonts w:hint="eastAsia" w:ascii="宋体" w:hAnsi="宋体" w:cs="宋体"/>
          <w:b w:val="0"/>
          <w:bCs w:val="0"/>
          <w:color w:val="auto"/>
          <w:highlight w:val="none"/>
        </w:rPr>
      </w:pP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1"/>
        <w:gridCol w:w="5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b w:val="0"/>
                <w:bCs w:val="0"/>
                <w:color w:val="auto"/>
                <w:highlight w:val="none"/>
              </w:rPr>
            </w:pPr>
            <w:r>
              <w:rPr>
                <w:rFonts w:hint="eastAsia" w:ascii="宋体" w:hAnsi="宋体"/>
                <w:b w:val="0"/>
                <w:bCs w:val="0"/>
                <w:color w:val="auto"/>
                <w:highlight w:val="none"/>
              </w:rPr>
              <w:t xml:space="preserve">甲方（章）          </w:t>
            </w:r>
          </w:p>
          <w:p>
            <w:pPr>
              <w:snapToGrid w:val="0"/>
              <w:spacing w:line="400" w:lineRule="exact"/>
              <w:rPr>
                <w:rFonts w:hint="eastAsia" w:ascii="宋体" w:hAnsi="宋体"/>
                <w:b w:val="0"/>
                <w:bCs w:val="0"/>
                <w:color w:val="auto"/>
                <w:highlight w:val="none"/>
              </w:rPr>
            </w:pPr>
          </w:p>
          <w:p>
            <w:pPr>
              <w:snapToGrid w:val="0"/>
              <w:spacing w:line="400" w:lineRule="exact"/>
              <w:ind w:firstLine="945" w:firstLineChars="450"/>
              <w:jc w:val="right"/>
              <w:rPr>
                <w:rFonts w:ascii="宋体" w:hAnsi="宋体"/>
                <w:b w:val="0"/>
                <w:bCs w:val="0"/>
                <w:color w:val="auto"/>
                <w:highlight w:val="none"/>
              </w:rPr>
            </w:pPr>
            <w:r>
              <w:rPr>
                <w:rFonts w:hint="eastAsia" w:ascii="宋体" w:hAnsi="宋体"/>
                <w:b w:val="0"/>
                <w:bCs w:val="0"/>
                <w:color w:val="auto"/>
                <w:highlight w:val="none"/>
              </w:rPr>
              <w:t>年   月   日</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b w:val="0"/>
                <w:bCs w:val="0"/>
                <w:color w:val="auto"/>
                <w:highlight w:val="none"/>
              </w:rPr>
            </w:pPr>
            <w:r>
              <w:rPr>
                <w:rFonts w:hint="eastAsia" w:ascii="宋体" w:hAnsi="宋体"/>
                <w:b w:val="0"/>
                <w:bCs w:val="0"/>
                <w:color w:val="auto"/>
                <w:highlight w:val="none"/>
              </w:rPr>
              <w:t xml:space="preserve">乙方（章）             </w:t>
            </w:r>
          </w:p>
          <w:p>
            <w:pPr>
              <w:snapToGrid w:val="0"/>
              <w:spacing w:line="400" w:lineRule="exact"/>
              <w:rPr>
                <w:rFonts w:hint="eastAsia" w:ascii="宋体" w:hAnsi="宋体"/>
                <w:b w:val="0"/>
                <w:bCs w:val="0"/>
                <w:color w:val="auto"/>
                <w:highlight w:val="none"/>
              </w:rPr>
            </w:pPr>
          </w:p>
          <w:p>
            <w:pPr>
              <w:snapToGrid w:val="0"/>
              <w:spacing w:line="400" w:lineRule="exact"/>
              <w:jc w:val="right"/>
              <w:rPr>
                <w:rFonts w:ascii="宋体" w:hAnsi="宋体"/>
                <w:b w:val="0"/>
                <w:bCs w:val="0"/>
                <w:color w:val="auto"/>
                <w:highlight w:val="none"/>
              </w:rPr>
            </w:pPr>
            <w:r>
              <w:rPr>
                <w:rFonts w:hint="eastAsia" w:ascii="宋体" w:hAnsi="宋体"/>
                <w:b w:val="0"/>
                <w:bCs w:val="0"/>
                <w:color w:val="auto"/>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b w:val="0"/>
                <w:bCs w:val="0"/>
                <w:color w:val="auto"/>
                <w:highlight w:val="none"/>
              </w:rPr>
            </w:pPr>
            <w:r>
              <w:rPr>
                <w:rFonts w:hint="eastAsia" w:ascii="宋体" w:hAnsi="宋体"/>
                <w:b w:val="0"/>
                <w:bCs w:val="0"/>
                <w:color w:val="auto"/>
                <w:highlight w:val="none"/>
              </w:rPr>
              <w:t>单位地址：</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b w:val="0"/>
                <w:bCs w:val="0"/>
                <w:color w:val="auto"/>
                <w:highlight w:val="none"/>
              </w:rPr>
            </w:pPr>
            <w:r>
              <w:rPr>
                <w:rFonts w:hint="eastAsia" w:ascii="宋体" w:hAnsi="宋体"/>
                <w:b w:val="0"/>
                <w:bCs w:val="0"/>
                <w:color w:val="auto"/>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b w:val="0"/>
                <w:bCs w:val="0"/>
                <w:color w:val="auto"/>
                <w:highlight w:val="none"/>
              </w:rPr>
            </w:pPr>
            <w:r>
              <w:rPr>
                <w:rFonts w:hint="eastAsia" w:ascii="宋体" w:hAnsi="宋体"/>
                <w:b w:val="0"/>
                <w:bCs w:val="0"/>
                <w:color w:val="auto"/>
                <w:highlight w:val="none"/>
              </w:rPr>
              <w:t>法定代表人：</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b w:val="0"/>
                <w:bCs w:val="0"/>
                <w:color w:val="auto"/>
                <w:highlight w:val="none"/>
              </w:rPr>
            </w:pPr>
            <w:r>
              <w:rPr>
                <w:rFonts w:hint="eastAsia" w:ascii="宋体" w:hAnsi="宋体"/>
                <w:b w:val="0"/>
                <w:bCs w:val="0"/>
                <w:color w:val="auto"/>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b w:val="0"/>
                <w:bCs w:val="0"/>
                <w:color w:val="auto"/>
                <w:highlight w:val="none"/>
              </w:rPr>
            </w:pPr>
            <w:r>
              <w:rPr>
                <w:rFonts w:hint="eastAsia" w:ascii="宋体" w:hAnsi="宋体"/>
                <w:b w:val="0"/>
                <w:bCs w:val="0"/>
                <w:color w:val="auto"/>
                <w:highlight w:val="none"/>
              </w:rPr>
              <w:t>委托代理人：</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b w:val="0"/>
                <w:bCs w:val="0"/>
                <w:color w:val="auto"/>
                <w:highlight w:val="none"/>
              </w:rPr>
            </w:pPr>
            <w:r>
              <w:rPr>
                <w:rFonts w:hint="eastAsia" w:ascii="宋体" w:hAnsi="宋体"/>
                <w:b w:val="0"/>
                <w:bCs w:val="0"/>
                <w:color w:val="auto"/>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b w:val="0"/>
                <w:bCs w:val="0"/>
                <w:color w:val="auto"/>
                <w:highlight w:val="none"/>
              </w:rPr>
            </w:pPr>
            <w:r>
              <w:rPr>
                <w:rFonts w:hint="eastAsia" w:ascii="宋体" w:hAnsi="宋体"/>
                <w:b w:val="0"/>
                <w:bCs w:val="0"/>
                <w:color w:val="auto"/>
                <w:highlight w:val="none"/>
              </w:rPr>
              <w:t>电话：</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b w:val="0"/>
                <w:bCs w:val="0"/>
                <w:color w:val="auto"/>
                <w:highlight w:val="none"/>
              </w:rPr>
            </w:pPr>
            <w:r>
              <w:rPr>
                <w:rFonts w:hint="eastAsia" w:ascii="宋体" w:hAnsi="宋体"/>
                <w:b w:val="0"/>
                <w:bCs w:val="0"/>
                <w:color w:val="auto"/>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b w:val="0"/>
                <w:bCs w:val="0"/>
                <w:color w:val="auto"/>
                <w:highlight w:val="none"/>
              </w:rPr>
            </w:pPr>
            <w:r>
              <w:rPr>
                <w:rFonts w:hint="eastAsia" w:ascii="宋体" w:hAnsi="宋体"/>
                <w:b w:val="0"/>
                <w:bCs w:val="0"/>
                <w:color w:val="auto"/>
                <w:highlight w:val="none"/>
              </w:rPr>
              <w:t>电子邮箱：</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b w:val="0"/>
                <w:bCs w:val="0"/>
                <w:color w:val="auto"/>
                <w:highlight w:val="none"/>
              </w:rPr>
            </w:pPr>
            <w:r>
              <w:rPr>
                <w:rFonts w:hint="eastAsia" w:ascii="宋体" w:hAnsi="宋体"/>
                <w:b w:val="0"/>
                <w:bCs w:val="0"/>
                <w:color w:val="auto"/>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b w:val="0"/>
                <w:bCs w:val="0"/>
                <w:color w:val="auto"/>
                <w:highlight w:val="none"/>
              </w:rPr>
            </w:pPr>
            <w:r>
              <w:rPr>
                <w:rFonts w:hint="eastAsia" w:ascii="宋体" w:hAnsi="宋体"/>
                <w:b w:val="0"/>
                <w:bCs w:val="0"/>
                <w:color w:val="auto"/>
                <w:highlight w:val="none"/>
              </w:rPr>
              <w:t>开户银行：</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b w:val="0"/>
                <w:bCs w:val="0"/>
                <w:color w:val="auto"/>
                <w:highlight w:val="none"/>
              </w:rPr>
            </w:pPr>
            <w:r>
              <w:rPr>
                <w:rFonts w:hint="eastAsia" w:ascii="宋体" w:hAnsi="宋体"/>
                <w:b w:val="0"/>
                <w:bCs w:val="0"/>
                <w:color w:val="auto"/>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b w:val="0"/>
                <w:bCs w:val="0"/>
                <w:color w:val="auto"/>
                <w:highlight w:val="none"/>
              </w:rPr>
            </w:pPr>
            <w:r>
              <w:rPr>
                <w:rFonts w:hint="eastAsia" w:ascii="宋体" w:hAnsi="宋体"/>
                <w:b w:val="0"/>
                <w:bCs w:val="0"/>
                <w:color w:val="auto"/>
                <w:highlight w:val="none"/>
              </w:rPr>
              <w:t>账号：</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b w:val="0"/>
                <w:bCs w:val="0"/>
                <w:color w:val="auto"/>
                <w:highlight w:val="none"/>
              </w:rPr>
            </w:pPr>
            <w:r>
              <w:rPr>
                <w:rFonts w:hint="eastAsia" w:ascii="宋体" w:hAnsi="宋体"/>
                <w:b w:val="0"/>
                <w:bCs w:val="0"/>
                <w:color w:val="auto"/>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b w:val="0"/>
                <w:bCs w:val="0"/>
                <w:color w:val="auto"/>
                <w:highlight w:val="none"/>
              </w:rPr>
            </w:pPr>
            <w:r>
              <w:rPr>
                <w:rFonts w:hint="eastAsia" w:ascii="宋体" w:hAnsi="宋体"/>
                <w:b w:val="0"/>
                <w:bCs w:val="0"/>
                <w:color w:val="auto"/>
                <w:highlight w:val="none"/>
              </w:rPr>
              <w:t>邮政编码：</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b w:val="0"/>
                <w:bCs w:val="0"/>
                <w:color w:val="auto"/>
                <w:highlight w:val="none"/>
              </w:rPr>
            </w:pPr>
            <w:r>
              <w:rPr>
                <w:rFonts w:hint="eastAsia" w:ascii="宋体" w:hAnsi="宋体"/>
                <w:b w:val="0"/>
                <w:bCs w:val="0"/>
                <w:color w:val="auto"/>
                <w:highlight w:val="none"/>
              </w:rPr>
              <w:t>邮政编码：</w:t>
            </w:r>
          </w:p>
        </w:tc>
      </w:tr>
    </w:tbl>
    <w:p>
      <w:pPr>
        <w:snapToGrid w:val="0"/>
        <w:rPr>
          <w:rFonts w:hint="eastAsia" w:ascii="宋体" w:hAnsi="宋体"/>
          <w:b w:val="0"/>
          <w:bCs w:val="0"/>
          <w:color w:val="auto"/>
          <w:highlight w:val="none"/>
        </w:rPr>
      </w:pPr>
    </w:p>
    <w:p>
      <w:pPr>
        <w:snapToGrid w:val="0"/>
        <w:rPr>
          <w:rFonts w:hint="eastAsia" w:ascii="宋体" w:hAnsi="宋体"/>
          <w:b w:val="0"/>
          <w:bCs w:val="0"/>
          <w:color w:val="auto"/>
          <w:highlight w:val="none"/>
        </w:rPr>
      </w:pPr>
    </w:p>
    <w:p>
      <w:pPr>
        <w:snapToGrid w:val="0"/>
        <w:jc w:val="center"/>
        <w:rPr>
          <w:rFonts w:hint="eastAsia" w:ascii="宋体" w:hAnsi="宋体"/>
          <w:b/>
          <w:bCs/>
          <w:color w:val="auto"/>
          <w:highlight w:val="none"/>
        </w:rPr>
      </w:pPr>
      <w:r>
        <w:rPr>
          <w:rFonts w:hint="eastAsia" w:ascii="宋体" w:hAnsi="宋体"/>
          <w:b/>
          <w:bCs/>
          <w:color w:val="auto"/>
          <w:highlight w:val="none"/>
        </w:rPr>
        <w:t>合 同 附 件</w:t>
      </w:r>
    </w:p>
    <w:p>
      <w:pPr>
        <w:snapToGrid w:val="0"/>
        <w:jc w:val="center"/>
        <w:rPr>
          <w:rFonts w:hint="eastAsia" w:ascii="宋体" w:hAnsi="宋体"/>
          <w:b w:val="0"/>
          <w:bCs w:val="0"/>
          <w:color w:val="auto"/>
          <w:highlight w:val="none"/>
        </w:rPr>
      </w:pPr>
    </w:p>
    <w:tbl>
      <w:tblPr>
        <w:tblStyle w:val="15"/>
        <w:tblW w:w="5000" w:type="pct"/>
        <w:jc w:val="center"/>
        <w:tblLayout w:type="autofit"/>
        <w:tblCellMar>
          <w:top w:w="0" w:type="dxa"/>
          <w:left w:w="108" w:type="dxa"/>
          <w:bottom w:w="0" w:type="dxa"/>
          <w:right w:w="108" w:type="dxa"/>
        </w:tblCellMar>
      </w:tblPr>
      <w:tblGrid>
        <w:gridCol w:w="5241"/>
        <w:gridCol w:w="5441"/>
      </w:tblGrid>
      <w:tr>
        <w:tblPrEx>
          <w:tblCellMar>
            <w:top w:w="0" w:type="dxa"/>
            <w:left w:w="108" w:type="dxa"/>
            <w:bottom w:w="0" w:type="dxa"/>
            <w:right w:w="108" w:type="dxa"/>
          </w:tblCellMar>
        </w:tblPrEx>
        <w:trPr>
          <w:trHeight w:val="1944" w:hRule="atLeast"/>
          <w:jc w:val="center"/>
        </w:trPr>
        <w:tc>
          <w:tcPr>
            <w:tcW w:w="5000" w:type="pct"/>
            <w:gridSpan w:val="2"/>
            <w:tcBorders>
              <w:top w:val="single" w:color="auto" w:sz="4" w:space="0"/>
              <w:left w:val="single" w:color="auto" w:sz="4" w:space="0"/>
              <w:right w:val="single" w:color="auto" w:sz="4" w:space="0"/>
            </w:tcBorders>
            <w:noWrap w:val="0"/>
            <w:vAlign w:val="top"/>
          </w:tcPr>
          <w:p>
            <w:pPr>
              <w:snapToGrid w:val="0"/>
              <w:spacing w:line="400" w:lineRule="exact"/>
              <w:ind w:firstLine="420" w:firstLineChars="200"/>
              <w:rPr>
                <w:rFonts w:hint="eastAsia" w:ascii="宋体" w:hAnsi="宋体"/>
                <w:b w:val="0"/>
                <w:bCs w:val="0"/>
                <w:color w:val="auto"/>
                <w:highlight w:val="none"/>
              </w:rPr>
            </w:pPr>
            <w:r>
              <w:rPr>
                <w:rFonts w:hint="eastAsia" w:ascii="宋体" w:hAnsi="宋体"/>
                <w:b w:val="0"/>
                <w:bCs w:val="0"/>
                <w:color w:val="auto"/>
                <w:highlight w:val="none"/>
              </w:rPr>
              <w:t>1、供应商承诺具体事项：</w:t>
            </w:r>
          </w:p>
        </w:tc>
      </w:tr>
      <w:tr>
        <w:tblPrEx>
          <w:tblCellMar>
            <w:top w:w="0" w:type="dxa"/>
            <w:left w:w="108" w:type="dxa"/>
            <w:bottom w:w="0" w:type="dxa"/>
            <w:right w:w="108" w:type="dxa"/>
          </w:tblCellMar>
        </w:tblPrEx>
        <w:trPr>
          <w:trHeight w:val="1997" w:hRule="atLeast"/>
          <w:jc w:val="center"/>
        </w:trPr>
        <w:tc>
          <w:tcPr>
            <w:tcW w:w="5000" w:type="pct"/>
            <w:gridSpan w:val="2"/>
            <w:tcBorders>
              <w:top w:val="single" w:color="auto" w:sz="4" w:space="0"/>
              <w:left w:val="single" w:color="auto" w:sz="4" w:space="0"/>
              <w:right w:val="single" w:color="auto" w:sz="4" w:space="0"/>
            </w:tcBorders>
            <w:noWrap w:val="0"/>
            <w:vAlign w:val="top"/>
          </w:tcPr>
          <w:p>
            <w:pPr>
              <w:snapToGrid w:val="0"/>
              <w:spacing w:line="400" w:lineRule="exact"/>
              <w:ind w:firstLine="420" w:firstLineChars="200"/>
              <w:rPr>
                <w:rFonts w:hint="eastAsia" w:ascii="宋体" w:hAnsi="宋体"/>
                <w:b w:val="0"/>
                <w:bCs w:val="0"/>
                <w:color w:val="auto"/>
                <w:highlight w:val="none"/>
              </w:rPr>
            </w:pPr>
            <w:r>
              <w:rPr>
                <w:rFonts w:hint="eastAsia" w:ascii="宋体" w:hAnsi="宋体"/>
                <w:b w:val="0"/>
                <w:bCs w:val="0"/>
                <w:color w:val="auto"/>
                <w:highlight w:val="none"/>
              </w:rPr>
              <w:t>2、售后服务具体事项：</w:t>
            </w:r>
          </w:p>
        </w:tc>
      </w:tr>
      <w:tr>
        <w:tblPrEx>
          <w:tblCellMar>
            <w:top w:w="0" w:type="dxa"/>
            <w:left w:w="108" w:type="dxa"/>
            <w:bottom w:w="0" w:type="dxa"/>
            <w:right w:w="108" w:type="dxa"/>
          </w:tblCellMar>
        </w:tblPrEx>
        <w:trPr>
          <w:trHeight w:val="2268" w:hRule="atLeast"/>
          <w:jc w:val="center"/>
        </w:trPr>
        <w:tc>
          <w:tcPr>
            <w:tcW w:w="5000" w:type="pct"/>
            <w:gridSpan w:val="2"/>
            <w:tcBorders>
              <w:top w:val="single" w:color="auto" w:sz="4" w:space="0"/>
              <w:left w:val="single" w:color="auto" w:sz="4" w:space="0"/>
              <w:right w:val="single" w:color="auto" w:sz="4" w:space="0"/>
            </w:tcBorders>
            <w:noWrap w:val="0"/>
            <w:vAlign w:val="top"/>
          </w:tcPr>
          <w:p>
            <w:pPr>
              <w:snapToGrid w:val="0"/>
              <w:spacing w:line="400" w:lineRule="exact"/>
              <w:ind w:firstLine="420" w:firstLineChars="200"/>
              <w:rPr>
                <w:rFonts w:hint="eastAsia" w:ascii="宋体" w:hAnsi="宋体"/>
                <w:b w:val="0"/>
                <w:bCs w:val="0"/>
                <w:color w:val="auto"/>
                <w:highlight w:val="none"/>
              </w:rPr>
            </w:pPr>
            <w:r>
              <w:rPr>
                <w:rFonts w:hint="eastAsia" w:ascii="宋体" w:hAnsi="宋体"/>
                <w:b w:val="0"/>
                <w:bCs w:val="0"/>
                <w:color w:val="auto"/>
                <w:highlight w:val="none"/>
              </w:rPr>
              <w:t>3、保修期责任：</w:t>
            </w:r>
          </w:p>
        </w:tc>
      </w:tr>
      <w:tr>
        <w:tblPrEx>
          <w:tblCellMar>
            <w:top w:w="0" w:type="dxa"/>
            <w:left w:w="108" w:type="dxa"/>
            <w:bottom w:w="0" w:type="dxa"/>
            <w:right w:w="108" w:type="dxa"/>
          </w:tblCellMar>
        </w:tblPrEx>
        <w:trPr>
          <w:trHeight w:val="2268" w:hRule="atLeast"/>
          <w:jc w:val="center"/>
        </w:trPr>
        <w:tc>
          <w:tcPr>
            <w:tcW w:w="5000" w:type="pct"/>
            <w:gridSpan w:val="2"/>
            <w:tcBorders>
              <w:top w:val="single" w:color="auto" w:sz="4" w:space="0"/>
              <w:left w:val="single" w:color="auto" w:sz="4" w:space="0"/>
              <w:right w:val="single" w:color="auto" w:sz="4" w:space="0"/>
            </w:tcBorders>
            <w:noWrap w:val="0"/>
            <w:vAlign w:val="top"/>
          </w:tcPr>
          <w:p>
            <w:pPr>
              <w:snapToGrid w:val="0"/>
              <w:spacing w:line="400" w:lineRule="exact"/>
              <w:ind w:firstLine="420" w:firstLineChars="200"/>
              <w:rPr>
                <w:rFonts w:hint="eastAsia" w:ascii="宋体" w:hAnsi="宋体"/>
                <w:b w:val="0"/>
                <w:bCs w:val="0"/>
                <w:color w:val="auto"/>
                <w:highlight w:val="none"/>
              </w:rPr>
            </w:pPr>
            <w:r>
              <w:rPr>
                <w:rFonts w:hint="eastAsia" w:ascii="宋体" w:hAnsi="宋体"/>
                <w:b w:val="0"/>
                <w:bCs w:val="0"/>
                <w:color w:val="auto"/>
                <w:highlight w:val="none"/>
              </w:rPr>
              <w:t>4、其他具体事项：</w:t>
            </w:r>
          </w:p>
        </w:tc>
      </w:tr>
      <w:tr>
        <w:tblPrEx>
          <w:tblCellMar>
            <w:top w:w="0" w:type="dxa"/>
            <w:left w:w="108" w:type="dxa"/>
            <w:bottom w:w="0" w:type="dxa"/>
            <w:right w:w="108" w:type="dxa"/>
          </w:tblCellMar>
        </w:tblPrEx>
        <w:trPr>
          <w:trHeight w:val="2173" w:hRule="atLeast"/>
          <w:jc w:val="center"/>
        </w:trPr>
        <w:tc>
          <w:tcPr>
            <w:tcW w:w="2453"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b w:val="0"/>
                <w:bCs w:val="0"/>
                <w:color w:val="auto"/>
                <w:highlight w:val="none"/>
              </w:rPr>
            </w:pPr>
            <w:r>
              <w:rPr>
                <w:rFonts w:hint="eastAsia" w:ascii="宋体" w:hAnsi="宋体"/>
                <w:b w:val="0"/>
                <w:bCs w:val="0"/>
                <w:color w:val="auto"/>
                <w:highlight w:val="none"/>
              </w:rPr>
              <w:t>甲方（章）</w:t>
            </w:r>
          </w:p>
          <w:p>
            <w:pPr>
              <w:snapToGrid w:val="0"/>
              <w:spacing w:line="400" w:lineRule="exact"/>
              <w:ind w:firstLine="420" w:firstLineChars="200"/>
              <w:rPr>
                <w:rFonts w:hint="eastAsia" w:ascii="宋体" w:hAnsi="宋体"/>
                <w:b w:val="0"/>
                <w:bCs w:val="0"/>
                <w:color w:val="auto"/>
                <w:highlight w:val="none"/>
              </w:rPr>
            </w:pPr>
          </w:p>
          <w:p>
            <w:pPr>
              <w:snapToGrid w:val="0"/>
              <w:spacing w:line="400" w:lineRule="exact"/>
              <w:ind w:firstLine="420" w:firstLineChars="200"/>
              <w:rPr>
                <w:rFonts w:hint="eastAsia" w:ascii="宋体" w:hAnsi="宋体"/>
                <w:b w:val="0"/>
                <w:bCs w:val="0"/>
                <w:color w:val="auto"/>
                <w:highlight w:val="none"/>
              </w:rPr>
            </w:pPr>
          </w:p>
          <w:p>
            <w:pPr>
              <w:snapToGrid w:val="0"/>
              <w:spacing w:line="400" w:lineRule="exact"/>
              <w:ind w:firstLine="420" w:firstLineChars="200"/>
              <w:rPr>
                <w:rFonts w:hint="eastAsia" w:ascii="宋体" w:hAnsi="宋体"/>
                <w:b w:val="0"/>
                <w:bCs w:val="0"/>
                <w:color w:val="auto"/>
                <w:highlight w:val="none"/>
              </w:rPr>
            </w:pPr>
          </w:p>
          <w:p>
            <w:pPr>
              <w:snapToGrid w:val="0"/>
              <w:spacing w:line="400" w:lineRule="exact"/>
              <w:ind w:firstLine="420" w:firstLineChars="200"/>
              <w:jc w:val="right"/>
              <w:rPr>
                <w:rFonts w:hint="eastAsia" w:ascii="宋体" w:hAnsi="宋体"/>
                <w:b w:val="0"/>
                <w:bCs w:val="0"/>
                <w:color w:val="auto"/>
                <w:highlight w:val="none"/>
              </w:rPr>
            </w:pPr>
            <w:r>
              <w:rPr>
                <w:rFonts w:hint="eastAsia" w:ascii="宋体" w:hAnsi="宋体"/>
                <w:b w:val="0"/>
                <w:bCs w:val="0"/>
                <w:color w:val="auto"/>
                <w:highlight w:val="none"/>
              </w:rPr>
              <w:t xml:space="preserve">                 </w:t>
            </w:r>
          </w:p>
          <w:p>
            <w:pPr>
              <w:snapToGrid w:val="0"/>
              <w:spacing w:line="400" w:lineRule="exact"/>
              <w:ind w:firstLine="420" w:firstLineChars="200"/>
              <w:jc w:val="right"/>
              <w:rPr>
                <w:rFonts w:hint="eastAsia" w:ascii="宋体" w:hAnsi="宋体"/>
                <w:b w:val="0"/>
                <w:bCs w:val="0"/>
                <w:color w:val="auto"/>
                <w:highlight w:val="none"/>
              </w:rPr>
            </w:pPr>
            <w:r>
              <w:rPr>
                <w:rFonts w:hint="eastAsia" w:ascii="宋体" w:hAnsi="宋体"/>
                <w:b w:val="0"/>
                <w:bCs w:val="0"/>
                <w:color w:val="auto"/>
                <w:highlight w:val="none"/>
              </w:rPr>
              <w:t xml:space="preserve">年   月   日 </w:t>
            </w:r>
          </w:p>
        </w:tc>
        <w:tc>
          <w:tcPr>
            <w:tcW w:w="2546"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b w:val="0"/>
                <w:bCs w:val="0"/>
                <w:color w:val="auto"/>
                <w:highlight w:val="none"/>
              </w:rPr>
            </w:pPr>
            <w:r>
              <w:rPr>
                <w:rFonts w:hint="eastAsia" w:ascii="宋体" w:hAnsi="宋体"/>
                <w:b w:val="0"/>
                <w:bCs w:val="0"/>
                <w:color w:val="auto"/>
                <w:highlight w:val="none"/>
              </w:rPr>
              <w:t>乙方（章）</w:t>
            </w:r>
          </w:p>
          <w:p>
            <w:pPr>
              <w:snapToGrid w:val="0"/>
              <w:spacing w:line="400" w:lineRule="exact"/>
              <w:ind w:firstLine="420" w:firstLineChars="200"/>
              <w:rPr>
                <w:rFonts w:hint="eastAsia" w:ascii="宋体" w:hAnsi="宋体"/>
                <w:b w:val="0"/>
                <w:bCs w:val="0"/>
                <w:color w:val="auto"/>
                <w:highlight w:val="none"/>
              </w:rPr>
            </w:pPr>
          </w:p>
          <w:p>
            <w:pPr>
              <w:snapToGrid w:val="0"/>
              <w:spacing w:line="400" w:lineRule="exact"/>
              <w:ind w:firstLine="420" w:firstLineChars="200"/>
              <w:rPr>
                <w:rFonts w:hint="eastAsia" w:ascii="宋体" w:hAnsi="宋体"/>
                <w:b w:val="0"/>
                <w:bCs w:val="0"/>
                <w:color w:val="auto"/>
                <w:highlight w:val="none"/>
              </w:rPr>
            </w:pPr>
          </w:p>
          <w:p>
            <w:pPr>
              <w:snapToGrid w:val="0"/>
              <w:spacing w:line="400" w:lineRule="exact"/>
              <w:ind w:firstLine="420" w:firstLineChars="200"/>
              <w:rPr>
                <w:rFonts w:hint="eastAsia" w:ascii="宋体" w:hAnsi="宋体"/>
                <w:b w:val="0"/>
                <w:bCs w:val="0"/>
                <w:color w:val="auto"/>
                <w:highlight w:val="none"/>
              </w:rPr>
            </w:pPr>
          </w:p>
          <w:p>
            <w:pPr>
              <w:snapToGrid w:val="0"/>
              <w:spacing w:line="400" w:lineRule="exact"/>
              <w:ind w:firstLine="420" w:firstLineChars="200"/>
              <w:rPr>
                <w:rFonts w:hint="eastAsia" w:ascii="宋体" w:hAnsi="宋体"/>
                <w:b w:val="0"/>
                <w:bCs w:val="0"/>
                <w:color w:val="auto"/>
                <w:highlight w:val="none"/>
              </w:rPr>
            </w:pPr>
          </w:p>
          <w:p>
            <w:pPr>
              <w:snapToGrid w:val="0"/>
              <w:spacing w:line="400" w:lineRule="exact"/>
              <w:ind w:firstLine="420" w:firstLineChars="200"/>
              <w:jc w:val="right"/>
              <w:rPr>
                <w:rFonts w:hint="eastAsia" w:ascii="宋体" w:hAnsi="宋体"/>
                <w:b w:val="0"/>
                <w:bCs w:val="0"/>
                <w:color w:val="auto"/>
                <w:highlight w:val="none"/>
              </w:rPr>
            </w:pPr>
            <w:r>
              <w:rPr>
                <w:rFonts w:hint="eastAsia" w:ascii="宋体" w:hAnsi="宋体"/>
                <w:b w:val="0"/>
                <w:bCs w:val="0"/>
                <w:color w:val="auto"/>
                <w:highlight w:val="none"/>
              </w:rPr>
              <w:t xml:space="preserve">                 年   月   日</w:t>
            </w:r>
          </w:p>
        </w:tc>
      </w:tr>
    </w:tbl>
    <w:p>
      <w:pPr>
        <w:snapToGrid w:val="0"/>
        <w:jc w:val="left"/>
        <w:rPr>
          <w:rFonts w:hint="eastAsia" w:ascii="宋体" w:hAnsi="宋体"/>
          <w:b w:val="0"/>
          <w:bCs w:val="0"/>
          <w:color w:val="auto"/>
          <w:szCs w:val="21"/>
          <w:highlight w:val="none"/>
        </w:rPr>
      </w:pPr>
      <w:r>
        <w:rPr>
          <w:rFonts w:hint="eastAsia" w:ascii="宋体" w:hAnsi="宋体"/>
          <w:b w:val="0"/>
          <w:bCs w:val="0"/>
          <w:color w:val="auto"/>
          <w:highlight w:val="none"/>
        </w:rPr>
        <w:t xml:space="preserve">    注：售后服务事项填不下时可另加附页</w:t>
      </w:r>
    </w:p>
    <w:p>
      <w:pPr>
        <w:pageBreakBefore/>
        <w:spacing w:line="300" w:lineRule="auto"/>
        <w:ind w:firstLine="3266"/>
        <w:rPr>
          <w:rFonts w:ascii="仿宋_GB2312" w:hAnsi="仿宋_GB2312" w:eastAsia="仿宋_GB2312"/>
          <w:b w:val="0"/>
          <w:bCs w:val="0"/>
          <w:color w:val="auto"/>
          <w:sz w:val="44"/>
          <w:szCs w:val="44"/>
          <w:highlight w:val="none"/>
        </w:rPr>
      </w:pPr>
    </w:p>
    <w:p>
      <w:pPr>
        <w:spacing w:line="300" w:lineRule="auto"/>
        <w:ind w:firstLine="3264"/>
        <w:rPr>
          <w:rFonts w:ascii="仿宋_GB2312" w:hAnsi="仿宋_GB2312" w:eastAsia="仿宋_GB2312"/>
          <w:b w:val="0"/>
          <w:bCs w:val="0"/>
          <w:color w:val="auto"/>
          <w:sz w:val="44"/>
          <w:szCs w:val="44"/>
          <w:highlight w:val="none"/>
        </w:rPr>
      </w:pPr>
    </w:p>
    <w:p>
      <w:pPr>
        <w:spacing w:line="300" w:lineRule="auto"/>
        <w:ind w:firstLine="3264"/>
        <w:rPr>
          <w:rFonts w:ascii="仿宋_GB2312" w:hAnsi="仿宋_GB2312" w:eastAsia="仿宋_GB2312"/>
          <w:b w:val="0"/>
          <w:bCs w:val="0"/>
          <w:color w:val="auto"/>
          <w:sz w:val="44"/>
          <w:szCs w:val="44"/>
          <w:highlight w:val="none"/>
        </w:rPr>
      </w:pPr>
    </w:p>
    <w:p>
      <w:pPr>
        <w:spacing w:line="300" w:lineRule="auto"/>
        <w:ind w:firstLine="3264"/>
        <w:rPr>
          <w:rFonts w:ascii="仿宋_GB2312" w:hAnsi="仿宋_GB2312" w:eastAsia="仿宋_GB2312"/>
          <w:b w:val="0"/>
          <w:bCs w:val="0"/>
          <w:color w:val="auto"/>
          <w:sz w:val="44"/>
          <w:szCs w:val="44"/>
          <w:highlight w:val="none"/>
        </w:rPr>
      </w:pPr>
    </w:p>
    <w:p>
      <w:pPr>
        <w:spacing w:line="300" w:lineRule="auto"/>
        <w:ind w:firstLine="3264"/>
        <w:rPr>
          <w:rFonts w:ascii="仿宋_GB2312" w:hAnsi="仿宋_GB2312" w:eastAsia="仿宋_GB2312"/>
          <w:b w:val="0"/>
          <w:bCs w:val="0"/>
          <w:color w:val="auto"/>
          <w:sz w:val="44"/>
          <w:szCs w:val="44"/>
          <w:highlight w:val="none"/>
        </w:rPr>
      </w:pPr>
    </w:p>
    <w:p>
      <w:pPr>
        <w:spacing w:line="300" w:lineRule="auto"/>
        <w:ind w:firstLine="3264"/>
        <w:rPr>
          <w:rFonts w:ascii="仿宋_GB2312" w:hAnsi="仿宋_GB2312" w:eastAsia="仿宋_GB2312"/>
          <w:b w:val="0"/>
          <w:bCs w:val="0"/>
          <w:color w:val="auto"/>
          <w:sz w:val="44"/>
          <w:szCs w:val="44"/>
          <w:highlight w:val="none"/>
        </w:rPr>
      </w:pPr>
    </w:p>
    <w:p>
      <w:pPr>
        <w:pStyle w:val="2"/>
        <w:rPr>
          <w:rFonts w:ascii="仿宋_GB2312" w:hAnsi="仿宋_GB2312" w:eastAsia="仿宋_GB2312"/>
          <w:b w:val="0"/>
          <w:bCs w:val="0"/>
          <w:color w:val="auto"/>
          <w:sz w:val="44"/>
          <w:szCs w:val="44"/>
          <w:highlight w:val="none"/>
        </w:rPr>
      </w:pPr>
    </w:p>
    <w:p>
      <w:pPr>
        <w:rPr>
          <w:b w:val="0"/>
          <w:bCs w:val="0"/>
          <w:color w:val="auto"/>
          <w:highlight w:val="none"/>
        </w:rPr>
      </w:pPr>
    </w:p>
    <w:p>
      <w:pPr>
        <w:spacing w:line="300" w:lineRule="auto"/>
        <w:ind w:firstLine="3264"/>
        <w:rPr>
          <w:rFonts w:ascii="仿宋_GB2312" w:hAnsi="仿宋_GB2312" w:eastAsia="仿宋_GB2312"/>
          <w:b w:val="0"/>
          <w:bCs w:val="0"/>
          <w:color w:val="auto"/>
          <w:sz w:val="44"/>
          <w:szCs w:val="44"/>
          <w:highlight w:val="none"/>
        </w:rPr>
      </w:pPr>
    </w:p>
    <w:p>
      <w:pPr>
        <w:spacing w:line="300" w:lineRule="auto"/>
        <w:ind w:firstLine="3264"/>
        <w:rPr>
          <w:rFonts w:ascii="仿宋_GB2312" w:hAnsi="仿宋_GB2312" w:eastAsia="仿宋_GB2312"/>
          <w:b w:val="0"/>
          <w:bCs w:val="0"/>
          <w:color w:val="auto"/>
          <w:sz w:val="44"/>
          <w:szCs w:val="44"/>
          <w:highlight w:val="none"/>
        </w:rPr>
      </w:pPr>
    </w:p>
    <w:p>
      <w:pPr>
        <w:pStyle w:val="3"/>
        <w:jc w:val="center"/>
        <w:rPr>
          <w:b w:val="0"/>
          <w:bCs w:val="0"/>
          <w:color w:val="auto"/>
          <w:highlight w:val="none"/>
        </w:rPr>
      </w:pPr>
      <w:bookmarkStart w:id="67" w:name="_Toc46136761"/>
      <w:r>
        <w:rPr>
          <w:rFonts w:hint="eastAsia"/>
          <w:b w:val="0"/>
          <w:bCs w:val="0"/>
          <w:color w:val="auto"/>
          <w:highlight w:val="none"/>
        </w:rPr>
        <w:t>第六章  评定标准</w:t>
      </w:r>
      <w:bookmarkEnd w:id="67"/>
    </w:p>
    <w:p>
      <w:pPr>
        <w:pStyle w:val="8"/>
        <w:spacing w:line="440" w:lineRule="exact"/>
        <w:rPr>
          <w:rFonts w:ascii="黑体" w:hAnsi="黑体" w:eastAsia="黑体"/>
          <w:b w:val="0"/>
          <w:bCs w:val="0"/>
          <w:color w:val="auto"/>
          <w:sz w:val="32"/>
          <w:szCs w:val="32"/>
          <w:highlight w:val="none"/>
        </w:rPr>
      </w:pPr>
    </w:p>
    <w:p>
      <w:pPr>
        <w:pStyle w:val="8"/>
        <w:spacing w:line="440" w:lineRule="exact"/>
        <w:rPr>
          <w:rFonts w:ascii="黑体" w:hAnsi="黑体" w:eastAsia="黑体"/>
          <w:b w:val="0"/>
          <w:bCs w:val="0"/>
          <w:color w:val="auto"/>
          <w:sz w:val="32"/>
          <w:szCs w:val="32"/>
          <w:highlight w:val="none"/>
        </w:rPr>
      </w:pPr>
    </w:p>
    <w:p>
      <w:pPr>
        <w:pStyle w:val="8"/>
        <w:pageBreakBefore/>
        <w:spacing w:line="440" w:lineRule="exact"/>
        <w:rPr>
          <w:rFonts w:ascii="黑体" w:hAnsi="黑体" w:eastAsia="黑体"/>
          <w:b w:val="0"/>
          <w:bCs w:val="0"/>
          <w:color w:val="auto"/>
          <w:sz w:val="32"/>
          <w:szCs w:val="32"/>
          <w:highlight w:val="none"/>
        </w:rPr>
      </w:pPr>
    </w:p>
    <w:p>
      <w:pPr>
        <w:pStyle w:val="8"/>
        <w:spacing w:line="440" w:lineRule="exact"/>
        <w:ind w:firstLine="4336" w:firstLineChars="1350"/>
        <w:rPr>
          <w:b/>
          <w:bCs/>
          <w:color w:val="auto"/>
          <w:highlight w:val="none"/>
        </w:rPr>
      </w:pPr>
      <w:r>
        <w:rPr>
          <w:rFonts w:hint="eastAsia"/>
          <w:b/>
          <w:bCs/>
          <w:color w:val="auto"/>
          <w:sz w:val="32"/>
          <w:szCs w:val="32"/>
          <w:highlight w:val="none"/>
        </w:rPr>
        <w:t>评定标准</w:t>
      </w:r>
    </w:p>
    <w:p>
      <w:pPr>
        <w:pStyle w:val="8"/>
        <w:spacing w:line="440" w:lineRule="exact"/>
        <w:rPr>
          <w:rFonts w:hint="eastAsia"/>
          <w:b w:val="0"/>
          <w:bCs w:val="0"/>
          <w:color w:val="auto"/>
          <w:highlight w:val="none"/>
        </w:rPr>
      </w:pPr>
      <w:r>
        <w:rPr>
          <w:rFonts w:hint="eastAsia"/>
          <w:b w:val="0"/>
          <w:bCs w:val="0"/>
          <w:color w:val="auto"/>
          <w:highlight w:val="none"/>
        </w:rPr>
        <w:t>一、评审原则</w:t>
      </w:r>
    </w:p>
    <w:p>
      <w:pPr>
        <w:pStyle w:val="8"/>
        <w:spacing w:line="440" w:lineRule="exact"/>
        <w:rPr>
          <w:rFonts w:hint="eastAsia"/>
          <w:b w:val="0"/>
          <w:bCs w:val="0"/>
          <w:color w:val="auto"/>
          <w:highlight w:val="none"/>
        </w:rPr>
      </w:pPr>
      <w:r>
        <w:rPr>
          <w:rFonts w:hint="eastAsia"/>
          <w:b w:val="0"/>
          <w:bCs w:val="0"/>
          <w:color w:val="auto"/>
          <w:highlight w:val="none"/>
        </w:rPr>
        <w:t xml:space="preserve">    （一）谈判小组成员组成：本竞争性谈判采购项目的谈判小组由采购人代表和评审专家共三人以上的单数组成（达到公开招标数额标准以上的项目，竞争性谈判小组成员由五人以上单数组成），其中评审专家的人数不得少于谈判小组成员总数的三分之二。</w:t>
      </w:r>
    </w:p>
    <w:p>
      <w:pPr>
        <w:pStyle w:val="8"/>
        <w:spacing w:line="440" w:lineRule="exact"/>
        <w:rPr>
          <w:rFonts w:hint="eastAsia"/>
          <w:b w:val="0"/>
          <w:bCs w:val="0"/>
          <w:color w:val="auto"/>
          <w:highlight w:val="none"/>
        </w:rPr>
      </w:pPr>
      <w:r>
        <w:rPr>
          <w:rFonts w:hint="eastAsia"/>
          <w:b w:val="0"/>
          <w:bCs w:val="0"/>
          <w:color w:val="auto"/>
          <w:highlight w:val="none"/>
        </w:rPr>
        <w:t xml:space="preserve">    （二）评审依据：以竞争性谈判文件和竞争性谈判响应文件为依据。</w:t>
      </w:r>
    </w:p>
    <w:p>
      <w:pPr>
        <w:pStyle w:val="8"/>
        <w:spacing w:line="440" w:lineRule="exact"/>
        <w:rPr>
          <w:rFonts w:hint="eastAsia"/>
          <w:b w:val="0"/>
          <w:bCs w:val="0"/>
          <w:color w:val="auto"/>
          <w:highlight w:val="none"/>
        </w:rPr>
      </w:pPr>
      <w:r>
        <w:rPr>
          <w:rFonts w:hint="eastAsia"/>
          <w:b w:val="0"/>
          <w:bCs w:val="0"/>
          <w:color w:val="auto"/>
          <w:highlight w:val="none"/>
        </w:rPr>
        <w:t>二、评审方法</w:t>
      </w:r>
    </w:p>
    <w:p>
      <w:pPr>
        <w:pStyle w:val="8"/>
        <w:spacing w:line="440" w:lineRule="exact"/>
        <w:rPr>
          <w:rFonts w:hint="eastAsia"/>
          <w:b w:val="0"/>
          <w:bCs w:val="0"/>
          <w:color w:val="auto"/>
          <w:highlight w:val="none"/>
        </w:rPr>
      </w:pPr>
      <w:r>
        <w:rPr>
          <w:rFonts w:hint="eastAsia"/>
          <w:b w:val="0"/>
          <w:bCs w:val="0"/>
          <w:color w:val="auto"/>
          <w:highlight w:val="none"/>
        </w:rPr>
        <w:t xml:space="preserve">    （一）对资格性和符合性检查合格的竞争性谈判响应文件，采用最低评标价法进行评审。</w:t>
      </w:r>
    </w:p>
    <w:p>
      <w:pPr>
        <w:pStyle w:val="8"/>
        <w:spacing w:line="440" w:lineRule="exact"/>
        <w:rPr>
          <w:rFonts w:hint="eastAsia"/>
          <w:b w:val="0"/>
          <w:bCs w:val="0"/>
          <w:color w:val="auto"/>
          <w:highlight w:val="none"/>
        </w:rPr>
      </w:pPr>
      <w:r>
        <w:rPr>
          <w:rFonts w:hint="eastAsia"/>
          <w:b w:val="0"/>
          <w:bCs w:val="0"/>
          <w:color w:val="auto"/>
          <w:highlight w:val="none"/>
        </w:rPr>
        <w:t xml:space="preserve">    （二）谈判小组将以竞争性谈判文件、竞争性谈判响应文件为评审依据，在质量和服务均能满足竞争性谈判文件实质性响应要求的供应商中，以提出最后报价（价格扣除后）最低的供应商作为成交供应商。</w:t>
      </w:r>
    </w:p>
    <w:p>
      <w:pPr>
        <w:pStyle w:val="8"/>
        <w:spacing w:line="440" w:lineRule="exact"/>
        <w:rPr>
          <w:rFonts w:hint="eastAsia" w:eastAsia="宋体"/>
          <w:b w:val="0"/>
          <w:bCs w:val="0"/>
          <w:color w:val="auto"/>
          <w:highlight w:val="none"/>
          <w:lang w:eastAsia="zh-CN"/>
        </w:rPr>
      </w:pPr>
      <w:r>
        <w:rPr>
          <w:rFonts w:hint="eastAsia"/>
          <w:b w:val="0"/>
          <w:bCs w:val="0"/>
          <w:color w:val="auto"/>
          <w:highlight w:val="none"/>
        </w:rPr>
        <w:t xml:space="preserve">    （三）谈判供应商符合《政府采购促进中小企业发展管理办法》（财库[2020]46号）规定条件且按办法中规定的格式提供了《中小企业声明函》的小型和微型企业，</w:t>
      </w:r>
      <w:r>
        <w:rPr>
          <w:rFonts w:hint="eastAsia"/>
          <w:b/>
          <w:bCs/>
          <w:color w:val="auto"/>
          <w:highlight w:val="none"/>
        </w:rPr>
        <w:t>对其最后报价给予10%的扣除；扣除后的价格为评标价；除上述情况外，评标价=竞标价</w:t>
      </w:r>
      <w:r>
        <w:rPr>
          <w:rFonts w:hint="eastAsia"/>
          <w:b w:val="0"/>
          <w:bCs w:val="0"/>
          <w:color w:val="auto"/>
          <w:highlight w:val="none"/>
          <w:lang w:eastAsia="zh-CN"/>
        </w:rPr>
        <w:t>。</w:t>
      </w:r>
    </w:p>
    <w:p>
      <w:pPr>
        <w:pStyle w:val="8"/>
        <w:spacing w:line="440" w:lineRule="exact"/>
        <w:rPr>
          <w:rFonts w:hint="eastAsia"/>
          <w:b w:val="0"/>
          <w:bCs w:val="0"/>
          <w:color w:val="auto"/>
          <w:highlight w:val="none"/>
        </w:rPr>
      </w:pPr>
      <w:r>
        <w:rPr>
          <w:rFonts w:hint="eastAsia"/>
          <w:b w:val="0"/>
          <w:bCs w:val="0"/>
          <w:color w:val="auto"/>
          <w:highlight w:val="none"/>
        </w:rPr>
        <w:t xml:space="preserve">    （四）谈判供应商及所提供的产品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8"/>
        <w:spacing w:line="440" w:lineRule="exact"/>
        <w:rPr>
          <w:rFonts w:hint="eastAsia"/>
          <w:b w:val="0"/>
          <w:bCs w:val="0"/>
          <w:color w:val="auto"/>
          <w:highlight w:val="none"/>
        </w:rPr>
      </w:pPr>
      <w:r>
        <w:rPr>
          <w:rFonts w:hint="eastAsia"/>
          <w:b w:val="0"/>
          <w:bCs w:val="0"/>
          <w:color w:val="auto"/>
          <w:highlight w:val="none"/>
        </w:rPr>
        <w:t xml:space="preserve">    （五）竞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pPr>
        <w:pStyle w:val="8"/>
        <w:spacing w:line="440" w:lineRule="exact"/>
        <w:rPr>
          <w:rFonts w:hint="eastAsia"/>
          <w:b w:val="0"/>
          <w:bCs w:val="0"/>
          <w:color w:val="auto"/>
          <w:highlight w:val="none"/>
        </w:rPr>
      </w:pPr>
      <w:r>
        <w:rPr>
          <w:rFonts w:hint="eastAsia"/>
          <w:b w:val="0"/>
          <w:bCs w:val="0"/>
          <w:color w:val="auto"/>
          <w:highlight w:val="none"/>
        </w:rPr>
        <w:t>三、成交候选人推荐原则</w:t>
      </w:r>
    </w:p>
    <w:p>
      <w:pPr>
        <w:pStyle w:val="8"/>
        <w:spacing w:line="440" w:lineRule="exact"/>
        <w:rPr>
          <w:rFonts w:hint="eastAsia"/>
          <w:b w:val="0"/>
          <w:bCs w:val="0"/>
          <w:color w:val="auto"/>
          <w:highlight w:val="none"/>
        </w:rPr>
      </w:pPr>
      <w:r>
        <w:rPr>
          <w:rFonts w:hint="eastAsia"/>
          <w:b w:val="0"/>
          <w:bCs w:val="0"/>
          <w:color w:val="auto"/>
          <w:highlight w:val="none"/>
          <w:lang w:val="en-US" w:eastAsia="zh-CN"/>
        </w:rPr>
        <w:t xml:space="preserve">   </w:t>
      </w:r>
      <w:r>
        <w:rPr>
          <w:rFonts w:hint="eastAsia"/>
          <w:b w:val="0"/>
          <w:bCs w:val="0"/>
          <w:color w:val="auto"/>
          <w:highlight w:val="none"/>
        </w:rPr>
        <w:t>（一）竞争性谈判响应文件在质量和服务均能满足竞争性谈判文件实质性响应要求时，谈判小组将按价格扣除后的报价由低到高顺序推荐3名以上成交候选人（报价相同时，由谈判小组根据响应文件中技术、服务、合同条款情况确定排序，并按确定排序由低到高的原则推荐成交候选人）。采购人应当确定谈判小组推荐排名第一的成交候选人为成交供应商。</w:t>
      </w:r>
    </w:p>
    <w:p>
      <w:pPr>
        <w:pStyle w:val="8"/>
        <w:spacing w:line="440" w:lineRule="exact"/>
        <w:rPr>
          <w:rFonts w:hint="eastAsia"/>
          <w:b w:val="0"/>
          <w:bCs w:val="0"/>
          <w:color w:val="auto"/>
          <w:highlight w:val="none"/>
        </w:rPr>
      </w:pPr>
      <w:r>
        <w:rPr>
          <w:rFonts w:hint="eastAsia"/>
          <w:b w:val="0"/>
          <w:bCs w:val="0"/>
          <w:color w:val="auto"/>
          <w:highlight w:val="none"/>
          <w:lang w:val="en-US" w:eastAsia="zh-CN"/>
        </w:rPr>
        <w:t xml:space="preserve">    </w:t>
      </w:r>
      <w:r>
        <w:rPr>
          <w:rFonts w:hint="eastAsia"/>
          <w:b w:val="0"/>
          <w:bCs w:val="0"/>
          <w:color w:val="auto"/>
          <w:highlight w:val="none"/>
        </w:rPr>
        <w:t>排名第一的成交候选人拒绝签订政府采购合同的，采购人可以确定排名第二的成交候选人为成交供应商。排名第二的成交候选人因前款规定的同样原因不能签订合同的，采购人可以确定排名第三的成交候选人为成交供应商，其余以此类推。采购人也可以决定重新采购。</w:t>
      </w:r>
    </w:p>
    <w:p>
      <w:pPr>
        <w:pStyle w:val="8"/>
        <w:spacing w:line="440" w:lineRule="exact"/>
        <w:rPr>
          <w:b w:val="0"/>
          <w:bCs w:val="0"/>
          <w:color w:val="auto"/>
          <w:highlight w:val="none"/>
        </w:rPr>
      </w:pPr>
      <w:r>
        <w:rPr>
          <w:rFonts w:hint="eastAsia"/>
          <w:b w:val="0"/>
          <w:bCs w:val="0"/>
          <w:color w:val="auto"/>
          <w:highlight w:val="none"/>
        </w:rPr>
        <w:t xml:space="preserve">    （二）谈判小组认为谈判供应商的报价明显低于其他满足谈判文件实质性响应要求供应商的报价，有可能影响产品质量或者不能诚信履约的，应当要求其在谈判现场合理的时间内提供书面说明，必要时提交相关证明材料；谈判供应商不能证明其报价合理性的，谈判小组将不推荐该谈判供应商为成交候选供应商。</w:t>
      </w:r>
    </w:p>
    <w:sectPr>
      <w:footerReference r:id="rId5" w:type="first"/>
      <w:headerReference r:id="rId3" w:type="default"/>
      <w:footerReference r:id="rId4" w:type="default"/>
      <w:pgSz w:w="11906" w:h="16838"/>
      <w:pgMar w:top="720" w:right="720" w:bottom="720" w:left="720" w:header="720" w:footer="992" w:gutter="0"/>
      <w:pgNumType w:start="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DejaVu Sans"/>
    <w:panose1 w:val="020F0302020204030204"/>
    <w:charset w:val="00"/>
    <w:family w:val="swiss"/>
    <w:pitch w:val="default"/>
    <w:sig w:usb0="00000000" w:usb1="00000000" w:usb2="00000000" w:usb3="00000000" w:csb0="200001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ejaVu Math TeX Gyre">
    <w:panose1 w:val="02000503000000000000"/>
    <w:charset w:val="00"/>
    <w:family w:val="auto"/>
    <w:pitch w:val="default"/>
    <w:sig w:usb0="A10000EF" w:usb1="4201F9EE" w:usb2="02000000" w:usb3="00000000" w:csb0="60000193" w:csb1="0DD40000"/>
  </w:font>
  <w:font w:name="FangSong">
    <w:panose1 w:val="02010609060101010101"/>
    <w:charset w:val="86"/>
    <w:family w:val="auto"/>
    <w:pitch w:val="default"/>
    <w:sig w:usb0="800002BF" w:usb1="38CF7CFA" w:usb2="00000016" w:usb3="00000000" w:csb0="00040001" w:csb1="00000000"/>
  </w:font>
  <w:font w:name="sans-serif">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page" w:x="5853" w:y="1"/>
    </w:pPr>
    <w:r>
      <w:fldChar w:fldCharType="begin"/>
    </w:r>
    <w:r>
      <w:instrText xml:space="preserve"> PAGE \* Arabic </w:instrText>
    </w:r>
    <w:r>
      <w:fldChar w:fldCharType="separate"/>
    </w:r>
    <w:r>
      <w:t>83</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both"/>
    </w:pPr>
    <w:r>
      <w:rPr>
        <w:rFonts w:hint="eastAsia"/>
      </w:rPr>
      <w:t xml:space="preserve">                               </w:t>
    </w:r>
    <w:r>
      <w:rPr>
        <w:lang w:val="en"/>
      </w:rPr>
      <w:t xml:space="preserve">     </w:t>
    </w:r>
    <w:r>
      <w:rPr>
        <w:rFonts w:hint="eastAsia"/>
        <w:lang w:val="en"/>
      </w:rPr>
      <w:t>广西壮族自治区疾病预防控制中心</w:t>
    </w:r>
    <w:r>
      <w:rPr>
        <w:rFonts w:hint="eastAsia"/>
        <w:lang w:val="en-US" w:eastAsia="zh-CN"/>
      </w:rPr>
      <w:t>礼堂座椅及地毯采购</w:t>
    </w:r>
    <w:r>
      <w:rPr>
        <w:rFonts w:hint="eastAsia"/>
        <w:lang w:val="en" w:eastAsia="zh-CN"/>
      </w:rPr>
      <w:t>（</w:t>
    </w:r>
    <w:r>
      <w:rPr>
        <w:rFonts w:hint="eastAsia"/>
        <w:lang w:val="en"/>
      </w:rPr>
      <w:t>GXZC2025-J1-002343-CGZX</w:t>
    </w:r>
    <w:r>
      <w:rPr>
        <w:rFonts w:hint="eastAsia"/>
        <w:lang w:val="en"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NjYwNGU2NTA4Y2JlMzU5MTgxNGU2YWQ2ZDE3YzQifQ=="/>
  </w:docVars>
  <w:rsids>
    <w:rsidRoot w:val="6D6F6E00"/>
    <w:rsid w:val="151E237F"/>
    <w:rsid w:val="1AE103F3"/>
    <w:rsid w:val="1B0117D3"/>
    <w:rsid w:val="1F1E5906"/>
    <w:rsid w:val="1FFB7996"/>
    <w:rsid w:val="233C1BA7"/>
    <w:rsid w:val="24422FA8"/>
    <w:rsid w:val="25C7549B"/>
    <w:rsid w:val="26C24617"/>
    <w:rsid w:val="26C63A6C"/>
    <w:rsid w:val="26EFF88D"/>
    <w:rsid w:val="35827613"/>
    <w:rsid w:val="3D7131F3"/>
    <w:rsid w:val="3F7E6537"/>
    <w:rsid w:val="3FCF4617"/>
    <w:rsid w:val="3FFD57B5"/>
    <w:rsid w:val="441C365B"/>
    <w:rsid w:val="46CD35B6"/>
    <w:rsid w:val="4F8FD7F7"/>
    <w:rsid w:val="552135F9"/>
    <w:rsid w:val="57474608"/>
    <w:rsid w:val="5E6367F6"/>
    <w:rsid w:val="5E8932E1"/>
    <w:rsid w:val="5F2A46AF"/>
    <w:rsid w:val="5FDA4750"/>
    <w:rsid w:val="5FF754CF"/>
    <w:rsid w:val="5FFBA250"/>
    <w:rsid w:val="63F24914"/>
    <w:rsid w:val="6CFD596D"/>
    <w:rsid w:val="6D6F6E00"/>
    <w:rsid w:val="728FB462"/>
    <w:rsid w:val="73296E21"/>
    <w:rsid w:val="7481790F"/>
    <w:rsid w:val="74DF9D1F"/>
    <w:rsid w:val="751653F3"/>
    <w:rsid w:val="75667516"/>
    <w:rsid w:val="7651FCCF"/>
    <w:rsid w:val="792F6AD4"/>
    <w:rsid w:val="7A9E37AF"/>
    <w:rsid w:val="7AFFC8D8"/>
    <w:rsid w:val="7DC34BCE"/>
    <w:rsid w:val="7DE70AC7"/>
    <w:rsid w:val="7E5E9BF6"/>
    <w:rsid w:val="7E7109C0"/>
    <w:rsid w:val="9FFED722"/>
    <w:rsid w:val="ABEF2ABA"/>
    <w:rsid w:val="ABF1A196"/>
    <w:rsid w:val="AFBE50CE"/>
    <w:rsid w:val="BD9DC5D8"/>
    <w:rsid w:val="BFF9DF7E"/>
    <w:rsid w:val="D28CDE9A"/>
    <w:rsid w:val="D3ED42D5"/>
    <w:rsid w:val="D6644179"/>
    <w:rsid w:val="DAF366F1"/>
    <w:rsid w:val="DBD33429"/>
    <w:rsid w:val="DF7BF7D8"/>
    <w:rsid w:val="F3FABDE4"/>
    <w:rsid w:val="F75D2468"/>
    <w:rsid w:val="F7B745C0"/>
    <w:rsid w:val="F8FF58E8"/>
    <w:rsid w:val="FAAF1D81"/>
    <w:rsid w:val="FB5F0C59"/>
    <w:rsid w:val="FB7FAE81"/>
    <w:rsid w:val="FB9DFC60"/>
    <w:rsid w:val="FBF50A6D"/>
    <w:rsid w:val="FBF58C37"/>
    <w:rsid w:val="FC3F1DE8"/>
    <w:rsid w:val="FD5FFCDA"/>
    <w:rsid w:val="FD7D4A84"/>
    <w:rsid w:val="FDF8BB90"/>
    <w:rsid w:val="FEBF088E"/>
    <w:rsid w:val="FEE7DC36"/>
    <w:rsid w:val="FF754AAC"/>
    <w:rsid w:val="FFAFEF49"/>
    <w:rsid w:val="FFEFF69B"/>
    <w:rsid w:val="FFFB8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kern w:val="1"/>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sz w:val="44"/>
      <w:szCs w:val="44"/>
    </w:rPr>
  </w:style>
  <w:style w:type="paragraph" w:styleId="4">
    <w:name w:val="heading 4"/>
    <w:basedOn w:val="1"/>
    <w:next w:val="1"/>
    <w:qFormat/>
    <w:uiPriority w:val="0"/>
    <w:pPr>
      <w:keepNext/>
      <w:keepLines/>
      <w:spacing w:before="280" w:after="290" w:line="376" w:lineRule="auto"/>
      <w:outlineLvl w:val="3"/>
    </w:pPr>
    <w:rPr>
      <w:rFonts w:ascii="Cambria" w:hAnsi="Cambria"/>
      <w:b/>
      <w:bCs/>
      <w:color w:val="auto"/>
      <w:kern w:val="2"/>
      <w:sz w:val="28"/>
      <w:szCs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5">
    <w:name w:val="annotation text"/>
    <w:basedOn w:val="1"/>
    <w:qFormat/>
    <w:uiPriority w:val="0"/>
    <w:pPr>
      <w:jc w:val="left"/>
    </w:pPr>
  </w:style>
  <w:style w:type="paragraph" w:styleId="6">
    <w:name w:val="Body Text"/>
    <w:basedOn w:val="1"/>
    <w:next w:val="1"/>
    <w:qFormat/>
    <w:uiPriority w:val="0"/>
    <w:pPr>
      <w:spacing w:line="380" w:lineRule="exact"/>
    </w:pPr>
    <w:rPr>
      <w:sz w:val="24"/>
    </w:rPr>
  </w:style>
  <w:style w:type="paragraph" w:styleId="7">
    <w:name w:val="Body Text Indent"/>
    <w:basedOn w:val="1"/>
    <w:qFormat/>
    <w:uiPriority w:val="0"/>
    <w:pPr>
      <w:ind w:firstLine="830"/>
    </w:pPr>
    <w:rPr>
      <w:rFonts w:ascii="仿宋_GB2312" w:hAnsi="仿宋_GB2312" w:eastAsia="仿宋_GB2312"/>
      <w:sz w:val="32"/>
      <w:szCs w:val="20"/>
    </w:rPr>
  </w:style>
  <w:style w:type="paragraph" w:styleId="8">
    <w:name w:val="Plain Text"/>
    <w:basedOn w:val="1"/>
    <w:next w:val="3"/>
    <w:qFormat/>
    <w:uiPriority w:val="0"/>
    <w:rPr>
      <w:rFonts w:ascii="宋体" w:hAnsi="宋体" w:cs="Courier New"/>
      <w:szCs w:val="21"/>
    </w:rPr>
  </w:style>
  <w:style w:type="paragraph" w:styleId="9">
    <w:name w:val="Body Text Indent 2"/>
    <w:basedOn w:val="1"/>
    <w:qFormat/>
    <w:uiPriority w:val="0"/>
    <w:pPr>
      <w:ind w:firstLine="630"/>
    </w:pPr>
    <w:rPr>
      <w:sz w:val="32"/>
      <w:szCs w:val="20"/>
    </w:rPr>
  </w:style>
  <w:style w:type="paragraph" w:styleId="10">
    <w:name w:val="footer"/>
    <w:basedOn w:val="1"/>
    <w:qFormat/>
    <w:uiPriority w:val="99"/>
    <w:pPr>
      <w:tabs>
        <w:tab w:val="center" w:pos="4153"/>
        <w:tab w:val="right" w:pos="8306"/>
      </w:tabs>
      <w:jc w:val="left"/>
    </w:pPr>
    <w:rPr>
      <w:sz w:val="18"/>
      <w:szCs w:val="18"/>
    </w:rPr>
  </w:style>
  <w:style w:type="paragraph" w:styleId="11">
    <w:name w:val="header"/>
    <w:basedOn w:val="1"/>
    <w:qFormat/>
    <w:uiPriority w:val="99"/>
    <w:pPr>
      <w:pBdr>
        <w:bottom w:val="single" w:color="000000" w:sz="6" w:space="1"/>
      </w:pBdr>
      <w:tabs>
        <w:tab w:val="center" w:pos="4153"/>
        <w:tab w:val="right" w:pos="8306"/>
      </w:tabs>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color w:val="auto"/>
      <w:kern w:val="0"/>
      <w:sz w:val="24"/>
    </w:rPr>
  </w:style>
  <w:style w:type="paragraph" w:styleId="13">
    <w:name w:val="index 1"/>
    <w:basedOn w:val="1"/>
    <w:next w:val="1"/>
    <w:qFormat/>
    <w:uiPriority w:val="0"/>
    <w:pPr>
      <w:spacing w:line="400" w:lineRule="exact"/>
      <w:ind w:firstLine="420" w:firstLineChars="200"/>
    </w:pPr>
    <w:rPr>
      <w:rFonts w:ascii="宋体" w:hAnsi="Courier New"/>
      <w:b/>
      <w:szCs w:val="20"/>
    </w:rPr>
  </w:style>
  <w:style w:type="paragraph" w:styleId="14">
    <w:name w:val="Body Text First Indent"/>
    <w:basedOn w:val="6"/>
    <w:unhideWhenUsed/>
    <w:qFormat/>
    <w:uiPriority w:val="99"/>
    <w:pPr>
      <w:ind w:firstLine="420" w:firstLineChars="100"/>
    </w:pPr>
  </w:style>
  <w:style w:type="character" w:styleId="17">
    <w:name w:val="Strong"/>
    <w:basedOn w:val="16"/>
    <w:qFormat/>
    <w:uiPriority w:val="0"/>
    <w:rPr>
      <w:b/>
    </w:rPr>
  </w:style>
  <w:style w:type="character" w:styleId="18">
    <w:name w:val="HTML Sample"/>
    <w:basedOn w:val="16"/>
    <w:uiPriority w:val="0"/>
    <w:rPr>
      <w:rFonts w:ascii="Courier New" w:hAnsi="Courier New"/>
    </w:rPr>
  </w:style>
  <w:style w:type="paragraph" w:customStyle="1" w:styleId="19">
    <w:name w:val="表格文字"/>
    <w:basedOn w:val="7"/>
    <w:next w:val="6"/>
    <w:qFormat/>
    <w:uiPriority w:val="99"/>
    <w:pPr>
      <w:spacing w:before="25" w:after="25"/>
      <w:jc w:val="left"/>
    </w:pPr>
    <w:rPr>
      <w:bCs/>
      <w:spacing w:val="10"/>
      <w:kern w:val="0"/>
      <w:sz w:val="24"/>
    </w:rPr>
  </w:style>
  <w:style w:type="character" w:customStyle="1" w:styleId="20">
    <w:name w:val="bookmark-item uuid-1595987359344 code-00004 addword single-line-text-input-box-cls"/>
    <w:qFormat/>
    <w:uiPriority w:val="6"/>
  </w:style>
  <w:style w:type="paragraph" w:customStyle="1" w:styleId="21">
    <w:name w:val="1"/>
    <w:basedOn w:val="1"/>
    <w:next w:val="8"/>
    <w:qFormat/>
    <w:uiPriority w:val="0"/>
    <w:rPr>
      <w:rFonts w:ascii="宋体" w:hAnsi="宋体"/>
      <w:szCs w:val="20"/>
    </w:r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Body text|1"/>
    <w:basedOn w:val="1"/>
    <w:qFormat/>
    <w:uiPriority w:val="0"/>
    <w:pPr>
      <w:spacing w:line="353" w:lineRule="auto"/>
      <w:ind w:firstLine="400"/>
      <w:jc w:val="left"/>
    </w:pPr>
    <w:rPr>
      <w:rFonts w:ascii="宋体" w:hAnsi="宋体"/>
      <w:color w:val="auto"/>
      <w:kern w:val="0"/>
      <w:sz w:val="30"/>
      <w:szCs w:val="30"/>
    </w:rPr>
  </w:style>
  <w:style w:type="paragraph" w:customStyle="1" w:styleId="24">
    <w:name w:val="Body text|3"/>
    <w:basedOn w:val="1"/>
    <w:qFormat/>
    <w:uiPriority w:val="0"/>
    <w:pPr>
      <w:spacing w:after="460"/>
      <w:jc w:val="center"/>
    </w:pPr>
    <w:rPr>
      <w:rFonts w:ascii="宋体" w:hAnsi="宋体"/>
      <w:color w:val="auto"/>
      <w:kern w:val="0"/>
      <w:sz w:val="34"/>
      <w:szCs w:val="34"/>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20837</Words>
  <Characters>22984</Characters>
  <Lines>0</Lines>
  <Paragraphs>0</Paragraphs>
  <TotalTime>42</TotalTime>
  <ScaleCrop>false</ScaleCrop>
  <LinksUpToDate>false</LinksUpToDate>
  <CharactersWithSpaces>23523</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2025-05-14T00:45:00Z</dcterms:created>
  <dc:creator>小毛球(=^o^=)</dc:creator>
  <cp:lastModifiedBy>gxxc</cp:lastModifiedBy>
  <dcterms:modified xsi:type="dcterms:W3CDTF">2025-08-15T17:08:08Z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E83A28A5BB8B42F99EA8C47D99963915_13</vt:lpwstr>
  </property>
  <property fmtid="{D5CDD505-2E9C-101B-9397-08002B2CF9AE}" pid="4" name="KSOTemplateDocerSaveRecord">
    <vt:lpwstr>eyJoZGlkIjoiMjRmMjc2YjgyODExOWY4NjNkYjAyYzJmNmZlYzU0NGYiLCJ1c2VySWQiOiIyNzcyNTgxOTIifQ==</vt:lpwstr>
  </property>
</Properties>
</file>