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olor w:val="auto"/>
          <w:sz w:val="72"/>
          <w:szCs w:val="72"/>
          <w:highlight w:val="none"/>
        </w:rPr>
      </w:pPr>
    </w:p>
    <w:p>
      <w:pPr>
        <w:spacing w:before="156" w:beforeLines="50"/>
        <w:jc w:val="center"/>
        <w:rPr>
          <w:rFonts w:hint="eastAsia" w:ascii="仿宋_GB2312" w:hAnsi="宋体" w:eastAsia="仿宋_GB2312"/>
          <w:color w:val="auto"/>
          <w:sz w:val="72"/>
          <w:szCs w:val="72"/>
          <w:highlight w:val="none"/>
        </w:rPr>
      </w:pPr>
      <w:r>
        <w:rPr>
          <w:rFonts w:hint="eastAsia" w:ascii="仿宋_GB2312" w:hAnsi="宋体" w:eastAsia="仿宋_GB2312"/>
          <w:color w:val="auto"/>
          <w:sz w:val="72"/>
          <w:szCs w:val="72"/>
          <w:highlight w:val="none"/>
        </w:rPr>
        <w:t>公开招标采购文件</w:t>
      </w:r>
    </w:p>
    <w:p>
      <w:pPr>
        <w:pStyle w:val="12"/>
        <w:snapToGrid w:val="0"/>
        <w:spacing w:before="120" w:after="120" w:line="360" w:lineRule="auto"/>
        <w:ind w:firstLine="1042" w:firstLineChars="346"/>
        <w:rPr>
          <w:rFonts w:hint="eastAsia" w:ascii="仿宋_GB2312" w:hAnsi="宋体" w:eastAsia="仿宋_GB2312"/>
          <w:b/>
          <w:bCs/>
          <w:color w:val="auto"/>
          <w:sz w:val="30"/>
          <w:szCs w:val="30"/>
          <w:highlight w:val="none"/>
        </w:rPr>
      </w:pPr>
    </w:p>
    <w:p>
      <w:pPr>
        <w:ind w:firstLine="1656" w:firstLineChars="550"/>
        <w:rPr>
          <w:rFonts w:hint="eastAsia" w:ascii="仿宋_GB2312" w:hAnsi="宋体" w:eastAsia="仿宋_GB2312"/>
          <w:b/>
          <w:bCs/>
          <w:color w:val="auto"/>
          <w:sz w:val="30"/>
          <w:szCs w:val="30"/>
          <w:highlight w:val="none"/>
        </w:rPr>
      </w:pPr>
    </w:p>
    <w:p>
      <w:pPr>
        <w:ind w:firstLine="1656" w:firstLineChars="550"/>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项目编号：GXZC2025-G1-002438-CGZX</w:t>
      </w:r>
      <w:r>
        <w:rPr>
          <w:rFonts w:ascii="仿宋_GB2312" w:hAnsi="宋体" w:eastAsia="仿宋_GB2312"/>
          <w:b/>
          <w:bCs/>
          <w:color w:val="auto"/>
          <w:sz w:val="30"/>
          <w:szCs w:val="30"/>
          <w:highlight w:val="none"/>
        </w:rPr>
        <w:t xml:space="preserve">    </w:t>
      </w:r>
    </w:p>
    <w:p>
      <w:pPr>
        <w:snapToGrid w:val="0"/>
        <w:spacing w:before="156" w:beforeLines="50" w:line="360" w:lineRule="auto"/>
        <w:ind w:firstLine="1656" w:firstLineChars="550"/>
        <w:rPr>
          <w:rFonts w:hint="eastAsia" w:ascii="仿宋_GB2312" w:hAnsi="宋体" w:eastAsia="仿宋_GB2312"/>
          <w:color w:val="auto"/>
          <w:sz w:val="30"/>
          <w:szCs w:val="72"/>
          <w:highlight w:val="none"/>
        </w:rPr>
      </w:pPr>
      <w:r>
        <w:rPr>
          <w:rFonts w:hint="eastAsia" w:ascii="仿宋_GB2312" w:hAnsi="宋体" w:eastAsia="仿宋_GB2312"/>
          <w:b/>
          <w:color w:val="auto"/>
          <w:sz w:val="30"/>
          <w:szCs w:val="72"/>
          <w:highlight w:val="none"/>
        </w:rPr>
        <w:t xml:space="preserve">项目名称：广西艺术学院课桌椅采购 </w:t>
      </w:r>
      <w:r>
        <w:rPr>
          <w:rFonts w:hint="eastAsia" w:ascii="仿宋_GB2312" w:hAnsi="宋体" w:eastAsia="仿宋_GB2312"/>
          <w:color w:val="auto"/>
          <w:sz w:val="30"/>
          <w:szCs w:val="72"/>
          <w:highlight w:val="none"/>
        </w:rPr>
        <w:t xml:space="preserve"> </w:t>
      </w:r>
    </w:p>
    <w:p>
      <w:pPr>
        <w:snapToGrid w:val="0"/>
        <w:spacing w:before="156" w:beforeLines="50" w:line="360" w:lineRule="auto"/>
        <w:ind w:firstLine="1656" w:firstLineChars="550"/>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 xml:space="preserve">采购单位：广西艺术学院 </w:t>
      </w: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pStyle w:val="2"/>
        <w:rPr>
          <w:rFonts w:hint="eastAsia" w:ascii="仿宋_GB2312" w:hAnsi="宋体" w:eastAsia="仿宋_GB2312"/>
          <w:b/>
          <w:color w:val="auto"/>
          <w:sz w:val="30"/>
          <w:szCs w:val="72"/>
          <w:highlight w:val="none"/>
        </w:rPr>
      </w:pPr>
    </w:p>
    <w:p>
      <w:pPr>
        <w:rPr>
          <w:rFonts w:hint="eastAsia"/>
          <w:color w:val="auto"/>
          <w:highlight w:val="none"/>
        </w:rPr>
      </w:pPr>
    </w:p>
    <w:p>
      <w:pPr>
        <w:pStyle w:val="21"/>
        <w:ind w:firstLine="301"/>
        <w:rPr>
          <w:rFonts w:hint="eastAsia" w:ascii="仿宋_GB2312" w:hAnsi="宋体" w:eastAsia="仿宋_GB2312"/>
          <w:b/>
          <w:color w:val="auto"/>
          <w:sz w:val="30"/>
          <w:szCs w:val="72"/>
          <w:highlight w:val="none"/>
        </w:rPr>
      </w:pPr>
    </w:p>
    <w:p>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采购代理机构：广西壮族自治区政府采购中心</w:t>
      </w:r>
    </w:p>
    <w:p>
      <w:pPr>
        <w:snapToGrid w:val="0"/>
        <w:spacing w:before="156" w:beforeLines="50" w:line="360" w:lineRule="auto"/>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 xml:space="preserve">                          2025年</w:t>
      </w:r>
      <w:r>
        <w:rPr>
          <w:rFonts w:hint="eastAsia" w:ascii="仿宋_GB2312" w:hAnsi="宋体" w:eastAsia="仿宋_GB2312"/>
          <w:color w:val="auto"/>
          <w:sz w:val="30"/>
          <w:szCs w:val="72"/>
          <w:highlight w:val="none"/>
          <w:lang w:val="en-US" w:eastAsia="zh-CN"/>
        </w:rPr>
        <w:t>9</w:t>
      </w:r>
      <w:r>
        <w:rPr>
          <w:rFonts w:hint="eastAsia" w:ascii="仿宋_GB2312" w:hAnsi="宋体" w:eastAsia="仿宋_GB2312"/>
          <w:color w:val="auto"/>
          <w:sz w:val="30"/>
          <w:szCs w:val="72"/>
          <w:highlight w:val="none"/>
        </w:rPr>
        <w:t>月</w:t>
      </w:r>
    </w:p>
    <w:p>
      <w:pPr>
        <w:pStyle w:val="12"/>
        <w:jc w:val="center"/>
        <w:rPr>
          <w:color w:val="auto"/>
          <w:sz w:val="44"/>
          <w:szCs w:val="44"/>
          <w:highlight w:val="none"/>
        </w:rPr>
      </w:pPr>
      <w:r>
        <w:rPr>
          <w:rFonts w:ascii="隶书" w:eastAsia="隶书"/>
          <w:color w:val="auto"/>
          <w:sz w:val="44"/>
          <w:highlight w:val="none"/>
        </w:rPr>
        <w:br w:type="page"/>
      </w:r>
      <w:r>
        <w:rPr>
          <w:rFonts w:hint="eastAsia" w:ascii="隶书" w:eastAsia="隶书"/>
          <w:color w:val="auto"/>
          <w:sz w:val="44"/>
          <w:highlight w:val="none"/>
        </w:rPr>
        <w:t xml:space="preserve">  </w:t>
      </w:r>
      <w:r>
        <w:rPr>
          <w:color w:val="auto"/>
          <w:sz w:val="44"/>
          <w:szCs w:val="44"/>
          <w:highlight w:val="none"/>
          <w:lang w:val="zh-CN"/>
        </w:rPr>
        <w:t>目录</w:t>
      </w:r>
    </w:p>
    <w:p>
      <w:pPr>
        <w:pStyle w:val="1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rStyle w:val="25"/>
          <w:color w:val="auto"/>
          <w:sz w:val="28"/>
          <w:szCs w:val="28"/>
          <w:highlight w:val="none"/>
        </w:rPr>
        <w:fldChar w:fldCharType="begin"/>
      </w:r>
      <w:r>
        <w:rPr>
          <w:rStyle w:val="25"/>
          <w:color w:val="auto"/>
          <w:sz w:val="28"/>
          <w:szCs w:val="28"/>
          <w:highlight w:val="none"/>
        </w:rPr>
        <w:instrText xml:space="preserve"> </w:instrText>
      </w:r>
      <w:r>
        <w:rPr>
          <w:color w:val="auto"/>
          <w:sz w:val="28"/>
          <w:szCs w:val="28"/>
          <w:highlight w:val="none"/>
        </w:rPr>
        <w:instrText xml:space="preserve">HYPERLINK \l "_Toc40865015"</w:instrText>
      </w:r>
      <w:r>
        <w:rPr>
          <w:rStyle w:val="25"/>
          <w:color w:val="auto"/>
          <w:sz w:val="28"/>
          <w:szCs w:val="28"/>
          <w:highlight w:val="none"/>
        </w:rPr>
        <w:instrText xml:space="preserve"> </w:instrText>
      </w:r>
      <w:r>
        <w:rPr>
          <w:rStyle w:val="25"/>
          <w:color w:val="auto"/>
          <w:sz w:val="28"/>
          <w:szCs w:val="28"/>
          <w:highlight w:val="none"/>
        </w:rPr>
        <w:fldChar w:fldCharType="separate"/>
      </w:r>
      <w:r>
        <w:rPr>
          <w:rStyle w:val="25"/>
          <w:rFonts w:hint="eastAsia"/>
          <w:color w:val="auto"/>
          <w:sz w:val="28"/>
          <w:szCs w:val="28"/>
          <w:highlight w:val="none"/>
        </w:rPr>
        <w:t>第一章</w:t>
      </w:r>
      <w:r>
        <w:rPr>
          <w:rStyle w:val="25"/>
          <w:color w:val="auto"/>
          <w:sz w:val="28"/>
          <w:szCs w:val="28"/>
          <w:highlight w:val="none"/>
        </w:rPr>
        <w:t xml:space="preserve">  </w:t>
      </w:r>
      <w:r>
        <w:rPr>
          <w:rStyle w:val="25"/>
          <w:rFonts w:hint="eastAsia"/>
          <w:color w:val="auto"/>
          <w:sz w:val="28"/>
          <w:szCs w:val="28"/>
          <w:highlight w:val="none"/>
        </w:rPr>
        <w:t>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Style w:val="25"/>
          <w:color w:val="auto"/>
          <w:sz w:val="28"/>
          <w:szCs w:val="28"/>
          <w:highlight w:val="none"/>
        </w:rPr>
        <w:fldChar w:fldCharType="end"/>
      </w:r>
    </w:p>
    <w:p>
      <w:pPr>
        <w:pStyle w:val="1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25"/>
          <w:color w:val="auto"/>
          <w:sz w:val="28"/>
          <w:szCs w:val="28"/>
          <w:highlight w:val="none"/>
        </w:rPr>
        <w:fldChar w:fldCharType="begin"/>
      </w:r>
      <w:r>
        <w:rPr>
          <w:rStyle w:val="25"/>
          <w:color w:val="auto"/>
          <w:sz w:val="28"/>
          <w:szCs w:val="28"/>
          <w:highlight w:val="none"/>
        </w:rPr>
        <w:instrText xml:space="preserve"> </w:instrText>
      </w:r>
      <w:r>
        <w:rPr>
          <w:color w:val="auto"/>
          <w:sz w:val="28"/>
          <w:szCs w:val="28"/>
          <w:highlight w:val="none"/>
        </w:rPr>
        <w:instrText xml:space="preserve">HYPERLINK \l "_Toc40865016"</w:instrText>
      </w:r>
      <w:r>
        <w:rPr>
          <w:rStyle w:val="25"/>
          <w:color w:val="auto"/>
          <w:sz w:val="28"/>
          <w:szCs w:val="28"/>
          <w:highlight w:val="none"/>
        </w:rPr>
        <w:instrText xml:space="preserve"> </w:instrText>
      </w:r>
      <w:r>
        <w:rPr>
          <w:rStyle w:val="25"/>
          <w:color w:val="auto"/>
          <w:sz w:val="28"/>
          <w:szCs w:val="28"/>
          <w:highlight w:val="none"/>
        </w:rPr>
        <w:fldChar w:fldCharType="separate"/>
      </w:r>
      <w:r>
        <w:rPr>
          <w:rStyle w:val="25"/>
          <w:rFonts w:hint="eastAsia"/>
          <w:color w:val="auto"/>
          <w:sz w:val="28"/>
          <w:szCs w:val="28"/>
          <w:highlight w:val="none"/>
        </w:rPr>
        <w:t>第二章</w:t>
      </w:r>
      <w:r>
        <w:rPr>
          <w:rStyle w:val="25"/>
          <w:color w:val="auto"/>
          <w:sz w:val="28"/>
          <w:szCs w:val="28"/>
          <w:highlight w:val="none"/>
        </w:rPr>
        <w:t xml:space="preserve">  </w:t>
      </w:r>
      <w:r>
        <w:rPr>
          <w:rStyle w:val="25"/>
          <w:rFonts w:hint="eastAsia"/>
          <w:color w:val="auto"/>
          <w:sz w:val="28"/>
          <w:szCs w:val="28"/>
          <w:highlight w:val="none"/>
        </w:rPr>
        <w:t>招标项</w:t>
      </w:r>
      <w:bookmarkStart w:id="0" w:name="_Hlt106980027"/>
      <w:bookmarkEnd w:id="0"/>
      <w:bookmarkStart w:id="1" w:name="_Hlt106980028"/>
      <w:bookmarkEnd w:id="1"/>
      <w:r>
        <w:rPr>
          <w:rStyle w:val="25"/>
          <w:rFonts w:hint="eastAsia"/>
          <w:color w:val="auto"/>
          <w:sz w:val="28"/>
          <w:szCs w:val="28"/>
          <w:highlight w:val="none"/>
        </w:rPr>
        <w:t>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Style w:val="25"/>
          <w:color w:val="auto"/>
          <w:sz w:val="28"/>
          <w:szCs w:val="28"/>
          <w:highlight w:val="none"/>
        </w:rPr>
        <w:fldChar w:fldCharType="end"/>
      </w:r>
    </w:p>
    <w:p>
      <w:pPr>
        <w:pStyle w:val="1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25"/>
          <w:color w:val="auto"/>
          <w:sz w:val="28"/>
          <w:szCs w:val="28"/>
          <w:highlight w:val="none"/>
        </w:rPr>
        <w:fldChar w:fldCharType="begin"/>
      </w:r>
      <w:r>
        <w:rPr>
          <w:rStyle w:val="25"/>
          <w:color w:val="auto"/>
          <w:sz w:val="28"/>
          <w:szCs w:val="28"/>
          <w:highlight w:val="none"/>
        </w:rPr>
        <w:instrText xml:space="preserve"> </w:instrText>
      </w:r>
      <w:r>
        <w:rPr>
          <w:color w:val="auto"/>
          <w:sz w:val="28"/>
          <w:szCs w:val="28"/>
          <w:highlight w:val="none"/>
        </w:rPr>
        <w:instrText xml:space="preserve">HYPERLINK \l "_Toc40865022"</w:instrText>
      </w:r>
      <w:r>
        <w:rPr>
          <w:rStyle w:val="25"/>
          <w:color w:val="auto"/>
          <w:sz w:val="28"/>
          <w:szCs w:val="28"/>
          <w:highlight w:val="none"/>
        </w:rPr>
        <w:instrText xml:space="preserve"> </w:instrText>
      </w:r>
      <w:r>
        <w:rPr>
          <w:rStyle w:val="25"/>
          <w:color w:val="auto"/>
          <w:sz w:val="28"/>
          <w:szCs w:val="28"/>
          <w:highlight w:val="none"/>
        </w:rPr>
        <w:fldChar w:fldCharType="separate"/>
      </w:r>
      <w:r>
        <w:rPr>
          <w:rStyle w:val="25"/>
          <w:rFonts w:hint="eastAsia"/>
          <w:color w:val="auto"/>
          <w:sz w:val="28"/>
          <w:szCs w:val="28"/>
          <w:highlight w:val="none"/>
        </w:rPr>
        <w:t>第三章</w:t>
      </w:r>
      <w:r>
        <w:rPr>
          <w:rStyle w:val="25"/>
          <w:color w:val="auto"/>
          <w:sz w:val="28"/>
          <w:szCs w:val="28"/>
          <w:highlight w:val="none"/>
        </w:rPr>
        <w:t xml:space="preserve">  </w:t>
      </w:r>
      <w:r>
        <w:rPr>
          <w:rStyle w:val="25"/>
          <w:rFonts w:hint="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_Toc40865022 \h </w:instrText>
      </w:r>
      <w:r>
        <w:rPr>
          <w:color w:val="auto"/>
          <w:sz w:val="28"/>
          <w:szCs w:val="28"/>
          <w:highlight w:val="none"/>
        </w:rPr>
        <w:fldChar w:fldCharType="separate"/>
      </w:r>
      <w:r>
        <w:rPr>
          <w:color w:val="auto"/>
          <w:sz w:val="28"/>
          <w:szCs w:val="28"/>
          <w:highlight w:val="none"/>
        </w:rPr>
        <w:t>1</w:t>
      </w:r>
      <w:r>
        <w:rPr>
          <w:rFonts w:hint="eastAsia"/>
          <w:color w:val="auto"/>
          <w:sz w:val="28"/>
          <w:szCs w:val="28"/>
          <w:highlight w:val="none"/>
          <w:lang w:val="en-US" w:eastAsia="zh-CN"/>
        </w:rPr>
        <w:t>9</w:t>
      </w:r>
      <w:r>
        <w:rPr>
          <w:color w:val="auto"/>
          <w:sz w:val="28"/>
          <w:szCs w:val="28"/>
          <w:highlight w:val="none"/>
        </w:rPr>
        <w:fldChar w:fldCharType="end"/>
      </w:r>
      <w:r>
        <w:rPr>
          <w:rStyle w:val="25"/>
          <w:color w:val="auto"/>
          <w:sz w:val="28"/>
          <w:szCs w:val="28"/>
          <w:highlight w:val="none"/>
        </w:rPr>
        <w:fldChar w:fldCharType="end"/>
      </w:r>
    </w:p>
    <w:p>
      <w:pPr>
        <w:pStyle w:val="16"/>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rStyle w:val="25"/>
          <w:color w:val="auto"/>
          <w:sz w:val="28"/>
          <w:szCs w:val="28"/>
          <w:highlight w:val="none"/>
        </w:rPr>
        <w:fldChar w:fldCharType="begin"/>
      </w:r>
      <w:r>
        <w:rPr>
          <w:rStyle w:val="25"/>
          <w:color w:val="auto"/>
          <w:sz w:val="28"/>
          <w:szCs w:val="28"/>
          <w:highlight w:val="none"/>
        </w:rPr>
        <w:instrText xml:space="preserve"> </w:instrText>
      </w:r>
      <w:r>
        <w:rPr>
          <w:color w:val="auto"/>
          <w:sz w:val="28"/>
          <w:szCs w:val="28"/>
          <w:highlight w:val="none"/>
        </w:rPr>
        <w:instrText xml:space="preserve">HYPERLINK \l "_Toc40865097"</w:instrText>
      </w:r>
      <w:r>
        <w:rPr>
          <w:rStyle w:val="25"/>
          <w:color w:val="auto"/>
          <w:sz w:val="28"/>
          <w:szCs w:val="28"/>
          <w:highlight w:val="none"/>
        </w:rPr>
        <w:instrText xml:space="preserve"> </w:instrText>
      </w:r>
      <w:r>
        <w:rPr>
          <w:rStyle w:val="25"/>
          <w:color w:val="auto"/>
          <w:sz w:val="28"/>
          <w:szCs w:val="28"/>
          <w:highlight w:val="none"/>
        </w:rPr>
        <w:fldChar w:fldCharType="separate"/>
      </w:r>
      <w:r>
        <w:rPr>
          <w:rStyle w:val="25"/>
          <w:rFonts w:hint="eastAsia"/>
          <w:color w:val="auto"/>
          <w:kern w:val="44"/>
          <w:sz w:val="28"/>
          <w:szCs w:val="28"/>
          <w:highlight w:val="none"/>
        </w:rPr>
        <w:t>第四章</w:t>
      </w:r>
      <w:r>
        <w:rPr>
          <w:rStyle w:val="25"/>
          <w:color w:val="auto"/>
          <w:kern w:val="44"/>
          <w:sz w:val="28"/>
          <w:szCs w:val="28"/>
          <w:highlight w:val="none"/>
        </w:rPr>
        <w:t xml:space="preserve">  </w:t>
      </w:r>
      <w:r>
        <w:rPr>
          <w:rStyle w:val="25"/>
          <w:rFonts w:hint="eastAsia"/>
          <w:color w:val="auto"/>
          <w:sz w:val="28"/>
          <w:szCs w:val="28"/>
          <w:highlight w:val="none"/>
        </w:rPr>
        <w:t>评标方法</w:t>
      </w:r>
      <w:bookmarkStart w:id="2" w:name="_Hlt106981225"/>
      <w:bookmarkEnd w:id="2"/>
      <w:bookmarkStart w:id="3" w:name="_Hlt106981224"/>
      <w:bookmarkEnd w:id="3"/>
      <w:r>
        <w:rPr>
          <w:rStyle w:val="25"/>
          <w:rFonts w:hint="eastAsia"/>
          <w:color w:val="auto"/>
          <w:sz w:val="28"/>
          <w:szCs w:val="28"/>
          <w:highlight w:val="none"/>
        </w:rPr>
        <w:t>及评定标准</w:t>
      </w:r>
      <w:r>
        <w:rPr>
          <w:color w:val="auto"/>
          <w:sz w:val="28"/>
          <w:szCs w:val="28"/>
          <w:highlight w:val="none"/>
        </w:rPr>
        <w:tab/>
      </w:r>
      <w:r>
        <w:rPr>
          <w:rFonts w:hint="eastAsia"/>
          <w:color w:val="auto"/>
          <w:sz w:val="28"/>
          <w:szCs w:val="28"/>
          <w:highlight w:val="none"/>
          <w:lang w:val="en-US" w:eastAsia="zh-CN"/>
        </w:rPr>
        <w:t>3</w:t>
      </w:r>
      <w:r>
        <w:rPr>
          <w:rStyle w:val="25"/>
          <w:color w:val="auto"/>
          <w:sz w:val="28"/>
          <w:szCs w:val="28"/>
          <w:highlight w:val="none"/>
        </w:rPr>
        <w:fldChar w:fldCharType="end"/>
      </w:r>
      <w:r>
        <w:rPr>
          <w:rStyle w:val="25"/>
          <w:rFonts w:hint="eastAsia"/>
          <w:color w:val="auto"/>
          <w:sz w:val="28"/>
          <w:szCs w:val="28"/>
          <w:highlight w:val="none"/>
          <w:lang w:val="en-US" w:eastAsia="zh-CN"/>
        </w:rPr>
        <w:t>2</w:t>
      </w:r>
    </w:p>
    <w:p>
      <w:pPr>
        <w:pStyle w:val="1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25"/>
          <w:color w:val="auto"/>
          <w:sz w:val="28"/>
          <w:szCs w:val="28"/>
          <w:highlight w:val="none"/>
        </w:rPr>
        <w:fldChar w:fldCharType="begin"/>
      </w:r>
      <w:r>
        <w:rPr>
          <w:rStyle w:val="25"/>
          <w:color w:val="auto"/>
          <w:sz w:val="28"/>
          <w:szCs w:val="28"/>
          <w:highlight w:val="none"/>
        </w:rPr>
        <w:instrText xml:space="preserve"> </w:instrText>
      </w:r>
      <w:r>
        <w:rPr>
          <w:color w:val="auto"/>
          <w:sz w:val="28"/>
          <w:szCs w:val="28"/>
          <w:highlight w:val="none"/>
        </w:rPr>
        <w:instrText xml:space="preserve">HYPERLINK \l "_Toc40865115"</w:instrText>
      </w:r>
      <w:r>
        <w:rPr>
          <w:rStyle w:val="25"/>
          <w:color w:val="auto"/>
          <w:sz w:val="28"/>
          <w:szCs w:val="28"/>
          <w:highlight w:val="none"/>
        </w:rPr>
        <w:instrText xml:space="preserve"> </w:instrText>
      </w:r>
      <w:r>
        <w:rPr>
          <w:rStyle w:val="25"/>
          <w:color w:val="auto"/>
          <w:sz w:val="28"/>
          <w:szCs w:val="28"/>
          <w:highlight w:val="none"/>
        </w:rPr>
        <w:fldChar w:fldCharType="separate"/>
      </w:r>
      <w:r>
        <w:rPr>
          <w:rStyle w:val="25"/>
          <w:rFonts w:hint="eastAsia"/>
          <w:color w:val="auto"/>
          <w:sz w:val="28"/>
          <w:szCs w:val="28"/>
          <w:highlight w:val="none"/>
        </w:rPr>
        <w:t>第五章</w:t>
      </w:r>
      <w:r>
        <w:rPr>
          <w:rStyle w:val="25"/>
          <w:color w:val="auto"/>
          <w:sz w:val="28"/>
          <w:szCs w:val="28"/>
          <w:highlight w:val="none"/>
        </w:rPr>
        <w:t xml:space="preserve">  </w:t>
      </w:r>
      <w:r>
        <w:rPr>
          <w:rStyle w:val="25"/>
          <w:rFonts w:hint="eastAsia"/>
          <w:color w:val="auto"/>
          <w:sz w:val="28"/>
          <w:szCs w:val="28"/>
          <w:highlight w:val="none"/>
        </w:rPr>
        <w:t>政府采购合同</w:t>
      </w:r>
      <w:bookmarkStart w:id="4" w:name="_Hlt40865341"/>
      <w:bookmarkStart w:id="5" w:name="_Hlt40865342"/>
      <w:r>
        <w:rPr>
          <w:rStyle w:val="25"/>
          <w:rFonts w:hint="eastAsia"/>
          <w:color w:val="auto"/>
          <w:sz w:val="28"/>
          <w:szCs w:val="28"/>
          <w:highlight w:val="none"/>
        </w:rPr>
        <w:t>主</w:t>
      </w:r>
      <w:bookmarkEnd w:id="4"/>
      <w:bookmarkEnd w:id="5"/>
      <w:r>
        <w:rPr>
          <w:rStyle w:val="25"/>
          <w:rFonts w:hint="eastAsia"/>
          <w:color w:val="auto"/>
          <w:sz w:val="28"/>
          <w:szCs w:val="28"/>
          <w:highlight w:val="none"/>
        </w:rPr>
        <w:t>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_Toc40865115 \h </w:instrText>
      </w:r>
      <w:r>
        <w:rPr>
          <w:color w:val="auto"/>
          <w:sz w:val="28"/>
          <w:szCs w:val="28"/>
          <w:highlight w:val="none"/>
        </w:rPr>
        <w:fldChar w:fldCharType="separate"/>
      </w:r>
      <w:r>
        <w:rPr>
          <w:color w:val="auto"/>
          <w:sz w:val="28"/>
          <w:szCs w:val="28"/>
          <w:highlight w:val="none"/>
        </w:rPr>
        <w:t>3</w:t>
      </w:r>
      <w:r>
        <w:rPr>
          <w:rFonts w:hint="eastAsia"/>
          <w:color w:val="auto"/>
          <w:sz w:val="28"/>
          <w:szCs w:val="28"/>
          <w:highlight w:val="none"/>
          <w:lang w:val="en-US" w:eastAsia="zh-CN"/>
        </w:rPr>
        <w:t>9</w:t>
      </w:r>
      <w:r>
        <w:rPr>
          <w:color w:val="auto"/>
          <w:sz w:val="28"/>
          <w:szCs w:val="28"/>
          <w:highlight w:val="none"/>
        </w:rPr>
        <w:fldChar w:fldCharType="end"/>
      </w:r>
      <w:r>
        <w:rPr>
          <w:rStyle w:val="25"/>
          <w:color w:val="auto"/>
          <w:sz w:val="28"/>
          <w:szCs w:val="28"/>
          <w:highlight w:val="none"/>
        </w:rPr>
        <w:fldChar w:fldCharType="end"/>
      </w:r>
    </w:p>
    <w:p>
      <w:pPr>
        <w:pStyle w:val="16"/>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rStyle w:val="25"/>
          <w:color w:val="auto"/>
          <w:sz w:val="28"/>
          <w:szCs w:val="28"/>
          <w:highlight w:val="none"/>
        </w:rPr>
        <w:fldChar w:fldCharType="begin"/>
      </w:r>
      <w:r>
        <w:rPr>
          <w:rStyle w:val="25"/>
          <w:color w:val="auto"/>
          <w:sz w:val="28"/>
          <w:szCs w:val="28"/>
          <w:highlight w:val="none"/>
        </w:rPr>
        <w:instrText xml:space="preserve"> </w:instrText>
      </w:r>
      <w:r>
        <w:rPr>
          <w:color w:val="auto"/>
          <w:sz w:val="28"/>
          <w:szCs w:val="28"/>
          <w:highlight w:val="none"/>
        </w:rPr>
        <w:instrText xml:space="preserve">HYPERLINK \l "_Toc40865116"</w:instrText>
      </w:r>
      <w:r>
        <w:rPr>
          <w:rStyle w:val="25"/>
          <w:color w:val="auto"/>
          <w:sz w:val="28"/>
          <w:szCs w:val="28"/>
          <w:highlight w:val="none"/>
        </w:rPr>
        <w:instrText xml:space="preserve"> </w:instrText>
      </w:r>
      <w:r>
        <w:rPr>
          <w:rStyle w:val="25"/>
          <w:color w:val="auto"/>
          <w:sz w:val="28"/>
          <w:szCs w:val="28"/>
          <w:highlight w:val="none"/>
        </w:rPr>
        <w:fldChar w:fldCharType="separate"/>
      </w:r>
      <w:r>
        <w:rPr>
          <w:rStyle w:val="25"/>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lang w:val="en-US" w:eastAsia="zh-CN"/>
        </w:rPr>
        <w:t>4</w:t>
      </w:r>
      <w:r>
        <w:rPr>
          <w:rStyle w:val="25"/>
          <w:color w:val="auto"/>
          <w:sz w:val="28"/>
          <w:szCs w:val="28"/>
          <w:highlight w:val="none"/>
        </w:rPr>
        <w:fldChar w:fldCharType="end"/>
      </w:r>
      <w:r>
        <w:rPr>
          <w:rStyle w:val="25"/>
          <w:rFonts w:hint="eastAsia"/>
          <w:color w:val="auto"/>
          <w:sz w:val="28"/>
          <w:szCs w:val="28"/>
          <w:highlight w:val="none"/>
          <w:lang w:val="en-US" w:eastAsia="zh-CN"/>
        </w:rPr>
        <w:t>5</w:t>
      </w:r>
    </w:p>
    <w:p>
      <w:pPr>
        <w:tabs>
          <w:tab w:val="right" w:leader="dot" w:pos="9356"/>
          <w:tab w:val="right" w:leader="dot" w:pos="9498"/>
        </w:tabs>
        <w:spacing w:line="500" w:lineRule="exact"/>
        <w:ind w:right="-510" w:rightChars="-243"/>
        <w:rPr>
          <w:color w:val="auto"/>
          <w:highlight w:val="none"/>
        </w:rPr>
      </w:pPr>
      <w:r>
        <w:rPr>
          <w:color w:val="auto"/>
          <w:sz w:val="28"/>
          <w:szCs w:val="28"/>
          <w:highlight w:val="none"/>
        </w:rPr>
        <w:fldChar w:fldCharType="end"/>
      </w:r>
    </w:p>
    <w:p>
      <w:pPr>
        <w:pStyle w:val="12"/>
        <w:jc w:val="center"/>
        <w:rPr>
          <w:rFonts w:hint="eastAsia" w:ascii="隶书" w:eastAsia="隶书"/>
          <w:color w:val="auto"/>
          <w:sz w:val="44"/>
          <w:highlight w:val="none"/>
        </w:rPr>
      </w:pPr>
    </w:p>
    <w:p>
      <w:pPr>
        <w:pStyle w:val="12"/>
        <w:jc w:val="center"/>
        <w:rPr>
          <w:rFonts w:hint="eastAsia" w:ascii="隶书" w:eastAsia="隶书"/>
          <w:color w:val="auto"/>
          <w:sz w:val="44"/>
          <w:highlight w:val="none"/>
        </w:rPr>
      </w:pPr>
    </w:p>
    <w:p>
      <w:pPr>
        <w:pStyle w:val="12"/>
        <w:jc w:val="center"/>
        <w:rPr>
          <w:rFonts w:hint="eastAsia" w:ascii="隶书" w:eastAsia="隶书"/>
          <w:color w:val="auto"/>
          <w:sz w:val="44"/>
          <w:highlight w:val="none"/>
        </w:rPr>
      </w:pPr>
    </w:p>
    <w:p>
      <w:pPr>
        <w:pStyle w:val="12"/>
        <w:jc w:val="center"/>
        <w:rPr>
          <w:rFonts w:hint="eastAsia" w:ascii="隶书" w:eastAsia="隶书"/>
          <w:color w:val="auto"/>
          <w:sz w:val="44"/>
          <w:highlight w:val="none"/>
        </w:rPr>
      </w:pPr>
    </w:p>
    <w:p>
      <w:pPr>
        <w:pStyle w:val="12"/>
        <w:jc w:val="center"/>
        <w:rPr>
          <w:rFonts w:hint="eastAsia" w:ascii="隶书" w:eastAsia="隶书"/>
          <w:color w:val="auto"/>
          <w:sz w:val="44"/>
          <w:highlight w:val="none"/>
        </w:rPr>
      </w:pPr>
    </w:p>
    <w:p>
      <w:pPr>
        <w:pStyle w:val="12"/>
        <w:jc w:val="center"/>
        <w:rPr>
          <w:rFonts w:hint="eastAsia" w:ascii="隶书" w:eastAsia="隶书"/>
          <w:color w:val="auto"/>
          <w:sz w:val="44"/>
          <w:highlight w:val="none"/>
        </w:rPr>
      </w:pPr>
    </w:p>
    <w:p>
      <w:pPr>
        <w:pStyle w:val="12"/>
        <w:jc w:val="center"/>
        <w:rPr>
          <w:rFonts w:hint="eastAsia" w:ascii="隶书" w:eastAsia="隶书"/>
          <w:color w:val="auto"/>
          <w:sz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3"/>
        <w:jc w:val="center"/>
        <w:rPr>
          <w:rFonts w:hint="eastAsia"/>
          <w:color w:val="auto"/>
          <w:sz w:val="32"/>
          <w:szCs w:val="32"/>
          <w:highlight w:val="none"/>
        </w:rPr>
      </w:pPr>
      <w:bookmarkStart w:id="6" w:name="_Toc40865015"/>
      <w:r>
        <w:rPr>
          <w:rFonts w:hint="eastAsia"/>
          <w:color w:val="auto"/>
          <w:highlight w:val="none"/>
        </w:rPr>
        <w:t>第一章  公开招标公告</w:t>
      </w:r>
      <w:bookmarkEnd w:id="6"/>
    </w:p>
    <w:p>
      <w:pPr>
        <w:pStyle w:val="27"/>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rPr>
          <w:color w:val="auto"/>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1" w:firstLineChars="200"/>
        <w:rPr>
          <w:rFonts w:hint="eastAsia"/>
          <w:color w:val="auto"/>
          <w:highlight w:val="none"/>
        </w:rPr>
      </w:pPr>
      <w:r>
        <w:rPr>
          <w:rFonts w:hint="eastAsia"/>
          <w:b/>
          <w:bCs/>
          <w:color w:val="auto"/>
          <w:highlight w:val="none"/>
        </w:rPr>
        <w:t>广西艺术学院课桌椅采购</w:t>
      </w:r>
      <w:r>
        <w:rPr>
          <w:rFonts w:hint="eastAsia"/>
          <w:color w:val="auto"/>
          <w:highlight w:val="none"/>
        </w:rPr>
        <w:t>项目的潜在投标人应在</w:t>
      </w:r>
      <w:r>
        <w:rPr>
          <w:rFonts w:hint="eastAsia" w:ascii="宋体" w:hAnsi="宋体" w:cs="宋体"/>
          <w:b/>
          <w:bCs/>
          <w:color w:val="auto"/>
          <w:kern w:val="0"/>
          <w:szCs w:val="21"/>
          <w:highlight w:val="none"/>
        </w:rPr>
        <w:t>广西政府采购云平台（网址：https://www.gcy.zfcg.gxzf.gov.cn）获取</w:t>
      </w:r>
      <w:r>
        <w:rPr>
          <w:rFonts w:hint="eastAsia"/>
          <w:color w:val="auto"/>
          <w:highlight w:val="none"/>
        </w:rPr>
        <w:t>招标文件，并于</w:t>
      </w:r>
      <w:r>
        <w:rPr>
          <w:rFonts w:hint="eastAsia"/>
          <w:color w:val="auto"/>
          <w:highlight w:val="none"/>
          <w:u w:val="single"/>
        </w:rPr>
        <w:t xml:space="preserve"> 2025年</w:t>
      </w:r>
      <w:r>
        <w:rPr>
          <w:rFonts w:hint="eastAsia"/>
          <w:color w:val="auto"/>
          <w:highlight w:val="none"/>
          <w:u w:val="single"/>
          <w:lang w:val="en-US" w:eastAsia="zh-CN"/>
        </w:rPr>
        <w:t>9</w:t>
      </w:r>
      <w:r>
        <w:rPr>
          <w:rFonts w:hint="eastAsia"/>
          <w:color w:val="auto"/>
          <w:highlight w:val="none"/>
          <w:u w:val="single"/>
        </w:rPr>
        <w:t>月</w:t>
      </w:r>
      <w:r>
        <w:rPr>
          <w:rFonts w:hint="eastAsia"/>
          <w:color w:val="auto"/>
          <w:highlight w:val="none"/>
          <w:u w:val="single"/>
          <w:lang w:val="en-US" w:eastAsia="zh-CN"/>
        </w:rPr>
        <w:t>26</w:t>
      </w:r>
      <w:r>
        <w:rPr>
          <w:rFonts w:hint="eastAsia"/>
          <w:color w:val="auto"/>
          <w:highlight w:val="none"/>
          <w:u w:val="single"/>
        </w:rPr>
        <w:t>日 10:00</w:t>
      </w:r>
      <w:r>
        <w:rPr>
          <w:rFonts w:hint="eastAsia"/>
          <w:color w:val="auto"/>
          <w:highlight w:val="none"/>
        </w:rPr>
        <w:t>（北京时间）前递交投标文件</w:t>
      </w:r>
      <w:r>
        <w:rPr>
          <w:color w:val="auto"/>
          <w:highlight w:val="none"/>
        </w:rPr>
        <w:t>。</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p>
    <w:p>
      <w:pPr>
        <w:pStyle w:val="20"/>
        <w:rPr>
          <w:rFonts w:hint="eastAsia" w:hAnsi="宋体" w:cs="宋体"/>
          <w:b w:val="0"/>
          <w:color w:val="auto"/>
          <w:kern w:val="0"/>
          <w:szCs w:val="21"/>
          <w:highlight w:val="none"/>
        </w:rPr>
      </w:pPr>
      <w:r>
        <w:rPr>
          <w:rFonts w:hAnsi="宋体" w:cs="宋体"/>
          <w:b w:val="0"/>
          <w:color w:val="auto"/>
          <w:kern w:val="0"/>
          <w:szCs w:val="21"/>
          <w:highlight w:val="none"/>
        </w:rPr>
        <w:t>项目编号：</w:t>
      </w:r>
      <w:r>
        <w:rPr>
          <w:rFonts w:hint="eastAsia" w:hAnsi="宋体" w:cs="宋体"/>
          <w:b w:val="0"/>
          <w:color w:val="auto"/>
          <w:kern w:val="0"/>
          <w:szCs w:val="21"/>
          <w:highlight w:val="none"/>
        </w:rPr>
        <w:t xml:space="preserve">GXZC2025-G1-002438-CGZX </w:t>
      </w:r>
      <w:r>
        <w:rPr>
          <w:rFonts w:hAnsi="宋体" w:cs="宋体"/>
          <w:b w:val="0"/>
          <w:color w:val="auto"/>
          <w:kern w:val="0"/>
          <w:szCs w:val="21"/>
          <w:highlight w:val="none"/>
        </w:rPr>
        <w:t> </w:t>
      </w:r>
    </w:p>
    <w:p>
      <w:pPr>
        <w:pStyle w:val="20"/>
        <w:rPr>
          <w:rFonts w:hAnsi="宋体" w:cs="宋体"/>
          <w:b w:val="0"/>
          <w:color w:val="auto"/>
          <w:kern w:val="0"/>
          <w:szCs w:val="21"/>
          <w:highlight w:val="none"/>
        </w:rPr>
      </w:pPr>
      <w:r>
        <w:rPr>
          <w:rFonts w:hAnsi="宋体" w:cs="宋体"/>
          <w:b w:val="0"/>
          <w:color w:val="auto"/>
          <w:kern w:val="0"/>
          <w:szCs w:val="21"/>
          <w:highlight w:val="none"/>
        </w:rPr>
        <w:t>项目名称：</w:t>
      </w:r>
      <w:r>
        <w:rPr>
          <w:rFonts w:hint="eastAsia"/>
          <w:b/>
          <w:bCs/>
          <w:color w:val="auto"/>
          <w:highlight w:val="none"/>
        </w:rPr>
        <w:t>广西艺术学院课桌椅采购</w:t>
      </w:r>
      <w:r>
        <w:rPr>
          <w:rFonts w:hint="eastAsia"/>
          <w:b w:val="0"/>
          <w:bCs/>
          <w:color w:val="auto"/>
          <w:highlight w:val="none"/>
        </w:rPr>
        <w:t xml:space="preserve"> </w:t>
      </w:r>
      <w:r>
        <w:rPr>
          <w:rFonts w:hint="eastAsia" w:hAnsi="宋体" w:cs="宋体"/>
          <w:b w:val="0"/>
          <w:bCs/>
          <w:color w:val="auto"/>
          <w:kern w:val="0"/>
          <w:szCs w:val="21"/>
          <w:highlight w:val="none"/>
        </w:rPr>
        <w:t xml:space="preserve"> </w:t>
      </w:r>
    </w:p>
    <w:p>
      <w:pPr>
        <w:pStyle w:val="20"/>
        <w:rPr>
          <w:rFonts w:hAnsi="宋体" w:cs="宋体"/>
          <w:b w:val="0"/>
          <w:color w:val="auto"/>
          <w:kern w:val="0"/>
          <w:szCs w:val="21"/>
          <w:highlight w:val="none"/>
        </w:rPr>
      </w:pPr>
      <w:r>
        <w:rPr>
          <w:rFonts w:hAnsi="宋体" w:cs="宋体"/>
          <w:b w:val="0"/>
          <w:color w:val="auto"/>
          <w:kern w:val="0"/>
          <w:szCs w:val="21"/>
          <w:highlight w:val="none"/>
        </w:rPr>
        <w:t>预算</w:t>
      </w:r>
      <w:r>
        <w:rPr>
          <w:rFonts w:hint="eastAsia" w:hAnsi="宋体" w:cs="宋体"/>
          <w:b w:val="0"/>
          <w:color w:val="auto"/>
          <w:kern w:val="0"/>
          <w:szCs w:val="21"/>
          <w:highlight w:val="none"/>
        </w:rPr>
        <w:t>总</w:t>
      </w:r>
      <w:r>
        <w:rPr>
          <w:rFonts w:hAnsi="宋体" w:cs="宋体"/>
          <w:b w:val="0"/>
          <w:color w:val="auto"/>
          <w:kern w:val="0"/>
          <w:szCs w:val="21"/>
          <w:highlight w:val="none"/>
        </w:rPr>
        <w:t>金额（元）：</w:t>
      </w:r>
      <w:r>
        <w:rPr>
          <w:rFonts w:hint="eastAsia" w:hAnsi="宋体" w:cs="宋体"/>
          <w:b w:val="0"/>
          <w:color w:val="auto"/>
          <w:kern w:val="0"/>
          <w:szCs w:val="21"/>
          <w:highlight w:val="none"/>
        </w:rPr>
        <w:t xml:space="preserve"> 3185910.00</w:t>
      </w:r>
    </w:p>
    <w:p>
      <w:pPr>
        <w:pStyle w:val="20"/>
        <w:rPr>
          <w:rFonts w:hAnsi="宋体" w:cs="宋体"/>
          <w:b w:val="0"/>
          <w:color w:val="auto"/>
          <w:kern w:val="0"/>
          <w:szCs w:val="21"/>
          <w:highlight w:val="none"/>
        </w:rPr>
      </w:pPr>
      <w:r>
        <w:rPr>
          <w:rFonts w:hAnsi="宋体" w:cs="宋体"/>
          <w:b w:val="0"/>
          <w:color w:val="auto"/>
          <w:kern w:val="0"/>
          <w:szCs w:val="21"/>
          <w:highlight w:val="none"/>
        </w:rPr>
        <w:t>采购需求</w:t>
      </w:r>
    </w:p>
    <w:p>
      <w:pPr>
        <w:pStyle w:val="20"/>
        <w:rPr>
          <w:rFonts w:hint="eastAsia" w:hAnsi="宋体" w:cs="宋体"/>
          <w:b w:val="0"/>
          <w:color w:val="auto"/>
          <w:kern w:val="0"/>
          <w:szCs w:val="21"/>
          <w:highlight w:val="none"/>
        </w:rPr>
      </w:pPr>
      <w:r>
        <w:rPr>
          <w:rFonts w:hAnsi="宋体" w:cs="宋体"/>
          <w:b w:val="0"/>
          <w:color w:val="auto"/>
          <w:kern w:val="0"/>
          <w:szCs w:val="21"/>
          <w:highlight w:val="none"/>
        </w:rPr>
        <w:t>标项名称:</w:t>
      </w:r>
      <w:r>
        <w:rPr>
          <w:rFonts w:hint="eastAsia"/>
          <w:b/>
          <w:bCs/>
          <w:color w:val="auto"/>
          <w:highlight w:val="none"/>
        </w:rPr>
        <w:t>广西艺术学院课桌椅采购</w:t>
      </w:r>
    </w:p>
    <w:p>
      <w:pPr>
        <w:pStyle w:val="20"/>
        <w:rPr>
          <w:rFonts w:hint="eastAsia" w:hAnsi="宋体" w:eastAsia="宋体" w:cs="宋体"/>
          <w:b w:val="0"/>
          <w:color w:val="auto"/>
          <w:kern w:val="0"/>
          <w:szCs w:val="21"/>
          <w:highlight w:val="none"/>
          <w:lang w:val="en-US" w:eastAsia="zh-CN"/>
        </w:rPr>
      </w:pPr>
      <w:r>
        <w:rPr>
          <w:rFonts w:hAnsi="宋体" w:cs="宋体"/>
          <w:b w:val="0"/>
          <w:color w:val="auto"/>
          <w:kern w:val="0"/>
          <w:szCs w:val="21"/>
          <w:highlight w:val="none"/>
        </w:rPr>
        <w:t>数量:</w:t>
      </w:r>
      <w:r>
        <w:rPr>
          <w:rFonts w:hint="eastAsia" w:hAnsi="宋体" w:cs="宋体"/>
          <w:b w:val="0"/>
          <w:color w:val="auto"/>
          <w:kern w:val="0"/>
          <w:szCs w:val="21"/>
          <w:highlight w:val="none"/>
          <w:lang w:val="en-US" w:eastAsia="zh-CN"/>
        </w:rPr>
        <w:t>1</w:t>
      </w:r>
    </w:p>
    <w:p>
      <w:pPr>
        <w:pStyle w:val="20"/>
        <w:rPr>
          <w:rFonts w:hint="eastAsia" w:hAnsi="宋体" w:cs="宋体"/>
          <w:b w:val="0"/>
          <w:color w:val="auto"/>
          <w:kern w:val="0"/>
          <w:szCs w:val="21"/>
          <w:highlight w:val="none"/>
        </w:rPr>
      </w:pPr>
      <w:r>
        <w:rPr>
          <w:rFonts w:hAnsi="宋体" w:cs="宋体"/>
          <w:b w:val="0"/>
          <w:color w:val="auto"/>
          <w:kern w:val="0"/>
          <w:szCs w:val="21"/>
          <w:highlight w:val="none"/>
        </w:rPr>
        <w:t>预算金额（元）:</w:t>
      </w:r>
      <w:r>
        <w:rPr>
          <w:rFonts w:hint="eastAsia" w:hAnsi="宋体" w:cs="宋体"/>
          <w:b w:val="0"/>
          <w:color w:val="auto"/>
          <w:kern w:val="0"/>
          <w:szCs w:val="21"/>
          <w:highlight w:val="none"/>
        </w:rPr>
        <w:t>3185910.00</w:t>
      </w:r>
    </w:p>
    <w:p>
      <w:pPr>
        <w:pStyle w:val="20"/>
        <w:rPr>
          <w:rFonts w:hAnsi="宋体" w:cs="宋体"/>
          <w:b w:val="0"/>
          <w:color w:val="auto"/>
          <w:kern w:val="0"/>
          <w:szCs w:val="21"/>
          <w:highlight w:val="none"/>
        </w:rPr>
      </w:pPr>
      <w:r>
        <w:rPr>
          <w:rFonts w:hAnsi="宋体" w:cs="宋体"/>
          <w:b w:val="0"/>
          <w:color w:val="auto"/>
          <w:kern w:val="0"/>
          <w:szCs w:val="21"/>
          <w:highlight w:val="none"/>
        </w:rPr>
        <w:t>简要规格描述或项目基本概况介绍、用途：</w:t>
      </w:r>
      <w:r>
        <w:rPr>
          <w:rFonts w:hint="eastAsia"/>
          <w:color w:val="auto"/>
          <w:sz w:val="21"/>
          <w:szCs w:val="21"/>
          <w:highlight w:val="none"/>
        </w:rPr>
        <w:t>桌子110张</w:t>
      </w:r>
      <w:r>
        <w:rPr>
          <w:rFonts w:hint="eastAsia"/>
          <w:color w:val="auto"/>
          <w:sz w:val="21"/>
          <w:szCs w:val="21"/>
          <w:highlight w:val="none"/>
          <w:lang w:eastAsia="zh-CN"/>
        </w:rPr>
        <w:t>；</w:t>
      </w:r>
      <w:r>
        <w:rPr>
          <w:rFonts w:hint="eastAsia"/>
          <w:color w:val="auto"/>
          <w:sz w:val="21"/>
          <w:szCs w:val="21"/>
          <w:highlight w:val="none"/>
        </w:rPr>
        <w:t>椅子1200把</w:t>
      </w:r>
      <w:r>
        <w:rPr>
          <w:rFonts w:hint="eastAsia"/>
          <w:color w:val="auto"/>
          <w:sz w:val="21"/>
          <w:szCs w:val="21"/>
          <w:highlight w:val="none"/>
          <w:lang w:eastAsia="zh-CN"/>
        </w:rPr>
        <w:t>；</w:t>
      </w:r>
      <w:r>
        <w:rPr>
          <w:rFonts w:hint="eastAsia"/>
          <w:color w:val="auto"/>
          <w:sz w:val="21"/>
          <w:szCs w:val="21"/>
          <w:highlight w:val="none"/>
        </w:rPr>
        <w:t>折叠桌800张</w:t>
      </w:r>
      <w:r>
        <w:rPr>
          <w:rFonts w:hint="eastAsia"/>
          <w:color w:val="auto"/>
          <w:sz w:val="21"/>
          <w:szCs w:val="21"/>
          <w:highlight w:val="none"/>
          <w:lang w:eastAsia="zh-CN"/>
        </w:rPr>
        <w:t>；</w:t>
      </w:r>
      <w:r>
        <w:rPr>
          <w:rFonts w:hint="eastAsia"/>
          <w:color w:val="auto"/>
          <w:sz w:val="21"/>
          <w:szCs w:val="21"/>
          <w:highlight w:val="none"/>
        </w:rPr>
        <w:t>休闲椅840把</w:t>
      </w:r>
      <w:r>
        <w:rPr>
          <w:rFonts w:hint="eastAsia"/>
          <w:color w:val="auto"/>
          <w:sz w:val="21"/>
          <w:szCs w:val="21"/>
          <w:highlight w:val="none"/>
          <w:lang w:eastAsia="zh-CN"/>
        </w:rPr>
        <w:t>；</w:t>
      </w:r>
      <w:r>
        <w:rPr>
          <w:rFonts w:hint="eastAsia"/>
          <w:color w:val="auto"/>
          <w:sz w:val="21"/>
          <w:szCs w:val="21"/>
          <w:highlight w:val="none"/>
        </w:rPr>
        <w:t>课桌椅2780套</w:t>
      </w:r>
      <w:r>
        <w:rPr>
          <w:rFonts w:hint="eastAsia"/>
          <w:color w:val="auto"/>
          <w:sz w:val="21"/>
          <w:szCs w:val="21"/>
          <w:highlight w:val="none"/>
          <w:lang w:eastAsia="zh-CN"/>
        </w:rPr>
        <w:t>；</w:t>
      </w:r>
      <w:r>
        <w:rPr>
          <w:rFonts w:hint="eastAsia"/>
          <w:color w:val="auto"/>
          <w:sz w:val="21"/>
          <w:szCs w:val="21"/>
          <w:highlight w:val="none"/>
        </w:rPr>
        <w:t>双人课桌1222张</w:t>
      </w:r>
      <w:r>
        <w:rPr>
          <w:rFonts w:hint="eastAsia"/>
          <w:color w:val="auto"/>
          <w:sz w:val="21"/>
          <w:szCs w:val="21"/>
          <w:highlight w:val="none"/>
          <w:lang w:eastAsia="zh-CN"/>
        </w:rPr>
        <w:t>；</w:t>
      </w:r>
      <w:r>
        <w:rPr>
          <w:rFonts w:hint="eastAsia"/>
          <w:color w:val="auto"/>
          <w:sz w:val="21"/>
          <w:szCs w:val="21"/>
          <w:highlight w:val="none"/>
        </w:rPr>
        <w:t>课椅2184把</w:t>
      </w:r>
      <w:r>
        <w:rPr>
          <w:rFonts w:hint="eastAsia"/>
          <w:color w:val="auto"/>
          <w:sz w:val="21"/>
          <w:szCs w:val="21"/>
          <w:highlight w:val="none"/>
          <w:lang w:eastAsia="zh-CN"/>
        </w:rPr>
        <w:t>；</w:t>
      </w:r>
      <w:r>
        <w:rPr>
          <w:rFonts w:hint="eastAsia"/>
          <w:color w:val="auto"/>
          <w:sz w:val="21"/>
          <w:szCs w:val="21"/>
          <w:highlight w:val="none"/>
        </w:rPr>
        <w:t>书法桌30张</w:t>
      </w:r>
      <w:r>
        <w:rPr>
          <w:rFonts w:hint="eastAsia"/>
          <w:color w:val="auto"/>
          <w:sz w:val="21"/>
          <w:szCs w:val="21"/>
          <w:highlight w:val="none"/>
          <w:lang w:eastAsia="zh-CN"/>
        </w:rPr>
        <w:t>；</w:t>
      </w:r>
      <w:r>
        <w:rPr>
          <w:rFonts w:hint="eastAsia"/>
          <w:color w:val="auto"/>
          <w:sz w:val="21"/>
          <w:szCs w:val="21"/>
          <w:highlight w:val="none"/>
        </w:rPr>
        <w:t>学习桌100张</w:t>
      </w:r>
      <w:r>
        <w:rPr>
          <w:rFonts w:hint="eastAsia"/>
          <w:color w:val="auto"/>
          <w:sz w:val="21"/>
          <w:szCs w:val="21"/>
          <w:highlight w:val="none"/>
          <w:lang w:eastAsia="zh-CN"/>
        </w:rPr>
        <w:t>；</w:t>
      </w:r>
      <w:r>
        <w:rPr>
          <w:rFonts w:hint="eastAsia"/>
          <w:color w:val="auto"/>
          <w:sz w:val="21"/>
          <w:szCs w:val="21"/>
          <w:highlight w:val="none"/>
        </w:rPr>
        <w:t>学习椅320张</w:t>
      </w:r>
      <w:r>
        <w:rPr>
          <w:rFonts w:hint="eastAsia"/>
          <w:color w:val="auto"/>
          <w:sz w:val="21"/>
          <w:szCs w:val="21"/>
          <w:highlight w:val="none"/>
          <w:lang w:eastAsia="zh-CN"/>
        </w:rPr>
        <w:t>；</w:t>
      </w:r>
      <w:r>
        <w:rPr>
          <w:rFonts w:hint="eastAsia"/>
          <w:color w:val="auto"/>
          <w:sz w:val="21"/>
          <w:szCs w:val="21"/>
          <w:highlight w:val="none"/>
        </w:rPr>
        <w:t>L型课桌</w:t>
      </w:r>
      <w:r>
        <w:rPr>
          <w:rFonts w:hint="eastAsia"/>
          <w:color w:val="auto"/>
          <w:sz w:val="21"/>
          <w:szCs w:val="21"/>
          <w:highlight w:val="none"/>
        </w:rPr>
        <w:tab/>
      </w:r>
      <w:r>
        <w:rPr>
          <w:rFonts w:hint="eastAsia"/>
          <w:color w:val="auto"/>
          <w:sz w:val="21"/>
          <w:szCs w:val="21"/>
          <w:highlight w:val="none"/>
        </w:rPr>
        <w:t>170张</w:t>
      </w:r>
      <w:r>
        <w:rPr>
          <w:rFonts w:hint="eastAsia"/>
          <w:color w:val="auto"/>
          <w:sz w:val="21"/>
          <w:szCs w:val="21"/>
          <w:highlight w:val="none"/>
          <w:lang w:eastAsia="zh-CN"/>
        </w:rPr>
        <w:t>；</w:t>
      </w:r>
      <w:r>
        <w:rPr>
          <w:rFonts w:hint="eastAsia"/>
          <w:color w:val="auto"/>
          <w:sz w:val="21"/>
          <w:szCs w:val="21"/>
          <w:highlight w:val="none"/>
        </w:rPr>
        <w:t>实训桌14张</w:t>
      </w:r>
      <w:r>
        <w:rPr>
          <w:rFonts w:hint="eastAsia"/>
          <w:color w:val="auto"/>
          <w:sz w:val="21"/>
          <w:szCs w:val="21"/>
          <w:highlight w:val="none"/>
          <w:lang w:eastAsia="zh-CN"/>
        </w:rPr>
        <w:t>；</w:t>
      </w:r>
      <w:r>
        <w:rPr>
          <w:rFonts w:hint="eastAsia"/>
          <w:color w:val="auto"/>
          <w:sz w:val="21"/>
          <w:szCs w:val="21"/>
          <w:highlight w:val="none"/>
        </w:rPr>
        <w:t>磨板木架3个</w:t>
      </w:r>
      <w:r>
        <w:rPr>
          <w:rFonts w:hint="eastAsia"/>
          <w:color w:val="auto"/>
          <w:sz w:val="21"/>
          <w:szCs w:val="21"/>
          <w:highlight w:val="none"/>
          <w:lang w:eastAsia="zh-CN"/>
        </w:rPr>
        <w:t>；</w:t>
      </w:r>
      <w:r>
        <w:rPr>
          <w:rFonts w:hint="eastAsia"/>
          <w:color w:val="auto"/>
          <w:sz w:val="21"/>
          <w:szCs w:val="21"/>
          <w:highlight w:val="none"/>
        </w:rPr>
        <w:t>收纳柜36组</w:t>
      </w:r>
      <w:r>
        <w:rPr>
          <w:rFonts w:hint="eastAsia"/>
          <w:color w:val="auto"/>
          <w:sz w:val="21"/>
          <w:szCs w:val="21"/>
          <w:highlight w:val="none"/>
          <w:lang w:eastAsia="zh-CN"/>
        </w:rPr>
        <w:t>；</w:t>
      </w:r>
      <w:r>
        <w:rPr>
          <w:rFonts w:hint="eastAsia"/>
          <w:color w:val="auto"/>
          <w:sz w:val="21"/>
          <w:szCs w:val="21"/>
          <w:highlight w:val="none"/>
        </w:rPr>
        <w:t>书架6组</w:t>
      </w:r>
      <w:r>
        <w:rPr>
          <w:rFonts w:hint="eastAsia"/>
          <w:color w:val="auto"/>
          <w:sz w:val="21"/>
          <w:szCs w:val="21"/>
          <w:highlight w:val="none"/>
          <w:lang w:eastAsia="zh-CN"/>
        </w:rPr>
        <w:t>；</w:t>
      </w:r>
      <w:r>
        <w:rPr>
          <w:rFonts w:hint="eastAsia"/>
          <w:color w:val="auto"/>
          <w:sz w:val="21"/>
          <w:szCs w:val="21"/>
          <w:highlight w:val="none"/>
        </w:rPr>
        <w:t>办公桌1组</w:t>
      </w:r>
      <w:r>
        <w:rPr>
          <w:rFonts w:hint="eastAsia"/>
          <w:color w:val="auto"/>
          <w:sz w:val="21"/>
          <w:szCs w:val="21"/>
          <w:highlight w:val="none"/>
          <w:lang w:eastAsia="zh-CN"/>
        </w:rPr>
        <w:t>。</w:t>
      </w:r>
      <w:r>
        <w:rPr>
          <w:rFonts w:hAnsi="宋体" w:cs="宋体"/>
          <w:b w:val="0"/>
          <w:color w:val="auto"/>
          <w:kern w:val="0"/>
          <w:szCs w:val="21"/>
          <w:highlight w:val="none"/>
        </w:rPr>
        <w:t>详见招标项目采购需求。</w:t>
      </w:r>
    </w:p>
    <w:p>
      <w:pPr>
        <w:pStyle w:val="20"/>
        <w:rPr>
          <w:rFonts w:hAnsi="宋体" w:cs="宋体"/>
          <w:b w:val="0"/>
          <w:color w:val="auto"/>
          <w:kern w:val="0"/>
          <w:szCs w:val="21"/>
          <w:highlight w:val="none"/>
        </w:rPr>
      </w:pPr>
      <w:r>
        <w:rPr>
          <w:rFonts w:hAnsi="宋体" w:cs="宋体"/>
          <w:b w:val="0"/>
          <w:color w:val="auto"/>
          <w:kern w:val="0"/>
          <w:szCs w:val="21"/>
          <w:highlight w:val="none"/>
        </w:rPr>
        <w:t>最高限价（如有）：/</w:t>
      </w:r>
    </w:p>
    <w:p>
      <w:pPr>
        <w:pStyle w:val="20"/>
        <w:rPr>
          <w:rFonts w:hAnsi="宋体" w:cs="宋体"/>
          <w:b w:val="0"/>
          <w:color w:val="auto"/>
          <w:kern w:val="0"/>
          <w:szCs w:val="21"/>
          <w:highlight w:val="none"/>
        </w:rPr>
      </w:pPr>
      <w:r>
        <w:rPr>
          <w:rFonts w:hAnsi="宋体" w:cs="宋体"/>
          <w:b w:val="0"/>
          <w:color w:val="auto"/>
          <w:kern w:val="0"/>
          <w:szCs w:val="21"/>
          <w:highlight w:val="none"/>
        </w:rPr>
        <w:t>合同履约期限：自签订合同至履约完成</w:t>
      </w:r>
    </w:p>
    <w:p>
      <w:pPr>
        <w:pStyle w:val="20"/>
        <w:rPr>
          <w:rFonts w:hint="eastAsia" w:hAnsi="宋体" w:cs="宋体"/>
          <w:b w:val="0"/>
          <w:color w:val="auto"/>
          <w:kern w:val="0"/>
          <w:szCs w:val="21"/>
          <w:highlight w:val="none"/>
        </w:rPr>
      </w:pPr>
      <w:r>
        <w:rPr>
          <w:rFonts w:hAnsi="宋体" w:cs="宋体"/>
          <w:b w:val="0"/>
          <w:color w:val="auto"/>
          <w:kern w:val="0"/>
          <w:szCs w:val="21"/>
          <w:highlight w:val="none"/>
        </w:rPr>
        <w:t>本标项（否）接受联合体投标</w:t>
      </w:r>
    </w:p>
    <w:p>
      <w:pPr>
        <w:pStyle w:val="20"/>
        <w:rPr>
          <w:rFonts w:hAnsi="宋体" w:cs="宋体"/>
          <w:b w:val="0"/>
          <w:color w:val="auto"/>
          <w:kern w:val="0"/>
          <w:szCs w:val="21"/>
          <w:highlight w:val="none"/>
        </w:rPr>
      </w:pPr>
      <w:r>
        <w:rPr>
          <w:rFonts w:hAnsi="宋体" w:cs="宋体"/>
          <w:b w:val="0"/>
          <w:color w:val="auto"/>
          <w:kern w:val="0"/>
          <w:szCs w:val="21"/>
          <w:highlight w:val="none"/>
        </w:rPr>
        <w:t>备注：</w:t>
      </w:r>
      <w:r>
        <w:rPr>
          <w:rFonts w:hint="eastAsia" w:hAnsi="宋体"/>
          <w:b w:val="0"/>
          <w:color w:val="auto"/>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pStyle w:val="20"/>
        <w:rPr>
          <w:rFonts w:hAnsi="宋体" w:cs="宋体"/>
          <w:b w:val="0"/>
          <w:color w:val="auto"/>
          <w:kern w:val="0"/>
          <w:szCs w:val="21"/>
          <w:highlight w:val="none"/>
        </w:rPr>
      </w:pPr>
      <w:r>
        <w:rPr>
          <w:rFonts w:hAnsi="宋体" w:cs="宋体"/>
          <w:b w:val="0"/>
          <w:color w:val="auto"/>
          <w:kern w:val="0"/>
          <w:szCs w:val="21"/>
          <w:highlight w:val="none"/>
        </w:rPr>
        <w:t>1.满足《中华人民共和国政府采购法》第二十二条规定；</w:t>
      </w:r>
    </w:p>
    <w:p>
      <w:pPr>
        <w:pStyle w:val="20"/>
        <w:rPr>
          <w:rFonts w:hAnsi="宋体" w:cs="宋体"/>
          <w:b w:val="0"/>
          <w:color w:val="auto"/>
          <w:kern w:val="0"/>
          <w:szCs w:val="21"/>
          <w:highlight w:val="none"/>
        </w:rPr>
      </w:pPr>
      <w:r>
        <w:rPr>
          <w:rFonts w:hAnsi="宋体" w:cs="宋体"/>
          <w:b w:val="0"/>
          <w:color w:val="auto"/>
          <w:kern w:val="0"/>
          <w:szCs w:val="21"/>
          <w:highlight w:val="none"/>
        </w:rPr>
        <w:t>2.落实政府采购政策需满足的资格要求：</w:t>
      </w:r>
      <w:r>
        <w:rPr>
          <w:rFonts w:hint="eastAsia" w:hAnsi="宋体" w:cs="宋体"/>
          <w:b w:val="0"/>
          <w:color w:val="auto"/>
          <w:kern w:val="0"/>
          <w:szCs w:val="21"/>
          <w:highlight w:val="none"/>
        </w:rPr>
        <w:t>分标1：</w:t>
      </w:r>
      <w:r>
        <w:rPr>
          <w:rFonts w:hint="eastAsia" w:ascii="Times New Roman" w:hAnsi="Times New Roman" w:cs="Times New Roman"/>
          <w:b/>
          <w:bCs/>
          <w:color w:val="auto"/>
          <w:highlight w:val="none"/>
        </w:rPr>
        <w:t>本项目专门面向</w:t>
      </w:r>
      <w:r>
        <w:rPr>
          <w:rFonts w:hint="eastAsia"/>
          <w:b/>
          <w:bCs/>
          <w:color w:val="auto"/>
          <w:highlight w:val="none"/>
          <w:lang w:val="en"/>
        </w:rPr>
        <w:t>小微企业</w:t>
      </w:r>
      <w:r>
        <w:rPr>
          <w:rFonts w:hint="eastAsia" w:hAnsi="宋体" w:cs="宋体"/>
          <w:b w:val="0"/>
          <w:color w:val="auto"/>
          <w:kern w:val="0"/>
          <w:szCs w:val="21"/>
          <w:highlight w:val="none"/>
        </w:rPr>
        <w:t>。</w:t>
      </w:r>
    </w:p>
    <w:p>
      <w:pPr>
        <w:pStyle w:val="20"/>
        <w:rPr>
          <w:rFonts w:hAnsi="宋体" w:cs="宋体"/>
          <w:b w:val="0"/>
          <w:color w:val="auto"/>
          <w:kern w:val="0"/>
          <w:szCs w:val="21"/>
          <w:highlight w:val="none"/>
        </w:rPr>
      </w:pPr>
      <w:r>
        <w:rPr>
          <w:rFonts w:hAnsi="宋体" w:cs="宋体"/>
          <w:b w:val="0"/>
          <w:color w:val="auto"/>
          <w:kern w:val="0"/>
          <w:szCs w:val="21"/>
          <w:highlight w:val="none"/>
        </w:rPr>
        <w:t>3.本项目的特定资格要求：无</w:t>
      </w:r>
      <w:r>
        <w:rPr>
          <w:rFonts w:hint="eastAsia" w:hAnsi="宋体" w:cs="宋体"/>
          <w:b w:val="0"/>
          <w:color w:val="auto"/>
          <w:kern w:val="0"/>
          <w:szCs w:val="21"/>
          <w:highlight w:val="none"/>
        </w:rPr>
        <w:t>。</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 </w:t>
      </w:r>
    </w:p>
    <w:p>
      <w:pPr>
        <w:pStyle w:val="20"/>
        <w:rPr>
          <w:rFonts w:hint="eastAsia" w:hAnsi="宋体" w:cs="宋体"/>
          <w:b w:val="0"/>
          <w:color w:val="auto"/>
          <w:kern w:val="0"/>
          <w:szCs w:val="21"/>
          <w:highlight w:val="none"/>
        </w:rPr>
      </w:pPr>
      <w:r>
        <w:rPr>
          <w:rFonts w:hAnsi="宋体" w:cs="宋体"/>
          <w:b w:val="0"/>
          <w:color w:val="auto"/>
          <w:kern w:val="0"/>
          <w:szCs w:val="21"/>
          <w:highlight w:val="none"/>
        </w:rPr>
        <w:t>时间：</w:t>
      </w:r>
      <w:r>
        <w:rPr>
          <w:rFonts w:hAnsi="宋体" w:cs="宋体"/>
          <w:bCs/>
          <w:color w:val="auto"/>
          <w:kern w:val="0"/>
          <w:szCs w:val="21"/>
          <w:highlight w:val="none"/>
        </w:rPr>
        <w:t>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eastAsia" w:hAnsi="宋体" w:cs="宋体"/>
          <w:bCs/>
          <w:color w:val="auto"/>
          <w:kern w:val="0"/>
          <w:szCs w:val="21"/>
          <w:highlight w:val="none"/>
          <w:lang w:val="en-US" w:eastAsia="zh-CN"/>
        </w:rPr>
        <w:t>9</w:t>
      </w:r>
      <w:r>
        <w:rPr>
          <w:rFonts w:hAnsi="宋体" w:cs="宋体"/>
          <w:bCs/>
          <w:color w:val="auto"/>
          <w:kern w:val="0"/>
          <w:szCs w:val="21"/>
          <w:highlight w:val="none"/>
        </w:rPr>
        <w:t>月</w:t>
      </w:r>
      <w:r>
        <w:rPr>
          <w:rFonts w:hint="eastAsia" w:hAnsi="宋体" w:cs="宋体"/>
          <w:bCs/>
          <w:color w:val="auto"/>
          <w:kern w:val="0"/>
          <w:szCs w:val="21"/>
          <w:highlight w:val="none"/>
          <w:lang w:val="en-US" w:eastAsia="zh-CN"/>
        </w:rPr>
        <w:t>5</w:t>
      </w:r>
      <w:r>
        <w:rPr>
          <w:rFonts w:hAnsi="宋体" w:cs="宋体"/>
          <w:bCs/>
          <w:color w:val="auto"/>
          <w:kern w:val="0"/>
          <w:szCs w:val="21"/>
          <w:highlight w:val="none"/>
        </w:rPr>
        <w:t>日至202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eastAsia" w:hAnsi="宋体" w:cs="宋体"/>
          <w:bCs/>
          <w:color w:val="auto"/>
          <w:kern w:val="0"/>
          <w:szCs w:val="21"/>
          <w:highlight w:val="none"/>
          <w:lang w:val="en-US" w:eastAsia="zh-CN"/>
        </w:rPr>
        <w:t>9</w:t>
      </w:r>
      <w:r>
        <w:rPr>
          <w:rFonts w:hAnsi="宋体" w:cs="宋体"/>
          <w:bCs/>
          <w:color w:val="auto"/>
          <w:kern w:val="0"/>
          <w:szCs w:val="21"/>
          <w:highlight w:val="none"/>
        </w:rPr>
        <w:t>月</w:t>
      </w:r>
      <w:r>
        <w:rPr>
          <w:rFonts w:hint="eastAsia" w:hAnsi="宋体" w:cs="宋体"/>
          <w:bCs/>
          <w:color w:val="auto"/>
          <w:kern w:val="0"/>
          <w:szCs w:val="21"/>
          <w:highlight w:val="none"/>
          <w:lang w:val="en-US" w:eastAsia="zh-CN"/>
        </w:rPr>
        <w:t>12</w:t>
      </w:r>
      <w:r>
        <w:rPr>
          <w:rFonts w:hAnsi="宋体" w:cs="宋体"/>
          <w:bCs/>
          <w:color w:val="auto"/>
          <w:kern w:val="0"/>
          <w:szCs w:val="21"/>
          <w:highlight w:val="none"/>
        </w:rPr>
        <w:t>日，每天上午0</w:t>
      </w:r>
      <w:r>
        <w:rPr>
          <w:rFonts w:hAnsi="宋体" w:cs="宋体"/>
          <w:bCs/>
          <w:color w:val="auto"/>
          <w:kern w:val="0"/>
          <w:szCs w:val="21"/>
          <w:highlight w:val="none"/>
          <w:lang w:val="en"/>
        </w:rPr>
        <w:t>0</w:t>
      </w:r>
      <w:r>
        <w:rPr>
          <w:rFonts w:hAnsi="宋体" w:cs="宋体"/>
          <w:bCs/>
          <w:color w:val="auto"/>
          <w:kern w:val="0"/>
          <w:szCs w:val="21"/>
          <w:highlight w:val="none"/>
        </w:rPr>
        <w:t>:00至12:00</w:t>
      </w:r>
      <w:r>
        <w:rPr>
          <w:rFonts w:hint="eastAsia" w:hAnsi="宋体" w:cs="宋体"/>
          <w:bCs/>
          <w:color w:val="auto"/>
          <w:kern w:val="0"/>
          <w:szCs w:val="21"/>
          <w:highlight w:val="none"/>
        </w:rPr>
        <w:t>；</w:t>
      </w:r>
      <w:r>
        <w:rPr>
          <w:rFonts w:hAnsi="宋体" w:cs="宋体"/>
          <w:bCs/>
          <w:color w:val="auto"/>
          <w:kern w:val="0"/>
          <w:szCs w:val="21"/>
          <w:highlight w:val="none"/>
        </w:rPr>
        <w:t>下午1</w:t>
      </w:r>
      <w:r>
        <w:rPr>
          <w:rFonts w:hAnsi="宋体" w:cs="宋体"/>
          <w:bCs/>
          <w:color w:val="auto"/>
          <w:kern w:val="0"/>
          <w:szCs w:val="21"/>
          <w:highlight w:val="none"/>
          <w:lang w:val="en"/>
        </w:rPr>
        <w:t>2</w:t>
      </w:r>
      <w:r>
        <w:rPr>
          <w:rFonts w:hAnsi="宋体" w:cs="宋体"/>
          <w:bCs/>
          <w:color w:val="auto"/>
          <w:kern w:val="0"/>
          <w:szCs w:val="21"/>
          <w:highlight w:val="none"/>
        </w:rPr>
        <w:t>:00至</w:t>
      </w:r>
      <w:r>
        <w:rPr>
          <w:rFonts w:hAnsi="宋体" w:cs="宋体"/>
          <w:bCs/>
          <w:color w:val="auto"/>
          <w:kern w:val="0"/>
          <w:szCs w:val="21"/>
          <w:highlight w:val="none"/>
          <w:lang w:val="en"/>
        </w:rPr>
        <w:t>23</w:t>
      </w:r>
      <w:r>
        <w:rPr>
          <w:rFonts w:hAnsi="宋体" w:cs="宋体"/>
          <w:bCs/>
          <w:color w:val="auto"/>
          <w:kern w:val="0"/>
          <w:szCs w:val="21"/>
          <w:highlight w:val="none"/>
        </w:rPr>
        <w:t>:</w:t>
      </w:r>
      <w:r>
        <w:rPr>
          <w:rFonts w:hAnsi="宋体" w:cs="宋体"/>
          <w:bCs/>
          <w:color w:val="auto"/>
          <w:kern w:val="0"/>
          <w:szCs w:val="21"/>
          <w:highlight w:val="none"/>
          <w:lang w:val="en"/>
        </w:rPr>
        <w:t>59</w:t>
      </w:r>
      <w:r>
        <w:rPr>
          <w:rFonts w:hAnsi="宋体" w:cs="宋体"/>
          <w:b w:val="0"/>
          <w:color w:val="auto"/>
          <w:kern w:val="0"/>
          <w:szCs w:val="21"/>
          <w:highlight w:val="none"/>
        </w:rPr>
        <w:t>（北京时间，法定节假日除外）</w:t>
      </w:r>
    </w:p>
    <w:p>
      <w:pPr>
        <w:pStyle w:val="20"/>
        <w:rPr>
          <w:rFonts w:hAnsi="宋体" w:cs="宋体"/>
          <w:b w:val="0"/>
          <w:color w:val="auto"/>
          <w:kern w:val="0"/>
          <w:szCs w:val="21"/>
          <w:highlight w:val="none"/>
        </w:rPr>
      </w:pPr>
      <w:r>
        <w:rPr>
          <w:rFonts w:hAnsi="宋体" w:cs="宋体"/>
          <w:b w:val="0"/>
          <w:color w:val="auto"/>
          <w:kern w:val="0"/>
          <w:szCs w:val="21"/>
          <w:highlight w:val="none"/>
        </w:rPr>
        <w:t>地点：</w:t>
      </w:r>
      <w:r>
        <w:rPr>
          <w:rFonts w:hint="eastAsia" w:hAnsi="宋体" w:cs="宋体"/>
          <w:color w:val="auto"/>
          <w:szCs w:val="21"/>
          <w:highlight w:val="none"/>
        </w:rPr>
        <w:t>广西政府采购云平台线上</w:t>
      </w:r>
      <w:r>
        <w:rPr>
          <w:rStyle w:val="28"/>
          <w:rFonts w:hint="eastAsia" w:cs="宋体"/>
          <w:bCs/>
          <w:color w:val="auto"/>
          <w:szCs w:val="21"/>
          <w:highlight w:val="none"/>
        </w:rPr>
        <w:t>（网址：https://www.gcy.zfcg.gxzf.gov.cn）</w:t>
      </w:r>
      <w:r>
        <w:rPr>
          <w:rFonts w:hAnsi="宋体" w:cs="宋体"/>
          <w:b w:val="0"/>
          <w:color w:val="auto"/>
          <w:kern w:val="0"/>
          <w:szCs w:val="21"/>
          <w:highlight w:val="none"/>
        </w:rPr>
        <w:t> </w:t>
      </w:r>
    </w:p>
    <w:p>
      <w:pPr>
        <w:pStyle w:val="20"/>
        <w:spacing w:line="360" w:lineRule="exact"/>
        <w:rPr>
          <w:rFonts w:hint="eastAsia" w:hAnsi="宋体" w:cs="宋体"/>
          <w:b w:val="0"/>
          <w:color w:val="auto"/>
          <w:kern w:val="0"/>
          <w:szCs w:val="21"/>
          <w:highlight w:val="none"/>
        </w:rPr>
      </w:pPr>
      <w:r>
        <w:rPr>
          <w:rFonts w:hAnsi="宋体" w:cs="宋体"/>
          <w:b w:val="0"/>
          <w:color w:val="auto"/>
          <w:kern w:val="0"/>
          <w:szCs w:val="21"/>
          <w:highlight w:val="none"/>
        </w:rPr>
        <w:t>方式：</w:t>
      </w:r>
      <w:r>
        <w:rPr>
          <w:rStyle w:val="28"/>
          <w:rFonts w:hint="eastAsia" w:cs="宋体"/>
          <w:bCs/>
          <w:color w:val="auto"/>
          <w:szCs w:val="21"/>
          <w:highlight w:val="none"/>
        </w:rPr>
        <w:t>请登录广西政府采购云平台（网址：https://www.gcy.zfcg.gxzf.gov.cn）进行报名并获取采购文件</w:t>
      </w:r>
      <w:r>
        <w:rPr>
          <w:rFonts w:hAnsi="宋体" w:cs="宋体"/>
          <w:b w:val="0"/>
          <w:color w:val="auto"/>
          <w:kern w:val="0"/>
          <w:szCs w:val="21"/>
          <w:highlight w:val="none"/>
        </w:rPr>
        <w:t>；未注册的供应商可在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完成注册后再行报名。如在操作过程中遇到问题或需技术支持，</w:t>
      </w:r>
      <w:r>
        <w:rPr>
          <w:rFonts w:hAnsi="宋体" w:cs="宋体"/>
          <w:bCs/>
          <w:color w:val="auto"/>
          <w:kern w:val="0"/>
          <w:szCs w:val="21"/>
          <w:highlight w:val="none"/>
        </w:rPr>
        <w:t>请致电政采云客服热线：</w:t>
      </w:r>
      <w:r>
        <w:rPr>
          <w:rFonts w:hAnsi="宋体" w:cs="宋体"/>
          <w:bCs/>
          <w:color w:val="auto"/>
          <w:kern w:val="0"/>
          <w:szCs w:val="21"/>
          <w:highlight w:val="none"/>
          <w:lang w:val="en"/>
        </w:rPr>
        <w:t>95763</w:t>
      </w:r>
      <w:r>
        <w:rPr>
          <w:rFonts w:hAnsi="宋体" w:cs="宋体"/>
          <w:b w:val="0"/>
          <w:color w:val="auto"/>
          <w:kern w:val="0"/>
          <w:szCs w:val="21"/>
          <w:highlight w:val="none"/>
        </w:rPr>
        <w:t>。</w:t>
      </w:r>
    </w:p>
    <w:p>
      <w:pPr>
        <w:pStyle w:val="20"/>
        <w:spacing w:line="360" w:lineRule="exact"/>
        <w:rPr>
          <w:rFonts w:hAnsi="宋体" w:cs="宋体"/>
          <w:b w:val="0"/>
          <w:color w:val="auto"/>
          <w:kern w:val="0"/>
          <w:szCs w:val="21"/>
          <w:highlight w:val="none"/>
        </w:rPr>
      </w:pPr>
      <w:r>
        <w:rPr>
          <w:rFonts w:hAnsi="宋体" w:cs="宋体"/>
          <w:b w:val="0"/>
          <w:color w:val="auto"/>
          <w:kern w:val="0"/>
          <w:szCs w:val="21"/>
          <w:highlight w:val="none"/>
        </w:rPr>
        <w:t>提示：</w:t>
      </w:r>
      <w:r>
        <w:rPr>
          <w:rFonts w:hint="eastAsia" w:hAnsi="宋体" w:cs="宋体"/>
          <w:b w:val="0"/>
          <w:color w:val="auto"/>
          <w:kern w:val="0"/>
          <w:szCs w:val="21"/>
          <w:highlight w:val="none"/>
        </w:rPr>
        <w:t>采购</w:t>
      </w:r>
      <w:r>
        <w:rPr>
          <w:rFonts w:hAnsi="宋体" w:cs="宋体"/>
          <w:b w:val="0"/>
          <w:color w:val="auto"/>
          <w:kern w:val="0"/>
          <w:szCs w:val="21"/>
          <w:highlight w:val="none"/>
        </w:rPr>
        <w:t>公告附件内的</w:t>
      </w:r>
      <w:r>
        <w:rPr>
          <w:rFonts w:hint="eastAsia" w:hAnsi="宋体" w:cs="宋体"/>
          <w:b w:val="0"/>
          <w:color w:val="auto"/>
          <w:kern w:val="0"/>
          <w:szCs w:val="21"/>
          <w:highlight w:val="none"/>
        </w:rPr>
        <w:t>采购文件</w:t>
      </w:r>
      <w:r>
        <w:rPr>
          <w:rFonts w:hAnsi="宋体" w:cs="宋体"/>
          <w:b w:val="0"/>
          <w:color w:val="auto"/>
          <w:kern w:val="0"/>
          <w:szCs w:val="21"/>
          <w:highlight w:val="none"/>
        </w:rPr>
        <w:t>仅供阅览使用</w:t>
      </w:r>
      <w:r>
        <w:rPr>
          <w:rFonts w:hint="eastAsia" w:hAnsi="宋体" w:cs="宋体"/>
          <w:b w:val="0"/>
          <w:color w:val="auto"/>
          <w:kern w:val="0"/>
          <w:szCs w:val="21"/>
          <w:highlight w:val="none"/>
        </w:rPr>
        <w:t>；</w:t>
      </w:r>
      <w:r>
        <w:rPr>
          <w:rFonts w:hAnsi="宋体" w:cs="宋体"/>
          <w:b w:val="0"/>
          <w:color w:val="auto"/>
          <w:kern w:val="0"/>
          <w:szCs w:val="21"/>
          <w:highlight w:val="none"/>
        </w:rPr>
        <w:t>供应商只有在“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申请并下载了</w:t>
      </w:r>
      <w:r>
        <w:rPr>
          <w:rFonts w:hint="eastAsia" w:hAnsi="宋体" w:cs="宋体"/>
          <w:b w:val="0"/>
          <w:color w:val="auto"/>
          <w:kern w:val="0"/>
          <w:szCs w:val="21"/>
          <w:highlight w:val="none"/>
        </w:rPr>
        <w:t>采购文件</w:t>
      </w:r>
      <w:r>
        <w:rPr>
          <w:rFonts w:hAnsi="宋体" w:cs="宋体"/>
          <w:b w:val="0"/>
          <w:color w:val="auto"/>
          <w:kern w:val="0"/>
          <w:szCs w:val="21"/>
          <w:highlight w:val="none"/>
        </w:rPr>
        <w:t>后才视作依法获取</w:t>
      </w:r>
      <w:r>
        <w:rPr>
          <w:rFonts w:hint="eastAsia" w:hAnsi="宋体" w:cs="宋体"/>
          <w:b w:val="0"/>
          <w:color w:val="auto"/>
          <w:kern w:val="0"/>
          <w:szCs w:val="21"/>
          <w:highlight w:val="none"/>
        </w:rPr>
        <w:t>采购文件</w:t>
      </w:r>
      <w:r>
        <w:rPr>
          <w:rFonts w:hAnsi="宋体" w:cs="宋体"/>
          <w:b w:val="0"/>
          <w:color w:val="auto"/>
          <w:kern w:val="0"/>
          <w:szCs w:val="21"/>
          <w:highlight w:val="none"/>
        </w:rPr>
        <w:t>（法律法规所指的供应商获取</w:t>
      </w:r>
      <w:r>
        <w:rPr>
          <w:rFonts w:hint="eastAsia" w:hAnsi="宋体" w:cs="宋体"/>
          <w:b w:val="0"/>
          <w:color w:val="auto"/>
          <w:kern w:val="0"/>
          <w:szCs w:val="21"/>
          <w:highlight w:val="none"/>
        </w:rPr>
        <w:t>采购文件</w:t>
      </w:r>
      <w:r>
        <w:rPr>
          <w:rFonts w:hAnsi="宋体" w:cs="宋体"/>
          <w:b w:val="0"/>
          <w:color w:val="auto"/>
          <w:kern w:val="0"/>
          <w:szCs w:val="21"/>
          <w:highlight w:val="none"/>
        </w:rPr>
        <w:t>时间以供应商完成获取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申请后下载</w:t>
      </w:r>
      <w:r>
        <w:rPr>
          <w:rFonts w:hint="eastAsia" w:hAnsi="宋体" w:cs="宋体"/>
          <w:b w:val="0"/>
          <w:color w:val="auto"/>
          <w:kern w:val="0"/>
          <w:szCs w:val="21"/>
          <w:highlight w:val="none"/>
        </w:rPr>
        <w:t>采购文件</w:t>
      </w:r>
      <w:r>
        <w:rPr>
          <w:rFonts w:hAnsi="宋体" w:cs="宋体"/>
          <w:b w:val="0"/>
          <w:color w:val="auto"/>
          <w:kern w:val="0"/>
          <w:szCs w:val="21"/>
          <w:highlight w:val="none"/>
        </w:rPr>
        <w:t>的时间为准）。</w:t>
      </w:r>
    </w:p>
    <w:p>
      <w:pPr>
        <w:pStyle w:val="20"/>
        <w:rPr>
          <w:rFonts w:hAnsi="宋体" w:cs="宋体"/>
          <w:b w:val="0"/>
          <w:color w:val="auto"/>
          <w:kern w:val="0"/>
          <w:szCs w:val="21"/>
          <w:highlight w:val="none"/>
        </w:rPr>
      </w:pPr>
      <w:r>
        <w:rPr>
          <w:rFonts w:hAnsi="宋体" w:cs="宋体"/>
          <w:b w:val="0"/>
          <w:color w:val="auto"/>
          <w:kern w:val="0"/>
          <w:szCs w:val="21"/>
          <w:highlight w:val="none"/>
        </w:rPr>
        <w:t>售价（元）：0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pStyle w:val="20"/>
        <w:rPr>
          <w:rFonts w:hint="eastAsia" w:hAnsi="宋体" w:cs="宋体"/>
          <w:b w:val="0"/>
          <w:color w:val="auto"/>
          <w:kern w:val="0"/>
          <w:szCs w:val="21"/>
          <w:highlight w:val="none"/>
        </w:rPr>
      </w:pPr>
      <w:r>
        <w:rPr>
          <w:rFonts w:hAnsi="宋体" w:cs="宋体"/>
          <w:b w:val="0"/>
          <w:color w:val="auto"/>
          <w:kern w:val="0"/>
          <w:szCs w:val="21"/>
          <w:highlight w:val="none"/>
        </w:rPr>
        <w:t>提交投标文件截止时间：</w:t>
      </w:r>
      <w:r>
        <w:rPr>
          <w:rFonts w:hint="eastAsia"/>
          <w:color w:val="auto"/>
          <w:highlight w:val="none"/>
          <w:u w:val="none"/>
        </w:rPr>
        <w:t>2025年</w:t>
      </w:r>
      <w:r>
        <w:rPr>
          <w:rFonts w:hint="eastAsia"/>
          <w:color w:val="auto"/>
          <w:highlight w:val="none"/>
          <w:u w:val="none"/>
          <w:lang w:val="en-US" w:eastAsia="zh-CN"/>
        </w:rPr>
        <w:t>9</w:t>
      </w:r>
      <w:r>
        <w:rPr>
          <w:rFonts w:hint="eastAsia"/>
          <w:color w:val="auto"/>
          <w:highlight w:val="none"/>
          <w:u w:val="none"/>
        </w:rPr>
        <w:t>月</w:t>
      </w:r>
      <w:r>
        <w:rPr>
          <w:rFonts w:hint="eastAsia"/>
          <w:color w:val="auto"/>
          <w:highlight w:val="none"/>
          <w:u w:val="none"/>
          <w:lang w:val="en-US" w:eastAsia="zh-CN"/>
        </w:rPr>
        <w:t>26</w:t>
      </w:r>
      <w:r>
        <w:rPr>
          <w:rFonts w:hint="eastAsia"/>
          <w:color w:val="auto"/>
          <w:highlight w:val="none"/>
          <w:u w:val="none"/>
        </w:rPr>
        <w:t>日</w:t>
      </w:r>
      <w:r>
        <w:rPr>
          <w:rFonts w:hAnsi="宋体" w:cs="宋体"/>
          <w:bCs/>
          <w:color w:val="auto"/>
          <w:kern w:val="0"/>
          <w:szCs w:val="21"/>
          <w:highlight w:val="none"/>
        </w:rPr>
        <w:t>10:00（北京时间）</w:t>
      </w:r>
    </w:p>
    <w:p>
      <w:pPr>
        <w:pStyle w:val="20"/>
        <w:rPr>
          <w:rFonts w:hAnsi="宋体" w:cs="宋体"/>
          <w:b w:val="0"/>
          <w:color w:val="auto"/>
          <w:kern w:val="0"/>
          <w:szCs w:val="21"/>
          <w:highlight w:val="none"/>
        </w:rPr>
      </w:pPr>
      <w:r>
        <w:rPr>
          <w:rFonts w:hAnsi="宋体" w:cs="宋体"/>
          <w:b w:val="0"/>
          <w:color w:val="auto"/>
          <w:kern w:val="0"/>
          <w:szCs w:val="21"/>
          <w:highlight w:val="none"/>
        </w:rPr>
        <w:t>投标地点（网址）：</w:t>
      </w:r>
      <w:r>
        <w:rPr>
          <w:rFonts w:hint="eastAsia" w:hAnsi="宋体" w:cs="宋体"/>
          <w:b w:val="0"/>
          <w:color w:val="auto"/>
          <w:kern w:val="0"/>
          <w:szCs w:val="21"/>
          <w:highlight w:val="none"/>
        </w:rPr>
        <w:t>请登录广西政府采购云平台投标客户端投标</w:t>
      </w:r>
      <w:r>
        <w:rPr>
          <w:rFonts w:hAnsi="宋体" w:cs="宋体"/>
          <w:b w:val="0"/>
          <w:color w:val="auto"/>
          <w:kern w:val="0"/>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20"/>
        <w:rPr>
          <w:rFonts w:hint="eastAsia" w:hAnsi="宋体" w:cs="宋体"/>
          <w:b w:val="0"/>
          <w:color w:val="auto"/>
          <w:kern w:val="0"/>
          <w:szCs w:val="21"/>
          <w:highlight w:val="none"/>
        </w:rPr>
      </w:pPr>
      <w:r>
        <w:rPr>
          <w:rFonts w:hAnsi="宋体" w:cs="宋体"/>
          <w:b w:val="0"/>
          <w:color w:val="auto"/>
          <w:kern w:val="0"/>
          <w:szCs w:val="21"/>
          <w:highlight w:val="none"/>
        </w:rPr>
        <w:t>开标时间：</w:t>
      </w:r>
      <w:r>
        <w:rPr>
          <w:rFonts w:hint="eastAsia" w:hAnsi="宋体" w:cs="宋体"/>
          <w:b/>
          <w:bCs/>
          <w:color w:val="auto"/>
          <w:kern w:val="0"/>
          <w:szCs w:val="21"/>
          <w:highlight w:val="none"/>
        </w:rPr>
        <w:t>2025年9月26日</w:t>
      </w:r>
      <w:r>
        <w:rPr>
          <w:rFonts w:hAnsi="宋体" w:cs="宋体"/>
          <w:bCs/>
          <w:color w:val="auto"/>
          <w:kern w:val="0"/>
          <w:szCs w:val="21"/>
          <w:highlight w:val="none"/>
        </w:rPr>
        <w:t>10:00</w:t>
      </w:r>
    </w:p>
    <w:p>
      <w:pPr>
        <w:pStyle w:val="20"/>
        <w:rPr>
          <w:rFonts w:hAnsi="宋体" w:cs="宋体"/>
          <w:b w:val="0"/>
          <w:color w:val="auto"/>
          <w:kern w:val="0"/>
          <w:szCs w:val="21"/>
          <w:highlight w:val="none"/>
        </w:rPr>
      </w:pPr>
      <w:r>
        <w:rPr>
          <w:rFonts w:hAnsi="宋体" w:cs="宋体"/>
          <w:b w:val="0"/>
          <w:color w:val="auto"/>
          <w:kern w:val="0"/>
          <w:szCs w:val="21"/>
          <w:highlight w:val="none"/>
        </w:rPr>
        <w:t>开标地点：</w:t>
      </w:r>
      <w:r>
        <w:rPr>
          <w:rFonts w:hint="eastAsia" w:hAnsi="宋体" w:cs="宋体"/>
          <w:b w:val="0"/>
          <w:color w:val="auto"/>
          <w:kern w:val="0"/>
          <w:szCs w:val="21"/>
          <w:highlight w:val="none"/>
        </w:rPr>
        <w:t>广西壮族自治区南宁市青秀区广西政府采购云平台开标大厅</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 </w:t>
      </w:r>
    </w:p>
    <w:p>
      <w:pPr>
        <w:pStyle w:val="20"/>
        <w:rPr>
          <w:rFonts w:hint="eastAsia" w:hAnsi="宋体" w:cs="宋体"/>
          <w:b w:val="0"/>
          <w:color w:val="auto"/>
          <w:kern w:val="0"/>
          <w:szCs w:val="21"/>
          <w:highlight w:val="none"/>
        </w:rPr>
      </w:pPr>
      <w:r>
        <w:rPr>
          <w:rFonts w:hAnsi="宋体" w:cs="宋体"/>
          <w:b w:val="0"/>
          <w:color w:val="auto"/>
          <w:kern w:val="0"/>
          <w:szCs w:val="21"/>
          <w:highlight w:val="none"/>
        </w:rPr>
        <w:t>自本公告发布之日起5个工作日。</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pStyle w:val="20"/>
        <w:rPr>
          <w:rFonts w:hint="eastAsia" w:hAnsi="宋体" w:cs="宋体"/>
          <w:b w:val="0"/>
          <w:color w:val="auto"/>
          <w:kern w:val="0"/>
          <w:szCs w:val="21"/>
          <w:highlight w:val="none"/>
        </w:rPr>
      </w:pPr>
      <w:r>
        <w:rPr>
          <w:rFonts w:hAnsi="宋体" w:cs="宋体"/>
          <w:b w:val="0"/>
          <w:color w:val="auto"/>
          <w:kern w:val="0"/>
          <w:szCs w:val="21"/>
          <w:highlight w:val="none"/>
        </w:rPr>
        <w:t>1.投标保证金（人民币）：</w:t>
      </w:r>
      <w:r>
        <w:rPr>
          <w:rFonts w:hint="eastAsia" w:hAnsi="宋体" w:cs="宋体"/>
          <w:bCs/>
          <w:color w:val="auto"/>
          <w:kern w:val="0"/>
          <w:szCs w:val="21"/>
          <w:highlight w:val="none"/>
          <w:u w:val="single"/>
        </w:rPr>
        <w:t xml:space="preserve">     </w:t>
      </w:r>
      <w:r>
        <w:rPr>
          <w:rFonts w:hint="eastAsia" w:hAnsi="宋体" w:cs="宋体"/>
          <w:bCs/>
          <w:color w:val="auto"/>
          <w:kern w:val="0"/>
          <w:szCs w:val="21"/>
          <w:highlight w:val="none"/>
          <w:u w:val="single"/>
          <w:lang w:val="en-US" w:eastAsia="zh-CN"/>
        </w:rPr>
        <w:t>3</w:t>
      </w:r>
      <w:r>
        <w:rPr>
          <w:rFonts w:hint="eastAsia" w:hAnsi="宋体" w:cs="宋体"/>
          <w:bCs/>
          <w:color w:val="auto"/>
          <w:kern w:val="0"/>
          <w:szCs w:val="21"/>
          <w:highlight w:val="none"/>
          <w:u w:val="single"/>
        </w:rPr>
        <w:t xml:space="preserve">    </w:t>
      </w:r>
      <w:r>
        <w:rPr>
          <w:rFonts w:hAnsi="宋体" w:cs="宋体"/>
          <w:bCs/>
          <w:color w:val="auto"/>
          <w:kern w:val="0"/>
          <w:szCs w:val="21"/>
          <w:highlight w:val="none"/>
        </w:rPr>
        <w:t xml:space="preserve">万元。(必须足额交纳) </w:t>
      </w:r>
    </w:p>
    <w:p>
      <w:pPr>
        <w:pStyle w:val="20"/>
        <w:rPr>
          <w:rFonts w:hint="eastAsia" w:hAnsi="宋体" w:cs="宋体"/>
          <w:b w:val="0"/>
          <w:color w:val="auto"/>
          <w:kern w:val="0"/>
          <w:szCs w:val="21"/>
          <w:highlight w:val="none"/>
        </w:rPr>
      </w:pPr>
      <w:r>
        <w:rPr>
          <w:rFonts w:hAnsi="宋体" w:cs="宋体"/>
          <w:b w:val="0"/>
          <w:color w:val="auto"/>
          <w:kern w:val="0"/>
          <w:szCs w:val="21"/>
          <w:highlight w:val="none"/>
        </w:rPr>
        <w:t>（1）投标保证金交纳形式：支票、汇票、本票、网上银行或者</w:t>
      </w:r>
      <w:r>
        <w:rPr>
          <w:rFonts w:hint="eastAsia" w:hAnsi="宋体" w:cs="宋体"/>
          <w:b w:val="0"/>
          <w:color w:val="auto"/>
          <w:kern w:val="0"/>
          <w:szCs w:val="21"/>
          <w:highlight w:val="none"/>
        </w:rPr>
        <w:t>金融机构</w:t>
      </w:r>
      <w:r>
        <w:rPr>
          <w:rFonts w:hAnsi="宋体" w:cs="宋体"/>
          <w:b w:val="0"/>
          <w:color w:val="auto"/>
          <w:kern w:val="0"/>
          <w:szCs w:val="21"/>
          <w:highlight w:val="none"/>
        </w:rPr>
        <w:t xml:space="preserve">、保险机构出具的保函等非现金形式。 </w:t>
      </w:r>
    </w:p>
    <w:p>
      <w:pPr>
        <w:pStyle w:val="20"/>
        <w:ind w:firstLine="422"/>
        <w:rPr>
          <w:rFonts w:hint="eastAsia" w:hAnsi="宋体" w:cs="宋体"/>
          <w:bCs/>
          <w:color w:val="auto"/>
          <w:kern w:val="0"/>
          <w:szCs w:val="21"/>
          <w:highlight w:val="none"/>
        </w:rPr>
      </w:pPr>
      <w:r>
        <w:rPr>
          <w:rFonts w:hAnsi="宋体" w:cs="宋体"/>
          <w:bCs/>
          <w:color w:val="auto"/>
          <w:kern w:val="0"/>
          <w:szCs w:val="21"/>
          <w:highlight w:val="none"/>
        </w:rPr>
        <w:t>（2）采用网上银行转账形式的，投标人应于提交投标文件截止时间前将投标保证金交至以下账户。</w:t>
      </w:r>
    </w:p>
    <w:p>
      <w:pPr>
        <w:pStyle w:val="20"/>
        <w:ind w:firstLine="422"/>
        <w:rPr>
          <w:rFonts w:hint="eastAsia" w:hAnsi="宋体" w:cs="宋体"/>
          <w:bCs/>
          <w:color w:val="auto"/>
          <w:kern w:val="0"/>
          <w:szCs w:val="21"/>
          <w:highlight w:val="none"/>
        </w:rPr>
      </w:pPr>
      <w:r>
        <w:rPr>
          <w:rFonts w:hAnsi="宋体" w:cs="宋体"/>
          <w:bCs/>
          <w:color w:val="auto"/>
          <w:kern w:val="0"/>
          <w:szCs w:val="21"/>
          <w:highlight w:val="none"/>
        </w:rPr>
        <w:t>开户名称：广西壮族自治区政府采购中心</w:t>
      </w:r>
      <w:r>
        <w:rPr>
          <w:rFonts w:hint="eastAsia" w:hAnsi="宋体" w:cs="宋体"/>
          <w:bCs/>
          <w:color w:val="auto"/>
          <w:kern w:val="0"/>
          <w:szCs w:val="21"/>
          <w:highlight w:val="none"/>
        </w:rPr>
        <w:t>；</w:t>
      </w:r>
      <w:r>
        <w:rPr>
          <w:rFonts w:hAnsi="宋体" w:cs="宋体"/>
          <w:bCs/>
          <w:color w:val="auto"/>
          <w:kern w:val="0"/>
          <w:szCs w:val="21"/>
          <w:highlight w:val="none"/>
        </w:rPr>
        <w:t xml:space="preserve"> </w:t>
      </w:r>
    </w:p>
    <w:p>
      <w:pPr>
        <w:pStyle w:val="20"/>
        <w:ind w:firstLine="422"/>
        <w:rPr>
          <w:rFonts w:hint="eastAsia" w:hAnsi="宋体" w:cs="宋体"/>
          <w:bCs/>
          <w:color w:val="auto"/>
          <w:kern w:val="0"/>
          <w:szCs w:val="21"/>
          <w:highlight w:val="none"/>
        </w:rPr>
      </w:pPr>
      <w:r>
        <w:rPr>
          <w:rFonts w:hAnsi="宋体" w:cs="宋体"/>
          <w:bCs/>
          <w:color w:val="auto"/>
          <w:kern w:val="0"/>
          <w:szCs w:val="21"/>
          <w:highlight w:val="none"/>
        </w:rPr>
        <w:t>开户银行：</w:t>
      </w:r>
      <w:r>
        <w:rPr>
          <w:rFonts w:hint="eastAsia" w:hAnsi="宋体" w:cs="宋体"/>
          <w:bCs/>
          <w:color w:val="auto"/>
          <w:kern w:val="0"/>
          <w:szCs w:val="21"/>
          <w:highlight w:val="none"/>
        </w:rPr>
        <w:t>中国农业银行股份有限公司南宁市古城支行；</w:t>
      </w:r>
      <w:r>
        <w:rPr>
          <w:rFonts w:hAnsi="宋体" w:cs="宋体"/>
          <w:bCs/>
          <w:color w:val="auto"/>
          <w:kern w:val="0"/>
          <w:szCs w:val="21"/>
          <w:highlight w:val="none"/>
        </w:rPr>
        <w:t xml:space="preserve"> </w:t>
      </w:r>
    </w:p>
    <w:p>
      <w:pPr>
        <w:pStyle w:val="20"/>
        <w:ind w:firstLine="422"/>
        <w:rPr>
          <w:rFonts w:hint="eastAsia" w:hAnsi="宋体" w:cs="宋体"/>
          <w:bCs/>
          <w:color w:val="auto"/>
          <w:kern w:val="0"/>
          <w:szCs w:val="21"/>
          <w:highlight w:val="none"/>
        </w:rPr>
      </w:pPr>
      <w:r>
        <w:rPr>
          <w:rFonts w:hAnsi="宋体" w:cs="宋体"/>
          <w:bCs/>
          <w:color w:val="auto"/>
          <w:kern w:val="0"/>
          <w:szCs w:val="21"/>
          <w:highlight w:val="none"/>
        </w:rPr>
        <w:t>银行</w:t>
      </w:r>
      <w:r>
        <w:rPr>
          <w:rFonts w:hint="eastAsia" w:hAnsi="宋体" w:cs="宋体"/>
          <w:bCs/>
          <w:color w:val="auto"/>
          <w:kern w:val="0"/>
          <w:szCs w:val="21"/>
          <w:highlight w:val="none"/>
        </w:rPr>
        <w:t>账</w:t>
      </w:r>
      <w:r>
        <w:rPr>
          <w:rFonts w:hAnsi="宋体" w:cs="宋体"/>
          <w:bCs/>
          <w:color w:val="auto"/>
          <w:kern w:val="0"/>
          <w:szCs w:val="21"/>
          <w:highlight w:val="none"/>
        </w:rPr>
        <w:t>号：</w:t>
      </w:r>
      <w:r>
        <w:rPr>
          <w:rFonts w:hint="eastAsia" w:hAnsi="宋体" w:cs="宋体"/>
          <w:bCs/>
          <w:color w:val="auto"/>
          <w:kern w:val="0"/>
          <w:szCs w:val="21"/>
          <w:highlight w:val="none"/>
        </w:rPr>
        <w:t xml:space="preserve">20009101040051648 </w:t>
      </w:r>
    </w:p>
    <w:p>
      <w:pPr>
        <w:pStyle w:val="20"/>
        <w:rPr>
          <w:rFonts w:hint="eastAsia" w:hAnsi="宋体" w:cs="宋体"/>
          <w:b w:val="0"/>
          <w:color w:val="auto"/>
          <w:kern w:val="0"/>
          <w:szCs w:val="21"/>
          <w:highlight w:val="none"/>
        </w:rPr>
      </w:pPr>
      <w:r>
        <w:rPr>
          <w:rFonts w:hAnsi="宋体" w:cs="宋体"/>
          <w:b w:val="0"/>
          <w:color w:val="auto"/>
          <w:kern w:val="0"/>
          <w:szCs w:val="21"/>
          <w:highlight w:val="none"/>
        </w:rPr>
        <w:t>（3）采用支票、汇票、本票或者保函等形式的，投标人应于提交投标文件截止时间前递交单独密封的支票、汇票、本票或者保函</w:t>
      </w:r>
      <w:r>
        <w:rPr>
          <w:rFonts w:hint="eastAsia" w:hAnsi="宋体" w:cs="宋体"/>
          <w:bCs/>
          <w:color w:val="auto"/>
          <w:kern w:val="0"/>
          <w:szCs w:val="21"/>
          <w:highlight w:val="none"/>
        </w:rPr>
        <w:t>（电子保函除外）</w:t>
      </w:r>
      <w:r>
        <w:rPr>
          <w:rFonts w:hAnsi="宋体" w:cs="宋体"/>
          <w:b w:val="0"/>
          <w:color w:val="auto"/>
          <w:kern w:val="0"/>
          <w:szCs w:val="21"/>
          <w:highlight w:val="none"/>
        </w:rPr>
        <w:t xml:space="preserve">原件至我中心财务处。 </w:t>
      </w:r>
    </w:p>
    <w:p>
      <w:pPr>
        <w:pStyle w:val="20"/>
        <w:ind w:firstLine="422"/>
        <w:rPr>
          <w:rFonts w:hint="eastAsia" w:hAnsi="宋体" w:cs="宋体"/>
          <w:bCs/>
          <w:color w:val="auto"/>
          <w:kern w:val="0"/>
          <w:szCs w:val="21"/>
          <w:highlight w:val="none"/>
        </w:rPr>
      </w:pPr>
      <w:r>
        <w:rPr>
          <w:rFonts w:hAnsi="宋体" w:cs="宋体"/>
          <w:bCs/>
          <w:color w:val="auto"/>
          <w:kern w:val="0"/>
          <w:szCs w:val="21"/>
          <w:highlight w:val="none"/>
        </w:rPr>
        <w:t>（4）本中心财务处联系方式： 地址：</w:t>
      </w:r>
      <w:r>
        <w:rPr>
          <w:rFonts w:hAnsi="宋体" w:cs="宋体"/>
          <w:bCs/>
          <w:color w:val="auto"/>
          <w:kern w:val="0"/>
          <w:szCs w:val="21"/>
          <w:highlight w:val="none"/>
          <w:lang w:val="en"/>
        </w:rPr>
        <w:t>广西南宁市星湖路22号广西壮族自治区政府采购中心综合楼3楼306室</w:t>
      </w:r>
      <w:r>
        <w:rPr>
          <w:rFonts w:hAnsi="宋体" w:cs="宋体"/>
          <w:bCs/>
          <w:color w:val="auto"/>
          <w:kern w:val="0"/>
          <w:szCs w:val="21"/>
          <w:highlight w:val="none"/>
        </w:rPr>
        <w:t>； 电话：0771-</w:t>
      </w:r>
      <w:r>
        <w:rPr>
          <w:rFonts w:hint="eastAsia" w:hAnsi="宋体" w:cs="宋体"/>
          <w:bCs/>
          <w:color w:val="auto"/>
          <w:kern w:val="0"/>
          <w:szCs w:val="21"/>
          <w:highlight w:val="none"/>
        </w:rPr>
        <w:t>8600309</w:t>
      </w:r>
      <w:r>
        <w:rPr>
          <w:rFonts w:hAnsi="宋体" w:cs="宋体"/>
          <w:bCs/>
          <w:color w:val="auto"/>
          <w:kern w:val="0"/>
          <w:szCs w:val="21"/>
          <w:highlight w:val="none"/>
        </w:rPr>
        <w:t>。</w:t>
      </w:r>
    </w:p>
    <w:p>
      <w:pPr>
        <w:pStyle w:val="20"/>
        <w:rPr>
          <w:rFonts w:hint="eastAsia" w:hAnsi="宋体" w:cs="宋体"/>
          <w:b w:val="0"/>
          <w:color w:val="auto"/>
          <w:kern w:val="0"/>
          <w:szCs w:val="21"/>
          <w:highlight w:val="none"/>
        </w:rPr>
      </w:pPr>
      <w:r>
        <w:rPr>
          <w:rFonts w:hAnsi="宋体" w:cs="宋体"/>
          <w:b w:val="0"/>
          <w:color w:val="auto"/>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20"/>
        <w:rPr>
          <w:rFonts w:hint="eastAsia" w:hAnsi="宋体" w:cs="宋体"/>
          <w:b w:val="0"/>
          <w:color w:val="auto"/>
          <w:kern w:val="0"/>
          <w:szCs w:val="21"/>
          <w:highlight w:val="none"/>
        </w:rPr>
      </w:pPr>
      <w:r>
        <w:rPr>
          <w:rFonts w:hAnsi="宋体" w:cs="宋体"/>
          <w:b w:val="0"/>
          <w:color w:val="auto"/>
          <w:kern w:val="0"/>
          <w:szCs w:val="21"/>
          <w:highlight w:val="none"/>
        </w:rPr>
        <w:t>3.网上公告媒体查询： 中国政府采购网（www.ccgp.gov.cn）、广西壮族自治区政府采购网（zfcg.gxzf.gov.cn）、广西壮族自治区政府采购中心网站（</w:t>
      </w:r>
      <w:r>
        <w:rPr>
          <w:rFonts w:hint="eastAsia" w:hAnsi="宋体" w:cs="宋体"/>
          <w:color w:val="auto"/>
          <w:kern w:val="0"/>
          <w:szCs w:val="21"/>
          <w:highlight w:val="none"/>
        </w:rPr>
        <w:t>gxggzy.gxzf.gov.cn</w:t>
      </w:r>
      <w:r>
        <w:rPr>
          <w:rFonts w:hAnsi="宋体" w:cs="宋体"/>
          <w:b w:val="0"/>
          <w:color w:val="auto"/>
          <w:kern w:val="0"/>
          <w:szCs w:val="21"/>
          <w:highlight w:val="none"/>
        </w:rPr>
        <w:t>）。</w:t>
      </w:r>
    </w:p>
    <w:p>
      <w:pPr>
        <w:pStyle w:val="20"/>
        <w:rPr>
          <w:rFonts w:hint="eastAsia" w:hAnsi="宋体" w:cs="宋体"/>
          <w:b w:val="0"/>
          <w:color w:val="auto"/>
          <w:kern w:val="0"/>
          <w:szCs w:val="21"/>
          <w:highlight w:val="none"/>
        </w:rPr>
      </w:pPr>
      <w:r>
        <w:rPr>
          <w:rFonts w:hAnsi="宋体" w:cs="宋体"/>
          <w:b w:val="0"/>
          <w:color w:val="auto"/>
          <w:kern w:val="0"/>
          <w:szCs w:val="21"/>
          <w:highlight w:val="none"/>
        </w:rPr>
        <w:t>4.其他注意事项：</w:t>
      </w:r>
    </w:p>
    <w:p>
      <w:pPr>
        <w:pStyle w:val="20"/>
        <w:rPr>
          <w:rFonts w:hint="eastAsia" w:hAnsi="宋体" w:cs="宋体"/>
          <w:b w:val="0"/>
          <w:color w:val="auto"/>
          <w:kern w:val="0"/>
          <w:szCs w:val="21"/>
          <w:highlight w:val="none"/>
        </w:rPr>
      </w:pPr>
      <w:r>
        <w:rPr>
          <w:rFonts w:hAnsi="宋体" w:cs="宋体"/>
          <w:b w:val="0"/>
          <w:color w:val="auto"/>
          <w:kern w:val="0"/>
          <w:szCs w:val="21"/>
          <w:highlight w:val="none"/>
        </w:rPr>
        <w:t>（1）本项目实行电子投标，供应商应按照本项目招标文件和</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的要求编制、加密并提交投标文件。供应商在使用系统参与投标过程中遇到涉及平台使用的任何问题，</w:t>
      </w:r>
      <w:r>
        <w:rPr>
          <w:rFonts w:hAnsi="宋体" w:cs="宋体"/>
          <w:bCs/>
          <w:color w:val="auto"/>
          <w:kern w:val="0"/>
          <w:szCs w:val="21"/>
          <w:highlight w:val="none"/>
        </w:rPr>
        <w:t>可致电政采云平台技术支持热线咨询，联系方式：</w:t>
      </w:r>
      <w:r>
        <w:rPr>
          <w:rFonts w:hAnsi="宋体" w:cs="宋体"/>
          <w:bCs/>
          <w:color w:val="auto"/>
          <w:kern w:val="0"/>
          <w:szCs w:val="21"/>
          <w:highlight w:val="none"/>
          <w:lang w:val="en"/>
        </w:rPr>
        <w:t>95763</w:t>
      </w:r>
      <w:r>
        <w:rPr>
          <w:rFonts w:hAnsi="宋体" w:cs="宋体"/>
          <w:b w:val="0"/>
          <w:color w:val="auto"/>
          <w:kern w:val="0"/>
          <w:szCs w:val="21"/>
          <w:highlight w:val="none"/>
        </w:rPr>
        <w:t xml:space="preserve">。 </w:t>
      </w:r>
    </w:p>
    <w:p>
      <w:pPr>
        <w:pStyle w:val="20"/>
        <w:rPr>
          <w:rFonts w:hint="eastAsia" w:hAnsi="宋体" w:cs="宋体"/>
          <w:b w:val="0"/>
          <w:color w:val="auto"/>
          <w:kern w:val="0"/>
          <w:szCs w:val="21"/>
          <w:highlight w:val="none"/>
        </w:rPr>
      </w:pPr>
      <w:r>
        <w:rPr>
          <w:rFonts w:hAnsi="宋体" w:cs="宋体"/>
          <w:b w:val="0"/>
          <w:color w:val="auto"/>
          <w:kern w:val="0"/>
          <w:szCs w:val="21"/>
          <w:highlight w:val="none"/>
        </w:rPr>
        <w:t xml:space="preserve">（2）供应商应及时熟悉掌握电子标系统操作指南（见政采云电子卖场首页右上角—服务中心—帮助文档—项目采购）：https://service.zcygov.cn/#/knowledges/tree?tag=AG1DtGwBFdiHxlNdhY0r。 </w:t>
      </w:r>
    </w:p>
    <w:p>
      <w:pPr>
        <w:pStyle w:val="20"/>
        <w:rPr>
          <w:rFonts w:hint="eastAsia" w:hAnsi="宋体" w:cs="宋体"/>
          <w:b w:val="0"/>
          <w:color w:val="auto"/>
          <w:kern w:val="0"/>
          <w:szCs w:val="21"/>
          <w:highlight w:val="none"/>
        </w:rPr>
      </w:pPr>
      <w:r>
        <w:rPr>
          <w:rFonts w:hAnsi="宋体" w:cs="宋体"/>
          <w:b w:val="0"/>
          <w:color w:val="auto"/>
          <w:kern w:val="0"/>
          <w:szCs w:val="21"/>
          <w:highlight w:val="none"/>
        </w:rPr>
        <w:t xml:space="preserve">（3）供应商应及时完成CA申领和绑定（见广西壮族自治区政府采购网—办事服务—下载专区-政采云CA证书办理操作指南）。 </w:t>
      </w:r>
    </w:p>
    <w:p>
      <w:pPr>
        <w:pStyle w:val="20"/>
        <w:rPr>
          <w:rFonts w:hint="eastAsia" w:hAnsi="宋体" w:cs="宋体"/>
          <w:b w:val="0"/>
          <w:color w:val="auto"/>
          <w:kern w:val="0"/>
          <w:szCs w:val="21"/>
          <w:highlight w:val="none"/>
        </w:rPr>
      </w:pPr>
      <w:r>
        <w:rPr>
          <w:rFonts w:hAnsi="宋体" w:cs="宋体"/>
          <w:b w:val="0"/>
          <w:color w:val="auto"/>
          <w:kern w:val="0"/>
          <w:szCs w:val="21"/>
          <w:highlight w:val="none"/>
        </w:rPr>
        <w:t>（4）供应商通过</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投标客户端软件制作投标文件，</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 xml:space="preserve">投标客户端软件请供应商自行前往下载并安装（见广西壮族自治区政府采购网—办事服务—下载专区-广西壮族自治区全流程电子招投标项目管理系统--供应商客户端）。 </w:t>
      </w:r>
    </w:p>
    <w:p>
      <w:pPr>
        <w:pStyle w:val="20"/>
        <w:rPr>
          <w:rFonts w:hint="eastAsia" w:hAnsi="宋体" w:cs="宋体"/>
          <w:b w:val="0"/>
          <w:color w:val="auto"/>
          <w:kern w:val="0"/>
          <w:szCs w:val="21"/>
          <w:highlight w:val="none"/>
        </w:rPr>
      </w:pPr>
      <w:r>
        <w:rPr>
          <w:rFonts w:hAnsi="宋体" w:cs="宋体"/>
          <w:b w:val="0"/>
          <w:color w:val="auto"/>
          <w:kern w:val="0"/>
          <w:szCs w:val="21"/>
          <w:highlight w:val="none"/>
        </w:rPr>
        <w:t>（5）因未注册入库、未办理CA数字证书、CA证书故障、操作不当等原因造成无法投标或投标失败等后果由供应商自行承担。</w:t>
      </w:r>
    </w:p>
    <w:p>
      <w:pPr>
        <w:pStyle w:val="20"/>
        <w:rPr>
          <w:rFonts w:hint="eastAsia" w:hAnsi="宋体" w:cs="宋体"/>
          <w:b w:val="0"/>
          <w:color w:val="auto"/>
          <w:kern w:val="0"/>
          <w:szCs w:val="21"/>
          <w:highlight w:val="none"/>
        </w:rPr>
      </w:pPr>
      <w:r>
        <w:rPr>
          <w:rFonts w:hint="eastAsia" w:hAnsi="宋体" w:cs="宋体"/>
          <w:b w:val="0"/>
          <w:color w:val="auto"/>
          <w:kern w:val="0"/>
          <w:szCs w:val="21"/>
          <w:highlight w:val="none"/>
        </w:rPr>
        <w:t>（6）</w:t>
      </w:r>
      <w:r>
        <w:rPr>
          <w:rFonts w:hAnsi="宋体" w:cs="宋体"/>
          <w:b w:val="0"/>
          <w:color w:val="auto"/>
          <w:kern w:val="0"/>
          <w:szCs w:val="21"/>
          <w:highlight w:val="none"/>
        </w:rPr>
        <w:t>投标文件网上提交截止后，</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（电子标系统）自动提取所有投标文件，各供应商须在开标开始后30分钟内对上传</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的投标文件进行解密，所有供应商在规定的解密时限内解密完成或解密时限结束后，本中心开启投标文件；供应商超过解密时限未完成解密的，系统默认其自动放弃。</w:t>
      </w:r>
    </w:p>
    <w:p>
      <w:pPr>
        <w:rPr>
          <w:rFonts w:hint="eastAsia"/>
          <w:color w:val="auto"/>
          <w:highlight w:val="none"/>
        </w:rPr>
      </w:pPr>
      <w:r>
        <w:rPr>
          <w:rFonts w:hint="eastAsia"/>
          <w:color w:val="auto"/>
          <w:highlight w:val="none"/>
        </w:rPr>
        <w:t xml:space="preserve">   </w:t>
      </w:r>
      <w:r>
        <w:rPr>
          <w:color w:val="auto"/>
          <w:highlight w:val="none"/>
        </w:rPr>
        <w:t>（7）提交</w:t>
      </w:r>
      <w:r>
        <w:rPr>
          <w:rFonts w:hint="eastAsia"/>
          <w:color w:val="auto"/>
          <w:highlight w:val="none"/>
        </w:rPr>
        <w:t>小样</w:t>
      </w:r>
      <w:r>
        <w:rPr>
          <w:color w:val="auto"/>
          <w:highlight w:val="none"/>
        </w:rPr>
        <w:t>：</w:t>
      </w:r>
    </w:p>
    <w:p>
      <w:pPr>
        <w:ind w:firstLine="420" w:firstLineChars="200"/>
        <w:rPr>
          <w:rFonts w:hint="eastAsia"/>
          <w:color w:val="auto"/>
          <w:highlight w:val="none"/>
        </w:rPr>
      </w:pPr>
      <w:r>
        <w:rPr>
          <w:color w:val="auto"/>
          <w:highlight w:val="none"/>
        </w:rPr>
        <w:t>1）提交</w:t>
      </w:r>
      <w:r>
        <w:rPr>
          <w:rFonts w:hint="eastAsia"/>
          <w:color w:val="auto"/>
          <w:highlight w:val="none"/>
        </w:rPr>
        <w:t>小样的</w:t>
      </w:r>
      <w:r>
        <w:rPr>
          <w:color w:val="auto"/>
          <w:highlight w:val="none"/>
        </w:rPr>
        <w:t>时间为</w:t>
      </w:r>
      <w:r>
        <w:rPr>
          <w:b/>
          <w:bCs/>
          <w:color w:val="auto"/>
          <w:highlight w:val="none"/>
        </w:rPr>
        <w:t>开标当天提交投标文件截止时间</w:t>
      </w:r>
      <w:r>
        <w:rPr>
          <w:rFonts w:hint="eastAsia"/>
          <w:b/>
          <w:bCs/>
          <w:color w:val="auto"/>
          <w:highlight w:val="none"/>
        </w:rPr>
        <w:t>（9：30-10：00）</w:t>
      </w:r>
      <w:r>
        <w:rPr>
          <w:b/>
          <w:bCs/>
          <w:color w:val="auto"/>
          <w:highlight w:val="none"/>
        </w:rPr>
        <w:t>前</w:t>
      </w:r>
      <w:r>
        <w:rPr>
          <w:color w:val="auto"/>
          <w:highlight w:val="none"/>
        </w:rPr>
        <w:t>。</w:t>
      </w:r>
    </w:p>
    <w:p>
      <w:pPr>
        <w:ind w:firstLine="420" w:firstLineChars="200"/>
        <w:rPr>
          <w:color w:val="auto"/>
          <w:highlight w:val="none"/>
        </w:rPr>
      </w:pPr>
      <w:r>
        <w:rPr>
          <w:color w:val="auto"/>
          <w:highlight w:val="none"/>
        </w:rPr>
        <w:t>2）提交</w:t>
      </w:r>
      <w:r>
        <w:rPr>
          <w:rFonts w:hint="eastAsia"/>
          <w:color w:val="auto"/>
          <w:highlight w:val="none"/>
        </w:rPr>
        <w:t>小样的</w:t>
      </w:r>
      <w:r>
        <w:rPr>
          <w:color w:val="auto"/>
          <w:highlight w:val="none"/>
        </w:rPr>
        <w:t>地点为</w:t>
      </w:r>
      <w:r>
        <w:rPr>
          <w:rFonts w:hint="eastAsia" w:ascii="宋体" w:hAnsi="宋体"/>
          <w:b/>
          <w:bCs/>
          <w:color w:val="auto"/>
          <w:szCs w:val="21"/>
          <w:highlight w:val="none"/>
        </w:rPr>
        <w:t>南宁市星湖路22号评标楼（4号楼）三楼303室</w:t>
      </w:r>
      <w:r>
        <w:rPr>
          <w:color w:val="auto"/>
          <w:highlight w:val="none"/>
        </w:rPr>
        <w:t>。</w:t>
      </w:r>
    </w:p>
    <w:p>
      <w:pPr>
        <w:ind w:firstLine="420" w:firstLineChars="200"/>
        <w:rPr>
          <w:rFonts w:hint="eastAsia"/>
          <w:color w:val="auto"/>
          <w:highlight w:val="none"/>
        </w:rPr>
      </w:pPr>
      <w:r>
        <w:rPr>
          <w:color w:val="auto"/>
          <w:highlight w:val="none"/>
        </w:rPr>
        <w:t>3）提交</w:t>
      </w:r>
      <w:r>
        <w:rPr>
          <w:rFonts w:hint="eastAsia"/>
          <w:color w:val="auto"/>
          <w:highlight w:val="none"/>
        </w:rPr>
        <w:t>小样</w:t>
      </w:r>
      <w:r>
        <w:rPr>
          <w:color w:val="auto"/>
          <w:highlight w:val="none"/>
        </w:rPr>
        <w:t>的代表须向采购代理机构工作人员提供</w:t>
      </w:r>
      <w:r>
        <w:rPr>
          <w:rFonts w:hint="eastAsia"/>
          <w:color w:val="auto"/>
          <w:highlight w:val="none"/>
        </w:rPr>
        <w:t>“提交小样</w:t>
      </w:r>
      <w:r>
        <w:rPr>
          <w:color w:val="auto"/>
          <w:highlight w:val="none"/>
        </w:rPr>
        <w:t>授权委托书</w:t>
      </w:r>
      <w:r>
        <w:rPr>
          <w:rFonts w:hint="eastAsia"/>
          <w:color w:val="auto"/>
          <w:highlight w:val="none"/>
        </w:rPr>
        <w:t>”原件。</w:t>
      </w:r>
    </w:p>
    <w:p>
      <w:pPr>
        <w:ind w:firstLine="420" w:firstLineChars="200"/>
        <w:rPr>
          <w:rFonts w:hint="eastAsia"/>
          <w:color w:val="auto"/>
          <w:highlight w:val="none"/>
        </w:rPr>
      </w:pPr>
      <w:r>
        <w:rPr>
          <w:rFonts w:hint="eastAsia"/>
          <w:color w:val="auto"/>
          <w:highlight w:val="none"/>
        </w:rPr>
        <w:t>4）小样须按“第二章招标项目采购需求”中有关的规定密封（包装）提交。</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七、对本次采购提出询问，请按以下方式联系</w:t>
      </w:r>
    </w:p>
    <w:p>
      <w:pPr>
        <w:pStyle w:val="20"/>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1.采购人信息</w:t>
      </w:r>
    </w:p>
    <w:p>
      <w:pPr>
        <w:pStyle w:val="20"/>
        <w:rPr>
          <w:rFonts w:hint="default" w:ascii="宋体" w:hAnsi="宋体" w:eastAsia="宋体" w:cs="宋体"/>
          <w:b w:val="0"/>
          <w:color w:val="auto"/>
          <w:kern w:val="0"/>
          <w:szCs w:val="21"/>
          <w:highlight w:val="none"/>
          <w:lang w:val="en-US" w:eastAsia="zh-CN"/>
        </w:rPr>
      </w:pPr>
      <w:r>
        <w:rPr>
          <w:rFonts w:hint="eastAsia" w:ascii="宋体" w:hAnsi="宋体" w:eastAsia="宋体" w:cs="宋体"/>
          <w:b w:val="0"/>
          <w:color w:val="auto"/>
          <w:kern w:val="0"/>
          <w:szCs w:val="21"/>
          <w:highlight w:val="none"/>
        </w:rPr>
        <w:t> 名   称：</w:t>
      </w:r>
      <w:r>
        <w:rPr>
          <w:rFonts w:hint="eastAsia" w:ascii="宋体" w:hAnsi="宋体" w:eastAsia="宋体" w:cs="宋体"/>
          <w:b w:val="0"/>
          <w:color w:val="auto"/>
          <w:highlight w:val="none"/>
          <w:lang w:val="en-US" w:eastAsia="zh-CN"/>
        </w:rPr>
        <w:t xml:space="preserve"> </w:t>
      </w:r>
      <w:r>
        <w:rPr>
          <w:rFonts w:hint="eastAsia" w:hAnsi="宋体" w:eastAsia="宋体" w:cs="宋体"/>
          <w:b w:val="0"/>
          <w:color w:val="auto"/>
          <w:highlight w:val="none"/>
          <w:lang w:val="en-US" w:eastAsia="zh-CN"/>
        </w:rPr>
        <w:t>广西艺术学院</w:t>
      </w:r>
    </w:p>
    <w:p>
      <w:pPr>
        <w:pStyle w:val="20"/>
        <w:rPr>
          <w:rFonts w:hint="default" w:ascii="宋体" w:hAnsi="宋体" w:eastAsia="宋体" w:cs="宋体"/>
          <w:b w:val="0"/>
          <w:color w:val="auto"/>
          <w:kern w:val="0"/>
          <w:szCs w:val="21"/>
          <w:highlight w:val="none"/>
          <w:lang w:val="en-US" w:eastAsia="zh-CN"/>
        </w:rPr>
      </w:pPr>
      <w:r>
        <w:rPr>
          <w:rFonts w:hint="eastAsia" w:ascii="宋体" w:hAnsi="宋体" w:eastAsia="宋体" w:cs="宋体"/>
          <w:b w:val="0"/>
          <w:color w:val="auto"/>
          <w:kern w:val="0"/>
          <w:szCs w:val="21"/>
          <w:highlight w:val="none"/>
        </w:rPr>
        <w:t> 地   址：</w:t>
      </w:r>
      <w:r>
        <w:rPr>
          <w:rFonts w:hint="eastAsia" w:ascii="宋体" w:hAnsi="宋体" w:eastAsia="宋体" w:cs="宋体"/>
          <w:b w:val="0"/>
          <w:color w:val="auto"/>
          <w:highlight w:val="none"/>
          <w:lang w:val="en-US" w:eastAsia="zh-CN"/>
        </w:rPr>
        <w:t xml:space="preserve"> </w:t>
      </w:r>
      <w:r>
        <w:rPr>
          <w:rFonts w:hint="eastAsia" w:hAnsi="宋体" w:eastAsia="宋体" w:cs="宋体"/>
          <w:b w:val="0"/>
          <w:color w:val="auto"/>
          <w:highlight w:val="none"/>
          <w:lang w:val="en-US" w:eastAsia="zh-CN"/>
        </w:rPr>
        <w:t>广西南宁市教育路7号</w:t>
      </w:r>
    </w:p>
    <w:p>
      <w:pPr>
        <w:pStyle w:val="20"/>
        <w:rPr>
          <w:rFonts w:hint="default" w:ascii="宋体" w:hAnsi="宋体" w:eastAsia="宋体" w:cs="宋体"/>
          <w:b w:val="0"/>
          <w:color w:val="auto"/>
          <w:kern w:val="0"/>
          <w:szCs w:val="21"/>
          <w:highlight w:val="none"/>
          <w:lang w:val="en-US" w:eastAsia="zh-CN"/>
        </w:rPr>
      </w:pPr>
      <w:r>
        <w:rPr>
          <w:rFonts w:hint="eastAsia" w:ascii="宋体" w:hAnsi="宋体" w:eastAsia="宋体" w:cs="宋体"/>
          <w:b w:val="0"/>
          <w:color w:val="auto"/>
          <w:kern w:val="0"/>
          <w:szCs w:val="21"/>
          <w:highlight w:val="none"/>
        </w:rPr>
        <w:t> 项目联系人：</w:t>
      </w:r>
      <w:r>
        <w:rPr>
          <w:rFonts w:hint="eastAsia" w:ascii="宋体" w:hAnsi="宋体" w:eastAsia="宋体" w:cs="宋体"/>
          <w:b w:val="0"/>
          <w:color w:val="auto"/>
          <w:highlight w:val="none"/>
          <w:lang w:val="en-US" w:eastAsia="zh-CN"/>
        </w:rPr>
        <w:t xml:space="preserve"> </w:t>
      </w:r>
      <w:r>
        <w:rPr>
          <w:rFonts w:hint="eastAsia" w:hAnsi="宋体" w:eastAsia="宋体" w:cs="宋体"/>
          <w:b w:val="0"/>
          <w:color w:val="auto"/>
          <w:highlight w:val="none"/>
          <w:lang w:val="en-US" w:eastAsia="zh-CN"/>
        </w:rPr>
        <w:t>吴老师</w:t>
      </w:r>
    </w:p>
    <w:p>
      <w:pPr>
        <w:pStyle w:val="20"/>
        <w:rPr>
          <w:rFonts w:hint="default" w:ascii="宋体" w:hAnsi="宋体" w:eastAsia="宋体" w:cs="宋体"/>
          <w:b w:val="0"/>
          <w:color w:val="auto"/>
          <w:kern w:val="0"/>
          <w:szCs w:val="21"/>
          <w:highlight w:val="none"/>
          <w:lang w:val="en-US" w:eastAsia="zh-CN"/>
        </w:rPr>
      </w:pPr>
      <w:r>
        <w:rPr>
          <w:rFonts w:hint="eastAsia" w:ascii="宋体" w:hAnsi="宋体" w:eastAsia="宋体" w:cs="宋体"/>
          <w:b w:val="0"/>
          <w:color w:val="auto"/>
          <w:kern w:val="0"/>
          <w:szCs w:val="21"/>
          <w:highlight w:val="none"/>
        </w:rPr>
        <w:t> 项目联系方式：</w:t>
      </w:r>
      <w:r>
        <w:rPr>
          <w:rFonts w:hint="eastAsia" w:ascii="宋体" w:hAnsi="宋体" w:eastAsia="宋体" w:cs="宋体"/>
          <w:b w:val="0"/>
          <w:color w:val="auto"/>
          <w:highlight w:val="none"/>
          <w:lang w:val="en-US" w:eastAsia="zh-CN"/>
        </w:rPr>
        <w:t xml:space="preserve"> </w:t>
      </w:r>
      <w:r>
        <w:rPr>
          <w:rFonts w:hint="eastAsia" w:hAnsi="宋体" w:eastAsia="宋体" w:cs="宋体"/>
          <w:b w:val="0"/>
          <w:color w:val="auto"/>
          <w:highlight w:val="none"/>
          <w:lang w:val="en-US" w:eastAsia="zh-CN"/>
        </w:rPr>
        <w:t>0771-5317987</w:t>
      </w:r>
    </w:p>
    <w:p>
      <w:pPr>
        <w:pStyle w:val="20"/>
        <w:rPr>
          <w:rFonts w:hAnsi="宋体" w:cs="宋体"/>
          <w:b w:val="0"/>
          <w:color w:val="auto"/>
          <w:kern w:val="0"/>
          <w:szCs w:val="21"/>
          <w:highlight w:val="none"/>
        </w:rPr>
      </w:pPr>
      <w:r>
        <w:rPr>
          <w:rFonts w:hAnsi="宋体" w:cs="宋体"/>
          <w:b w:val="0"/>
          <w:color w:val="auto"/>
          <w:kern w:val="0"/>
          <w:szCs w:val="21"/>
          <w:highlight w:val="none"/>
        </w:rPr>
        <w:t>2.采购代理机构信息</w:t>
      </w:r>
    </w:p>
    <w:p>
      <w:pPr>
        <w:pStyle w:val="20"/>
        <w:rPr>
          <w:rFonts w:hAnsi="宋体" w:cs="宋体"/>
          <w:b w:val="0"/>
          <w:color w:val="auto"/>
          <w:kern w:val="0"/>
          <w:szCs w:val="21"/>
          <w:highlight w:val="none"/>
        </w:rPr>
      </w:pPr>
      <w:r>
        <w:rPr>
          <w:rFonts w:hAnsi="宋体" w:cs="宋体"/>
          <w:b w:val="0"/>
          <w:color w:val="auto"/>
          <w:kern w:val="0"/>
          <w:szCs w:val="21"/>
          <w:highlight w:val="none"/>
        </w:rPr>
        <w:t xml:space="preserve"> 名   </w:t>
      </w:r>
      <w:r>
        <w:rPr>
          <w:rFonts w:hint="eastAsia" w:hAnsi="宋体" w:cs="宋体"/>
          <w:b w:val="0"/>
          <w:color w:val="auto"/>
          <w:kern w:val="0"/>
          <w:szCs w:val="21"/>
          <w:highlight w:val="none"/>
        </w:rPr>
        <w:t xml:space="preserve"> </w:t>
      </w:r>
      <w:r>
        <w:rPr>
          <w:rFonts w:hAnsi="宋体" w:cs="宋体"/>
          <w:b w:val="0"/>
          <w:color w:val="auto"/>
          <w:kern w:val="0"/>
          <w:szCs w:val="21"/>
          <w:highlight w:val="none"/>
        </w:rPr>
        <w:t>称：广西壮族自治区政府采购中心</w:t>
      </w:r>
    </w:p>
    <w:p>
      <w:pPr>
        <w:pStyle w:val="20"/>
        <w:rPr>
          <w:rFonts w:hAnsi="宋体" w:cs="宋体"/>
          <w:b w:val="0"/>
          <w:color w:val="auto"/>
          <w:kern w:val="0"/>
          <w:szCs w:val="21"/>
          <w:highlight w:val="none"/>
        </w:rPr>
      </w:pPr>
      <w:r>
        <w:rPr>
          <w:rFonts w:hAnsi="宋体" w:cs="宋体"/>
          <w:b w:val="0"/>
          <w:color w:val="auto"/>
          <w:kern w:val="0"/>
          <w:szCs w:val="21"/>
          <w:highlight w:val="none"/>
        </w:rPr>
        <w:t> 地   址：广西南宁市</w:t>
      </w:r>
      <w:r>
        <w:rPr>
          <w:rFonts w:hint="eastAsia" w:hAnsi="宋体" w:cs="宋体"/>
          <w:b w:val="0"/>
          <w:color w:val="auto"/>
          <w:kern w:val="0"/>
          <w:szCs w:val="21"/>
          <w:highlight w:val="none"/>
        </w:rPr>
        <w:t>星湖</w:t>
      </w:r>
      <w:r>
        <w:rPr>
          <w:rFonts w:hAnsi="宋体" w:cs="宋体"/>
          <w:b w:val="0"/>
          <w:color w:val="auto"/>
          <w:kern w:val="0"/>
          <w:szCs w:val="21"/>
          <w:highlight w:val="none"/>
        </w:rPr>
        <w:t>路</w:t>
      </w:r>
      <w:r>
        <w:rPr>
          <w:rFonts w:hint="eastAsia" w:hAnsi="宋体" w:cs="宋体"/>
          <w:b w:val="0"/>
          <w:color w:val="auto"/>
          <w:kern w:val="0"/>
          <w:szCs w:val="21"/>
          <w:highlight w:val="none"/>
        </w:rPr>
        <w:t>22</w:t>
      </w:r>
      <w:r>
        <w:rPr>
          <w:rFonts w:hAnsi="宋体" w:cs="宋体"/>
          <w:b w:val="0"/>
          <w:color w:val="auto"/>
          <w:kern w:val="0"/>
          <w:szCs w:val="21"/>
          <w:highlight w:val="none"/>
        </w:rPr>
        <w:t>号</w:t>
      </w:r>
    </w:p>
    <w:p>
      <w:pPr>
        <w:pStyle w:val="20"/>
        <w:rPr>
          <w:rFonts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rPr>
        <w:t>张国铨</w:t>
      </w:r>
    </w:p>
    <w:p>
      <w:pPr>
        <w:pStyle w:val="20"/>
        <w:rPr>
          <w:rFonts w:hAnsi="宋体" w:cs="宋体"/>
          <w:b w:val="0"/>
          <w:color w:val="auto"/>
          <w:kern w:val="0"/>
          <w:szCs w:val="21"/>
          <w:highlight w:val="none"/>
        </w:rPr>
      </w:pPr>
      <w:r>
        <w:rPr>
          <w:rFonts w:hAnsi="宋体" w:cs="宋体"/>
          <w:b w:val="0"/>
          <w:color w:val="auto"/>
          <w:kern w:val="0"/>
          <w:szCs w:val="21"/>
          <w:highlight w:val="none"/>
        </w:rPr>
        <w:t> 项目联系方式：0771-</w:t>
      </w:r>
      <w:r>
        <w:rPr>
          <w:rFonts w:hint="eastAsia" w:hAnsi="宋体" w:cs="宋体"/>
          <w:b w:val="0"/>
          <w:color w:val="auto"/>
          <w:kern w:val="0"/>
          <w:szCs w:val="21"/>
          <w:highlight w:val="none"/>
        </w:rPr>
        <w:t>8600</w:t>
      </w:r>
      <w:r>
        <w:rPr>
          <w:rFonts w:hint="eastAsia" w:hAnsi="宋体" w:cs="宋体"/>
          <w:b w:val="0"/>
          <w:color w:val="auto"/>
          <w:kern w:val="0"/>
          <w:szCs w:val="21"/>
          <w:highlight w:val="none"/>
          <w:lang w:val="en-US" w:eastAsia="zh-CN"/>
        </w:rPr>
        <w:t>343</w:t>
      </w:r>
      <w:r>
        <w:rPr>
          <w:rFonts w:hAnsi="宋体" w:cs="宋体"/>
          <w:b w:val="0"/>
          <w:color w:val="auto"/>
          <w:kern w:val="0"/>
          <w:szCs w:val="21"/>
          <w:highlight w:val="none"/>
        </w:rPr>
        <w:t> </w:t>
      </w:r>
    </w:p>
    <w:p>
      <w:pPr>
        <w:widowControl/>
        <w:adjustRightInd w:val="0"/>
        <w:snapToGrid w:val="0"/>
        <w:spacing w:line="400" w:lineRule="exact"/>
        <w:ind w:right="384" w:rightChars="183"/>
        <w:jc w:val="right"/>
        <w:rPr>
          <w:rFonts w:hint="eastAsia" w:ascii="仿宋" w:hAnsi="仿宋" w:eastAsia="仿宋"/>
          <w:color w:val="auto"/>
          <w:sz w:val="28"/>
          <w:szCs w:val="28"/>
          <w:highlight w:val="none"/>
        </w:rPr>
      </w:pPr>
    </w:p>
    <w:p>
      <w:pPr>
        <w:snapToGrid w:val="0"/>
        <w:spacing w:line="340" w:lineRule="exact"/>
        <w:ind w:left="238"/>
        <w:jc w:val="right"/>
        <w:rPr>
          <w:rFonts w:hint="eastAsia" w:ascii="宋体" w:hAnsi="宋体"/>
          <w:color w:val="auto"/>
          <w:szCs w:val="21"/>
          <w:highlight w:val="none"/>
        </w:rPr>
      </w:pPr>
      <w:r>
        <w:rPr>
          <w:rFonts w:hint="eastAsia" w:ascii="宋体" w:hAnsi="宋体"/>
          <w:color w:val="auto"/>
          <w:szCs w:val="21"/>
          <w:highlight w:val="none"/>
        </w:rPr>
        <w:t xml:space="preserve">  广西壮族自治区政府采购中心</w:t>
      </w:r>
    </w:p>
    <w:p>
      <w:pPr>
        <w:wordWrap w:val="0"/>
        <w:snapToGrid w:val="0"/>
        <w:spacing w:line="340" w:lineRule="exact"/>
        <w:ind w:left="238" w:right="565" w:rightChars="269"/>
        <w:jc w:val="right"/>
        <w:rPr>
          <w:color w:val="auto"/>
          <w:szCs w:val="21"/>
          <w:highlight w:val="none"/>
          <w:lang w:val="en"/>
        </w:rPr>
      </w:pPr>
      <w:r>
        <w:rPr>
          <w:color w:val="auto"/>
          <w:highlight w:val="none"/>
        </w:rPr>
        <w:t>20</w:t>
      </w:r>
      <w:r>
        <w:rPr>
          <w:rFonts w:hint="eastAsia"/>
          <w:color w:val="auto"/>
          <w:highlight w:val="none"/>
        </w:rPr>
        <w:t>25年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p>
    <w:p>
      <w:pPr>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pStyle w:val="3"/>
        <w:jc w:val="center"/>
        <w:rPr>
          <w:rFonts w:hint="eastAsia"/>
          <w:color w:val="auto"/>
          <w:highlight w:val="none"/>
        </w:rPr>
      </w:pPr>
      <w:bookmarkStart w:id="7" w:name="_Toc40865016"/>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ind w:firstLine="2208" w:firstLineChars="500"/>
        <w:rPr>
          <w:rFonts w:hint="eastAsia"/>
          <w:color w:val="auto"/>
          <w:highlight w:val="none"/>
        </w:rPr>
      </w:pPr>
      <w:r>
        <w:rPr>
          <w:rFonts w:hint="eastAsia"/>
          <w:color w:val="auto"/>
          <w:highlight w:val="none"/>
        </w:rPr>
        <w:t>第二章  招标项目采购需求</w:t>
      </w:r>
      <w:bookmarkEnd w:id="7"/>
    </w:p>
    <w:p>
      <w:pPr>
        <w:spacing w:line="360" w:lineRule="exact"/>
        <w:ind w:left="6" w:leftChars="1" w:hanging="4" w:hangingChars="2"/>
        <w:jc w:val="center"/>
        <w:rPr>
          <w:rFonts w:hint="eastAsia" w:ascii="宋体" w:hAnsi="宋体"/>
          <w:b/>
          <w:dstrike/>
          <w:color w:val="auto"/>
          <w:sz w:val="36"/>
          <w:szCs w:val="36"/>
          <w:highlight w:val="none"/>
        </w:rPr>
      </w:pPr>
      <w:r>
        <w:rPr>
          <w:rFonts w:ascii="宋体" w:hAnsi="宋体"/>
          <w:b/>
          <w:dstrike/>
          <w:color w:val="auto"/>
          <w:szCs w:val="21"/>
          <w:highlight w:val="none"/>
        </w:rPr>
        <w:br w:type="page"/>
      </w:r>
      <w:r>
        <w:rPr>
          <w:rFonts w:hint="eastAsia" w:ascii="仿宋_GB2312" w:hAnsi="宋体" w:eastAsia="仿宋_GB2312"/>
          <w:b/>
          <w:bCs/>
          <w:color w:val="auto"/>
          <w:sz w:val="36"/>
          <w:szCs w:val="36"/>
          <w:highlight w:val="none"/>
        </w:rPr>
        <w:t>招</w:t>
      </w:r>
      <w:r>
        <w:rPr>
          <w:rFonts w:hint="eastAsia" w:ascii="仿宋_GB2312" w:hAnsi="宋体" w:eastAsia="仿宋_GB2312"/>
          <w:b/>
          <w:color w:val="auto"/>
          <w:sz w:val="36"/>
          <w:szCs w:val="36"/>
          <w:highlight w:val="none"/>
        </w:rPr>
        <w:t>标项目采购需求</w:t>
      </w:r>
    </w:p>
    <w:p>
      <w:pPr>
        <w:spacing w:line="360" w:lineRule="exact"/>
        <w:ind w:left="6" w:firstLine="431"/>
        <w:rPr>
          <w:rFonts w:hint="eastAsia" w:ascii="宋体" w:hAnsi="宋体"/>
          <w:b/>
          <w:bCs/>
          <w:color w:val="auto"/>
          <w:szCs w:val="21"/>
          <w:highlight w:val="none"/>
        </w:rPr>
      </w:pPr>
    </w:p>
    <w:p>
      <w:pPr>
        <w:spacing w:line="360" w:lineRule="exact"/>
        <w:ind w:left="6" w:firstLine="431"/>
        <w:rPr>
          <w:rFonts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3、凡在“技术参数及性能（配置）要求”中表述为“标配”或“标准配置”的设备，投标人应在投标报价明细表中将其标配参数详细列明。</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4、</w:t>
      </w:r>
      <w:r>
        <w:rPr>
          <w:rFonts w:hint="eastAsia" w:hAnsi="宋体" w:cs="宋体"/>
          <w:b/>
          <w:color w:val="auto"/>
          <w:sz w:val="22"/>
          <w:szCs w:val="28"/>
          <w:highlight w:val="none"/>
        </w:rPr>
        <w:t>招标文件中带“</w:t>
      </w:r>
      <w:r>
        <w:rPr>
          <w:rFonts w:hint="eastAsia" w:hAnsi="宋体"/>
          <w:color w:val="auto"/>
          <w:szCs w:val="21"/>
          <w:highlight w:val="none"/>
        </w:rPr>
        <w:t>▲</w:t>
      </w:r>
      <w:r>
        <w:rPr>
          <w:rFonts w:hint="eastAsia" w:hAnsi="宋体" w:cs="宋体"/>
          <w:b/>
          <w:color w:val="auto"/>
          <w:sz w:val="22"/>
          <w:szCs w:val="28"/>
          <w:highlight w:val="none"/>
        </w:rPr>
        <w:t>”的条款为本次采购的实质性(关键性)的商务、技术或服务要求，投标人须满足或优于，否则，将会被认定为无效投标</w:t>
      </w:r>
      <w:r>
        <w:rPr>
          <w:rFonts w:hint="eastAsia" w:hAnsi="宋体"/>
          <w:b/>
          <w:color w:val="auto"/>
          <w:szCs w:val="21"/>
          <w:highlight w:val="none"/>
        </w:rPr>
        <w:t>。</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5、本项目</w:t>
      </w:r>
      <w:r>
        <w:rPr>
          <w:rFonts w:hint="eastAsia"/>
          <w:b/>
          <w:color w:val="auto"/>
          <w:szCs w:val="21"/>
          <w:highlight w:val="none"/>
        </w:rPr>
        <w:t>标的所属行业均为：</w:t>
      </w:r>
      <w:r>
        <w:rPr>
          <w:rFonts w:hint="eastAsia"/>
          <w:b/>
          <w:color w:val="auto"/>
          <w:szCs w:val="21"/>
          <w:highlight w:val="none"/>
          <w:u w:val="single"/>
        </w:rPr>
        <w:t xml:space="preserve">  工业   </w:t>
      </w:r>
      <w:r>
        <w:rPr>
          <w:rFonts w:hint="eastAsia"/>
          <w:b/>
          <w:color w:val="auto"/>
          <w:szCs w:val="21"/>
          <w:highlight w:val="none"/>
        </w:rPr>
        <w:t xml:space="preserve"> ；</w:t>
      </w:r>
      <w:r>
        <w:rPr>
          <w:rFonts w:hint="eastAsia" w:hAnsi="宋体" w:cs="宋体"/>
          <w:b/>
          <w:bCs/>
          <w:color w:val="auto"/>
          <w:szCs w:val="21"/>
          <w:highlight w:val="none"/>
        </w:rPr>
        <w:t>划分依据：</w:t>
      </w:r>
      <w:r>
        <w:rPr>
          <w:rFonts w:hint="eastAsia"/>
          <w:b/>
          <w:color w:val="auto"/>
          <w:szCs w:val="21"/>
          <w:highlight w:val="none"/>
        </w:rPr>
        <w:t>《关于印发中小企业划型标准规定的通知》（工信部联企业[2011]300号）</w:t>
      </w:r>
    </w:p>
    <w:p>
      <w:pPr>
        <w:snapToGrid w:val="0"/>
        <w:spacing w:line="400" w:lineRule="exact"/>
        <w:ind w:firstLine="421" w:firstLineChars="200"/>
        <w:rPr>
          <w:rFonts w:hint="eastAsia" w:hAnsi="宋体" w:cs="Arial"/>
          <w:b/>
          <w:bCs/>
          <w:color w:val="auto"/>
          <w:szCs w:val="21"/>
          <w:highlight w:val="none"/>
        </w:rPr>
      </w:pPr>
      <w:r>
        <w:rPr>
          <w:rFonts w:hint="eastAsia" w:ascii="宋体" w:hAnsi="宋体"/>
          <w:b/>
          <w:bCs/>
          <w:color w:val="auto"/>
          <w:kern w:val="0"/>
          <w:szCs w:val="21"/>
          <w:highlight w:val="none"/>
        </w:rPr>
        <w:t>6、本项目采购预算：</w:t>
      </w:r>
      <w:r>
        <w:rPr>
          <w:rFonts w:hint="eastAsia" w:ascii="宋体" w:hAnsi="宋体"/>
          <w:b/>
          <w:bCs/>
          <w:color w:val="auto"/>
          <w:kern w:val="0"/>
          <w:szCs w:val="21"/>
          <w:highlight w:val="none"/>
          <w:u w:val="single"/>
        </w:rPr>
        <w:t xml:space="preserve">    </w:t>
      </w:r>
      <w:r>
        <w:rPr>
          <w:rFonts w:hint="eastAsia" w:hAnsi="宋体" w:cs="宋体"/>
          <w:b/>
          <w:color w:val="auto"/>
          <w:kern w:val="0"/>
          <w:szCs w:val="21"/>
          <w:highlight w:val="none"/>
          <w:u w:val="single"/>
        </w:rPr>
        <w:t xml:space="preserve">   3185910.00  </w:t>
      </w:r>
      <w:r>
        <w:rPr>
          <w:rFonts w:hint="eastAsia" w:ascii="宋体" w:hAnsi="宋体"/>
          <w:b/>
          <w:bCs/>
          <w:color w:val="auto"/>
          <w:kern w:val="0"/>
          <w:szCs w:val="21"/>
          <w:highlight w:val="none"/>
          <w:u w:val="single"/>
        </w:rPr>
        <w:t xml:space="preserve">   </w:t>
      </w:r>
      <w:r>
        <w:rPr>
          <w:rFonts w:hint="eastAsia" w:ascii="宋体" w:hAnsi="宋体"/>
          <w:b/>
          <w:bCs/>
          <w:color w:val="auto"/>
          <w:kern w:val="0"/>
          <w:szCs w:val="21"/>
          <w:highlight w:val="none"/>
        </w:rPr>
        <w:t>元</w:t>
      </w:r>
    </w:p>
    <w:p>
      <w:pPr>
        <w:snapToGrid w:val="0"/>
        <w:spacing w:line="400" w:lineRule="exact"/>
        <w:ind w:firstLine="421" w:firstLineChars="200"/>
        <w:rPr>
          <w:rFonts w:hint="eastAsia" w:ascii="宋体" w:hAnsi="宋体"/>
          <w:b/>
          <w:bCs/>
          <w:color w:val="auto"/>
          <w:kern w:val="0"/>
          <w:szCs w:val="21"/>
          <w:highlight w:val="none"/>
        </w:rPr>
      </w:pPr>
    </w:p>
    <w:tbl>
      <w:tblPr>
        <w:tblStyle w:val="22"/>
        <w:tblW w:w="514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530"/>
        <w:gridCol w:w="169"/>
        <w:gridCol w:w="1131"/>
        <w:gridCol w:w="750"/>
        <w:gridCol w:w="600"/>
        <w:gridCol w:w="6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项号</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货物</w:t>
            </w:r>
          </w:p>
          <w:p>
            <w:pPr>
              <w:jc w:val="center"/>
              <w:rPr>
                <w:rFonts w:ascii="宋体" w:hAnsi="宋体"/>
                <w:b/>
                <w:color w:val="auto"/>
                <w:szCs w:val="21"/>
                <w:highlight w:val="none"/>
              </w:rPr>
            </w:pPr>
            <w:r>
              <w:rPr>
                <w:rFonts w:hint="eastAsia" w:ascii="宋体" w:hAnsi="宋体"/>
                <w:b/>
                <w:color w:val="auto"/>
                <w:szCs w:val="21"/>
                <w:highlight w:val="none"/>
              </w:rPr>
              <w:t>名称</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参考图片</w:t>
            </w:r>
          </w:p>
          <w:p>
            <w:pPr>
              <w:jc w:val="center"/>
              <w:rPr>
                <w:rFonts w:ascii="宋体" w:hAnsi="宋体"/>
                <w:b/>
                <w:color w:val="auto"/>
                <w:szCs w:val="21"/>
                <w:highlight w:val="none"/>
                <w:lang w:val="en"/>
              </w:rPr>
            </w:pPr>
            <w:r>
              <w:rPr>
                <w:rFonts w:hint="eastAsia" w:ascii="宋体" w:hAnsi="宋体"/>
                <w:b/>
                <w:color w:val="auto"/>
                <w:szCs w:val="21"/>
                <w:highlight w:val="none"/>
              </w:rPr>
              <w:t>（样式）</w:t>
            </w:r>
          </w:p>
        </w:tc>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Cs w:val="21"/>
                <w:highlight w:val="none"/>
              </w:rPr>
            </w:pPr>
            <w:r>
              <w:rPr>
                <w:rFonts w:hint="eastAsia" w:ascii="宋体" w:hAnsi="宋体"/>
                <w:b/>
                <w:color w:val="auto"/>
                <w:szCs w:val="21"/>
                <w:highlight w:val="none"/>
              </w:rPr>
              <w:t>数 量</w:t>
            </w:r>
          </w:p>
        </w:tc>
        <w:tc>
          <w:tcPr>
            <w:tcW w:w="3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单位</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技术参数及性能（配置）要求</w:t>
            </w:r>
          </w:p>
          <w:p>
            <w:pPr>
              <w:jc w:val="center"/>
              <w:rPr>
                <w:rFonts w:ascii="宋体" w:hAnsi="宋体"/>
                <w:b/>
                <w:bCs/>
                <w:color w:val="auto"/>
                <w:szCs w:val="21"/>
                <w:highlight w:val="none"/>
              </w:rPr>
            </w:pPr>
            <w:r>
              <w:rPr>
                <w:rFonts w:hint="eastAsia" w:ascii="宋体" w:hAnsi="宋体"/>
                <w:b/>
                <w:color w:val="auto"/>
                <w:szCs w:val="21"/>
                <w:highlight w:val="none"/>
              </w:rPr>
              <w:t>（材质工艺要求说明）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auto"/>
                <w:sz w:val="21"/>
                <w:szCs w:val="21"/>
                <w:highlight w:val="none"/>
              </w:rPr>
            </w:pPr>
            <w:r>
              <w:rPr>
                <w:rFonts w:hint="eastAsia" w:ascii="宋体" w:hAnsi="宋体" w:cs="宋体"/>
                <w:color w:val="auto"/>
                <w:sz w:val="21"/>
                <w:szCs w:val="21"/>
                <w:highlight w:val="none"/>
              </w:rPr>
              <w:t>1</w:t>
            </w:r>
          </w:p>
        </w:tc>
        <w:tc>
          <w:tcPr>
            <w:tcW w:w="267"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1"/>
                <w:szCs w:val="21"/>
                <w:highlight w:val="none"/>
              </w:rPr>
            </w:pPr>
            <w:r>
              <w:rPr>
                <w:rFonts w:hint="eastAsia" w:ascii="宋体" w:hAnsi="宋体" w:cs="宋体"/>
                <w:color w:val="auto"/>
                <w:kern w:val="0"/>
                <w:sz w:val="21"/>
                <w:szCs w:val="21"/>
                <w:highlight w:val="none"/>
              </w:rPr>
              <w:t>桌子</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color w:val="auto"/>
                <w:sz w:val="21"/>
                <w:szCs w:val="21"/>
                <w:highlight w:val="none"/>
              </w:rPr>
              <w:drawing>
                <wp:inline distT="0" distB="0" distL="114300" distR="114300">
                  <wp:extent cx="699135" cy="1034415"/>
                  <wp:effectExtent l="0" t="0" r="5715" b="13335"/>
                  <wp:docPr id="2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pic:cNvPicPr>
                            <a:picLocks noChangeAspect="1"/>
                          </pic:cNvPicPr>
                        </pic:nvPicPr>
                        <pic:blipFill>
                          <a:blip r:embed="rId8"/>
                          <a:stretch>
                            <a:fillRect/>
                          </a:stretch>
                        </pic:blipFill>
                        <pic:spPr>
                          <a:xfrm>
                            <a:off x="0" y="0"/>
                            <a:ext cx="699135" cy="1034415"/>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110</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张</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规格：1000*700*</w:t>
            </w:r>
            <w:r>
              <w:rPr>
                <w:rFonts w:hint="eastAsia" w:ascii="宋体" w:hAnsi="宋体" w:cs="宋体"/>
                <w:color w:val="auto"/>
                <w:sz w:val="21"/>
                <w:szCs w:val="21"/>
                <w:highlight w:val="none"/>
                <w:lang w:val="en-US" w:eastAsia="zh-CN"/>
              </w:rPr>
              <w:t>800</w:t>
            </w:r>
            <w:r>
              <w:rPr>
                <w:rFonts w:hint="eastAsia" w:ascii="宋体" w:hAnsi="宋体" w:cs="宋体"/>
                <w:color w:val="auto"/>
                <w:sz w:val="21"/>
                <w:szCs w:val="21"/>
                <w:highlight w:val="none"/>
              </w:rPr>
              <w:t>mm（长*宽*高）</w:t>
            </w:r>
          </w:p>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桌架立柱采用40*40*1.2mm厚方管焊接成口字型，钢管材质为Q235B（或优于Q235B）优质钢材，管材材质符合GB/T 3094-2012《冷拔异型钢管》检测标准。</w:t>
            </w:r>
          </w:p>
          <w:p>
            <w:pPr>
              <w:pStyle w:val="29"/>
              <w:spacing w:line="312" w:lineRule="auto"/>
              <w:ind w:firstLine="210" w:firstLineChars="100"/>
              <w:rPr>
                <w:rFonts w:hint="eastAsia" w:ascii="宋体" w:hAnsi="宋体" w:eastAsia="宋体" w:cs="宋体"/>
                <w:color w:val="auto"/>
                <w:sz w:val="21"/>
                <w:szCs w:val="21"/>
                <w:highlight w:val="none"/>
                <w:lang w:eastAsia="zh-CN"/>
              </w:rPr>
            </w:pPr>
            <w:r>
              <w:rPr>
                <w:rFonts w:hint="eastAsia" w:hAnsi="宋体"/>
                <w:color w:val="auto"/>
                <w:sz w:val="21"/>
                <w:szCs w:val="21"/>
                <w:highlight w:val="none"/>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桌面和书斗层板基材采用E1级刨花板，板材厚度</w:t>
            </w:r>
            <w:r>
              <w:rPr>
                <w:rFonts w:hint="default" w:ascii="宋体" w:hAnsi="宋体" w:cs="宋体"/>
                <w:color w:val="auto"/>
                <w:sz w:val="21"/>
                <w:szCs w:val="21"/>
                <w:highlight w:val="none"/>
                <w:lang w:val="en"/>
              </w:rPr>
              <w:t>≥</w:t>
            </w:r>
            <w:r>
              <w:rPr>
                <w:rFonts w:hint="eastAsia" w:ascii="宋体" w:hAnsi="宋体" w:cs="宋体"/>
                <w:color w:val="auto"/>
                <w:sz w:val="21"/>
                <w:szCs w:val="21"/>
                <w:highlight w:val="none"/>
              </w:rPr>
              <w:t>20mm，板材表面采用国家环保材料</w:t>
            </w:r>
            <w:r>
              <w:rPr>
                <w:rFonts w:hint="eastAsia" w:ascii="宋体" w:hAnsi="宋体" w:cs="宋体"/>
                <w:b/>
                <w:bCs/>
                <w:color w:val="auto"/>
                <w:sz w:val="21"/>
                <w:szCs w:val="21"/>
                <w:highlight w:val="none"/>
              </w:rPr>
              <w:t>三聚氢胺饰面纸</w:t>
            </w:r>
            <w:r>
              <w:rPr>
                <w:rFonts w:hint="eastAsia" w:ascii="宋体" w:hAnsi="宋体" w:cs="宋体"/>
                <w:color w:val="auto"/>
                <w:sz w:val="21"/>
                <w:szCs w:val="21"/>
                <w:highlight w:val="none"/>
              </w:rPr>
              <w:t>，经200度高温贴面，表面光滑、耐刮、硬度高，防火、防潮、耐磨、耐高温、免油漆、无臭味，板材四边采用</w:t>
            </w:r>
            <w:r>
              <w:rPr>
                <w:rFonts w:hint="default" w:ascii="宋体" w:hAnsi="宋体" w:cs="宋体"/>
                <w:color w:val="auto"/>
                <w:sz w:val="21"/>
                <w:szCs w:val="21"/>
                <w:highlight w:val="none"/>
                <w:lang w:val="en"/>
              </w:rPr>
              <w:t>≥</w:t>
            </w:r>
            <w:r>
              <w:rPr>
                <w:rFonts w:hint="eastAsia" w:ascii="宋体" w:hAnsi="宋体" w:cs="宋体"/>
                <w:color w:val="auto"/>
                <w:sz w:val="21"/>
                <w:szCs w:val="21"/>
                <w:highlight w:val="none"/>
              </w:rPr>
              <w:t>1.5mm厚PVC封边条，全自动机械封边，封边胶采用EVA环保热熔胶，经机械加温熔化与封边条结合机械封边，所有使用材料符合以下标准</w:t>
            </w:r>
            <w:r>
              <w:rPr>
                <w:rFonts w:hint="eastAsia" w:ascii="宋体" w:hAnsi="宋体" w:cs="宋体"/>
                <w:color w:val="auto"/>
                <w:sz w:val="21"/>
                <w:szCs w:val="21"/>
                <w:highlight w:val="none"/>
                <w:lang w:eastAsia="zh-CN"/>
              </w:rPr>
              <w:t>：</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（1）板材</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静曲强度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弹性模量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内结合强度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表面胶合强度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24h吸水厚度膨胀率%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含水率</w:t>
            </w:r>
            <w:r>
              <w:rPr>
                <w:rFonts w:hint="eastAsia" w:ascii="宋体" w:hAnsi="宋体" w:cs="宋体"/>
                <w:color w:val="auto"/>
                <w:sz w:val="21"/>
                <w:szCs w:val="21"/>
                <w:highlight w:val="none"/>
                <w:lang w:eastAsia="zh-CN"/>
              </w:rPr>
              <w:t>等</w:t>
            </w:r>
            <w:r>
              <w:rPr>
                <w:rFonts w:hint="eastAsia" w:ascii="宋体" w:hAnsi="宋体" w:cs="宋体"/>
                <w:color w:val="auto"/>
                <w:sz w:val="21"/>
                <w:szCs w:val="21"/>
                <w:highlight w:val="none"/>
              </w:rPr>
              <w:t>指标须符合GB/T 15102-2017《浸渍胶膜纸饰面纤维板和刨花板》</w:t>
            </w:r>
            <w:r>
              <w:rPr>
                <w:rFonts w:hint="eastAsia" w:ascii="宋体" w:hAnsi="宋体" w:cs="宋体"/>
                <w:color w:val="auto"/>
                <w:sz w:val="21"/>
                <w:szCs w:val="21"/>
                <w:highlight w:val="none"/>
                <w:lang w:eastAsia="zh-CN"/>
              </w:rPr>
              <w:t>的检测标准。板材的甲醛释放量须符合</w:t>
            </w:r>
            <w:r>
              <w:rPr>
                <w:rFonts w:hint="eastAsia" w:ascii="宋体" w:hAnsi="宋体" w:cs="宋体"/>
                <w:color w:val="auto"/>
                <w:sz w:val="21"/>
                <w:szCs w:val="21"/>
                <w:highlight w:val="none"/>
              </w:rPr>
              <w:t>GB 18580-2017《室内装饰装修材料 人造板及其制品中甲醛释放限量》</w:t>
            </w:r>
            <w:r>
              <w:rPr>
                <w:rFonts w:hint="eastAsia" w:ascii="宋体" w:hAnsi="宋体" w:cs="宋体"/>
                <w:color w:val="auto"/>
                <w:sz w:val="21"/>
                <w:szCs w:val="21"/>
                <w:highlight w:val="none"/>
                <w:lang w:eastAsia="zh-CN"/>
              </w:rPr>
              <w:t>标准要求，甲醛释放量≤0.05mg/m³。板材的</w:t>
            </w:r>
            <w:r>
              <w:rPr>
                <w:rFonts w:hint="eastAsia" w:ascii="宋体" w:hAnsi="宋体" w:cs="宋体"/>
                <w:color w:val="auto"/>
                <w:sz w:val="21"/>
                <w:szCs w:val="21"/>
                <w:highlight w:val="none"/>
              </w:rPr>
              <w:t>防霉菌性能</w:t>
            </w:r>
            <w:r>
              <w:rPr>
                <w:rFonts w:hint="eastAsia" w:ascii="宋体" w:hAnsi="宋体" w:cs="宋体"/>
                <w:color w:val="auto"/>
                <w:sz w:val="21"/>
                <w:szCs w:val="21"/>
                <w:highlight w:val="none"/>
                <w:lang w:eastAsia="zh-CN"/>
              </w:rPr>
              <w:t>须符合</w:t>
            </w:r>
            <w:r>
              <w:rPr>
                <w:rFonts w:hint="eastAsia" w:ascii="宋体" w:hAnsi="宋体" w:cs="宋体"/>
                <w:color w:val="auto"/>
                <w:sz w:val="21"/>
                <w:szCs w:val="21"/>
                <w:highlight w:val="none"/>
              </w:rPr>
              <w:t>JC/T2039-2010《抗菌防霉木质装饰板》的</w:t>
            </w:r>
            <w:r>
              <w:rPr>
                <w:rFonts w:hint="eastAsia" w:ascii="宋体" w:hAnsi="宋体" w:cs="宋体"/>
                <w:color w:val="auto"/>
                <w:sz w:val="21"/>
                <w:szCs w:val="21"/>
                <w:highlight w:val="none"/>
                <w:lang w:eastAsia="zh-CN"/>
              </w:rPr>
              <w:t>标准要求</w:t>
            </w:r>
            <w:r>
              <w:rPr>
                <w:rFonts w:hint="eastAsia" w:ascii="宋体" w:hAnsi="宋体" w:cs="宋体"/>
                <w:color w:val="auto"/>
                <w:sz w:val="21"/>
                <w:szCs w:val="21"/>
                <w:highlight w:val="none"/>
              </w:rPr>
              <w:t>。</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（2）三聚氰胺饰面纸通过GB/T-28995-2012《人造板饰面专用纸》符合的检测标准，检测内容包括但不限于：甲醛释放量、挥发物含量、预固化度、耐磨转数。</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（3）PVC封边条</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耐干热性、耐磨性、耐开裂性、耐老化性、耐冷热循环、甲醛释放量、可迁移元素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残留氯乙烯单体</w:t>
            </w:r>
            <w:r>
              <w:rPr>
                <w:rFonts w:hint="eastAsia" w:ascii="宋体" w:hAnsi="宋体" w:cs="宋体"/>
                <w:color w:val="auto"/>
                <w:sz w:val="21"/>
                <w:szCs w:val="21"/>
                <w:highlight w:val="none"/>
                <w:lang w:eastAsia="zh-CN"/>
              </w:rPr>
              <w:t>等指标需</w:t>
            </w:r>
            <w:r>
              <w:rPr>
                <w:rFonts w:hint="eastAsia" w:ascii="宋体" w:hAnsi="宋体" w:cs="宋体"/>
                <w:color w:val="auto"/>
                <w:sz w:val="21"/>
                <w:szCs w:val="21"/>
                <w:highlight w:val="none"/>
              </w:rPr>
              <w:t>符合QB/T4463-2013《家具用封边条技术要求》</w:t>
            </w:r>
            <w:r>
              <w:rPr>
                <w:rFonts w:hint="eastAsia" w:ascii="宋体" w:hAnsi="宋体" w:cs="宋体"/>
                <w:color w:val="auto"/>
                <w:sz w:val="21"/>
                <w:szCs w:val="21"/>
                <w:highlight w:val="none"/>
                <w:lang w:eastAsia="zh-CN"/>
              </w:rPr>
              <w:t>的技术要求。</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（4）热熔胶中的有害物质限量</w:t>
            </w:r>
            <w:r>
              <w:rPr>
                <w:rFonts w:hint="eastAsia" w:ascii="宋体" w:hAnsi="宋体" w:cs="宋体"/>
                <w:color w:val="auto"/>
                <w:sz w:val="21"/>
                <w:szCs w:val="21"/>
                <w:highlight w:val="none"/>
                <w:lang w:val="en-US" w:eastAsia="zh-CN"/>
              </w:rPr>
              <w:t>(包括总挥发有机化合物,苯、甲苯+二甲苯、游离甲醛含量等指标)</w:t>
            </w:r>
            <w:r>
              <w:rPr>
                <w:rFonts w:hint="eastAsia" w:ascii="宋体" w:hAnsi="宋体" w:cs="宋体"/>
                <w:color w:val="auto"/>
                <w:sz w:val="21"/>
                <w:szCs w:val="21"/>
                <w:highlight w:val="none"/>
              </w:rPr>
              <w:t>符合GB 18583-2008《室内装饰装修材料 胶粘剂中有害物质限量》（水基型聚乙酸乙烯酯胶粘剂）标准要求。</w:t>
            </w:r>
          </w:p>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所用钢材材质须采用镀锌处理，金属涂饰前零部件的表面光滑、平整、无开裂、脱焊、漏焊、焊渣或飞边、尖角、毛刺等可能造成机械伤害的缺陷。涂饰前零、部件表面进行预备处理，采用除锈、防锈处理工艺除去锈迹 等其他污迹后进行涂装打底磷化处理。预备处理后表面无氧化皮、锈蚀、粘砂等其他杂质，磷化层达到工艺要求，预备处理后及时进行涂饰，喷涂环氧聚酯粉末（塑粉）。</w:t>
            </w:r>
          </w:p>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塑粉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采用无毒害气味的环保型环氧聚酯粉末，塑粉符合或优于 HG/T 2006-2022《热固性和热塑性粉末涂料》检测标准，甲醛释放量符合国家标准，金属喷塑涂层硬度≥H，金属喷塑涂层附着力≤1，耐沸水性、耐碱性、耐酸性无异常，耐盐雾、耐湿热性无异常，重金属含量等均检测合格。</w:t>
            </w:r>
          </w:p>
          <w:p>
            <w:pPr>
              <w:pStyle w:val="21"/>
              <w:ind w:firstLine="240"/>
              <w:rPr>
                <w:rFonts w:ascii="宋体" w:hAnsi="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颜色：胡桃色。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auto"/>
                <w:sz w:val="21"/>
                <w:szCs w:val="21"/>
                <w:highlight w:val="none"/>
              </w:rPr>
            </w:pPr>
            <w:r>
              <w:rPr>
                <w:rFonts w:hint="eastAsia" w:ascii="宋体" w:hAnsi="宋体" w:cs="宋体"/>
                <w:color w:val="auto"/>
                <w:sz w:val="21"/>
                <w:szCs w:val="21"/>
                <w:highlight w:val="none"/>
              </w:rPr>
              <w:t>2</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椅子</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667385" cy="1490980"/>
                  <wp:effectExtent l="0" t="0" r="18415" b="13970"/>
                  <wp:docPr id="29" name="图片 25" descr="9953c7e5b2b49d5c5c47c0f7c095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descr="9953c7e5b2b49d5c5c47c0f7c095a91"/>
                          <pic:cNvPicPr>
                            <a:picLocks noChangeAspect="1"/>
                          </pic:cNvPicPr>
                        </pic:nvPicPr>
                        <pic:blipFill>
                          <a:blip r:embed="rId9"/>
                          <a:stretch>
                            <a:fillRect/>
                          </a:stretch>
                        </pic:blipFill>
                        <pic:spPr>
                          <a:xfrm>
                            <a:off x="0" y="0"/>
                            <a:ext cx="667385" cy="1490980"/>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1200</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把</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规格：440*420*940mm</w:t>
            </w:r>
          </w:p>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基材：采用优质实木，材质坚硬、刚性强、不易腐蚀、抗弯强度适中、断裂强度适中。木材经高温干燥、除虫、防虫、防腐处理，具有很好的尺寸稳定性,含水率低于14%。</w:t>
            </w:r>
          </w:p>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油漆：采用优质环保大宝品牌油漆，采用五底三面工艺，油漆无颗粒、气泡、渣点、附着性强，涂膜强韧，产品表面耐磨性强，色泽效果持久平整，质量符合GB 18581-2020《木器涂料中有害物质限量》、GB/T 21866-2008《抗菌涂料(漆膜)抗菌性能》的检测标准。</w:t>
            </w:r>
          </w:p>
          <w:p>
            <w:pPr>
              <w:widowControl/>
              <w:spacing w:line="312" w:lineRule="auto"/>
              <w:ind w:firstLine="210" w:firstLineChars="100"/>
              <w:textAlignment w:val="center"/>
              <w:rPr>
                <w:rFonts w:ascii="宋体" w:hAnsi="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颜色：胡桃色。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auto"/>
                <w:sz w:val="21"/>
                <w:szCs w:val="21"/>
                <w:highlight w:val="none"/>
              </w:rPr>
            </w:pPr>
            <w:r>
              <w:rPr>
                <w:rFonts w:hint="eastAsia" w:ascii="宋体" w:hAnsi="宋体" w:cs="宋体"/>
                <w:color w:val="auto"/>
                <w:sz w:val="21"/>
                <w:szCs w:val="21"/>
                <w:highlight w:val="none"/>
              </w:rPr>
              <w:t>3</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lang w:bidi="zh-CN"/>
              </w:rPr>
              <w:t>折叠桌</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732790" cy="701040"/>
                  <wp:effectExtent l="0" t="0" r="10160" b="3810"/>
                  <wp:docPr id="30" name="图片 26" descr="6987e7e73176d08d8f9ad8586494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6987e7e73176d08d8f9ad8586494c28"/>
                          <pic:cNvPicPr>
                            <a:picLocks noChangeAspect="1"/>
                          </pic:cNvPicPr>
                        </pic:nvPicPr>
                        <pic:blipFill>
                          <a:blip r:embed="rId10"/>
                          <a:stretch>
                            <a:fillRect/>
                          </a:stretch>
                        </pic:blipFill>
                        <pic:spPr>
                          <a:xfrm>
                            <a:off x="0" y="0"/>
                            <a:ext cx="732790" cy="701040"/>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800</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张</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规格：1000*600*750mm（长*宽*高）</w:t>
            </w:r>
          </w:p>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桌架立柱采用不小于30*30*1.2mm厚方管焊接而成，钢管材质为Q235B（或优于Q235B）优质钢材，管材材质符合GB/T 3094-2012《冷拔异型钢管》检测标准。桌子双层可折叠，双杆/双层弹簧设计。</w:t>
            </w:r>
          </w:p>
          <w:p>
            <w:pPr>
              <w:textAlignment w:val="center"/>
              <w:rPr>
                <w:rFonts w:hint="eastAsia" w:ascii="宋体" w:hAnsi="宋体" w:eastAsia="宋体" w:cs="宋体"/>
                <w:color w:val="auto"/>
                <w:sz w:val="21"/>
                <w:szCs w:val="21"/>
                <w:highlight w:val="none"/>
                <w:lang w:eastAsia="zh-CN"/>
              </w:rPr>
            </w:pPr>
            <w:r>
              <w:rPr>
                <w:rFonts w:hint="eastAsia" w:hAnsi="宋体"/>
                <w:color w:val="auto"/>
                <w:sz w:val="21"/>
                <w:szCs w:val="21"/>
                <w:highlight w:val="none"/>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桌面颜色黑色，桌面基材</w:t>
            </w:r>
            <w:r>
              <w:rPr>
                <w:rFonts w:hint="eastAsia" w:ascii="宋体" w:hAnsi="宋体" w:cs="宋体"/>
                <w:b/>
                <w:bCs/>
                <w:color w:val="auto"/>
                <w:sz w:val="21"/>
                <w:szCs w:val="21"/>
                <w:highlight w:val="none"/>
              </w:rPr>
              <w:t>采用E1级刨花板</w:t>
            </w:r>
            <w:r>
              <w:rPr>
                <w:rFonts w:hint="eastAsia" w:ascii="宋体" w:hAnsi="宋体" w:cs="宋体"/>
                <w:color w:val="auto"/>
                <w:sz w:val="21"/>
                <w:szCs w:val="21"/>
                <w:highlight w:val="none"/>
              </w:rPr>
              <w:t>，板材厚度</w:t>
            </w:r>
            <w:r>
              <w:rPr>
                <w:rFonts w:hint="default" w:ascii="宋体" w:hAnsi="宋体" w:cs="宋体"/>
                <w:color w:val="auto"/>
                <w:sz w:val="21"/>
                <w:szCs w:val="21"/>
                <w:highlight w:val="none"/>
                <w:lang w:val="en"/>
              </w:rPr>
              <w:t>≥</w:t>
            </w:r>
            <w:r>
              <w:rPr>
                <w:rFonts w:hint="eastAsia" w:ascii="宋体" w:hAnsi="宋体" w:cs="宋体"/>
                <w:color w:val="auto"/>
                <w:sz w:val="21"/>
                <w:szCs w:val="21"/>
                <w:highlight w:val="none"/>
              </w:rPr>
              <w:t>20mm，板材表面采用国家环保材料三聚氢胺饰面纸，经200度高温贴面，表面光滑、耐刮、硬度高，防火、防潮、耐磨、耐高温、免油漆、无臭味，板材四边采用</w:t>
            </w:r>
            <w:r>
              <w:rPr>
                <w:rFonts w:hint="default" w:ascii="宋体" w:hAnsi="宋体" w:cs="宋体"/>
                <w:color w:val="auto"/>
                <w:sz w:val="21"/>
                <w:szCs w:val="21"/>
                <w:highlight w:val="none"/>
                <w:lang w:val="en"/>
              </w:rPr>
              <w:t>≥</w:t>
            </w:r>
            <w:r>
              <w:rPr>
                <w:rFonts w:hint="eastAsia" w:ascii="宋体" w:hAnsi="宋体" w:cs="宋体"/>
                <w:color w:val="auto"/>
                <w:sz w:val="21"/>
                <w:szCs w:val="21"/>
                <w:highlight w:val="none"/>
              </w:rPr>
              <w:t>1.5mm厚PVC封边条，全自动机械封边，封边胶采用EVA环保热熔胶，经机械加温熔化与封边条结合机械封边，所有使用材料符合以下标准</w:t>
            </w:r>
            <w:r>
              <w:rPr>
                <w:rFonts w:hint="eastAsia" w:ascii="宋体" w:hAnsi="宋体" w:cs="宋体"/>
                <w:color w:val="auto"/>
                <w:sz w:val="21"/>
                <w:szCs w:val="21"/>
                <w:highlight w:val="none"/>
                <w:lang w:eastAsia="zh-CN"/>
              </w:rPr>
              <w:t>：</w:t>
            </w:r>
          </w:p>
          <w:p>
            <w:pP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（1）板材</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静曲强度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弹性模量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内结合强度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表面胶合强度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24h吸水厚度膨胀率%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含水率</w:t>
            </w:r>
            <w:r>
              <w:rPr>
                <w:rFonts w:hint="eastAsia" w:ascii="宋体" w:hAnsi="宋体" w:cs="宋体"/>
                <w:color w:val="auto"/>
                <w:sz w:val="21"/>
                <w:szCs w:val="21"/>
                <w:highlight w:val="none"/>
                <w:lang w:eastAsia="zh-CN"/>
              </w:rPr>
              <w:t>等</w:t>
            </w:r>
            <w:r>
              <w:rPr>
                <w:rFonts w:hint="eastAsia" w:ascii="宋体" w:hAnsi="宋体" w:cs="宋体"/>
                <w:color w:val="auto"/>
                <w:sz w:val="21"/>
                <w:szCs w:val="21"/>
                <w:highlight w:val="none"/>
              </w:rPr>
              <w:t>指标须符合GB/T 15102-2017《浸渍胶膜纸饰面纤维板和刨花板》</w:t>
            </w:r>
            <w:r>
              <w:rPr>
                <w:rFonts w:hint="eastAsia" w:ascii="宋体" w:hAnsi="宋体" w:cs="宋体"/>
                <w:color w:val="auto"/>
                <w:sz w:val="21"/>
                <w:szCs w:val="21"/>
                <w:highlight w:val="none"/>
                <w:lang w:eastAsia="zh-CN"/>
              </w:rPr>
              <w:t>的检测标准。板材的甲醛释放量须符合</w:t>
            </w:r>
            <w:r>
              <w:rPr>
                <w:rFonts w:hint="eastAsia" w:ascii="宋体" w:hAnsi="宋体" w:cs="宋体"/>
                <w:color w:val="auto"/>
                <w:sz w:val="21"/>
                <w:szCs w:val="21"/>
                <w:highlight w:val="none"/>
              </w:rPr>
              <w:t>GB 18580-2017《室内装饰装修材料 人造板及其制品中甲醛释放限量》</w:t>
            </w:r>
            <w:r>
              <w:rPr>
                <w:rFonts w:hint="eastAsia" w:ascii="宋体" w:hAnsi="宋体" w:cs="宋体"/>
                <w:color w:val="auto"/>
                <w:sz w:val="21"/>
                <w:szCs w:val="21"/>
                <w:highlight w:val="none"/>
                <w:lang w:eastAsia="zh-CN"/>
              </w:rPr>
              <w:t>标准要求，甲醛释放量≤0.05mg/m³。板材的</w:t>
            </w:r>
            <w:r>
              <w:rPr>
                <w:rFonts w:hint="eastAsia" w:ascii="宋体" w:hAnsi="宋体" w:cs="宋体"/>
                <w:color w:val="auto"/>
                <w:sz w:val="21"/>
                <w:szCs w:val="21"/>
                <w:highlight w:val="none"/>
              </w:rPr>
              <w:t>防霉菌性能</w:t>
            </w:r>
            <w:r>
              <w:rPr>
                <w:rFonts w:hint="eastAsia" w:ascii="宋体" w:hAnsi="宋体" w:cs="宋体"/>
                <w:color w:val="auto"/>
                <w:sz w:val="21"/>
                <w:szCs w:val="21"/>
                <w:highlight w:val="none"/>
                <w:lang w:eastAsia="zh-CN"/>
              </w:rPr>
              <w:t>须符合</w:t>
            </w:r>
            <w:r>
              <w:rPr>
                <w:rFonts w:hint="eastAsia" w:ascii="宋体" w:hAnsi="宋体" w:cs="宋体"/>
                <w:color w:val="auto"/>
                <w:sz w:val="21"/>
                <w:szCs w:val="21"/>
                <w:highlight w:val="none"/>
              </w:rPr>
              <w:t>JC/T2039-2010《抗菌防霉木质装饰板》的</w:t>
            </w:r>
            <w:r>
              <w:rPr>
                <w:rFonts w:hint="eastAsia" w:ascii="宋体" w:hAnsi="宋体" w:cs="宋体"/>
                <w:color w:val="auto"/>
                <w:sz w:val="21"/>
                <w:szCs w:val="21"/>
                <w:highlight w:val="none"/>
                <w:lang w:eastAsia="zh-CN"/>
              </w:rPr>
              <w:t>标准要求</w:t>
            </w:r>
            <w:r>
              <w:rPr>
                <w:rFonts w:hint="eastAsia" w:ascii="宋体" w:hAnsi="宋体" w:cs="宋体"/>
                <w:color w:val="auto"/>
                <w:sz w:val="21"/>
                <w:szCs w:val="21"/>
                <w:highlight w:val="none"/>
              </w:rPr>
              <w:t>。</w:t>
            </w:r>
          </w:p>
          <w:p>
            <w:pP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（2）三聚氰胺饰面纸通过GB/T-28995-2012《人造板饰面专用纸》符合的检测标准，检测内容包括但不限于：甲醛释放量、挥发物含量、预固化度、耐磨转数。</w:t>
            </w:r>
          </w:p>
          <w:p>
            <w:pP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（3）PVC封边条</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耐干热性、耐磨性、耐开裂性、耐老化性、耐冷热循环、甲醛释放量、可迁移元素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残留氯乙烯单体</w:t>
            </w:r>
            <w:r>
              <w:rPr>
                <w:rFonts w:hint="eastAsia" w:ascii="宋体" w:hAnsi="宋体" w:cs="宋体"/>
                <w:color w:val="auto"/>
                <w:sz w:val="21"/>
                <w:szCs w:val="21"/>
                <w:highlight w:val="none"/>
                <w:lang w:eastAsia="zh-CN"/>
              </w:rPr>
              <w:t>等指标需</w:t>
            </w:r>
            <w:r>
              <w:rPr>
                <w:rFonts w:hint="eastAsia" w:ascii="宋体" w:hAnsi="宋体" w:cs="宋体"/>
                <w:color w:val="auto"/>
                <w:sz w:val="21"/>
                <w:szCs w:val="21"/>
                <w:highlight w:val="none"/>
              </w:rPr>
              <w:t>符合QB/T4463-2013《家具用封边条技术要求》</w:t>
            </w:r>
            <w:r>
              <w:rPr>
                <w:rFonts w:hint="eastAsia" w:ascii="宋体" w:hAnsi="宋体" w:cs="宋体"/>
                <w:color w:val="auto"/>
                <w:sz w:val="21"/>
                <w:szCs w:val="21"/>
                <w:highlight w:val="none"/>
                <w:lang w:eastAsia="zh-CN"/>
              </w:rPr>
              <w:t>的技术要求。</w:t>
            </w:r>
          </w:p>
          <w:p>
            <w:pP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（4）热熔胶中的有害物质限量</w:t>
            </w:r>
            <w:r>
              <w:rPr>
                <w:rFonts w:hint="eastAsia" w:ascii="宋体" w:hAnsi="宋体" w:cs="宋体"/>
                <w:color w:val="auto"/>
                <w:sz w:val="21"/>
                <w:szCs w:val="21"/>
                <w:highlight w:val="none"/>
                <w:lang w:val="en-US" w:eastAsia="zh-CN"/>
              </w:rPr>
              <w:t>(包括总挥发有机化合物,苯、甲苯+二甲苯、游离甲醛含量等指标)</w:t>
            </w:r>
            <w:r>
              <w:rPr>
                <w:rFonts w:hint="eastAsia" w:ascii="宋体" w:hAnsi="宋体" w:cs="宋体"/>
                <w:color w:val="auto"/>
                <w:sz w:val="21"/>
                <w:szCs w:val="21"/>
                <w:highlight w:val="none"/>
              </w:rPr>
              <w:t>符合GB 18583-2008《室内装饰装修材料 胶粘剂中有害物质限量》（水基型聚乙酸乙烯酯胶粘剂）标准要求。</w:t>
            </w:r>
          </w:p>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所用钢材材质须采用镀锌处理，金属涂饰前零部件的表面光滑、平整、无开裂、脱焊、漏焊、焊渣或飞边、尖角、毛刺等可能造成机械伤害的缺陷。涂饰前零、部件表面进行预备处理，采用除锈、防锈处理工艺除去锈迹 等其他污迹后进行涂装打底磷化处理。预备处理后表面无氧化皮、锈蚀、粘砂等其他杂质，磷化层达到工艺要求，预备处理后及时进行喷涂，喷涂环氧聚酯粉末（塑粉）。</w:t>
            </w:r>
          </w:p>
          <w:p>
            <w:pPr>
              <w:widowControl/>
              <w:spacing w:line="312" w:lineRule="auto"/>
              <w:ind w:firstLine="210" w:firstLineChars="100"/>
              <w:textAlignment w:val="center"/>
              <w:rPr>
                <w:rFonts w:ascii="宋体" w:hAnsi="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塑粉采用无毒害气味的环保型环氧聚酯粉末，塑粉符合或优于 HG/T 2006-2022《热固性和热塑性粉末涂料》检测标准，甲醛释放量符合国家标准，金属喷塑涂层硬度≥H，金属喷塑涂层附着力≤1，耐沸水性、耐碱性、耐酸性无异常，耐盐雾、耐湿热性无异常，重金属含量等均检测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auto"/>
                <w:sz w:val="21"/>
                <w:szCs w:val="21"/>
                <w:highlight w:val="none"/>
              </w:rPr>
            </w:pPr>
            <w:r>
              <w:rPr>
                <w:rFonts w:hint="eastAsia" w:ascii="宋体" w:hAnsi="宋体" w:cs="宋体"/>
                <w:color w:val="auto"/>
                <w:sz w:val="21"/>
                <w:szCs w:val="21"/>
                <w:highlight w:val="none"/>
              </w:rPr>
              <w:t>4</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休闲椅</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607060" cy="1094740"/>
                  <wp:effectExtent l="0" t="0" r="2540" b="10160"/>
                  <wp:docPr id="45" name="图片 27" descr="e51d8fb12031d1913927461eac8f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7" descr="e51d8fb12031d1913927461eac8fc04"/>
                          <pic:cNvPicPr>
                            <a:picLocks noChangeAspect="1"/>
                          </pic:cNvPicPr>
                        </pic:nvPicPr>
                        <pic:blipFill>
                          <a:blip r:embed="rId11"/>
                          <a:stretch>
                            <a:fillRect/>
                          </a:stretch>
                        </pic:blipFill>
                        <pic:spPr>
                          <a:xfrm>
                            <a:off x="0" y="0"/>
                            <a:ext cx="607060" cy="1094740"/>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840</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把</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规格:不小于宽485*深550*高815mm</w:t>
            </w:r>
          </w:p>
          <w:p>
            <w:pPr>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1. 采用全新工程聚丙烯一体注塑成型、零甲醛释放使用更健康。</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 可多张堆叠设计、不占空间，方便运输，可使用户外空间、学校宿舍、智慧教室、餐厅、图书馆、咖啡厅和家庭等。</w:t>
            </w:r>
          </w:p>
          <w:p>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 颜色</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黑色</w:t>
            </w:r>
            <w:r>
              <w:rPr>
                <w:rFonts w:hint="eastAsia" w:ascii="宋体" w:hAnsi="宋体" w:cs="宋体"/>
                <w:color w:val="auto"/>
                <w:sz w:val="21"/>
                <w:szCs w:val="21"/>
                <w:highlight w:val="none"/>
                <w:lang w:eastAsia="zh-CN"/>
              </w:rPr>
              <w:t>。</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4. 座面：座高440mm，座宽420mm，座深440mm，座面根据人体曲线设计舒适配比，辨识度高，座感好等。</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5. 椅背：4mm宽不少于19条镂空设计，增强背部散热，可独立拆卸式靠背，具备使用者单手手提功能，圆润椅角无毛边，不伤手，背重0.35KG，背高不小于300mm，背宽不小于 425mm，背下厚6mm/上厚4mm，背弧度R250mm包覆性明显，提高整椅的舒适度，颜色黑色。</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6. 四脚40*35mm成菱形设计、结构稳定，PU耐磨脚垫保护地板随意推拉，可承重150KG，胶背34KG12万次循环推背测试。</w:t>
            </w:r>
          </w:p>
          <w:p>
            <w:pPr>
              <w:rPr>
                <w:rFonts w:ascii="宋体" w:hAnsi="宋体"/>
                <w:color w:val="auto"/>
                <w:sz w:val="21"/>
                <w:szCs w:val="21"/>
                <w:highlight w:val="none"/>
              </w:rPr>
            </w:pPr>
            <w:r>
              <w:rPr>
                <w:rFonts w:hint="eastAsia" w:ascii="宋体" w:hAnsi="宋体" w:cs="宋体"/>
                <w:color w:val="auto"/>
                <w:sz w:val="21"/>
                <w:szCs w:val="21"/>
                <w:highlight w:val="none"/>
              </w:rPr>
              <w:t>7. 塑料板用料检验须依据 QB/T 4371-2012，抑制金黄色葡萄球菌率大于99%，抑制大肠杆菌率大于99%。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auto"/>
                <w:sz w:val="21"/>
                <w:szCs w:val="21"/>
                <w:highlight w:val="none"/>
              </w:rPr>
            </w:pPr>
            <w:r>
              <w:rPr>
                <w:rFonts w:hint="eastAsia" w:ascii="宋体" w:hAnsi="宋体" w:cs="宋体"/>
                <w:color w:val="auto"/>
                <w:sz w:val="21"/>
                <w:szCs w:val="21"/>
                <w:highlight w:val="none"/>
              </w:rPr>
              <w:t>5</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课桌椅</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color w:val="auto"/>
                <w:sz w:val="21"/>
                <w:szCs w:val="21"/>
                <w:highlight w:val="none"/>
              </w:rPr>
              <w:drawing>
                <wp:inline distT="0" distB="0" distL="114300" distR="114300">
                  <wp:extent cx="648970" cy="795655"/>
                  <wp:effectExtent l="0" t="0" r="17780" b="4445"/>
                  <wp:docPr id="4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pic:cNvPicPr>
                            <a:picLocks noChangeAspect="1"/>
                          </pic:cNvPicPr>
                        </pic:nvPicPr>
                        <pic:blipFill>
                          <a:blip r:embed="rId12"/>
                          <a:stretch>
                            <a:fillRect/>
                          </a:stretch>
                        </pic:blipFill>
                        <pic:spPr>
                          <a:xfrm>
                            <a:off x="0" y="0"/>
                            <a:ext cx="648970" cy="795655"/>
                          </a:xfrm>
                          <a:prstGeom prst="rect">
                            <a:avLst/>
                          </a:prstGeom>
                          <a:noFill/>
                          <a:ln>
                            <a:noFill/>
                          </a:ln>
                        </pic:spPr>
                      </pic:pic>
                    </a:graphicData>
                  </a:graphic>
                </wp:inline>
              </w:drawing>
            </w:r>
            <w:r>
              <w:rPr>
                <w:color w:val="auto"/>
                <w:sz w:val="21"/>
                <w:szCs w:val="21"/>
                <w:highlight w:val="none"/>
              </w:rPr>
              <w:drawing>
                <wp:inline distT="0" distB="0" distL="114300" distR="114300">
                  <wp:extent cx="649605" cy="796925"/>
                  <wp:effectExtent l="0" t="0" r="17145" b="3175"/>
                  <wp:docPr id="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pic:cNvPicPr>
                            <a:picLocks noChangeAspect="1"/>
                          </pic:cNvPicPr>
                        </pic:nvPicPr>
                        <pic:blipFill>
                          <a:blip r:embed="rId13"/>
                          <a:stretch>
                            <a:fillRect/>
                          </a:stretch>
                        </pic:blipFill>
                        <pic:spPr>
                          <a:xfrm>
                            <a:off x="0" y="0"/>
                            <a:ext cx="649605" cy="796925"/>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2780</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套</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椅子：</w:t>
            </w:r>
          </w:p>
          <w:p>
            <w:pPr>
              <w:widowControl/>
              <w:spacing w:line="312" w:lineRule="auto"/>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规格：约520W×530D×820H(mm)。</w:t>
            </w:r>
          </w:p>
          <w:p>
            <w:pPr>
              <w:widowControl/>
              <w:spacing w:line="312" w:lineRule="auto"/>
              <w:ind w:left="120"/>
              <w:textAlignment w:val="center"/>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材质：座背椅板采用优质全新PP工程塑料一次注塑成型；耐用环保无异味；颜色：白色、椅架采用优质家具专用A3冷轧钢管；约20MM直径圆管1.0MM壁厚；五金部件连接采用二氧化碳保护焊接成型；喷涂灰色架；表面颜色经除磷、除锈、酸洗高温静电喷涂烤制成型；表面颜色附着力强不易脱落。                                                                                     </w:t>
            </w:r>
          </w:p>
          <w:p>
            <w:pPr>
              <w:widowControl/>
              <w:spacing w:line="312" w:lineRule="auto"/>
              <w:ind w:left="12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桌子：</w:t>
            </w:r>
          </w:p>
          <w:p>
            <w:pPr>
              <w:widowControl/>
              <w:spacing w:line="312" w:lineRule="auto"/>
              <w:ind w:left="12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规格：1200*600*750mm；</w:t>
            </w:r>
          </w:p>
          <w:p>
            <w:pPr>
              <w:widowControl/>
              <w:spacing w:line="312" w:lineRule="auto"/>
              <w:ind w:firstLine="210" w:firstLineChars="100"/>
              <w:textAlignment w:val="center"/>
              <w:rPr>
                <w:rFonts w:ascii="宋体" w:hAnsi="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材质：桌面为20mm厚刨花板三聚氰浮雕面（颜色：东南亚梨木色），四面采用1.5mm厚近色豪华PVC封边；桌架采用约50×20，1.0mm厚冷轧钢管；五金部件连接采用二氧化碳保护焊接成型；喷涂黑色架；表面颜色经除磷、除锈、酸洗高温静电喷涂烤制成型；表面颜色附着力强不易脱落，桌架后中部有固定防晃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auto"/>
                <w:sz w:val="21"/>
                <w:szCs w:val="21"/>
                <w:highlight w:val="none"/>
              </w:rPr>
            </w:pPr>
            <w:r>
              <w:rPr>
                <w:rFonts w:hint="eastAsia" w:ascii="宋体" w:hAnsi="宋体" w:cs="宋体"/>
                <w:color w:val="auto"/>
                <w:sz w:val="21"/>
                <w:szCs w:val="21"/>
                <w:highlight w:val="none"/>
              </w:rPr>
              <w:t>6</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双人课桌</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color w:val="auto"/>
                <w:sz w:val="21"/>
                <w:szCs w:val="21"/>
                <w:highlight w:val="none"/>
              </w:rPr>
              <w:drawing>
                <wp:inline distT="0" distB="0" distL="114300" distR="114300">
                  <wp:extent cx="726440" cy="696595"/>
                  <wp:effectExtent l="0" t="0" r="16510" b="8255"/>
                  <wp:docPr id="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0"/>
                          <pic:cNvPicPr>
                            <a:picLocks noChangeAspect="1"/>
                          </pic:cNvPicPr>
                        </pic:nvPicPr>
                        <pic:blipFill>
                          <a:blip r:embed="rId14"/>
                          <a:stretch>
                            <a:fillRect/>
                          </a:stretch>
                        </pic:blipFill>
                        <pic:spPr>
                          <a:xfrm>
                            <a:off x="0" y="0"/>
                            <a:ext cx="726440" cy="696595"/>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1222</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张</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pStyle w:val="6"/>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整体规格：12</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80</w:t>
            </w:r>
            <w:r>
              <w:rPr>
                <w:rFonts w:hint="eastAsia" w:ascii="宋体" w:hAnsi="宋体" w:cs="宋体"/>
                <w:color w:val="auto"/>
                <w:sz w:val="21"/>
                <w:szCs w:val="21"/>
                <w:highlight w:val="none"/>
              </w:rPr>
              <w:t>0mm（长*宽*高）</w:t>
            </w:r>
          </w:p>
          <w:p>
            <w:pPr>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1.桌面:规格500mm*1200mm*18mm，基材采用多层板，双面贴防火板，仿木纹胶条封边，甲醛释放量符合国家E1级标准;PP注塑一次成型，四周注塑封边，前面设有两个笔槽，笔槽规格180mm*20mm放置书写文具，桌面靠胸部位置设有鸭嘴型边缘，防止挤压胸腔。桌面离地高度：780mm，人性化设计，四周边缘平正光滑，美观坚固。</w:t>
            </w:r>
          </w:p>
          <w:p>
            <w:pPr>
              <w:rPr>
                <w:rFonts w:hint="eastAsia" w:ascii="宋体" w:hAnsi="宋体" w:eastAsia="宋体" w:cs="宋体"/>
                <w:color w:val="auto"/>
                <w:sz w:val="21"/>
                <w:szCs w:val="21"/>
                <w:highlight w:val="none"/>
                <w:lang w:eastAsia="zh-CN"/>
              </w:rPr>
            </w:pPr>
            <w:r>
              <w:rPr>
                <w:rFonts w:hint="eastAsia" w:hAnsi="宋体"/>
                <w:color w:val="auto"/>
                <w:sz w:val="21"/>
                <w:szCs w:val="21"/>
                <w:highlight w:val="none"/>
              </w:rPr>
              <w:t>▲</w:t>
            </w:r>
            <w:r>
              <w:rPr>
                <w:rFonts w:hint="eastAsia" w:ascii="宋体" w:hAnsi="宋体" w:cs="宋体"/>
                <w:color w:val="auto"/>
                <w:sz w:val="21"/>
                <w:szCs w:val="21"/>
                <w:highlight w:val="none"/>
              </w:rPr>
              <w:t>2.前挡板:前挡板采用1.2mm的钢制铁板，铁板表面大量冲孔保证考试或有需要的时候教师能快速查看情况，平整无毛刺，不刮手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书斗:采用1.0mm优质冷轧钢板模具一次成型压制成型，三面大量冲孔保证考试或有需要的时候教师能快速查看书斗内情况，书斗底部无孔，前沿采用卷边技术，平整无毛刺，不刮手</w:t>
            </w:r>
            <w:r>
              <w:rPr>
                <w:rFonts w:hint="eastAsia" w:ascii="宋体" w:hAnsi="宋体" w:cs="宋体"/>
                <w:color w:val="auto"/>
                <w:sz w:val="21"/>
                <w:szCs w:val="21"/>
                <w:highlight w:val="none"/>
                <w:lang w:eastAsia="zh-CN"/>
              </w:rPr>
              <w:t>。</w:t>
            </w:r>
          </w:p>
          <w:p>
            <w:pPr>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3.桌架立管:采用25mm*50mm*1.2mm优质冷轧椭圆钢管;桌架立管连接上梁:采用20mm*40mm*1.2mm优质冷轧钢管，桌架立管连接下梁:采用25mm*25mm*1.2mm优质冷轧钢管，桌斗两侧配有铁丝书包挂钩;.所有金属结构表面经过碱洗除油、酸洗除锈、磷化附膜、钝化、静电机器手自动喷涂粉末和高温固化处理，喷漆耐腐蚀性能需达到国家标准。</w:t>
            </w:r>
          </w:p>
          <w:p>
            <w:pPr>
              <w:rPr>
                <w:rFonts w:hint="eastAsia" w:ascii="宋体" w:hAnsi="宋体" w:eastAsia="宋体"/>
                <w:color w:val="auto"/>
                <w:sz w:val="21"/>
                <w:szCs w:val="21"/>
                <w:highlight w:val="none"/>
                <w:lang w:eastAsia="zh-CN"/>
              </w:rPr>
            </w:pPr>
            <w:r>
              <w:rPr>
                <w:rFonts w:hint="eastAsia" w:hAnsi="宋体"/>
                <w:color w:val="auto"/>
                <w:sz w:val="21"/>
                <w:szCs w:val="21"/>
                <w:highlight w:val="none"/>
              </w:rPr>
              <w:t>▲</w:t>
            </w:r>
            <w:r>
              <w:rPr>
                <w:rFonts w:hint="eastAsia" w:hAnsi="宋体"/>
                <w:color w:val="auto"/>
                <w:sz w:val="21"/>
                <w:szCs w:val="21"/>
                <w:highlight w:val="none"/>
                <w:lang w:val="en-US" w:eastAsia="zh-CN"/>
              </w:rPr>
              <w:t>4.</w:t>
            </w:r>
            <w:r>
              <w:rPr>
                <w:rFonts w:hint="eastAsia" w:ascii="宋体" w:hAnsi="宋体" w:cs="宋体"/>
                <w:color w:val="auto"/>
                <w:sz w:val="21"/>
                <w:szCs w:val="21"/>
                <w:highlight w:val="none"/>
              </w:rPr>
              <w:t>颜色要求：桌面为浅原木色，四周注塑封边浅灰色，框架、挡板、钢架结构统一为浅米白色</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auto"/>
                <w:sz w:val="21"/>
                <w:szCs w:val="21"/>
                <w:highlight w:val="none"/>
              </w:rPr>
            </w:pPr>
            <w:r>
              <w:rPr>
                <w:rFonts w:hint="eastAsia" w:ascii="宋体" w:hAnsi="宋体" w:cs="宋体"/>
                <w:color w:val="auto"/>
                <w:sz w:val="21"/>
                <w:szCs w:val="21"/>
                <w:highlight w:val="none"/>
              </w:rPr>
              <w:t>7</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课椅</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color w:val="auto"/>
                <w:sz w:val="21"/>
                <w:szCs w:val="21"/>
                <w:highlight w:val="none"/>
              </w:rPr>
              <w:drawing>
                <wp:inline distT="0" distB="0" distL="114300" distR="114300">
                  <wp:extent cx="770255" cy="1229995"/>
                  <wp:effectExtent l="0" t="0" r="10795" b="8255"/>
                  <wp:docPr id="33" name="图片 31" descr="微信图片_2025061412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descr="微信图片_20250614121344"/>
                          <pic:cNvPicPr>
                            <a:picLocks noChangeAspect="1"/>
                          </pic:cNvPicPr>
                        </pic:nvPicPr>
                        <pic:blipFill>
                          <a:blip r:embed="rId15"/>
                          <a:stretch>
                            <a:fillRect/>
                          </a:stretch>
                        </pic:blipFill>
                        <pic:spPr>
                          <a:xfrm>
                            <a:off x="0" y="0"/>
                            <a:ext cx="770255" cy="1229995"/>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2184</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把</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pStyle w:val="21"/>
              <w:ind w:firstLine="240"/>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椅子规格：535mm*475mm*860mm（±5mm）。</w:t>
            </w:r>
          </w:p>
          <w:p>
            <w:pPr>
              <w:pStyle w:val="21"/>
              <w:ind w:firstLine="240"/>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椅脚：采用优质铝合金经模具压铸一体成型，表面经打磨、抛光、喷淋清洗、静电喷粉、高温锔炉等工序精制而成，附着力强、耐腐蚀、不生锈、经久耐用。桌脚底部配有优质塑料脚套，预防课桌椅滑动、保护地面减少划痕和减少噪音产生。椅脚宽535mm（±2mm）、座高450mm（±2mm）、壁厚5mm。椅子整体宽475mm（±2mm），椅子整体高860mm（±5mm）。</w:t>
            </w:r>
          </w:p>
          <w:p>
            <w:pPr>
              <w:pStyle w:val="21"/>
              <w:ind w:firstLine="240"/>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椅面:采用14mm厚环保多层曲木板，经高频热压而成,双面贴优质可弯曲防火板，椅面宽420mm。</w:t>
            </w:r>
          </w:p>
          <w:p>
            <w:pPr>
              <w:pStyle w:val="21"/>
              <w:ind w:firstLine="240"/>
              <w:rPr>
                <w:rFonts w:ascii="宋体" w:hAnsi="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颜色要求：椅面为浅原木色，框架、钢架结构统一为浅米白色。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auto"/>
                <w:sz w:val="21"/>
                <w:szCs w:val="21"/>
                <w:highlight w:val="none"/>
              </w:rPr>
            </w:pPr>
            <w:r>
              <w:rPr>
                <w:rFonts w:hint="eastAsia" w:ascii="宋体" w:hAnsi="宋体" w:cs="宋体"/>
                <w:color w:val="auto"/>
                <w:sz w:val="21"/>
                <w:szCs w:val="21"/>
                <w:highlight w:val="none"/>
              </w:rPr>
              <w:t>8</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书法桌</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rPr>
                <w:rFonts w:ascii="宋体" w:hAnsi="宋体" w:cs="宋体"/>
                <w:color w:val="auto"/>
                <w:sz w:val="21"/>
                <w:szCs w:val="21"/>
                <w:highlight w:val="none"/>
              </w:rPr>
            </w:pPr>
            <w:r>
              <w:rPr>
                <w:color w:val="auto"/>
                <w:sz w:val="21"/>
                <w:szCs w:val="21"/>
                <w:highlight w:val="none"/>
              </w:rPr>
              <w:drawing>
                <wp:inline distT="0" distB="0" distL="114300" distR="114300">
                  <wp:extent cx="670560" cy="1032510"/>
                  <wp:effectExtent l="0" t="0" r="15240" b="15240"/>
                  <wp:docPr id="34" name="图片 32" descr="62d6911eefed3cc2fd5df5b2839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descr="62d6911eefed3cc2fd5df5b28395053"/>
                          <pic:cNvPicPr>
                            <a:picLocks noChangeAspect="1"/>
                          </pic:cNvPicPr>
                        </pic:nvPicPr>
                        <pic:blipFill>
                          <a:blip r:embed="rId16"/>
                          <a:stretch>
                            <a:fillRect/>
                          </a:stretch>
                        </pic:blipFill>
                        <pic:spPr>
                          <a:xfrm>
                            <a:off x="0" y="0"/>
                            <a:ext cx="670560" cy="1032510"/>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kern w:val="0"/>
                <w:sz w:val="21"/>
                <w:szCs w:val="21"/>
                <w:highlight w:val="none"/>
              </w:rPr>
              <w:t>30</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张</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pStyle w:val="6"/>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整体规格：1000mm*700mm*800mm（长*宽*高）</w:t>
            </w:r>
          </w:p>
          <w:p>
            <w:pPr>
              <w:pStyle w:val="6"/>
              <w:numPr>
                <w:ilvl w:val="0"/>
                <w:numId w:val="0"/>
              </w:numPr>
              <w:ind w:firstLine="210" w:firstLineChars="100"/>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cs="宋体"/>
                <w:color w:val="auto"/>
                <w:sz w:val="21"/>
                <w:szCs w:val="21"/>
                <w:highlight w:val="none"/>
              </w:rPr>
              <w:t>脚架：脚架采用50mm*25mm*1.0mm优质冷轧方形钢管，表面经打磨、抛光、喷淋清洗、静电喷粉、高温锔炉等工序精制而成，附着力强、耐腐蚀、不生锈、经久耐用。桌脚底部配有优质塑料脚套，预防课桌椅滑动、保护地面减少划痕和减少噪音产生。钢管材质为Q235B（或优于Q235B）优质钢材，管材材质符合GB/T 3094-2012《冷拔异型钢管》检测标准。颜色：黑色。</w:t>
            </w:r>
          </w:p>
          <w:p>
            <w:pPr>
              <w:pStyle w:val="6"/>
              <w:numPr>
                <w:ilvl w:val="0"/>
                <w:numId w:val="0"/>
              </w:numPr>
              <w:ind w:firstLine="210" w:firstLineChars="100"/>
              <w:rPr>
                <w:rFonts w:ascii="宋体" w:hAnsi="宋体"/>
                <w:color w:val="auto"/>
                <w:sz w:val="21"/>
                <w:szCs w:val="21"/>
                <w:highlight w:val="none"/>
              </w:rPr>
            </w:pPr>
            <w:r>
              <w:rPr>
                <w:rFonts w:hint="eastAsia" w:hAnsi="宋体"/>
                <w:color w:val="auto"/>
                <w:sz w:val="21"/>
                <w:szCs w:val="21"/>
                <w:highlight w:val="none"/>
              </w:rPr>
              <w:t>▲</w:t>
            </w:r>
            <w:r>
              <w:rPr>
                <w:rFonts w:ascii="宋体" w:hAnsi="宋体" w:eastAsia="宋体" w:cs="Times New Roman"/>
                <w:color w:val="auto"/>
                <w:kern w:val="2"/>
                <w:sz w:val="21"/>
                <w:szCs w:val="21"/>
                <w:highlight w:val="none"/>
                <w:lang w:val="en-US" w:eastAsia="zh-CN" w:bidi="ar-SA"/>
              </w:rPr>
              <w:t>2</w:t>
            </w:r>
            <w:r>
              <w:rPr>
                <w:rFonts w:hint="eastAsia" w:ascii="宋体" w:hAnsi="宋体" w:cs="Times New Roman"/>
                <w:color w:val="auto"/>
                <w:kern w:val="2"/>
                <w:sz w:val="21"/>
                <w:szCs w:val="21"/>
                <w:highlight w:val="none"/>
                <w:lang w:val="en-US" w:eastAsia="zh-CN" w:bidi="ar-SA"/>
              </w:rPr>
              <w:t>.</w:t>
            </w:r>
            <w:r>
              <w:rPr>
                <w:rFonts w:hint="eastAsia" w:ascii="宋体" w:hAnsi="宋体" w:cs="宋体"/>
                <w:color w:val="auto"/>
                <w:sz w:val="21"/>
                <w:szCs w:val="21"/>
                <w:highlight w:val="none"/>
              </w:rPr>
              <w:t>桌面板板材采用20mm厚E1级刨花板，板材表面采用国家环保材料三聚氢胺饰面纸，经200度高温贴面，表面光滑、耐刮、硬度高，防火、防潮、耐磨、耐高温、免油漆、无臭味，板材四边采用</w:t>
            </w:r>
            <w:r>
              <w:rPr>
                <w:rFonts w:hint="default" w:ascii="宋体" w:hAnsi="宋体" w:cs="宋体"/>
                <w:color w:val="auto"/>
                <w:sz w:val="21"/>
                <w:szCs w:val="21"/>
                <w:highlight w:val="none"/>
                <w:lang w:val="en"/>
              </w:rPr>
              <w:t>≥</w:t>
            </w:r>
            <w:r>
              <w:rPr>
                <w:rFonts w:hint="eastAsia" w:ascii="宋体" w:hAnsi="宋体" w:cs="宋体"/>
                <w:color w:val="auto"/>
                <w:sz w:val="21"/>
                <w:szCs w:val="21"/>
                <w:highlight w:val="none"/>
              </w:rPr>
              <w:t>1.5mm厚PVC封边条，全自动机械封边，封边胶采用EVA环保热熔胶，经机械加温熔化与封边条结合机械封边。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auto"/>
                <w:sz w:val="21"/>
                <w:szCs w:val="21"/>
                <w:highlight w:val="none"/>
              </w:rPr>
            </w:pPr>
            <w:r>
              <w:rPr>
                <w:rFonts w:hint="eastAsia" w:ascii="宋体" w:hAnsi="宋体" w:cs="宋体"/>
                <w:color w:val="auto"/>
                <w:sz w:val="21"/>
                <w:szCs w:val="21"/>
                <w:highlight w:val="none"/>
              </w:rPr>
              <w:t>9</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学习桌</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rPr>
                <w:rFonts w:ascii="宋体" w:hAnsi="宋体" w:cs="宋体"/>
                <w:color w:val="auto"/>
                <w:sz w:val="21"/>
                <w:szCs w:val="21"/>
                <w:highlight w:val="none"/>
              </w:rPr>
            </w:pPr>
            <w:r>
              <w:rPr>
                <w:color w:val="auto"/>
                <w:sz w:val="21"/>
                <w:szCs w:val="21"/>
                <w:highlight w:val="none"/>
              </w:rPr>
              <w:drawing>
                <wp:inline distT="0" distB="0" distL="114300" distR="114300">
                  <wp:extent cx="640080" cy="765810"/>
                  <wp:effectExtent l="0" t="0" r="7620" b="15240"/>
                  <wp:docPr id="35" name="图片 33" descr="桌子8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descr="桌子80cm"/>
                          <pic:cNvPicPr>
                            <a:picLocks noChangeAspect="1"/>
                          </pic:cNvPicPr>
                        </pic:nvPicPr>
                        <pic:blipFill>
                          <a:blip r:embed="rId17"/>
                          <a:stretch>
                            <a:fillRect/>
                          </a:stretch>
                        </pic:blipFill>
                        <pic:spPr>
                          <a:xfrm>
                            <a:off x="0" y="0"/>
                            <a:ext cx="640080" cy="765810"/>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张</w:t>
            </w:r>
          </w:p>
        </w:tc>
        <w:tc>
          <w:tcPr>
            <w:tcW w:w="3120" w:type="pct"/>
            <w:tcBorders>
              <w:top w:val="single" w:color="auto" w:sz="4" w:space="0"/>
              <w:left w:val="single" w:color="auto" w:sz="4" w:space="0"/>
              <w:bottom w:val="single" w:color="auto" w:sz="4" w:space="0"/>
              <w:right w:val="single" w:color="auto" w:sz="4" w:space="0"/>
            </w:tcBorders>
            <w:noWrap w:val="0"/>
            <w:vAlign w:val="top"/>
          </w:tcPr>
          <w:p>
            <w:pPr>
              <w:widowControl/>
              <w:spacing w:line="312" w:lineRule="auto"/>
              <w:textAlignment w:val="center"/>
              <w:rPr>
                <w:rFonts w:ascii="宋体" w:hAnsi="宋体" w:cs="宋体"/>
                <w:color w:val="auto"/>
                <w:sz w:val="21"/>
                <w:szCs w:val="21"/>
                <w:highlight w:val="none"/>
              </w:rPr>
            </w:pPr>
            <w:r>
              <w:rPr>
                <w:rFonts w:hint="eastAsia" w:ascii="宋体" w:hAnsi="宋体" w:cs="宋体"/>
                <w:color w:val="auto"/>
                <w:sz w:val="21"/>
                <w:szCs w:val="21"/>
                <w:highlight w:val="none"/>
              </w:rPr>
              <w:t>规格：800*400*740mm。</w:t>
            </w:r>
          </w:p>
          <w:p>
            <w:pPr>
              <w:widowControl/>
              <w:numPr>
                <w:ilvl w:val="0"/>
                <w:numId w:val="0"/>
              </w:numPr>
              <w:spacing w:line="312" w:lineRule="auto"/>
              <w:textAlignment w:val="center"/>
              <w:rPr>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1.</w:t>
            </w:r>
            <w:r>
              <w:rPr>
                <w:rFonts w:hint="eastAsia" w:ascii="宋体" w:hAnsi="宋体" w:cs="宋体"/>
                <w:color w:val="auto"/>
                <w:sz w:val="21"/>
                <w:szCs w:val="21"/>
                <w:highlight w:val="none"/>
              </w:rPr>
              <w:t>脚架采用优质冷轧钢管,钢管材质为Q235B（或优于Q235B）优质钢材，管材材质符合GB/T 3094-2012《冷拔异型钢管》检测标准。所有金属结构表面经过碱洗除油、酸洗除锈、磷化附膜、钝化、静电机器手自动喷涂粉末和高温固化处理，喷漆耐腐蚀性能需达到国家标准。桌角带静音耐磨万向滑轮，随走随停灵活方便。</w:t>
            </w:r>
          </w:p>
          <w:p>
            <w:pPr>
              <w:pStyle w:val="6"/>
              <w:ind w:firstLine="210" w:firstLineChars="100"/>
              <w:rPr>
                <w:rFonts w:hint="eastAsia" w:ascii="宋体" w:hAnsi="宋体" w:eastAsia="宋体" w:cs="宋体"/>
                <w:color w:val="auto"/>
                <w:sz w:val="21"/>
                <w:szCs w:val="21"/>
                <w:highlight w:val="none"/>
                <w:lang w:eastAsia="zh-CN"/>
              </w:rPr>
            </w:pPr>
            <w:r>
              <w:rPr>
                <w:rFonts w:hint="eastAsia" w:hAnsi="宋体"/>
                <w:color w:val="auto"/>
                <w:sz w:val="21"/>
                <w:szCs w:val="21"/>
                <w:highlight w:val="none"/>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桌面板采用可翻转设计，板材采用25mm厚E1级刨花板，板材表面采用国家环保材料三聚氢胺饰面纸，经200度高温贴面，表面光滑、耐刮、硬度高，防火、防潮、耐磨、耐高温、免油漆、无臭味，板材四边采用</w:t>
            </w:r>
            <w:r>
              <w:rPr>
                <w:rFonts w:hint="default" w:ascii="宋体" w:hAnsi="宋体" w:cs="宋体"/>
                <w:color w:val="auto"/>
                <w:sz w:val="21"/>
                <w:szCs w:val="21"/>
                <w:highlight w:val="none"/>
                <w:lang w:val="en"/>
              </w:rPr>
              <w:t>≥</w:t>
            </w:r>
            <w:r>
              <w:rPr>
                <w:rFonts w:hint="eastAsia" w:ascii="宋体" w:hAnsi="宋体" w:cs="宋体"/>
                <w:color w:val="auto"/>
                <w:sz w:val="21"/>
                <w:szCs w:val="21"/>
                <w:highlight w:val="none"/>
              </w:rPr>
              <w:t>1.5mm厚PVC封边条，全自动机械封边，封边胶采用EVA环保热熔胶，经机械加温熔化与封边条结合机械封边，所有使用材料符合以下标准</w:t>
            </w:r>
            <w:r>
              <w:rPr>
                <w:rFonts w:hint="eastAsia" w:ascii="宋体" w:hAnsi="宋体" w:cs="宋体"/>
                <w:color w:val="auto"/>
                <w:sz w:val="21"/>
                <w:szCs w:val="21"/>
                <w:highlight w:val="none"/>
                <w:lang w:eastAsia="zh-CN"/>
              </w:rPr>
              <w:t>：</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（1）板材</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静曲强度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弹性模量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内结合强度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表面胶合强度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24h吸水厚度膨胀率%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含水率</w:t>
            </w:r>
            <w:r>
              <w:rPr>
                <w:rFonts w:hint="eastAsia" w:ascii="宋体" w:hAnsi="宋体" w:cs="宋体"/>
                <w:color w:val="auto"/>
                <w:sz w:val="21"/>
                <w:szCs w:val="21"/>
                <w:highlight w:val="none"/>
                <w:lang w:eastAsia="zh-CN"/>
              </w:rPr>
              <w:t>等</w:t>
            </w:r>
            <w:r>
              <w:rPr>
                <w:rFonts w:hint="eastAsia" w:ascii="宋体" w:hAnsi="宋体" w:cs="宋体"/>
                <w:color w:val="auto"/>
                <w:sz w:val="21"/>
                <w:szCs w:val="21"/>
                <w:highlight w:val="none"/>
              </w:rPr>
              <w:t>指标须符合GB/T 15102-2017《浸渍胶膜纸饰面纤维板和刨花板》</w:t>
            </w:r>
            <w:r>
              <w:rPr>
                <w:rFonts w:hint="eastAsia" w:ascii="宋体" w:hAnsi="宋体" w:cs="宋体"/>
                <w:color w:val="auto"/>
                <w:sz w:val="21"/>
                <w:szCs w:val="21"/>
                <w:highlight w:val="none"/>
                <w:lang w:eastAsia="zh-CN"/>
              </w:rPr>
              <w:t>的检测标准。板材的甲醛释放量须符合</w:t>
            </w:r>
            <w:r>
              <w:rPr>
                <w:rFonts w:hint="eastAsia" w:ascii="宋体" w:hAnsi="宋体" w:cs="宋体"/>
                <w:color w:val="auto"/>
                <w:sz w:val="21"/>
                <w:szCs w:val="21"/>
                <w:highlight w:val="none"/>
              </w:rPr>
              <w:t>GB 18580-2017《室内装饰装修材料 人造板及其制品中甲醛释放限量》</w:t>
            </w:r>
            <w:r>
              <w:rPr>
                <w:rFonts w:hint="eastAsia" w:ascii="宋体" w:hAnsi="宋体" w:cs="宋体"/>
                <w:color w:val="auto"/>
                <w:sz w:val="21"/>
                <w:szCs w:val="21"/>
                <w:highlight w:val="none"/>
                <w:lang w:eastAsia="zh-CN"/>
              </w:rPr>
              <w:t>标准要求，甲醛释放量≤0.05mg/m³。板材的</w:t>
            </w:r>
            <w:r>
              <w:rPr>
                <w:rFonts w:hint="eastAsia" w:ascii="宋体" w:hAnsi="宋体" w:cs="宋体"/>
                <w:color w:val="auto"/>
                <w:sz w:val="21"/>
                <w:szCs w:val="21"/>
                <w:highlight w:val="none"/>
              </w:rPr>
              <w:t>防霉菌性能</w:t>
            </w:r>
            <w:r>
              <w:rPr>
                <w:rFonts w:hint="eastAsia" w:ascii="宋体" w:hAnsi="宋体" w:cs="宋体"/>
                <w:color w:val="auto"/>
                <w:sz w:val="21"/>
                <w:szCs w:val="21"/>
                <w:highlight w:val="none"/>
                <w:lang w:eastAsia="zh-CN"/>
              </w:rPr>
              <w:t>须符合</w:t>
            </w:r>
            <w:r>
              <w:rPr>
                <w:rFonts w:hint="eastAsia" w:ascii="宋体" w:hAnsi="宋体" w:cs="宋体"/>
                <w:color w:val="auto"/>
                <w:sz w:val="21"/>
                <w:szCs w:val="21"/>
                <w:highlight w:val="none"/>
              </w:rPr>
              <w:t>JC/T2039-2010《抗菌防霉木质装饰板》的</w:t>
            </w:r>
            <w:r>
              <w:rPr>
                <w:rFonts w:hint="eastAsia" w:ascii="宋体" w:hAnsi="宋体" w:cs="宋体"/>
                <w:color w:val="auto"/>
                <w:sz w:val="21"/>
                <w:szCs w:val="21"/>
                <w:highlight w:val="none"/>
                <w:lang w:eastAsia="zh-CN"/>
              </w:rPr>
              <w:t>标准要求</w:t>
            </w:r>
            <w:r>
              <w:rPr>
                <w:rFonts w:hint="eastAsia" w:ascii="宋体" w:hAnsi="宋体" w:cs="宋体"/>
                <w:color w:val="auto"/>
                <w:sz w:val="21"/>
                <w:szCs w:val="21"/>
                <w:highlight w:val="none"/>
              </w:rPr>
              <w:t>。</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（2）三聚氰胺饰面纸通过GB/T-28995-2012《人造板饰面专用纸》符合的检测标准，检测内容包括但不限于：甲醛释放量、挥发物含量、预固化度、耐磨转数。</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（3）PVC封边条</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耐干热性、耐磨性、耐开裂性、耐老化性、耐冷热循环、甲醛释放量、可迁移元素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残留氯乙烯单体</w:t>
            </w:r>
            <w:r>
              <w:rPr>
                <w:rFonts w:hint="eastAsia" w:ascii="宋体" w:hAnsi="宋体" w:cs="宋体"/>
                <w:color w:val="auto"/>
                <w:sz w:val="21"/>
                <w:szCs w:val="21"/>
                <w:highlight w:val="none"/>
                <w:lang w:eastAsia="zh-CN"/>
              </w:rPr>
              <w:t>等指标需</w:t>
            </w:r>
            <w:r>
              <w:rPr>
                <w:rFonts w:hint="eastAsia" w:ascii="宋体" w:hAnsi="宋体" w:cs="宋体"/>
                <w:color w:val="auto"/>
                <w:sz w:val="21"/>
                <w:szCs w:val="21"/>
                <w:highlight w:val="none"/>
              </w:rPr>
              <w:t>符合QB/T4463-2013《家具用封边条技术要求》</w:t>
            </w:r>
            <w:r>
              <w:rPr>
                <w:rFonts w:hint="eastAsia" w:ascii="宋体" w:hAnsi="宋体" w:cs="宋体"/>
                <w:color w:val="auto"/>
                <w:sz w:val="21"/>
                <w:szCs w:val="21"/>
                <w:highlight w:val="none"/>
                <w:lang w:eastAsia="zh-CN"/>
              </w:rPr>
              <w:t>的技术要求。</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（4）热熔胶中的有害物质限量</w:t>
            </w:r>
            <w:r>
              <w:rPr>
                <w:rFonts w:hint="eastAsia" w:ascii="宋体" w:hAnsi="宋体" w:cs="宋体"/>
                <w:color w:val="auto"/>
                <w:sz w:val="21"/>
                <w:szCs w:val="21"/>
                <w:highlight w:val="none"/>
                <w:lang w:val="en-US" w:eastAsia="zh-CN"/>
              </w:rPr>
              <w:t>(包括总挥发有机化合物,苯、甲苯+二甲苯、游离甲醛含量等指标)</w:t>
            </w:r>
            <w:r>
              <w:rPr>
                <w:rFonts w:hint="eastAsia" w:ascii="宋体" w:hAnsi="宋体" w:cs="宋体"/>
                <w:color w:val="auto"/>
                <w:sz w:val="21"/>
                <w:szCs w:val="21"/>
                <w:highlight w:val="none"/>
              </w:rPr>
              <w:t>符合GB 18583-2008《室内装饰装修材料 胶粘剂中有害物质限量》（水基型聚乙酸乙烯酯胶粘剂）标准要求。</w:t>
            </w:r>
          </w:p>
          <w:p>
            <w:pPr>
              <w:pStyle w:val="21"/>
              <w:ind w:firstLine="0" w:firstLineChars="0"/>
              <w:rPr>
                <w:rFonts w:ascii="宋体" w:hAnsi="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颜色：白色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汉仪中秀体简" w:hAnsi="汉仪中秀体简" w:eastAsia="汉仪中秀体简" w:cs="汉仪中秀体简"/>
                <w:color w:val="auto"/>
                <w:sz w:val="21"/>
                <w:szCs w:val="21"/>
                <w:highlight w:val="none"/>
              </w:rPr>
            </w:pPr>
            <w:r>
              <w:rPr>
                <w:rFonts w:hint="eastAsia" w:ascii="宋体" w:hAnsi="宋体"/>
                <w:color w:val="auto"/>
                <w:sz w:val="21"/>
                <w:szCs w:val="21"/>
                <w:highlight w:val="none"/>
              </w:rPr>
              <w:t>10</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学习椅</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rPr>
                <w:rFonts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718820" cy="1238885"/>
                  <wp:effectExtent l="0" t="0" r="5080" b="18415"/>
                  <wp:docPr id="26" name="图片 34" descr="83c0712dcc8877415dbb1be0637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4" descr="83c0712dcc8877415dbb1be06370701"/>
                          <pic:cNvPicPr>
                            <a:picLocks noChangeAspect="1"/>
                          </pic:cNvPicPr>
                        </pic:nvPicPr>
                        <pic:blipFill>
                          <a:blip r:embed="rId18"/>
                          <a:stretch>
                            <a:fillRect/>
                          </a:stretch>
                        </pic:blipFill>
                        <pic:spPr>
                          <a:xfrm>
                            <a:off x="0" y="0"/>
                            <a:ext cx="718820" cy="1238885"/>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320</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张</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规格：约450 mm长×450 mm宽×820 mm高</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饰面：采用优质网布，须符合GB18401-2010《国家纺织产品基本安全技术规范》的要求，多层强力拉筋包背回弹力好，经久耐用。</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 xml:space="preserve">衬垫层：采用优质高回弹PU泡绵，座密度≥35kg/m³，回弹力好，表面涂有防老化变形保护膜，内部衬垫物不得使用废旧和再生材料，软硬适中。 </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椅架采用Φ19mm厚度不小于1.2mm国标优质冷扎钢管弯曲成型，表面静电喷涂塑或电镀，耐酸耐碱性能强。</w:t>
            </w:r>
          </w:p>
          <w:p>
            <w:pPr>
              <w:pStyle w:val="29"/>
              <w:spacing w:line="312" w:lineRule="auto"/>
              <w:ind w:firstLine="210" w:firstLineChars="100"/>
              <w:rPr>
                <w:rFonts w:ascii="宋体" w:hAnsi="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椅子整体承重不小于200Kg。颜色：黑色。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汉仪中秀体简" w:hAnsi="汉仪中秀体简" w:eastAsia="宋体" w:cs="汉仪中秀体简"/>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L型课桌</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color w:val="auto"/>
                <w:sz w:val="21"/>
                <w:szCs w:val="21"/>
                <w:highlight w:val="none"/>
              </w:rPr>
              <w:drawing>
                <wp:inline distT="0" distB="0" distL="114300" distR="114300">
                  <wp:extent cx="711835" cy="1360170"/>
                  <wp:effectExtent l="0" t="0" r="12065" b="11430"/>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ChangeAspect="1"/>
                          </pic:cNvPicPr>
                        </pic:nvPicPr>
                        <pic:blipFill>
                          <a:blip r:embed="rId19"/>
                          <a:stretch>
                            <a:fillRect/>
                          </a:stretch>
                        </pic:blipFill>
                        <pic:spPr>
                          <a:xfrm>
                            <a:off x="0" y="0"/>
                            <a:ext cx="711835" cy="1360170"/>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kern w:val="0"/>
                <w:sz w:val="21"/>
                <w:szCs w:val="21"/>
                <w:highlight w:val="none"/>
              </w:rPr>
              <w:t>170</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张</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整体规格：1500*650*1500mm（长*宽*高）</w:t>
            </w:r>
          </w:p>
          <w:p>
            <w:pPr>
              <w:pStyle w:val="6"/>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整体结构：左侧四层书架，右侧书桌</w:t>
            </w:r>
          </w:p>
          <w:p>
            <w:pPr>
              <w:pStyle w:val="6"/>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书架规格：300*650*1500mm（长*宽*高）</w:t>
            </w:r>
          </w:p>
          <w:p>
            <w:pPr>
              <w:pStyle w:val="6"/>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书桌规格：1200*600*750mm（长*宽*高）</w:t>
            </w:r>
          </w:p>
          <w:p>
            <w:pPr>
              <w:widowControl/>
              <w:spacing w:line="312" w:lineRule="auto"/>
              <w:textAlignment w:val="center"/>
              <w:rPr>
                <w:rFonts w:hint="eastAsia" w:ascii="宋体" w:hAnsi="宋体" w:cs="宋体"/>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书架钢管采用30*30*1.2mm优质冷轧钢管,书桌脚架采用40*40*1.2mm优质冷轧钢管,钢管材质为Q235B（或优于Q235B）优质钢材，管材材质符合GB/T 3094-2012《冷拔异型钢管》检测标准。</w:t>
            </w:r>
          </w:p>
          <w:p>
            <w:pPr>
              <w:pStyle w:val="6"/>
              <w:ind w:left="0" w:leftChars="0" w:firstLine="0" w:firstLineChars="0"/>
              <w:rPr>
                <w:rFonts w:hint="eastAsia" w:ascii="宋体" w:hAnsi="宋体" w:eastAsia="宋体" w:cs="宋体"/>
                <w:color w:val="auto"/>
                <w:sz w:val="21"/>
                <w:szCs w:val="21"/>
                <w:highlight w:val="none"/>
                <w:lang w:eastAsia="zh-CN"/>
              </w:rPr>
            </w:pPr>
            <w:r>
              <w:rPr>
                <w:rFonts w:hint="eastAsia" w:hAnsi="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书架层板采用15mmE1级刨花板，书桌桌面采用25mmE1级刨花板,板材表面采用国家环保材料三聚氢胺饰面纸，经200度高温贴面，表面光滑、耐刮、硬度高，防火、防潮、耐磨、耐高温、免油漆、无臭味，板材四边采用</w:t>
            </w:r>
            <w:r>
              <w:rPr>
                <w:rFonts w:hint="default" w:ascii="宋体" w:hAnsi="宋体" w:cs="宋体"/>
                <w:color w:val="auto"/>
                <w:sz w:val="21"/>
                <w:szCs w:val="21"/>
                <w:highlight w:val="none"/>
                <w:lang w:val="en"/>
              </w:rPr>
              <w:t>≥</w:t>
            </w:r>
            <w:r>
              <w:rPr>
                <w:rFonts w:hint="eastAsia" w:ascii="宋体" w:hAnsi="宋体" w:cs="宋体"/>
                <w:color w:val="auto"/>
                <w:sz w:val="21"/>
                <w:szCs w:val="21"/>
                <w:highlight w:val="none"/>
              </w:rPr>
              <w:t>1.5mm厚PVC封边条，全自动机械封边，封边胶采用EVA环保热熔胶，经机械加温熔化与封边条结合机械封边，所有使用材料符合以下标准</w:t>
            </w:r>
            <w:r>
              <w:rPr>
                <w:rFonts w:hint="eastAsia" w:ascii="宋体" w:hAnsi="宋体" w:cs="宋体"/>
                <w:color w:val="auto"/>
                <w:sz w:val="21"/>
                <w:szCs w:val="21"/>
                <w:highlight w:val="none"/>
                <w:lang w:eastAsia="zh-CN"/>
              </w:rPr>
              <w:t>：</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（1）板材</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静曲强度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弹性模量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内结合强度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表面胶合强度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24h吸水厚度膨胀率%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含水率</w:t>
            </w:r>
            <w:r>
              <w:rPr>
                <w:rFonts w:hint="eastAsia" w:ascii="宋体" w:hAnsi="宋体" w:cs="宋体"/>
                <w:color w:val="auto"/>
                <w:sz w:val="21"/>
                <w:szCs w:val="21"/>
                <w:highlight w:val="none"/>
                <w:lang w:eastAsia="zh-CN"/>
              </w:rPr>
              <w:t>等</w:t>
            </w:r>
            <w:r>
              <w:rPr>
                <w:rFonts w:hint="eastAsia" w:ascii="宋体" w:hAnsi="宋体" w:cs="宋体"/>
                <w:color w:val="auto"/>
                <w:sz w:val="21"/>
                <w:szCs w:val="21"/>
                <w:highlight w:val="none"/>
              </w:rPr>
              <w:t>指标须符合GB/T 15102-2017《浸渍胶膜纸饰面纤维板和刨花板》</w:t>
            </w:r>
            <w:r>
              <w:rPr>
                <w:rFonts w:hint="eastAsia" w:ascii="宋体" w:hAnsi="宋体" w:cs="宋体"/>
                <w:color w:val="auto"/>
                <w:sz w:val="21"/>
                <w:szCs w:val="21"/>
                <w:highlight w:val="none"/>
                <w:lang w:eastAsia="zh-CN"/>
              </w:rPr>
              <w:t>的检测标准。板材的甲醛释放量须符合</w:t>
            </w:r>
            <w:r>
              <w:rPr>
                <w:rFonts w:hint="eastAsia" w:ascii="宋体" w:hAnsi="宋体" w:cs="宋体"/>
                <w:color w:val="auto"/>
                <w:sz w:val="21"/>
                <w:szCs w:val="21"/>
                <w:highlight w:val="none"/>
              </w:rPr>
              <w:t>GB 18580-2017《室内装饰装修材料 人造板及其制品中甲醛释放限量》</w:t>
            </w:r>
            <w:r>
              <w:rPr>
                <w:rFonts w:hint="eastAsia" w:ascii="宋体" w:hAnsi="宋体" w:cs="宋体"/>
                <w:color w:val="auto"/>
                <w:sz w:val="21"/>
                <w:szCs w:val="21"/>
                <w:highlight w:val="none"/>
                <w:lang w:eastAsia="zh-CN"/>
              </w:rPr>
              <w:t>标准要求，甲醛释放量≤0.05mg/m³。板材的</w:t>
            </w:r>
            <w:r>
              <w:rPr>
                <w:rFonts w:hint="eastAsia" w:ascii="宋体" w:hAnsi="宋体" w:cs="宋体"/>
                <w:color w:val="auto"/>
                <w:sz w:val="21"/>
                <w:szCs w:val="21"/>
                <w:highlight w:val="none"/>
              </w:rPr>
              <w:t>防霉菌性能</w:t>
            </w:r>
            <w:r>
              <w:rPr>
                <w:rFonts w:hint="eastAsia" w:ascii="宋体" w:hAnsi="宋体" w:cs="宋体"/>
                <w:color w:val="auto"/>
                <w:sz w:val="21"/>
                <w:szCs w:val="21"/>
                <w:highlight w:val="none"/>
                <w:lang w:eastAsia="zh-CN"/>
              </w:rPr>
              <w:t>须符合</w:t>
            </w:r>
            <w:r>
              <w:rPr>
                <w:rFonts w:hint="eastAsia" w:ascii="宋体" w:hAnsi="宋体" w:cs="宋体"/>
                <w:color w:val="auto"/>
                <w:sz w:val="21"/>
                <w:szCs w:val="21"/>
                <w:highlight w:val="none"/>
              </w:rPr>
              <w:t>JC/T2039-2010《抗菌防霉木质装饰板》的</w:t>
            </w:r>
            <w:r>
              <w:rPr>
                <w:rFonts w:hint="eastAsia" w:ascii="宋体" w:hAnsi="宋体" w:cs="宋体"/>
                <w:color w:val="auto"/>
                <w:sz w:val="21"/>
                <w:szCs w:val="21"/>
                <w:highlight w:val="none"/>
                <w:lang w:eastAsia="zh-CN"/>
              </w:rPr>
              <w:t>标准要求</w:t>
            </w:r>
            <w:r>
              <w:rPr>
                <w:rFonts w:hint="eastAsia" w:ascii="宋体" w:hAnsi="宋体" w:cs="宋体"/>
                <w:color w:val="auto"/>
                <w:sz w:val="21"/>
                <w:szCs w:val="21"/>
                <w:highlight w:val="none"/>
              </w:rPr>
              <w:t>。</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（2）三聚氰胺饰面纸通过GB/T-28995-2012《人造板饰面专用纸》符合的检测标准，检测内容包括但不限于：甲醛释放量、挥发物含量、预固化度、耐磨转数。</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（3）PVC封边条</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耐干热性、耐磨性、耐开裂性、耐老化性、耐冷热循环、甲醛释放量、可迁移元素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残留氯乙烯单体</w:t>
            </w:r>
            <w:r>
              <w:rPr>
                <w:rFonts w:hint="eastAsia" w:ascii="宋体" w:hAnsi="宋体" w:cs="宋体"/>
                <w:color w:val="auto"/>
                <w:sz w:val="21"/>
                <w:szCs w:val="21"/>
                <w:highlight w:val="none"/>
                <w:lang w:eastAsia="zh-CN"/>
              </w:rPr>
              <w:t>等指标需</w:t>
            </w:r>
            <w:r>
              <w:rPr>
                <w:rFonts w:hint="eastAsia" w:ascii="宋体" w:hAnsi="宋体" w:cs="宋体"/>
                <w:color w:val="auto"/>
                <w:sz w:val="21"/>
                <w:szCs w:val="21"/>
                <w:highlight w:val="none"/>
              </w:rPr>
              <w:t>符合QB/T4463-2013《家具用封边条技术要求》</w:t>
            </w:r>
            <w:r>
              <w:rPr>
                <w:rFonts w:hint="eastAsia" w:ascii="宋体" w:hAnsi="宋体" w:cs="宋体"/>
                <w:color w:val="auto"/>
                <w:sz w:val="21"/>
                <w:szCs w:val="21"/>
                <w:highlight w:val="none"/>
                <w:lang w:eastAsia="zh-CN"/>
              </w:rPr>
              <w:t>的技术要求。</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（4）热熔胶中的有害物质限量</w:t>
            </w:r>
            <w:r>
              <w:rPr>
                <w:rFonts w:hint="eastAsia" w:ascii="宋体" w:hAnsi="宋体" w:cs="宋体"/>
                <w:color w:val="auto"/>
                <w:sz w:val="21"/>
                <w:szCs w:val="21"/>
                <w:highlight w:val="none"/>
                <w:lang w:val="en-US" w:eastAsia="zh-CN"/>
              </w:rPr>
              <w:t>(包括总挥发有机化合物,苯、甲苯+二甲苯、游离甲醛含量等指标)</w:t>
            </w:r>
            <w:r>
              <w:rPr>
                <w:rFonts w:hint="eastAsia" w:ascii="宋体" w:hAnsi="宋体" w:cs="宋体"/>
                <w:color w:val="auto"/>
                <w:sz w:val="21"/>
                <w:szCs w:val="21"/>
                <w:highlight w:val="none"/>
              </w:rPr>
              <w:t>符合GB 18583-2008《室内装饰装修材料 胶粘剂中有害物质限量》（水基型聚乙酸乙烯酯胶粘剂）标准要求。</w:t>
            </w:r>
          </w:p>
          <w:p>
            <w:pPr>
              <w:widowControl/>
              <w:spacing w:line="312" w:lineRule="auto"/>
              <w:ind w:firstLine="210" w:firstLineChars="100"/>
              <w:textAlignment w:val="center"/>
              <w:rPr>
                <w:rFonts w:ascii="宋体" w:hAnsi="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所用钢材材质须采用镀锌处理，金属涂饰前零部件的表面光滑、平整、无开裂、脱焊、漏焊、焊渣或飞边、尖角、毛刺等可能造成机械伤害的缺陷。涂饰前零、部件表面进行预备处理，采用除锈、防锈处理工艺除去锈迹 等其他污迹后进行涂装打底磷化处理。预备处理后表面无氧化皮、锈蚀、粘砂等其他杂质，磷化层达到工艺要求，预备处理后及时进行涂饰，喷涂环氧聚酯粉末（塑粉）。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汉仪中秀体简" w:hAnsi="汉仪中秀体简" w:eastAsia="汉仪中秀体简" w:cs="汉仪中秀体简"/>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实训桌</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color w:val="auto"/>
                <w:sz w:val="21"/>
                <w:szCs w:val="21"/>
                <w:highlight w:val="none"/>
              </w:rPr>
              <w:drawing>
                <wp:inline distT="0" distB="0" distL="114300" distR="114300">
                  <wp:extent cx="635000" cy="603885"/>
                  <wp:effectExtent l="0" t="0" r="12700" b="5715"/>
                  <wp:docPr id="2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8"/>
                          <pic:cNvPicPr>
                            <a:picLocks noChangeAspect="1"/>
                          </pic:cNvPicPr>
                        </pic:nvPicPr>
                        <pic:blipFill>
                          <a:blip r:embed="rId20"/>
                          <a:stretch>
                            <a:fillRect/>
                          </a:stretch>
                        </pic:blipFill>
                        <pic:spPr>
                          <a:xfrm>
                            <a:off x="0" y="0"/>
                            <a:ext cx="635000" cy="603885"/>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kern w:val="0"/>
                <w:sz w:val="21"/>
                <w:szCs w:val="21"/>
                <w:highlight w:val="none"/>
              </w:rPr>
              <w:t>14</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张</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规格：1200*2400*750mm（长*宽*高）</w:t>
            </w:r>
          </w:p>
          <w:p>
            <w:pPr>
              <w:widowControl/>
              <w:spacing w:line="312" w:lineRule="auto"/>
              <w:ind w:firstLine="210" w:firstLineChars="100"/>
              <w:textAlignment w:val="center"/>
              <w:rPr>
                <w:color w:val="auto"/>
                <w:sz w:val="21"/>
                <w:szCs w:val="21"/>
                <w:highlight w:val="none"/>
              </w:rPr>
            </w:pPr>
            <w:r>
              <w:rPr>
                <w:rFonts w:hint="eastAsia" w:hAnsi="宋体"/>
                <w:color w:val="auto"/>
                <w:sz w:val="21"/>
                <w:szCs w:val="21"/>
                <w:highlight w:val="none"/>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脚架采用80*80*1.2mm优质冷轧钢管,钢管材质为Q235B（或优于Q235B）优质钢材，管材材质符合GB/T 3094-2012《冷拔异型钢管》检测标准。.所有金属结构表面经过碱洗除油、酸洗除锈、磷化附膜、钝化、静电机器手自动喷涂粉末和高温固化处理，喷漆耐腐蚀性能需达到国家标准。</w:t>
            </w:r>
          </w:p>
          <w:p>
            <w:pPr>
              <w:pStyle w:val="6"/>
              <w:ind w:firstLine="210" w:firstLineChars="100"/>
              <w:rPr>
                <w:rFonts w:hint="eastAsia" w:ascii="宋体" w:hAnsi="宋体" w:eastAsia="宋体" w:cs="宋体"/>
                <w:color w:val="auto"/>
                <w:sz w:val="21"/>
                <w:szCs w:val="21"/>
                <w:highlight w:val="none"/>
                <w:lang w:eastAsia="zh-CN"/>
              </w:rPr>
            </w:pPr>
            <w:r>
              <w:rPr>
                <w:rFonts w:hint="eastAsia" w:hAnsi="宋体"/>
                <w:color w:val="auto"/>
                <w:sz w:val="21"/>
                <w:szCs w:val="21"/>
                <w:highlight w:val="none"/>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桌面采用25mm厚E1级刨花板，四周加厚至50mm,板材表面采用国家环保材料三聚氢胺饰面纸，经200度高温贴面，表面光滑、耐刮、硬度高，防火、防潮、耐磨、耐高温、免油漆、无臭味，板材四边采用</w:t>
            </w:r>
            <w:r>
              <w:rPr>
                <w:rFonts w:hint="default" w:ascii="宋体" w:hAnsi="宋体" w:cs="宋体"/>
                <w:color w:val="auto"/>
                <w:sz w:val="21"/>
                <w:szCs w:val="21"/>
                <w:highlight w:val="none"/>
                <w:lang w:val="en"/>
              </w:rPr>
              <w:t>≥</w:t>
            </w:r>
            <w:r>
              <w:rPr>
                <w:rFonts w:hint="eastAsia" w:ascii="宋体" w:hAnsi="宋体" w:cs="宋体"/>
                <w:color w:val="auto"/>
                <w:sz w:val="21"/>
                <w:szCs w:val="21"/>
                <w:highlight w:val="none"/>
              </w:rPr>
              <w:t>1.5mm厚PVC封边条，全自动机械封边，封边胶采用EVA环保热熔胶，经机械加温熔化与封边条结合机械封边，所有使用材料符合以下标准</w:t>
            </w:r>
            <w:r>
              <w:rPr>
                <w:rFonts w:hint="eastAsia" w:ascii="宋体" w:hAnsi="宋体" w:cs="宋体"/>
                <w:color w:val="auto"/>
                <w:sz w:val="21"/>
                <w:szCs w:val="21"/>
                <w:highlight w:val="none"/>
                <w:lang w:eastAsia="zh-CN"/>
              </w:rPr>
              <w:t>：</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（1）板材</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静曲强度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弹性模量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内结合强度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表面胶合强度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24h吸水厚度膨胀率%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含水率</w:t>
            </w:r>
            <w:r>
              <w:rPr>
                <w:rFonts w:hint="eastAsia" w:ascii="宋体" w:hAnsi="宋体" w:cs="宋体"/>
                <w:color w:val="auto"/>
                <w:sz w:val="21"/>
                <w:szCs w:val="21"/>
                <w:highlight w:val="none"/>
                <w:lang w:eastAsia="zh-CN"/>
              </w:rPr>
              <w:t>等</w:t>
            </w:r>
            <w:r>
              <w:rPr>
                <w:rFonts w:hint="eastAsia" w:ascii="宋体" w:hAnsi="宋体" w:cs="宋体"/>
                <w:color w:val="auto"/>
                <w:sz w:val="21"/>
                <w:szCs w:val="21"/>
                <w:highlight w:val="none"/>
              </w:rPr>
              <w:t>指标须符合GB/T 15102-2017《浸渍胶膜纸饰面纤维板和刨花板》</w:t>
            </w:r>
            <w:r>
              <w:rPr>
                <w:rFonts w:hint="eastAsia" w:ascii="宋体" w:hAnsi="宋体" w:cs="宋体"/>
                <w:color w:val="auto"/>
                <w:sz w:val="21"/>
                <w:szCs w:val="21"/>
                <w:highlight w:val="none"/>
                <w:lang w:eastAsia="zh-CN"/>
              </w:rPr>
              <w:t>的检测标准。板材的甲醛释放量须符合</w:t>
            </w:r>
            <w:r>
              <w:rPr>
                <w:rFonts w:hint="eastAsia" w:ascii="宋体" w:hAnsi="宋体" w:cs="宋体"/>
                <w:color w:val="auto"/>
                <w:sz w:val="21"/>
                <w:szCs w:val="21"/>
                <w:highlight w:val="none"/>
              </w:rPr>
              <w:t>GB 18580-2017《室内装饰装修材料 人造板及其制品中甲醛释放限量》</w:t>
            </w:r>
            <w:r>
              <w:rPr>
                <w:rFonts w:hint="eastAsia" w:ascii="宋体" w:hAnsi="宋体" w:cs="宋体"/>
                <w:color w:val="auto"/>
                <w:sz w:val="21"/>
                <w:szCs w:val="21"/>
                <w:highlight w:val="none"/>
                <w:lang w:eastAsia="zh-CN"/>
              </w:rPr>
              <w:t>标准要求，甲醛释放量≤0.05mg/m³。板材的</w:t>
            </w:r>
            <w:r>
              <w:rPr>
                <w:rFonts w:hint="eastAsia" w:ascii="宋体" w:hAnsi="宋体" w:cs="宋体"/>
                <w:color w:val="auto"/>
                <w:sz w:val="21"/>
                <w:szCs w:val="21"/>
                <w:highlight w:val="none"/>
              </w:rPr>
              <w:t>防霉菌性能</w:t>
            </w:r>
            <w:r>
              <w:rPr>
                <w:rFonts w:hint="eastAsia" w:ascii="宋体" w:hAnsi="宋体" w:cs="宋体"/>
                <w:color w:val="auto"/>
                <w:sz w:val="21"/>
                <w:szCs w:val="21"/>
                <w:highlight w:val="none"/>
                <w:lang w:eastAsia="zh-CN"/>
              </w:rPr>
              <w:t>须符合</w:t>
            </w:r>
            <w:r>
              <w:rPr>
                <w:rFonts w:hint="eastAsia" w:ascii="宋体" w:hAnsi="宋体" w:cs="宋体"/>
                <w:color w:val="auto"/>
                <w:sz w:val="21"/>
                <w:szCs w:val="21"/>
                <w:highlight w:val="none"/>
              </w:rPr>
              <w:t>JC/T2039-2010《抗菌防霉木质装饰板》的</w:t>
            </w:r>
            <w:r>
              <w:rPr>
                <w:rFonts w:hint="eastAsia" w:ascii="宋体" w:hAnsi="宋体" w:cs="宋体"/>
                <w:color w:val="auto"/>
                <w:sz w:val="21"/>
                <w:szCs w:val="21"/>
                <w:highlight w:val="none"/>
                <w:lang w:eastAsia="zh-CN"/>
              </w:rPr>
              <w:t>标准要求</w:t>
            </w:r>
            <w:r>
              <w:rPr>
                <w:rFonts w:hint="eastAsia" w:ascii="宋体" w:hAnsi="宋体" w:cs="宋体"/>
                <w:color w:val="auto"/>
                <w:sz w:val="21"/>
                <w:szCs w:val="21"/>
                <w:highlight w:val="none"/>
              </w:rPr>
              <w:t>。</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（2）三聚氰胺饰面纸通过GB/T-28995-2012《人造板饰面专用纸》符合的检测标准，检测内容包括但不限于：甲醛释放量、挥发物含量、预固化度、耐磨转数。</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（3）PVC封边条</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耐干热性、耐磨性、耐开裂性、耐老化性、耐冷热循环、甲醛释放量、可迁移元素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残留氯乙烯单体</w:t>
            </w:r>
            <w:r>
              <w:rPr>
                <w:rFonts w:hint="eastAsia" w:ascii="宋体" w:hAnsi="宋体" w:cs="宋体"/>
                <w:color w:val="auto"/>
                <w:sz w:val="21"/>
                <w:szCs w:val="21"/>
                <w:highlight w:val="none"/>
                <w:lang w:eastAsia="zh-CN"/>
              </w:rPr>
              <w:t>等指标需</w:t>
            </w:r>
            <w:r>
              <w:rPr>
                <w:rFonts w:hint="eastAsia" w:ascii="宋体" w:hAnsi="宋体" w:cs="宋体"/>
                <w:color w:val="auto"/>
                <w:sz w:val="21"/>
                <w:szCs w:val="21"/>
                <w:highlight w:val="none"/>
              </w:rPr>
              <w:t>符合QB/T4463-2013《家具用封边条技术要求》</w:t>
            </w:r>
            <w:r>
              <w:rPr>
                <w:rFonts w:hint="eastAsia" w:ascii="宋体" w:hAnsi="宋体" w:cs="宋体"/>
                <w:color w:val="auto"/>
                <w:sz w:val="21"/>
                <w:szCs w:val="21"/>
                <w:highlight w:val="none"/>
                <w:lang w:eastAsia="zh-CN"/>
              </w:rPr>
              <w:t>的技术要求。</w:t>
            </w:r>
          </w:p>
          <w:p>
            <w:pPr>
              <w:pStyle w:val="29"/>
              <w:spacing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（4）热熔胶中的有害物质限量</w:t>
            </w:r>
            <w:r>
              <w:rPr>
                <w:rFonts w:hint="eastAsia" w:ascii="宋体" w:hAnsi="宋体" w:cs="宋体"/>
                <w:color w:val="auto"/>
                <w:sz w:val="21"/>
                <w:szCs w:val="21"/>
                <w:highlight w:val="none"/>
                <w:lang w:val="en-US" w:eastAsia="zh-CN"/>
              </w:rPr>
              <w:t>(包括总挥发有机化合物,苯、甲苯+二甲苯、游离甲醛含量等指标)</w:t>
            </w:r>
            <w:r>
              <w:rPr>
                <w:rFonts w:hint="eastAsia" w:ascii="宋体" w:hAnsi="宋体" w:cs="宋体"/>
                <w:color w:val="auto"/>
                <w:sz w:val="21"/>
                <w:szCs w:val="21"/>
                <w:highlight w:val="none"/>
              </w:rPr>
              <w:t>符合GB 18583-2008《室内装饰装修材料 胶粘剂中有害物质限量》（水基型聚乙酸乙烯酯胶粘剂）标准要求。</w:t>
            </w:r>
          </w:p>
          <w:p>
            <w:pPr>
              <w:widowControl/>
              <w:spacing w:line="312" w:lineRule="auto"/>
              <w:ind w:firstLine="210" w:firstLineChars="100"/>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所用钢材材质须采用镀锌处理，金属金属涂饰前零部件的表面光滑、平整、无开裂、脱焊、漏焊、焊渣或飞边、尖角、毛刺等可能造成机械伤害的缺陷。涂饰前零部件表面进行预备处理、采用除锈、防锈处理工艺除去锈迹 等其他污迹后进行涂装打底磷化处理。预备处理后表面无氧化皮、锈蚀、粘砂等其他杂质，磷化层达到工艺要求，预备处理后及时进行涂饰，喷涂环氧聚酯粉末（塑粉）。</w:t>
            </w:r>
          </w:p>
          <w:p>
            <w:pPr>
              <w:pStyle w:val="6"/>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桌面玻璃采用12mm厚优质钢化玻璃，四周打磨出弧形，防止割伤，玻璃尺寸和桌面尺寸一致。玻璃符合GB/T26695-2011《家具用钢化玻璃板》的检测标准，检测内容包括但不限于：碎片状态、弯曲度、外观性能要求、外观质量（点状缺陷、点状缺陷密集度、划伤、裂纹、断面缺陷、线道、夹钳印）。</w:t>
            </w:r>
          </w:p>
          <w:p>
            <w:pPr>
              <w:pStyle w:val="6"/>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汉仪中秀体简" w:hAnsi="汉仪中秀体简" w:eastAsia="汉仪中秀体简" w:cs="汉仪中秀体简"/>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磨板木架</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682625" cy="1022985"/>
                  <wp:effectExtent l="0" t="0" r="3175" b="5715"/>
                  <wp:docPr id="25" name="图片 39" descr="de5069db4136724380baabc3959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9" descr="de5069db4136724380baabc39594094"/>
                          <pic:cNvPicPr>
                            <a:picLocks noChangeAspect="1"/>
                          </pic:cNvPicPr>
                        </pic:nvPicPr>
                        <pic:blipFill>
                          <a:blip r:embed="rId21"/>
                          <a:stretch>
                            <a:fillRect/>
                          </a:stretch>
                        </pic:blipFill>
                        <pic:spPr>
                          <a:xfrm>
                            <a:off x="0" y="0"/>
                            <a:ext cx="682625" cy="1022985"/>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kern w:val="0"/>
                <w:sz w:val="21"/>
                <w:szCs w:val="21"/>
                <w:highlight w:val="none"/>
              </w:rPr>
              <w:t>3</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个</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规格：1200*600mm</w:t>
            </w:r>
          </w:p>
          <w:p>
            <w:pPr>
              <w:rPr>
                <w:rFonts w:ascii="宋体" w:hAnsi="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基材采用优质实木，含水率低于15.4%，天然环保，木纹自然纹理清晰，经久耐用，稳固合理设计，国标一级环保漆。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汉仪中秀体简" w:hAnsi="汉仪中秀体简" w:eastAsia="汉仪中秀体简" w:cs="汉仪中秀体简"/>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收纳柜</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color w:val="auto"/>
                <w:sz w:val="21"/>
                <w:szCs w:val="21"/>
                <w:highlight w:val="none"/>
              </w:rPr>
              <w:drawing>
                <wp:inline distT="0" distB="0" distL="114300" distR="114300">
                  <wp:extent cx="676910" cy="950595"/>
                  <wp:effectExtent l="0" t="0" r="8890" b="1905"/>
                  <wp:docPr id="3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pic:cNvPicPr>
                            <a:picLocks noChangeAspect="1"/>
                          </pic:cNvPicPr>
                        </pic:nvPicPr>
                        <pic:blipFill>
                          <a:blip r:embed="rId22"/>
                          <a:stretch>
                            <a:fillRect/>
                          </a:stretch>
                        </pic:blipFill>
                        <pic:spPr>
                          <a:xfrm>
                            <a:off x="0" y="0"/>
                            <a:ext cx="676910" cy="950595"/>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36</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组</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规格：1750*1300*930mm</w:t>
            </w:r>
          </w:p>
          <w:p>
            <w:pPr>
              <w:rPr>
                <w:rFonts w:hint="eastAsia" w:ascii="宋体" w:hAnsi="宋体" w:cs="宋体"/>
                <w:color w:val="auto"/>
                <w:sz w:val="21"/>
                <w:szCs w:val="21"/>
                <w:highlight w:val="none"/>
              </w:rPr>
            </w:pPr>
            <w:r>
              <w:rPr>
                <w:rFonts w:hint="eastAsia" w:hAnsi="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基材：</w:t>
            </w:r>
            <w:r>
              <w:rPr>
                <w:rFonts w:ascii="宋体" w:hAnsi="宋体" w:cs="宋体"/>
                <w:color w:val="auto"/>
                <w:sz w:val="21"/>
                <w:szCs w:val="21"/>
                <w:highlight w:val="none"/>
              </w:rPr>
              <w:t>所有材料选用优质冷轧钢板</w:t>
            </w:r>
            <w:r>
              <w:rPr>
                <w:rFonts w:hint="eastAsia" w:ascii="宋体" w:hAnsi="宋体" w:cs="宋体"/>
                <w:color w:val="auto"/>
                <w:sz w:val="21"/>
                <w:szCs w:val="21"/>
                <w:highlight w:val="none"/>
              </w:rPr>
              <w:t>，</w:t>
            </w:r>
            <w:r>
              <w:rPr>
                <w:rFonts w:ascii="宋体" w:hAnsi="宋体" w:cs="宋体"/>
                <w:color w:val="auto"/>
                <w:sz w:val="21"/>
                <w:szCs w:val="21"/>
                <w:highlight w:val="none"/>
              </w:rPr>
              <w:t>其相关部件的材料配置规格为板材厚</w:t>
            </w:r>
            <w:r>
              <w:rPr>
                <w:rFonts w:hint="eastAsia" w:ascii="宋体" w:hAnsi="宋体" w:cs="宋体"/>
                <w:color w:val="auto"/>
                <w:sz w:val="21"/>
                <w:szCs w:val="21"/>
                <w:highlight w:val="none"/>
              </w:rPr>
              <w:t>不小于</w:t>
            </w:r>
            <w:r>
              <w:rPr>
                <w:rFonts w:ascii="宋体" w:hAnsi="宋体" w:cs="宋体"/>
                <w:color w:val="auto"/>
                <w:sz w:val="21"/>
                <w:szCs w:val="21"/>
                <w:highlight w:val="none"/>
              </w:rPr>
              <w:t>0.8mm。</w:t>
            </w:r>
          </w:p>
          <w:p>
            <w:pPr>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ascii="宋体" w:hAnsi="宋体" w:cs="宋体"/>
                <w:color w:val="auto"/>
                <w:sz w:val="21"/>
                <w:szCs w:val="21"/>
                <w:highlight w:val="none"/>
              </w:rPr>
              <w:t>主体结构</w:t>
            </w:r>
            <w:r>
              <w:rPr>
                <w:rFonts w:hint="eastAsia" w:ascii="宋体" w:hAnsi="宋体" w:cs="宋体"/>
                <w:color w:val="auto"/>
                <w:sz w:val="21"/>
                <w:szCs w:val="21"/>
                <w:highlight w:val="none"/>
              </w:rPr>
              <w:t>：</w:t>
            </w:r>
            <w:r>
              <w:rPr>
                <w:rFonts w:ascii="宋体" w:hAnsi="宋体" w:cs="宋体"/>
                <w:color w:val="auto"/>
                <w:sz w:val="21"/>
                <w:szCs w:val="21"/>
                <w:highlight w:val="none"/>
              </w:rPr>
              <w:t>主要部分分为柜体、抽斗、面板三大部分。柜体为立体焊接，特殊焊钳加工而成，焊缝平整无夹渣、焊粒，无虚焊，并经加强处理坚固耐用，承重性能好，每层可承重80KG不变形，每个抽斗在相同位置设计了大小一致的标识卡卡座，锁的设计位置符合人体工程学；抽斗内侧经加强处理，封闭外形，美观实用，斗内装有加强支条及防撞装置，使开关顺滑无声，开关灵活，互开率小于0.1%。底图柜外观光滑平整，无划伤、毛边、锐角、突出物、棱角、开裂和明显变形，表面涂层色泽一致，无脱落和露底现</w:t>
            </w:r>
            <w:r>
              <w:rPr>
                <w:rFonts w:hint="eastAsia" w:ascii="宋体" w:hAnsi="宋体" w:cs="宋体"/>
                <w:color w:val="auto"/>
                <w:sz w:val="21"/>
                <w:szCs w:val="21"/>
                <w:highlight w:val="none"/>
              </w:rPr>
              <w:t>相</w:t>
            </w:r>
            <w:r>
              <w:rPr>
                <w:rFonts w:ascii="宋体" w:hAnsi="宋体" w:cs="宋体"/>
                <w:color w:val="auto"/>
                <w:sz w:val="21"/>
                <w:szCs w:val="21"/>
                <w:highlight w:val="none"/>
              </w:rPr>
              <w:t>。</w:t>
            </w:r>
          </w:p>
          <w:p>
            <w:pPr>
              <w:rPr>
                <w:rFonts w:ascii="宋体" w:hAnsi="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ascii="宋体" w:hAnsi="宋体" w:cs="宋体"/>
                <w:color w:val="auto"/>
                <w:sz w:val="21"/>
                <w:szCs w:val="21"/>
                <w:highlight w:val="none"/>
              </w:rPr>
              <w:t>表面喷塑，平整光滑，无流挂、皱皮，露底剥落、伤痕等影响表面质量的缺陷，其喷塑的理化性能入下：光泽度小于等于60%；硬度大于等于0.6%，涂层厚度大于80um。附着力体验办法：以尖锐划针横，竖向间隔1毫米交叉划线，有个别方块脱落，或无脱落。面腐蚀检验办法：用强腐蚀性有机溶剂，如香蕉水、丙酮等浸泡样块24小内无锈迹、剥落、变色等现</w:t>
            </w:r>
            <w:r>
              <w:rPr>
                <w:rFonts w:hint="eastAsia" w:ascii="宋体" w:hAnsi="宋体" w:cs="宋体"/>
                <w:color w:val="auto"/>
                <w:sz w:val="21"/>
                <w:szCs w:val="21"/>
                <w:highlight w:val="none"/>
              </w:rPr>
              <w:t>相</w:t>
            </w:r>
            <w:r>
              <w:rPr>
                <w:rFonts w:ascii="宋体" w:hAnsi="宋体" w:cs="宋体"/>
                <w:color w:val="auto"/>
                <w:sz w:val="21"/>
                <w:szCs w:val="21"/>
                <w:highlight w:val="none"/>
              </w:rPr>
              <w:t xml:space="preserve">。 </w:t>
            </w:r>
            <w:r>
              <w:rPr>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汉仪中秀体简" w:hAnsi="汉仪中秀体简" w:eastAsia="汉仪中秀体简" w:cs="汉仪中秀体简"/>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书架</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color w:val="auto"/>
                <w:sz w:val="21"/>
                <w:szCs w:val="21"/>
                <w:highlight w:val="none"/>
              </w:rPr>
              <w:drawing>
                <wp:inline distT="0" distB="0" distL="114300" distR="114300">
                  <wp:extent cx="688340" cy="1264285"/>
                  <wp:effectExtent l="0" t="0" r="16510" b="12065"/>
                  <wp:docPr id="40" name="图片 41" descr="7b3d08f0efd28eafbe10a938d7df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descr="7b3d08f0efd28eafbe10a938d7df0d4"/>
                          <pic:cNvPicPr>
                            <a:picLocks noChangeAspect="1"/>
                          </pic:cNvPicPr>
                        </pic:nvPicPr>
                        <pic:blipFill>
                          <a:blip r:embed="rId23"/>
                          <a:stretch>
                            <a:fillRect/>
                          </a:stretch>
                        </pic:blipFill>
                        <pic:spPr>
                          <a:xfrm>
                            <a:off x="0" y="0"/>
                            <a:ext cx="688340" cy="1264285"/>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6</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组</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w:t>
            </w:r>
            <w:r>
              <w:rPr>
                <w:rFonts w:hint="eastAsia"/>
                <w:color w:val="auto"/>
                <w:sz w:val="21"/>
                <w:szCs w:val="21"/>
                <w:highlight w:val="none"/>
              </w:rPr>
              <w:t>规格：900*300*1800mm</w:t>
            </w:r>
          </w:p>
          <w:p>
            <w:pPr>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lang w:val="en-US" w:eastAsia="zh-CN"/>
              </w:rPr>
              <w:t>.</w:t>
            </w:r>
            <w:r>
              <w:rPr>
                <w:color w:val="auto"/>
                <w:sz w:val="21"/>
                <w:szCs w:val="21"/>
                <w:highlight w:val="none"/>
              </w:rPr>
              <w:t>颜色</w:t>
            </w:r>
            <w:r>
              <w:rPr>
                <w:rFonts w:hint="eastAsia"/>
                <w:color w:val="auto"/>
                <w:sz w:val="21"/>
                <w:szCs w:val="21"/>
                <w:highlight w:val="none"/>
              </w:rPr>
              <w:t>：</w:t>
            </w:r>
            <w:r>
              <w:rPr>
                <w:color w:val="auto"/>
                <w:sz w:val="21"/>
                <w:szCs w:val="21"/>
                <w:highlight w:val="none"/>
              </w:rPr>
              <w:t>原木色</w:t>
            </w:r>
            <w:r>
              <w:rPr>
                <w:rFonts w:hint="eastAsia"/>
                <w:color w:val="auto"/>
                <w:sz w:val="21"/>
                <w:szCs w:val="21"/>
                <w:highlight w:val="none"/>
                <w:lang w:eastAsia="zh-CN"/>
              </w:rPr>
              <w:t>。</w:t>
            </w:r>
          </w:p>
          <w:p>
            <w:pPr>
              <w:rPr>
                <w:color w:val="auto"/>
                <w:sz w:val="21"/>
                <w:szCs w:val="21"/>
                <w:highlight w:val="none"/>
              </w:rPr>
            </w:pPr>
            <w:r>
              <w:rPr>
                <w:color w:val="auto"/>
                <w:sz w:val="21"/>
                <w:szCs w:val="21"/>
                <w:highlight w:val="none"/>
              </w:rPr>
              <w:t>3</w:t>
            </w:r>
            <w:r>
              <w:rPr>
                <w:rFonts w:hint="eastAsia"/>
                <w:color w:val="auto"/>
                <w:sz w:val="21"/>
                <w:szCs w:val="21"/>
                <w:highlight w:val="none"/>
                <w:lang w:val="en-US" w:eastAsia="zh-CN"/>
              </w:rPr>
              <w:t>.</w:t>
            </w:r>
            <w:r>
              <w:rPr>
                <w:rFonts w:hint="eastAsia"/>
                <w:color w:val="auto"/>
                <w:sz w:val="21"/>
                <w:szCs w:val="21"/>
                <w:highlight w:val="none"/>
              </w:rPr>
              <w:t>基材：层板采用E1级中纤板或刨花板，层板厚度不小于18mm.密度达标700KG/㎡以上；符合GB 18580-2017甲醛含量标准；柜架采用25*25*1.0mm优质冷轧钢管焊接成型，采用二氧化碳气体保护焊焊接，竖固平滑，无脱焊。</w:t>
            </w:r>
            <w:r>
              <w:rPr>
                <w:rFonts w:hint="eastAsia"/>
                <w:color w:val="auto"/>
                <w:sz w:val="21"/>
                <w:szCs w:val="21"/>
                <w:highlight w:val="none"/>
              </w:rPr>
              <w:br w:type="textWrapping"/>
            </w:r>
            <w:r>
              <w:rPr>
                <w:rFonts w:hint="eastAsia"/>
                <w:color w:val="auto"/>
                <w:sz w:val="21"/>
                <w:szCs w:val="21"/>
                <w:highlight w:val="none"/>
              </w:rPr>
              <w:t>4</w:t>
            </w:r>
            <w:r>
              <w:rPr>
                <w:rFonts w:hint="eastAsia"/>
                <w:color w:val="auto"/>
                <w:sz w:val="21"/>
                <w:szCs w:val="21"/>
                <w:highlight w:val="none"/>
                <w:lang w:val="en-US" w:eastAsia="zh-CN"/>
              </w:rPr>
              <w:t>.</w:t>
            </w:r>
            <w:r>
              <w:rPr>
                <w:rFonts w:hint="eastAsia"/>
                <w:color w:val="auto"/>
                <w:sz w:val="21"/>
                <w:szCs w:val="21"/>
                <w:highlight w:val="none"/>
              </w:rPr>
              <w:t>热熔胶：符合国家标准GB 18583-2008《室内装饰装修材料 胶粘剂中有害物质限量》的要求。</w:t>
            </w:r>
          </w:p>
          <w:p>
            <w:pPr>
              <w:rPr>
                <w:color w:val="auto"/>
                <w:sz w:val="21"/>
                <w:szCs w:val="21"/>
                <w:highlight w:val="none"/>
              </w:rPr>
            </w:pPr>
            <w:r>
              <w:rPr>
                <w:rFonts w:hint="eastAsia"/>
                <w:color w:val="auto"/>
                <w:sz w:val="21"/>
                <w:szCs w:val="21"/>
                <w:highlight w:val="none"/>
              </w:rPr>
              <w:t>5</w:t>
            </w:r>
            <w:r>
              <w:rPr>
                <w:rFonts w:hint="eastAsia"/>
                <w:color w:val="auto"/>
                <w:sz w:val="21"/>
                <w:szCs w:val="21"/>
                <w:highlight w:val="none"/>
                <w:lang w:val="en-US" w:eastAsia="zh-CN"/>
              </w:rPr>
              <w:t>.</w:t>
            </w:r>
            <w:r>
              <w:rPr>
                <w:rFonts w:hint="eastAsia"/>
                <w:color w:val="auto"/>
                <w:sz w:val="21"/>
                <w:szCs w:val="21"/>
                <w:highlight w:val="none"/>
              </w:rPr>
              <w:t>工艺要求：木质材料经过严格的杀菌、杀虫处理；含水率不高于9%。</w:t>
            </w:r>
            <w:r>
              <w:rPr>
                <w:rFonts w:hint="eastAsia"/>
                <w:color w:val="auto"/>
                <w:sz w:val="21"/>
                <w:szCs w:val="21"/>
                <w:highlight w:val="none"/>
              </w:rPr>
              <w:br w:type="textWrapping"/>
            </w:r>
            <w:r>
              <w:rPr>
                <w:rFonts w:hint="eastAsia"/>
                <w:color w:val="auto"/>
                <w:sz w:val="21"/>
                <w:szCs w:val="21"/>
                <w:highlight w:val="none"/>
              </w:rPr>
              <w:t>6</w:t>
            </w:r>
            <w:r>
              <w:rPr>
                <w:rFonts w:hint="eastAsia"/>
                <w:color w:val="auto"/>
                <w:sz w:val="21"/>
                <w:szCs w:val="21"/>
                <w:highlight w:val="none"/>
                <w:lang w:val="en-US" w:eastAsia="zh-CN"/>
              </w:rPr>
              <w:t>.</w:t>
            </w:r>
            <w:r>
              <w:rPr>
                <w:rFonts w:hint="eastAsia"/>
                <w:color w:val="auto"/>
                <w:sz w:val="21"/>
                <w:szCs w:val="21"/>
                <w:highlight w:val="none"/>
              </w:rPr>
              <w:t>采用优质铰链，所有五金件均符合GB/T 28203-2011国家标准。</w:t>
            </w:r>
          </w:p>
          <w:p>
            <w:pPr>
              <w:rPr>
                <w:color w:val="auto"/>
                <w:sz w:val="21"/>
                <w:szCs w:val="21"/>
                <w:highlight w:val="none"/>
              </w:rPr>
            </w:pPr>
            <w:r>
              <w:rPr>
                <w:rFonts w:hint="eastAsia"/>
                <w:color w:val="auto"/>
                <w:sz w:val="21"/>
                <w:szCs w:val="21"/>
                <w:highlight w:val="none"/>
              </w:rPr>
              <w:t>7</w:t>
            </w:r>
            <w:r>
              <w:rPr>
                <w:rFonts w:hint="eastAsia"/>
                <w:color w:val="auto"/>
                <w:sz w:val="21"/>
                <w:szCs w:val="21"/>
                <w:highlight w:val="none"/>
                <w:lang w:val="en-US" w:eastAsia="zh-CN"/>
              </w:rPr>
              <w:t>.</w:t>
            </w:r>
            <w:r>
              <w:rPr>
                <w:color w:val="auto"/>
                <w:sz w:val="21"/>
                <w:szCs w:val="21"/>
                <w:highlight w:val="none"/>
              </w:rPr>
              <w:t>工艺技术质量要求:</w:t>
            </w:r>
          </w:p>
          <w:p>
            <w:pPr>
              <w:rPr>
                <w:color w:val="auto"/>
                <w:sz w:val="21"/>
                <w:szCs w:val="21"/>
                <w:highlight w:val="none"/>
              </w:rPr>
            </w:pPr>
            <w:r>
              <w:rPr>
                <w:color w:val="auto"/>
                <w:sz w:val="21"/>
                <w:szCs w:val="21"/>
                <w:highlight w:val="none"/>
              </w:rPr>
              <w:t>(1)整体安装后牢固，不会出现摇晃现</w:t>
            </w:r>
            <w:r>
              <w:rPr>
                <w:rFonts w:hint="eastAsia"/>
                <w:color w:val="auto"/>
                <w:sz w:val="21"/>
                <w:szCs w:val="21"/>
                <w:highlight w:val="none"/>
              </w:rPr>
              <w:t>相</w:t>
            </w:r>
            <w:r>
              <w:rPr>
                <w:color w:val="auto"/>
                <w:sz w:val="21"/>
                <w:szCs w:val="21"/>
                <w:highlight w:val="none"/>
              </w:rPr>
              <w:t>;</w:t>
            </w:r>
          </w:p>
          <w:p>
            <w:pPr>
              <w:rPr>
                <w:rFonts w:hint="eastAsia" w:ascii="宋体" w:hAnsi="宋体" w:eastAsia="宋体"/>
                <w:color w:val="auto"/>
                <w:sz w:val="21"/>
                <w:szCs w:val="21"/>
                <w:highlight w:val="none"/>
                <w:lang w:eastAsia="zh-CN"/>
              </w:rPr>
            </w:pPr>
            <w:r>
              <w:rPr>
                <w:color w:val="auto"/>
                <w:sz w:val="21"/>
                <w:szCs w:val="21"/>
                <w:highlight w:val="none"/>
              </w:rPr>
              <w:t>(2)外表面层无明显色差，平整光滑、无流挂、无针孔、无剥落现</w:t>
            </w:r>
            <w:r>
              <w:rPr>
                <w:rFonts w:hint="eastAsia"/>
                <w:color w:val="auto"/>
                <w:sz w:val="21"/>
                <w:szCs w:val="21"/>
                <w:highlight w:val="none"/>
              </w:rPr>
              <w:t>相</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汉仪中秀体简" w:hAnsi="汉仪中秀体简" w:eastAsia="汉仪中秀体简" w:cs="汉仪中秀体简"/>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p>
        </w:tc>
        <w:tc>
          <w:tcPr>
            <w:tcW w:w="2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s="宋体"/>
                <w:color w:val="auto"/>
                <w:kern w:val="0"/>
                <w:sz w:val="21"/>
                <w:szCs w:val="21"/>
                <w:highlight w:val="none"/>
              </w:rPr>
              <w:t>办公桌</w:t>
            </w:r>
          </w:p>
        </w:tc>
        <w:tc>
          <w:tcPr>
            <w:tcW w:w="656"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1"/>
                <w:szCs w:val="21"/>
                <w:highlight w:val="none"/>
              </w:rPr>
            </w:pPr>
            <w:r>
              <w:rPr>
                <w:color w:val="auto"/>
                <w:sz w:val="21"/>
                <w:szCs w:val="21"/>
                <w:highlight w:val="none"/>
              </w:rPr>
              <w:drawing>
                <wp:inline distT="0" distB="0" distL="114300" distR="114300">
                  <wp:extent cx="710565" cy="713740"/>
                  <wp:effectExtent l="0" t="0" r="13335" b="10160"/>
                  <wp:docPr id="4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2"/>
                          <pic:cNvPicPr>
                            <a:picLocks noChangeAspect="1"/>
                          </pic:cNvPicPr>
                        </pic:nvPicPr>
                        <pic:blipFill>
                          <a:blip r:embed="rId24"/>
                          <a:stretch>
                            <a:fillRect/>
                          </a:stretch>
                        </pic:blipFill>
                        <pic:spPr>
                          <a:xfrm>
                            <a:off x="0" y="0"/>
                            <a:ext cx="710565" cy="713740"/>
                          </a:xfrm>
                          <a:prstGeom prst="rect">
                            <a:avLst/>
                          </a:prstGeom>
                          <a:noFill/>
                          <a:ln>
                            <a:noFill/>
                          </a:ln>
                        </pic:spPr>
                      </pic:pic>
                    </a:graphicData>
                  </a:graphic>
                </wp:inline>
              </w:drawing>
            </w:r>
          </w:p>
        </w:tc>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1</w:t>
            </w:r>
          </w:p>
        </w:tc>
        <w:tc>
          <w:tcPr>
            <w:tcW w:w="30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 w:val="21"/>
                <w:szCs w:val="21"/>
                <w:highlight w:val="none"/>
              </w:rPr>
            </w:pPr>
            <w:r>
              <w:rPr>
                <w:rFonts w:hint="eastAsia" w:ascii="宋体" w:hAnsi="宋体" w:cs="宋体"/>
                <w:color w:val="auto"/>
                <w:sz w:val="21"/>
                <w:szCs w:val="21"/>
                <w:highlight w:val="none"/>
              </w:rPr>
              <w:t>组</w:t>
            </w:r>
          </w:p>
        </w:tc>
        <w:tc>
          <w:tcPr>
            <w:tcW w:w="3120"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规格：2400*1200*750H(mm）</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基材：选用板材均为25mm厚E1级刨花板，经过防虫、防腐等化学处理，持久不变形，长边导安全圆角，防磕碰设计，表面耐香烟灼烧，达到4级或以上，表面耐干热性，达到4级或以上</w:t>
            </w:r>
            <w:r>
              <w:rPr>
                <w:rFonts w:hint="eastAsia" w:ascii="宋体" w:hAnsi="宋体" w:cs="宋体"/>
                <w:color w:val="auto"/>
                <w:sz w:val="21"/>
                <w:szCs w:val="21"/>
                <w:highlight w:val="none"/>
                <w:lang w:eastAsia="zh-CN"/>
              </w:rPr>
              <w:t>。</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饰面：三聚氰胺饰面，免漆工艺。</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封边条：长边选用防火板包边工艺，短边选用优质PVC封边条，符合QB/T 4463-2013 《家具用封边条技术要求》标准。</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脚架：选用50*50mm优质钢制圆形脚架，壁厚1.2mm；表面经过喷涂白砂光粉处理；底部配置防滑脚垫，增强产品稳定性。</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五金：选用优质五金配件。</w:t>
            </w:r>
          </w:p>
          <w:p>
            <w:pP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hAnsi="宋体" w:cs="宋体"/>
                <w:b/>
                <w:bCs/>
                <w:color w:val="auto"/>
                <w:sz w:val="21"/>
                <w:szCs w:val="21"/>
                <w:highlight w:val="none"/>
              </w:rPr>
            </w:pPr>
            <w:r>
              <w:rPr>
                <w:rFonts w:hint="eastAsia" w:hAnsi="宋体" w:cs="宋体"/>
                <w:b/>
                <w:bCs/>
                <w:color w:val="auto"/>
                <w:sz w:val="21"/>
                <w:szCs w:val="21"/>
                <w:highlight w:val="none"/>
              </w:rPr>
              <w:t>备注：</w:t>
            </w:r>
          </w:p>
          <w:p>
            <w:pPr>
              <w:widowControl/>
              <w:jc w:val="left"/>
              <w:textAlignment w:val="center"/>
              <w:rPr>
                <w:rFonts w:hint="eastAsia" w:hAnsi="宋体" w:cs="宋体"/>
                <w:b/>
                <w:bCs/>
                <w:color w:val="auto"/>
                <w:sz w:val="21"/>
                <w:szCs w:val="21"/>
                <w:highlight w:val="none"/>
              </w:rPr>
            </w:pPr>
            <w:r>
              <w:rPr>
                <w:rFonts w:hint="eastAsia" w:hAnsi="宋体" w:cs="宋体"/>
                <w:b/>
                <w:bCs/>
                <w:color w:val="auto"/>
                <w:sz w:val="21"/>
                <w:szCs w:val="21"/>
                <w:highlight w:val="none"/>
                <w:lang w:val="en-US" w:eastAsia="zh-CN"/>
              </w:rPr>
              <w:t>1、</w:t>
            </w:r>
            <w:r>
              <w:rPr>
                <w:rFonts w:hint="eastAsia" w:hAnsi="宋体" w:cs="宋体"/>
                <w:b/>
                <w:bCs/>
                <w:color w:val="auto"/>
                <w:sz w:val="21"/>
                <w:szCs w:val="21"/>
                <w:highlight w:val="none"/>
              </w:rPr>
              <w:t>采购需求中参考图片（样式）、产品尺寸（除标记</w:t>
            </w:r>
            <w:r>
              <w:rPr>
                <w:rFonts w:hint="eastAsia" w:hAnsi="宋体"/>
                <w:color w:val="auto"/>
                <w:sz w:val="21"/>
                <w:szCs w:val="21"/>
                <w:highlight w:val="none"/>
              </w:rPr>
              <w:t>▲</w:t>
            </w:r>
            <w:r>
              <w:rPr>
                <w:rFonts w:hint="eastAsia" w:hAnsi="宋体" w:cs="宋体"/>
                <w:b/>
                <w:bCs/>
                <w:color w:val="auto"/>
                <w:sz w:val="21"/>
                <w:szCs w:val="21"/>
                <w:highlight w:val="none"/>
              </w:rPr>
              <w:t>三角符号外）仅供参考；</w:t>
            </w:r>
          </w:p>
          <w:p>
            <w:pPr>
              <w:widowControl/>
              <w:numPr>
                <w:ilvl w:val="0"/>
                <w:numId w:val="2"/>
              </w:numPr>
              <w:jc w:val="left"/>
              <w:textAlignment w:val="center"/>
              <w:rPr>
                <w:rFonts w:hint="eastAsia" w:hAnsi="宋体" w:cs="宋体"/>
                <w:b/>
                <w:bCs/>
                <w:color w:val="auto"/>
                <w:sz w:val="21"/>
                <w:szCs w:val="21"/>
                <w:highlight w:val="none"/>
              </w:rPr>
            </w:pPr>
            <w:r>
              <w:rPr>
                <w:rFonts w:hint="eastAsia" w:hAnsi="宋体" w:cs="宋体"/>
                <w:b/>
                <w:bCs/>
                <w:color w:val="auto"/>
                <w:sz w:val="21"/>
                <w:szCs w:val="21"/>
                <w:highlight w:val="none"/>
              </w:rPr>
              <w:t>材质的要求及材质的厚度须满足或优于采购需求；产品性能须满足或优于用户要求；</w:t>
            </w:r>
          </w:p>
          <w:p>
            <w:pPr>
              <w:widowControl/>
              <w:numPr>
                <w:ilvl w:val="0"/>
                <w:numId w:val="0"/>
              </w:numPr>
              <w:jc w:val="left"/>
              <w:textAlignment w:val="center"/>
              <w:rPr>
                <w:rFonts w:ascii="宋体" w:hAnsi="宋体"/>
                <w:color w:val="auto"/>
                <w:sz w:val="21"/>
                <w:szCs w:val="21"/>
                <w:highlight w:val="none"/>
              </w:rPr>
            </w:pPr>
            <w:r>
              <w:rPr>
                <w:rFonts w:hint="eastAsia" w:hAnsi="宋体" w:cs="宋体"/>
                <w:b/>
                <w:bCs/>
                <w:color w:val="auto"/>
                <w:sz w:val="21"/>
                <w:szCs w:val="21"/>
                <w:highlight w:val="none"/>
                <w:lang w:val="en-US" w:eastAsia="zh-CN"/>
              </w:rPr>
              <w:t>3、</w:t>
            </w:r>
            <w:r>
              <w:rPr>
                <w:rFonts w:hint="eastAsia" w:ascii="宋体" w:hAnsi="宋体" w:cs="宋体"/>
                <w:b/>
                <w:bCs/>
                <w:color w:val="auto"/>
                <w:sz w:val="21"/>
                <w:szCs w:val="21"/>
                <w:highlight w:val="none"/>
              </w:rPr>
              <w:t>引用的所有标准，如有更新或替换时，应执行最新标准。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auto"/>
                <w:sz w:val="21"/>
                <w:szCs w:val="21"/>
                <w:highlight w:val="none"/>
              </w:rPr>
            </w:pPr>
            <w:r>
              <w:rPr>
                <w:rFonts w:hint="eastAsia" w:ascii="宋体" w:hAnsi="宋体"/>
                <w:b/>
                <w:color w:val="auto"/>
                <w:sz w:val="21"/>
                <w:szCs w:val="21"/>
                <w:highlight w:val="none"/>
              </w:rPr>
              <w:t>商务及其他要求表</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2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▲售后服务及其他</w:t>
            </w:r>
          </w:p>
          <w:p>
            <w:pPr>
              <w:jc w:val="center"/>
              <w:rPr>
                <w:rFonts w:ascii="宋体" w:hAnsi="宋体"/>
                <w:color w:val="auto"/>
                <w:sz w:val="21"/>
                <w:szCs w:val="21"/>
                <w:highlight w:val="none"/>
              </w:rPr>
            </w:pPr>
            <w:r>
              <w:rPr>
                <w:rFonts w:hint="eastAsia" w:ascii="宋体" w:hAnsi="宋体"/>
                <w:color w:val="auto"/>
                <w:sz w:val="21"/>
                <w:szCs w:val="21"/>
                <w:highlight w:val="none"/>
              </w:rPr>
              <w:t>要求</w:t>
            </w:r>
          </w:p>
        </w:tc>
        <w:tc>
          <w:tcPr>
            <w:tcW w:w="4374"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auto"/>
                <w:sz w:val="21"/>
                <w:szCs w:val="21"/>
                <w:highlight w:val="none"/>
              </w:rPr>
            </w:pPr>
            <w:r>
              <w:rPr>
                <w:rFonts w:hint="eastAsia" w:ascii="宋体" w:hAnsi="宋体"/>
                <w:color w:val="auto"/>
                <w:sz w:val="21"/>
                <w:szCs w:val="21"/>
                <w:highlight w:val="none"/>
              </w:rPr>
              <w:t>1、合同签订期：自中标通知书发出之日起</w:t>
            </w:r>
            <w:r>
              <w:rPr>
                <w:rFonts w:hint="eastAsia" w:ascii="宋体" w:hAnsi="宋体"/>
                <w:color w:val="auto"/>
                <w:sz w:val="21"/>
                <w:szCs w:val="21"/>
                <w:highlight w:val="none"/>
                <w:u w:val="single"/>
              </w:rPr>
              <w:t xml:space="preserve">     25      </w:t>
            </w:r>
            <w:r>
              <w:rPr>
                <w:rFonts w:hint="eastAsia" w:ascii="宋体" w:hAnsi="宋体"/>
                <w:color w:val="auto"/>
                <w:sz w:val="21"/>
                <w:szCs w:val="21"/>
                <w:highlight w:val="none"/>
              </w:rPr>
              <w:t>日历日内。</w:t>
            </w:r>
          </w:p>
          <w:p>
            <w:pPr>
              <w:adjustRightInd w:val="0"/>
              <w:snapToGrid w:val="0"/>
              <w:rPr>
                <w:rFonts w:ascii="宋体" w:hAnsi="宋体"/>
                <w:color w:val="auto"/>
                <w:sz w:val="21"/>
                <w:szCs w:val="21"/>
                <w:highlight w:val="none"/>
              </w:rPr>
            </w:pPr>
            <w:r>
              <w:rPr>
                <w:rFonts w:hint="eastAsia" w:ascii="宋体" w:hAnsi="宋体"/>
                <w:color w:val="auto"/>
                <w:sz w:val="21"/>
                <w:szCs w:val="21"/>
                <w:highlight w:val="none"/>
              </w:rPr>
              <w:t>2、交付使用时间：自合同签订之日起</w:t>
            </w:r>
            <w:r>
              <w:rPr>
                <w:rFonts w:hint="eastAsia" w:ascii="宋体" w:hAnsi="宋体"/>
                <w:color w:val="auto"/>
                <w:sz w:val="21"/>
                <w:szCs w:val="21"/>
                <w:highlight w:val="none"/>
                <w:u w:val="single"/>
              </w:rPr>
              <w:t xml:space="preserve">          25       </w:t>
            </w:r>
            <w:r>
              <w:rPr>
                <w:rFonts w:hint="eastAsia" w:ascii="宋体" w:hAnsi="宋体"/>
                <w:color w:val="auto"/>
                <w:sz w:val="21"/>
                <w:szCs w:val="21"/>
                <w:highlight w:val="none"/>
              </w:rPr>
              <w:t xml:space="preserve">日内交付并安装验收完毕。 </w:t>
            </w:r>
          </w:p>
          <w:p>
            <w:pPr>
              <w:adjustRightInd w:val="0"/>
              <w:snapToGrid w:val="0"/>
              <w:rPr>
                <w:rFonts w:ascii="宋体" w:hAnsi="宋体"/>
                <w:color w:val="auto"/>
                <w:sz w:val="21"/>
                <w:szCs w:val="21"/>
                <w:highlight w:val="none"/>
              </w:rPr>
            </w:pPr>
            <w:r>
              <w:rPr>
                <w:rFonts w:hint="eastAsia" w:ascii="宋体" w:hAnsi="宋体"/>
                <w:color w:val="auto"/>
                <w:sz w:val="21"/>
                <w:szCs w:val="21"/>
                <w:highlight w:val="none"/>
              </w:rPr>
              <w:t>3、交货地点：广西</w:t>
            </w:r>
            <w:r>
              <w:rPr>
                <w:rFonts w:hint="eastAsia" w:ascii="宋体" w:hAnsi="宋体"/>
                <w:color w:val="auto"/>
                <w:sz w:val="21"/>
                <w:szCs w:val="21"/>
                <w:highlight w:val="none"/>
                <w:u w:val="single"/>
                <w:lang w:val="en-US" w:eastAsia="zh-CN"/>
              </w:rPr>
              <w:t>艺术学院南湖及相思校区</w:t>
            </w:r>
            <w:r>
              <w:rPr>
                <w:rFonts w:hint="eastAsia" w:ascii="宋体" w:hAnsi="宋体"/>
                <w:color w:val="auto"/>
                <w:sz w:val="21"/>
                <w:szCs w:val="21"/>
                <w:highlight w:val="none"/>
              </w:rPr>
              <w:t>（采购人指定地点）。</w:t>
            </w:r>
          </w:p>
          <w:p>
            <w:pPr>
              <w:adjustRightInd w:val="0"/>
              <w:snapToGrid w:val="0"/>
              <w:rPr>
                <w:rFonts w:ascii="宋体" w:hAnsi="宋体"/>
                <w:color w:val="auto"/>
                <w:sz w:val="21"/>
                <w:szCs w:val="21"/>
                <w:highlight w:val="none"/>
              </w:rPr>
            </w:pPr>
            <w:r>
              <w:rPr>
                <w:rFonts w:hint="eastAsia" w:ascii="宋体" w:hAnsi="宋体"/>
                <w:color w:val="auto"/>
                <w:sz w:val="21"/>
                <w:szCs w:val="21"/>
                <w:highlight w:val="none"/>
              </w:rPr>
              <w:t>4、交货方式：现场交货。</w:t>
            </w:r>
          </w:p>
          <w:p>
            <w:pPr>
              <w:adjustRightInd w:val="0"/>
              <w:snapToGrid w:val="0"/>
              <w:rPr>
                <w:rFonts w:ascii="宋体" w:hAnsi="宋体"/>
                <w:color w:val="auto"/>
                <w:sz w:val="21"/>
                <w:szCs w:val="21"/>
                <w:highlight w:val="none"/>
              </w:rPr>
            </w:pPr>
            <w:r>
              <w:rPr>
                <w:rFonts w:hint="eastAsia" w:ascii="宋体" w:hAnsi="宋体"/>
                <w:color w:val="auto"/>
                <w:sz w:val="21"/>
                <w:szCs w:val="21"/>
                <w:highlight w:val="none"/>
              </w:rPr>
              <w:t>5、售后服务要求：</w:t>
            </w:r>
          </w:p>
          <w:p>
            <w:pPr>
              <w:adjustRightInd w:val="0"/>
              <w:snapToGrid w:val="0"/>
              <w:rPr>
                <w:rFonts w:ascii="宋体" w:hAnsi="宋体"/>
                <w:color w:val="auto"/>
                <w:sz w:val="21"/>
                <w:szCs w:val="21"/>
                <w:highlight w:val="none"/>
              </w:rPr>
            </w:pPr>
            <w:r>
              <w:rPr>
                <w:rFonts w:hint="eastAsia" w:ascii="宋体" w:hAnsi="宋体"/>
                <w:color w:val="auto"/>
                <w:sz w:val="21"/>
                <w:szCs w:val="21"/>
                <w:highlight w:val="none"/>
              </w:rPr>
              <w:t>（1）免费送货上门，按现场条件全程免费安装调试，直至最终验收前产生的所有费用由中标供应商承担；</w:t>
            </w:r>
          </w:p>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 xml:space="preserve"> （2）免费保修期：对所售设备提供60个月的上门全免费保修期，保修期内非人为因素发生的故障均由中标供应商免费维修或更换，质保期外维修的零配件需优惠（注明折扣率）；</w:t>
            </w:r>
          </w:p>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（3）质量保证期：所有家具的质量保证期不少于5年，在此保证期内，如在正常使用过程中出现的质量问题，供应商须负责免费维修或调换；</w:t>
            </w:r>
          </w:p>
          <w:p>
            <w:pPr>
              <w:adjustRightInd w:val="0"/>
              <w:snapToGrid w:val="0"/>
              <w:rPr>
                <w:rFonts w:ascii="宋体" w:hAnsi="宋体"/>
                <w:color w:val="auto"/>
                <w:sz w:val="21"/>
                <w:szCs w:val="21"/>
                <w:highlight w:val="none"/>
              </w:rPr>
            </w:pPr>
            <w:r>
              <w:rPr>
                <w:rFonts w:hint="eastAsia" w:ascii="宋体" w:hAnsi="宋体"/>
                <w:color w:val="auto"/>
                <w:sz w:val="21"/>
                <w:szCs w:val="21"/>
                <w:highlight w:val="none"/>
              </w:rPr>
              <w:t>（4）故障响应时间：货物发生故障时，在接到采购人通知后24小时内到达现场处理，一般故障处理时限不超过12小时，12小时内不能修复的，提供替代品；</w:t>
            </w:r>
          </w:p>
          <w:p>
            <w:pPr>
              <w:adjustRightInd w:val="0"/>
              <w:snapToGrid w:val="0"/>
              <w:rPr>
                <w:rFonts w:ascii="宋体" w:hAnsi="宋体"/>
                <w:color w:val="auto"/>
                <w:sz w:val="21"/>
                <w:szCs w:val="21"/>
                <w:highlight w:val="none"/>
              </w:rPr>
            </w:pPr>
            <w:r>
              <w:rPr>
                <w:rFonts w:hint="eastAsia" w:ascii="宋体" w:hAnsi="宋体"/>
                <w:color w:val="auto"/>
                <w:sz w:val="21"/>
                <w:szCs w:val="21"/>
                <w:highlight w:val="none"/>
              </w:rPr>
              <w:t>（5）验收所需工具、器材由中标供应商自理；各项性能指标达到技术要求的，由供需双方共同签字认可，现场验收；</w:t>
            </w:r>
          </w:p>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6）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8" w:hRule="atLeast"/>
        </w:trPr>
        <w:tc>
          <w:tcPr>
            <w:tcW w:w="62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▲验收</w:t>
            </w:r>
          </w:p>
          <w:p>
            <w:pPr>
              <w:jc w:val="center"/>
              <w:rPr>
                <w:rFonts w:hint="eastAsia" w:ascii="宋体" w:hAnsi="宋体"/>
                <w:color w:val="auto"/>
                <w:sz w:val="21"/>
                <w:szCs w:val="21"/>
                <w:highlight w:val="none"/>
              </w:rPr>
            </w:pPr>
            <w:r>
              <w:rPr>
                <w:rFonts w:hint="eastAsia" w:ascii="宋体" w:hAnsi="宋体"/>
                <w:color w:val="auto"/>
                <w:sz w:val="21"/>
                <w:szCs w:val="21"/>
                <w:highlight w:val="none"/>
              </w:rPr>
              <w:t>标准</w:t>
            </w:r>
          </w:p>
        </w:tc>
        <w:tc>
          <w:tcPr>
            <w:tcW w:w="4374"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1、所供产品的规格、数量符合招标项目采购需求及采购合同约定的要求。</w:t>
            </w:r>
          </w:p>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2、所供产品的材质、颜色符合招标项目采购需求及采购合同约定的要求。</w:t>
            </w:r>
          </w:p>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3、所供产品的外观完好，无碰撞、五金件生锈等明显瑕疵。</w:t>
            </w:r>
          </w:p>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4、所供产品结构牢固，无安全隐患。</w:t>
            </w:r>
          </w:p>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 xml:space="preserve">5、如有抽检要求的，检测结果符合招标项目采购需求及采购合同约定的要求。 </w:t>
            </w:r>
          </w:p>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6、所有产品均已运输至指定地点，并安装调试完毕。</w:t>
            </w:r>
          </w:p>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7、招标文件招标项目采购需求及采购合同约定的附件、工具、技术资料等齐全；提供产品使用说明书、合格等证明材料。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25"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▲投标</w:t>
            </w:r>
          </w:p>
          <w:p>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报价</w:t>
            </w:r>
          </w:p>
        </w:tc>
        <w:tc>
          <w:tcPr>
            <w:tcW w:w="4374" w:type="pct"/>
            <w:gridSpan w:val="4"/>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400" w:lineRule="exact"/>
              <w:outlineLvl w:val="0"/>
              <w:rPr>
                <w:rFonts w:hAnsi="宋体" w:cs="Times New Roman"/>
                <w:color w:val="auto"/>
                <w:sz w:val="21"/>
                <w:szCs w:val="21"/>
                <w:highlight w:val="none"/>
              </w:rPr>
            </w:pPr>
            <w:r>
              <w:rPr>
                <w:rFonts w:hint="eastAsia" w:hAnsi="宋体" w:cs="Times New Roman"/>
                <w:color w:val="auto"/>
                <w:sz w:val="21"/>
                <w:szCs w:val="21"/>
                <w:highlight w:val="none"/>
              </w:rPr>
              <w:t>投标报价为采购人指定地点的现场交货价，包括：</w:t>
            </w:r>
          </w:p>
          <w:p>
            <w:pPr>
              <w:pStyle w:val="12"/>
              <w:snapToGrid w:val="0"/>
              <w:spacing w:line="400" w:lineRule="exact"/>
              <w:outlineLvl w:val="0"/>
              <w:rPr>
                <w:rFonts w:hAnsi="宋体" w:cs="Times New Roman"/>
                <w:color w:val="auto"/>
                <w:sz w:val="21"/>
                <w:szCs w:val="21"/>
                <w:highlight w:val="none"/>
              </w:rPr>
            </w:pPr>
            <w:r>
              <w:rPr>
                <w:rFonts w:hint="eastAsia" w:hAnsi="宋体" w:cs="Times New Roman"/>
                <w:color w:val="auto"/>
                <w:sz w:val="21"/>
                <w:szCs w:val="21"/>
                <w:highlight w:val="none"/>
              </w:rPr>
              <w:t>（1）货物的价格：包括货款、零配件、安装调试费、验收费；</w:t>
            </w:r>
          </w:p>
          <w:p>
            <w:pPr>
              <w:pStyle w:val="12"/>
              <w:snapToGrid w:val="0"/>
              <w:spacing w:line="400" w:lineRule="exact"/>
              <w:outlineLvl w:val="0"/>
              <w:rPr>
                <w:rFonts w:hint="eastAsia" w:hAnsi="宋体" w:cs="Times New Roman"/>
                <w:color w:val="auto"/>
                <w:sz w:val="21"/>
                <w:szCs w:val="21"/>
                <w:highlight w:val="none"/>
                <w:lang w:val="en"/>
              </w:rPr>
            </w:pPr>
            <w:r>
              <w:rPr>
                <w:rFonts w:hint="eastAsia" w:hAnsi="宋体" w:cs="Times New Roman"/>
                <w:color w:val="auto"/>
                <w:sz w:val="21"/>
                <w:szCs w:val="21"/>
                <w:highlight w:val="none"/>
              </w:rPr>
              <w:t>（2）货物的标准附件、备品备件、专用工具的价格</w:t>
            </w:r>
            <w:r>
              <w:rPr>
                <w:rFonts w:hint="eastAsia" w:hAnsi="宋体" w:cs="Times New Roman"/>
                <w:color w:val="auto"/>
                <w:sz w:val="21"/>
                <w:szCs w:val="21"/>
                <w:highlight w:val="none"/>
                <w:lang w:val="en"/>
              </w:rPr>
              <w:t>；</w:t>
            </w:r>
          </w:p>
          <w:p>
            <w:pPr>
              <w:pStyle w:val="12"/>
              <w:snapToGrid w:val="0"/>
              <w:spacing w:line="400" w:lineRule="exact"/>
              <w:outlineLvl w:val="0"/>
              <w:rPr>
                <w:rFonts w:hint="eastAsia" w:hAnsi="宋体" w:cs="Times New Roman"/>
                <w:color w:val="auto"/>
                <w:sz w:val="21"/>
                <w:szCs w:val="21"/>
                <w:highlight w:val="none"/>
              </w:rPr>
            </w:pPr>
            <w:r>
              <w:rPr>
                <w:rFonts w:hint="eastAsia" w:hAnsi="宋体" w:cs="Times New Roman"/>
                <w:color w:val="auto"/>
                <w:sz w:val="21"/>
                <w:szCs w:val="21"/>
                <w:highlight w:val="none"/>
              </w:rPr>
              <w:t>（3）运输、装卸、调试、培训、技术支持、售后服务费；</w:t>
            </w:r>
          </w:p>
          <w:p>
            <w:pPr>
              <w:pStyle w:val="12"/>
              <w:snapToGrid w:val="0"/>
              <w:spacing w:line="400" w:lineRule="exact"/>
              <w:outlineLvl w:val="0"/>
              <w:rPr>
                <w:rFonts w:hAnsi="宋体" w:cs="Times New Roman"/>
                <w:color w:val="auto"/>
                <w:sz w:val="21"/>
                <w:szCs w:val="21"/>
                <w:highlight w:val="none"/>
              </w:rPr>
            </w:pPr>
            <w:r>
              <w:rPr>
                <w:rFonts w:hint="eastAsia" w:hAnsi="宋体" w:cs="Times New Roman"/>
                <w:color w:val="auto"/>
                <w:sz w:val="21"/>
                <w:szCs w:val="21"/>
                <w:highlight w:val="none"/>
              </w:rPr>
              <w:t>（4）按采购人要求进行摆放的费用。</w:t>
            </w:r>
          </w:p>
          <w:p>
            <w:pPr>
              <w:adjustRightInd w:val="0"/>
              <w:snapToGrid w:val="0"/>
              <w:rPr>
                <w:rFonts w:hint="eastAsia"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注：投标人自行考虑完成项目所需的辅材、零配件等数量，投标报价中应包含全部内容，中标后采购人不再另行支付额外费用。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▲付款</w:t>
            </w:r>
          </w:p>
          <w:p>
            <w:pPr>
              <w:jc w:val="center"/>
              <w:rPr>
                <w:rFonts w:ascii="宋体" w:hAnsi="宋体"/>
                <w:color w:val="auto"/>
                <w:sz w:val="21"/>
                <w:szCs w:val="21"/>
                <w:highlight w:val="none"/>
              </w:rPr>
            </w:pPr>
            <w:r>
              <w:rPr>
                <w:rFonts w:hint="eastAsia" w:ascii="宋体" w:hAnsi="宋体"/>
                <w:color w:val="auto"/>
                <w:sz w:val="21"/>
                <w:szCs w:val="21"/>
                <w:highlight w:val="none"/>
              </w:rPr>
              <w:t>方式</w:t>
            </w:r>
          </w:p>
        </w:tc>
        <w:tc>
          <w:tcPr>
            <w:tcW w:w="4374"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合同签订后10个工作日内，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以转账方式向</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支付合同金额的30%作为预付款，交货</w:t>
            </w:r>
            <w:r>
              <w:rPr>
                <w:rFonts w:hint="eastAsia" w:ascii="宋体" w:hAnsi="宋体"/>
                <w:color w:val="auto"/>
                <w:sz w:val="21"/>
                <w:szCs w:val="21"/>
                <w:highlight w:val="none"/>
                <w:lang w:val="en-US" w:eastAsia="zh-CN"/>
              </w:rPr>
              <w:t>安装</w:t>
            </w:r>
            <w:r>
              <w:rPr>
                <w:rFonts w:hint="eastAsia" w:ascii="宋体" w:hAnsi="宋体"/>
                <w:color w:val="auto"/>
                <w:sz w:val="21"/>
                <w:szCs w:val="21"/>
                <w:highlight w:val="none"/>
              </w:rPr>
              <w:t>验收合格后10个工作日内，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支付</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剩余结算款，</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自收到款项之日起三个工作日内开具发票给</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▲履约</w:t>
            </w:r>
          </w:p>
          <w:p>
            <w:pPr>
              <w:jc w:val="center"/>
              <w:rPr>
                <w:rFonts w:hint="eastAsia" w:ascii="宋体" w:hAnsi="宋体"/>
                <w:color w:val="auto"/>
                <w:sz w:val="21"/>
                <w:szCs w:val="21"/>
                <w:highlight w:val="none"/>
              </w:rPr>
            </w:pPr>
            <w:r>
              <w:rPr>
                <w:rFonts w:hint="eastAsia" w:ascii="宋体" w:hAnsi="宋体"/>
                <w:color w:val="auto"/>
                <w:sz w:val="21"/>
                <w:szCs w:val="21"/>
                <w:highlight w:val="none"/>
              </w:rPr>
              <w:t>保证金</w:t>
            </w:r>
          </w:p>
        </w:tc>
        <w:tc>
          <w:tcPr>
            <w:tcW w:w="4374"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eastAsia="宋体"/>
                <w:color w:val="auto"/>
                <w:sz w:val="21"/>
                <w:szCs w:val="21"/>
                <w:highlight w:val="none"/>
                <w:lang w:val="en-US" w:eastAsia="zh-CN"/>
              </w:rPr>
            </w:pPr>
            <w:r>
              <w:rPr>
                <w:rFonts w:hint="eastAsia" w:hAnsi="宋体"/>
                <w:color w:val="auto"/>
                <w:sz w:val="21"/>
                <w:szCs w:val="21"/>
                <w:highlight w:val="none"/>
              </w:rPr>
              <w:t>合同签订之前，供应商按合同金额的</w:t>
            </w:r>
            <w:r>
              <w:rPr>
                <w:rFonts w:hAnsi="宋体"/>
                <w:color w:val="auto"/>
                <w:sz w:val="21"/>
                <w:szCs w:val="21"/>
                <w:highlight w:val="none"/>
              </w:rPr>
              <w:t>3%</w:t>
            </w:r>
            <w:r>
              <w:rPr>
                <w:rFonts w:hint="eastAsia" w:hAnsi="宋体"/>
                <w:color w:val="auto"/>
                <w:sz w:val="21"/>
                <w:szCs w:val="21"/>
                <w:highlight w:val="none"/>
              </w:rPr>
              <w:t>向采购人交纳履约保证金，履约保证金在供应商按合同约定交货验收合格后</w:t>
            </w:r>
            <w:r>
              <w:rPr>
                <w:rFonts w:hint="eastAsia" w:hAnsi="宋体"/>
                <w:b/>
                <w:bCs/>
                <w:color w:val="auto"/>
                <w:sz w:val="21"/>
                <w:szCs w:val="21"/>
                <w:highlight w:val="none"/>
              </w:rPr>
              <w:t>5个工作日</w:t>
            </w:r>
            <w:r>
              <w:rPr>
                <w:rFonts w:hint="eastAsia" w:hAnsi="宋体"/>
                <w:color w:val="auto"/>
                <w:sz w:val="21"/>
                <w:szCs w:val="21"/>
                <w:highlight w:val="none"/>
              </w:rPr>
              <w:t>内无息返还</w:t>
            </w:r>
            <w:r>
              <w:rPr>
                <w:rFonts w:hint="eastAsia"/>
                <w:color w:val="auto"/>
                <w:sz w:val="21"/>
                <w:szCs w:val="21"/>
                <w:highlight w:val="none"/>
              </w:rPr>
              <w:t>。</w:t>
            </w:r>
          </w:p>
          <w:p>
            <w:pPr>
              <w:pStyle w:val="12"/>
              <w:spacing w:line="400" w:lineRule="exact"/>
              <w:rPr>
                <w:rFonts w:hAnsi="宋体"/>
                <w:color w:val="auto"/>
                <w:sz w:val="21"/>
                <w:szCs w:val="21"/>
                <w:highlight w:val="none"/>
              </w:rPr>
            </w:pPr>
            <w:r>
              <w:rPr>
                <w:rFonts w:hint="eastAsia" w:hAnsi="宋体"/>
                <w:color w:val="auto"/>
                <w:sz w:val="21"/>
                <w:szCs w:val="21"/>
                <w:highlight w:val="none"/>
              </w:rPr>
              <w:t>户</w:t>
            </w:r>
            <w:r>
              <w:rPr>
                <w:rFonts w:hAnsi="宋体"/>
                <w:color w:val="auto"/>
                <w:sz w:val="21"/>
                <w:szCs w:val="21"/>
                <w:highlight w:val="none"/>
              </w:rPr>
              <w:t xml:space="preserve">  名： </w:t>
            </w:r>
            <w:r>
              <w:rPr>
                <w:rFonts w:hint="eastAsia" w:hAnsi="宋体"/>
                <w:color w:val="auto"/>
                <w:sz w:val="21"/>
                <w:szCs w:val="21"/>
                <w:highlight w:val="none"/>
              </w:rPr>
              <w:t>广西艺术学院</w:t>
            </w:r>
          </w:p>
          <w:p>
            <w:pPr>
              <w:pStyle w:val="12"/>
              <w:spacing w:line="400" w:lineRule="exact"/>
              <w:rPr>
                <w:rFonts w:hAnsi="宋体"/>
                <w:color w:val="auto"/>
                <w:sz w:val="21"/>
                <w:szCs w:val="21"/>
                <w:highlight w:val="none"/>
              </w:rPr>
            </w:pPr>
            <w:r>
              <w:rPr>
                <w:rFonts w:hint="eastAsia" w:hAnsi="宋体"/>
                <w:color w:val="auto"/>
                <w:sz w:val="21"/>
                <w:szCs w:val="21"/>
                <w:highlight w:val="none"/>
              </w:rPr>
              <w:t>开户行： 建行南宁市桃源支行</w:t>
            </w:r>
          </w:p>
          <w:p>
            <w:pPr>
              <w:spacing w:line="360" w:lineRule="exact"/>
              <w:jc w:val="left"/>
              <w:rPr>
                <w:rFonts w:hint="eastAsia" w:ascii="宋体" w:hAnsi="宋体"/>
                <w:color w:val="auto"/>
                <w:sz w:val="21"/>
                <w:szCs w:val="21"/>
                <w:highlight w:val="none"/>
              </w:rPr>
            </w:pPr>
            <w:r>
              <w:rPr>
                <w:rFonts w:hint="eastAsia" w:ascii="宋体" w:hAnsi="宋体"/>
                <w:color w:val="auto"/>
                <w:sz w:val="21"/>
                <w:szCs w:val="21"/>
                <w:highlight w:val="none"/>
              </w:rPr>
              <w:t>账</w:t>
            </w:r>
            <w:r>
              <w:rPr>
                <w:rFonts w:ascii="宋体" w:hAnsi="宋体"/>
                <w:color w:val="auto"/>
                <w:sz w:val="21"/>
                <w:szCs w:val="21"/>
                <w:highlight w:val="none"/>
              </w:rPr>
              <w:t xml:space="preserve">  号：</w:t>
            </w:r>
            <w:r>
              <w:rPr>
                <w:rFonts w:hint="eastAsia" w:ascii="宋体" w:hAnsi="宋体"/>
                <w:color w:val="auto"/>
                <w:sz w:val="21"/>
                <w:szCs w:val="21"/>
                <w:highlight w:val="none"/>
              </w:rPr>
              <w:t xml:space="preserve"> </w:t>
            </w:r>
            <w:r>
              <w:rPr>
                <w:rFonts w:hint="eastAsia" w:hAnsi="宋体"/>
                <w:color w:val="auto"/>
                <w:sz w:val="21"/>
                <w:szCs w:val="21"/>
                <w:highlight w:val="none"/>
              </w:rPr>
              <w:t>45001604559050500909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625" w:type="pct"/>
            <w:gridSpan w:val="3"/>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eastAsia" w:ascii="宋体" w:hAnsi="宋体"/>
                <w:color w:val="auto"/>
                <w:sz w:val="21"/>
                <w:szCs w:val="21"/>
                <w:highlight w:val="none"/>
              </w:rPr>
            </w:pPr>
            <w:r>
              <w:rPr>
                <w:rFonts w:hint="eastAsia" w:ascii="宋体" w:hAnsi="宋体"/>
                <w:color w:val="auto"/>
                <w:sz w:val="21"/>
                <w:szCs w:val="21"/>
                <w:highlight w:val="none"/>
              </w:rPr>
              <w:t>▲本项目核心</w:t>
            </w:r>
          </w:p>
          <w:p>
            <w:pPr>
              <w:ind w:firstLine="210" w:firstLineChars="100"/>
              <w:jc w:val="center"/>
              <w:rPr>
                <w:rFonts w:ascii="宋体" w:hAnsi="宋体"/>
                <w:color w:val="auto"/>
                <w:sz w:val="21"/>
                <w:szCs w:val="21"/>
                <w:highlight w:val="none"/>
              </w:rPr>
            </w:pPr>
            <w:r>
              <w:rPr>
                <w:rFonts w:hint="eastAsia" w:ascii="宋体" w:hAnsi="宋体"/>
                <w:color w:val="auto"/>
                <w:sz w:val="21"/>
                <w:szCs w:val="21"/>
                <w:highlight w:val="none"/>
              </w:rPr>
              <w:t>产品</w:t>
            </w:r>
          </w:p>
        </w:tc>
        <w:tc>
          <w:tcPr>
            <w:tcW w:w="4374" w:type="pct"/>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1"/>
                <w:szCs w:val="21"/>
                <w:highlight w:val="none"/>
              </w:rPr>
            </w:pPr>
            <w:r>
              <w:rPr>
                <w:rFonts w:hint="eastAsia" w:ascii="宋体" w:hAnsi="宋体"/>
                <w:b/>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b/>
                <w:bCs/>
                <w:color w:val="auto"/>
                <w:sz w:val="21"/>
                <w:szCs w:val="21"/>
                <w:highlight w:val="none"/>
                <w:u w:val="single"/>
              </w:rPr>
              <w:t xml:space="preserve">项号 </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“双人课桌”</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（核心产品品牌相同的，视为提供同品牌产品）</w:t>
            </w:r>
          </w:p>
          <w:p>
            <w:pPr>
              <w:adjustRightInd w:val="0"/>
              <w:snapToGrid w:val="0"/>
              <w:rPr>
                <w:rFonts w:ascii="宋体" w:hAnsi="宋体"/>
                <w:color w:val="auto"/>
                <w:sz w:val="21"/>
                <w:szCs w:val="21"/>
                <w:highlight w:val="none"/>
              </w:rPr>
            </w:pPr>
            <w:r>
              <w:rPr>
                <w:rFonts w:hint="eastAsia" w:ascii="宋体" w:hAnsi="宋体"/>
                <w:color w:val="auto"/>
                <w:sz w:val="21"/>
                <w:szCs w:val="21"/>
                <w:highlight w:val="none"/>
              </w:rPr>
              <w:t>注：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625"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投标样品（小样）要求</w:t>
            </w:r>
          </w:p>
        </w:tc>
        <w:tc>
          <w:tcPr>
            <w:tcW w:w="437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color w:val="auto"/>
                <w:sz w:val="21"/>
                <w:szCs w:val="21"/>
                <w:highlight w:val="none"/>
              </w:rPr>
            </w:pPr>
            <w:r>
              <w:rPr>
                <w:rFonts w:hint="eastAsia" w:hAnsi="宋体"/>
                <w:color w:val="auto"/>
                <w:sz w:val="21"/>
                <w:szCs w:val="21"/>
                <w:highlight w:val="none"/>
              </w:rPr>
              <w:t>投标时请提供小样：</w:t>
            </w:r>
            <w:r>
              <w:rPr>
                <w:rFonts w:hint="eastAsia"/>
                <w:color w:val="auto"/>
                <w:sz w:val="21"/>
                <w:szCs w:val="21"/>
                <w:highlight w:val="none"/>
              </w:rPr>
              <w:t xml:space="preserve"> </w:t>
            </w:r>
          </w:p>
          <w:tbl>
            <w:tblPr>
              <w:tblStyle w:val="22"/>
              <w:tblW w:w="7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795"/>
              <w:gridCol w:w="709"/>
              <w:gridCol w:w="241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hAnsi="宋体"/>
                      <w:b/>
                      <w:bCs/>
                      <w:color w:val="auto"/>
                      <w:sz w:val="21"/>
                      <w:szCs w:val="21"/>
                      <w:highlight w:val="none"/>
                    </w:rPr>
                  </w:pPr>
                  <w:r>
                    <w:rPr>
                      <w:rFonts w:hint="eastAsia" w:hAnsi="宋体"/>
                      <w:b/>
                      <w:bCs/>
                      <w:color w:val="auto"/>
                      <w:sz w:val="21"/>
                      <w:szCs w:val="21"/>
                      <w:highlight w:val="none"/>
                    </w:rPr>
                    <w:t>货物名称</w:t>
                  </w:r>
                </w:p>
                <w:p>
                  <w:pPr>
                    <w:adjustRightInd w:val="0"/>
                    <w:snapToGrid w:val="0"/>
                    <w:spacing w:line="360" w:lineRule="exact"/>
                    <w:jc w:val="center"/>
                    <w:rPr>
                      <w:rFonts w:hAnsi="宋体"/>
                      <w:b/>
                      <w:bCs/>
                      <w:color w:val="auto"/>
                      <w:sz w:val="21"/>
                      <w:szCs w:val="21"/>
                      <w:highlight w:val="none"/>
                    </w:rPr>
                  </w:pPr>
                  <w:r>
                    <w:rPr>
                      <w:rFonts w:hint="eastAsia" w:hAnsi="宋体"/>
                      <w:b/>
                      <w:bCs/>
                      <w:color w:val="auto"/>
                      <w:sz w:val="21"/>
                      <w:szCs w:val="21"/>
                      <w:highlight w:val="none"/>
                    </w:rPr>
                    <w:t>-项号</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Ansi="宋体"/>
                      <w:b/>
                      <w:bCs/>
                      <w:color w:val="auto"/>
                      <w:sz w:val="21"/>
                      <w:szCs w:val="21"/>
                      <w:highlight w:val="none"/>
                    </w:rPr>
                  </w:pPr>
                  <w:r>
                    <w:rPr>
                      <w:rFonts w:hint="eastAsia" w:hAnsi="宋体"/>
                      <w:b/>
                      <w:bCs/>
                      <w:color w:val="auto"/>
                      <w:sz w:val="21"/>
                      <w:szCs w:val="21"/>
                      <w:highlight w:val="none"/>
                    </w:rPr>
                    <w:t>小样名称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b/>
                      <w:bCs/>
                      <w:color w:val="auto"/>
                      <w:sz w:val="21"/>
                      <w:szCs w:val="21"/>
                      <w:highlight w:val="none"/>
                    </w:rPr>
                  </w:pPr>
                  <w:r>
                    <w:rPr>
                      <w:rFonts w:hint="eastAsia" w:ascii="宋体" w:hAnsi="宋体"/>
                      <w:b/>
                      <w:bCs/>
                      <w:color w:val="auto"/>
                      <w:sz w:val="21"/>
                      <w:szCs w:val="21"/>
                      <w:highlight w:val="none"/>
                    </w:rPr>
                    <w:t>数量</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b/>
                      <w:bCs/>
                      <w:color w:val="auto"/>
                      <w:sz w:val="21"/>
                      <w:szCs w:val="21"/>
                      <w:highlight w:val="none"/>
                    </w:rPr>
                  </w:pPr>
                  <w:r>
                    <w:rPr>
                      <w:rFonts w:hint="eastAsia" w:ascii="宋体" w:hAnsi="宋体"/>
                      <w:b/>
                      <w:bCs/>
                      <w:color w:val="auto"/>
                      <w:sz w:val="21"/>
                      <w:szCs w:val="21"/>
                      <w:highlight w:val="none"/>
                    </w:rPr>
                    <w:t>参考规格</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b/>
                      <w:bCs/>
                      <w:color w:val="auto"/>
                      <w:sz w:val="21"/>
                      <w:szCs w:val="21"/>
                      <w:highlight w:val="none"/>
                    </w:rPr>
                  </w:pPr>
                  <w:r>
                    <w:rPr>
                      <w:rFonts w:hint="eastAsia" w:ascii="宋体" w:hAnsi="宋体"/>
                      <w:b/>
                      <w:bCs/>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olor w:val="auto"/>
                      <w:sz w:val="21"/>
                      <w:szCs w:val="21"/>
                      <w:highlight w:val="none"/>
                    </w:rPr>
                  </w:pPr>
                  <w:r>
                    <w:rPr>
                      <w:rFonts w:hint="eastAsia" w:ascii="宋体" w:hAnsi="宋体"/>
                      <w:color w:val="auto"/>
                      <w:sz w:val="21"/>
                      <w:szCs w:val="21"/>
                      <w:highlight w:val="none"/>
                    </w:rPr>
                    <w:t>1</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olor w:val="auto"/>
                      <w:sz w:val="21"/>
                      <w:szCs w:val="21"/>
                      <w:highlight w:val="none"/>
                    </w:rPr>
                  </w:pPr>
                  <w:r>
                    <w:rPr>
                      <w:rFonts w:hint="eastAsia" w:ascii="宋体" w:hAnsi="宋体"/>
                      <w:color w:val="auto"/>
                      <w:sz w:val="21"/>
                      <w:szCs w:val="21"/>
                      <w:highlight w:val="none"/>
                    </w:rPr>
                    <w:t>“桌子”立柱</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auto"/>
                      <w:sz w:val="21"/>
                      <w:szCs w:val="21"/>
                      <w:highlight w:val="none"/>
                    </w:rPr>
                  </w:pPr>
                  <w:r>
                    <w:rPr>
                      <w:rFonts w:hint="eastAsia" w:ascii="宋体" w:hAnsi="宋体" w:cs="宋体"/>
                      <w:color w:val="auto"/>
                      <w:sz w:val="21"/>
                      <w:szCs w:val="21"/>
                      <w:highlight w:val="none"/>
                    </w:rPr>
                    <w:t>2件</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color w:val="auto"/>
                      <w:sz w:val="21"/>
                      <w:szCs w:val="21"/>
                      <w:highlight w:val="none"/>
                    </w:rPr>
                  </w:pPr>
                  <w:r>
                    <w:rPr>
                      <w:rFonts w:hint="eastAsia" w:ascii="宋体" w:hAnsi="宋体"/>
                      <w:color w:val="auto"/>
                      <w:sz w:val="21"/>
                      <w:szCs w:val="21"/>
                      <w:highlight w:val="none"/>
                    </w:rPr>
                    <w:t>（约）300mm</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color w:val="auto"/>
                      <w:sz w:val="21"/>
                      <w:szCs w:val="21"/>
                      <w:highlight w:val="none"/>
                    </w:rPr>
                  </w:pPr>
                  <w:r>
                    <w:rPr>
                      <w:rFonts w:hint="eastAsia" w:ascii="宋体" w:hAnsi="宋体"/>
                      <w:color w:val="auto"/>
                      <w:sz w:val="21"/>
                      <w:szCs w:val="21"/>
                      <w:highlight w:val="none"/>
                    </w:rPr>
                    <w:t>1根喷涂，1根酸洗磷化未喷涂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olor w:val="auto"/>
                      <w:sz w:val="21"/>
                      <w:szCs w:val="21"/>
                      <w:highlight w:val="none"/>
                    </w:rPr>
                  </w:pPr>
                  <w:r>
                    <w:rPr>
                      <w:rFonts w:hint="eastAsia" w:ascii="宋体" w:hAnsi="宋体"/>
                      <w:color w:val="auto"/>
                      <w:sz w:val="21"/>
                      <w:szCs w:val="21"/>
                      <w:highlight w:val="none"/>
                    </w:rPr>
                    <w:t>3</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olor w:val="auto"/>
                      <w:sz w:val="21"/>
                      <w:szCs w:val="21"/>
                      <w:highlight w:val="none"/>
                    </w:rPr>
                  </w:pPr>
                  <w:r>
                    <w:rPr>
                      <w:rFonts w:hint="eastAsia" w:ascii="宋体" w:hAnsi="宋体"/>
                      <w:color w:val="auto"/>
                      <w:sz w:val="21"/>
                      <w:szCs w:val="21"/>
                      <w:highlight w:val="none"/>
                    </w:rPr>
                    <w:t>“折叠桌”桌面</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auto"/>
                      <w:sz w:val="21"/>
                      <w:szCs w:val="21"/>
                      <w:highlight w:val="none"/>
                    </w:rPr>
                  </w:pPr>
                  <w:r>
                    <w:rPr>
                      <w:rFonts w:hint="eastAsia" w:ascii="宋体" w:hAnsi="宋体" w:cs="宋体"/>
                      <w:color w:val="auto"/>
                      <w:sz w:val="21"/>
                      <w:szCs w:val="21"/>
                      <w:highlight w:val="none"/>
                    </w:rPr>
                    <w:t>1件</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color w:val="auto"/>
                      <w:sz w:val="21"/>
                      <w:szCs w:val="21"/>
                      <w:highlight w:val="none"/>
                    </w:rPr>
                  </w:pPr>
                  <w:r>
                    <w:rPr>
                      <w:rFonts w:hint="eastAsia" w:ascii="宋体" w:hAnsi="宋体"/>
                      <w:color w:val="auto"/>
                      <w:sz w:val="21"/>
                      <w:szCs w:val="21"/>
                      <w:highlight w:val="none"/>
                    </w:rPr>
                    <w:t>（约）400*400mm</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color w:val="auto"/>
                      <w:sz w:val="21"/>
                      <w:szCs w:val="21"/>
                      <w:highlight w:val="none"/>
                    </w:rPr>
                  </w:pPr>
                  <w:r>
                    <w:rPr>
                      <w:rFonts w:hint="eastAsia" w:ascii="宋体" w:hAnsi="宋体"/>
                      <w:color w:val="auto"/>
                      <w:sz w:val="21"/>
                      <w:szCs w:val="21"/>
                      <w:highlight w:val="none"/>
                    </w:rPr>
                    <w:t>三面封</w:t>
                  </w:r>
                  <w:r>
                    <w:rPr>
                      <w:rFonts w:hint="eastAsia" w:ascii="宋体" w:hAnsi="宋体"/>
                      <w:color w:val="auto"/>
                      <w:sz w:val="21"/>
                      <w:szCs w:val="21"/>
                      <w:highlight w:val="none"/>
                      <w:lang w:eastAsia="zh-CN"/>
                    </w:rPr>
                    <w:t>边</w:t>
                  </w:r>
                  <w:r>
                    <w:rPr>
                      <w:rFonts w:hint="eastAsia" w:ascii="宋体" w:hAnsi="宋体"/>
                      <w:color w:val="auto"/>
                      <w:sz w:val="21"/>
                      <w:szCs w:val="21"/>
                      <w:highlight w:val="none"/>
                    </w:rPr>
                    <w:t>，一面不封边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olor w:val="auto"/>
                      <w:sz w:val="21"/>
                      <w:szCs w:val="21"/>
                      <w:highlight w:val="none"/>
                    </w:rPr>
                  </w:pPr>
                  <w:r>
                    <w:rPr>
                      <w:rFonts w:hint="eastAsia" w:ascii="宋体" w:hAnsi="宋体"/>
                      <w:color w:val="auto"/>
                      <w:sz w:val="21"/>
                      <w:szCs w:val="21"/>
                      <w:highlight w:val="none"/>
                    </w:rPr>
                    <w:t>4</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olor w:val="auto"/>
                      <w:sz w:val="21"/>
                      <w:szCs w:val="21"/>
                      <w:highlight w:val="none"/>
                    </w:rPr>
                  </w:pPr>
                  <w:r>
                    <w:rPr>
                      <w:rFonts w:hint="eastAsia" w:ascii="宋体" w:hAnsi="宋体"/>
                      <w:color w:val="auto"/>
                      <w:sz w:val="21"/>
                      <w:szCs w:val="21"/>
                      <w:highlight w:val="none"/>
                    </w:rPr>
                    <w:t>“休闲椅”椅背</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auto"/>
                      <w:sz w:val="21"/>
                      <w:szCs w:val="21"/>
                      <w:highlight w:val="none"/>
                    </w:rPr>
                  </w:pPr>
                  <w:r>
                    <w:rPr>
                      <w:rFonts w:hint="eastAsia" w:ascii="宋体" w:hAnsi="宋体"/>
                      <w:color w:val="auto"/>
                      <w:sz w:val="21"/>
                      <w:szCs w:val="21"/>
                      <w:highlight w:val="none"/>
                    </w:rPr>
                    <w:t>2件</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color w:val="auto"/>
                      <w:sz w:val="21"/>
                      <w:szCs w:val="21"/>
                      <w:highlight w:val="none"/>
                    </w:rPr>
                  </w:pPr>
                  <w:r>
                    <w:rPr>
                      <w:rFonts w:hint="eastAsia" w:ascii="宋体" w:hAnsi="宋体"/>
                      <w:color w:val="auto"/>
                      <w:sz w:val="21"/>
                      <w:szCs w:val="21"/>
                      <w:highlight w:val="none"/>
                    </w:rPr>
                    <w:t>背高不小于300mm，背宽不小于 425mm</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color w:val="auto"/>
                      <w:sz w:val="21"/>
                      <w:szCs w:val="21"/>
                      <w:highlight w:val="none"/>
                    </w:rPr>
                  </w:pPr>
                  <w:r>
                    <w:rPr>
                      <w:rFonts w:hint="eastAsia" w:ascii="宋体" w:hAnsi="宋体"/>
                      <w:color w:val="auto"/>
                      <w:sz w:val="21"/>
                      <w:szCs w:val="21"/>
                      <w:highlight w:val="none"/>
                    </w:rPr>
                    <w:t>1件完整，1件切口处理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olor w:val="auto"/>
                      <w:sz w:val="21"/>
                      <w:szCs w:val="21"/>
                      <w:highlight w:val="none"/>
                    </w:rPr>
                  </w:pPr>
                  <w:r>
                    <w:rPr>
                      <w:rFonts w:hint="eastAsia" w:ascii="宋体" w:hAnsi="宋体"/>
                      <w:color w:val="auto"/>
                      <w:sz w:val="21"/>
                      <w:szCs w:val="21"/>
                      <w:highlight w:val="none"/>
                    </w:rPr>
                    <w:t>5</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 w:val="21"/>
                      <w:szCs w:val="21"/>
                      <w:highlight w:val="none"/>
                    </w:rPr>
                  </w:pPr>
                  <w:r>
                    <w:rPr>
                      <w:rFonts w:hint="eastAsia" w:ascii="宋体" w:hAnsi="宋体"/>
                      <w:color w:val="auto"/>
                      <w:sz w:val="21"/>
                      <w:szCs w:val="21"/>
                      <w:highlight w:val="none"/>
                    </w:rPr>
                    <w:t>“课桌椅”桌架</w:t>
                  </w:r>
                </w:p>
                <w:p>
                  <w:pPr>
                    <w:snapToGrid w:val="0"/>
                    <w:spacing w:line="360" w:lineRule="exact"/>
                    <w:jc w:val="center"/>
                    <w:rPr>
                      <w:rFonts w:hint="eastAsia" w:hAnsi="宋体"/>
                      <w:color w:val="auto"/>
                      <w:sz w:val="21"/>
                      <w:szCs w:val="21"/>
                      <w:highlight w:val="none"/>
                    </w:rPr>
                  </w:pPr>
                  <w:r>
                    <w:rPr>
                      <w:rFonts w:hint="eastAsia" w:ascii="宋体" w:hAnsi="宋体"/>
                      <w:color w:val="auto"/>
                      <w:sz w:val="21"/>
                      <w:szCs w:val="21"/>
                      <w:highlight w:val="none"/>
                    </w:rPr>
                    <w:t>钢管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auto"/>
                      <w:sz w:val="21"/>
                      <w:szCs w:val="21"/>
                      <w:highlight w:val="none"/>
                    </w:rPr>
                  </w:pPr>
                  <w:r>
                    <w:rPr>
                      <w:rFonts w:hint="eastAsia" w:ascii="宋体" w:hAnsi="宋体" w:cs="宋体"/>
                      <w:color w:val="auto"/>
                      <w:sz w:val="21"/>
                      <w:szCs w:val="21"/>
                      <w:highlight w:val="none"/>
                    </w:rPr>
                    <w:t>2件</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color w:val="auto"/>
                      <w:sz w:val="21"/>
                      <w:szCs w:val="21"/>
                      <w:highlight w:val="none"/>
                    </w:rPr>
                  </w:pPr>
                  <w:r>
                    <w:rPr>
                      <w:rFonts w:hint="eastAsia" w:ascii="宋体" w:hAnsi="宋体"/>
                      <w:color w:val="auto"/>
                      <w:sz w:val="21"/>
                      <w:szCs w:val="21"/>
                      <w:highlight w:val="none"/>
                    </w:rPr>
                    <w:t>（约）300mm</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color w:val="auto"/>
                      <w:sz w:val="21"/>
                      <w:szCs w:val="21"/>
                      <w:highlight w:val="none"/>
                    </w:rPr>
                  </w:pPr>
                  <w:r>
                    <w:rPr>
                      <w:rFonts w:hint="eastAsia" w:ascii="宋体" w:hAnsi="宋体"/>
                      <w:color w:val="auto"/>
                      <w:sz w:val="21"/>
                      <w:szCs w:val="21"/>
                      <w:highlight w:val="none"/>
                    </w:rPr>
                    <w:t>1根喷涂，1根酸洗磷化未喷涂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eastAsia="宋体"/>
                      <w:color w:val="auto"/>
                      <w:sz w:val="21"/>
                      <w:szCs w:val="21"/>
                      <w:highlight w:val="none"/>
                      <w:lang w:eastAsia="zh-CN"/>
                    </w:rPr>
                  </w:pPr>
                  <w:r>
                    <w:rPr>
                      <w:rFonts w:hint="eastAsia" w:ascii="宋体" w:hAnsi="宋体"/>
                      <w:color w:val="auto"/>
                      <w:sz w:val="21"/>
                      <w:szCs w:val="21"/>
                      <w:highlight w:val="none"/>
                      <w:lang w:val="en-US" w:eastAsia="zh-CN"/>
                    </w:rPr>
                    <w:t>6</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olor w:val="auto"/>
                      <w:sz w:val="21"/>
                      <w:szCs w:val="21"/>
                      <w:highlight w:val="none"/>
                    </w:rPr>
                  </w:pPr>
                  <w:r>
                    <w:rPr>
                      <w:rFonts w:hint="eastAsia" w:ascii="宋体" w:hAnsi="宋体"/>
                      <w:color w:val="auto"/>
                      <w:sz w:val="21"/>
                      <w:szCs w:val="21"/>
                      <w:highlight w:val="none"/>
                    </w:rPr>
                    <w:t>“双人课桌”桌架立管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auto"/>
                      <w:sz w:val="21"/>
                      <w:szCs w:val="21"/>
                      <w:highlight w:val="none"/>
                    </w:rPr>
                  </w:pPr>
                  <w:r>
                    <w:rPr>
                      <w:rFonts w:hint="eastAsia" w:ascii="宋体" w:hAnsi="宋体" w:cs="宋体"/>
                      <w:color w:val="auto"/>
                      <w:sz w:val="21"/>
                      <w:szCs w:val="21"/>
                      <w:highlight w:val="none"/>
                    </w:rPr>
                    <w:t>2件</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color w:val="auto"/>
                      <w:sz w:val="21"/>
                      <w:szCs w:val="21"/>
                      <w:highlight w:val="none"/>
                    </w:rPr>
                  </w:pPr>
                  <w:r>
                    <w:rPr>
                      <w:rFonts w:hint="eastAsia" w:ascii="宋体" w:hAnsi="宋体"/>
                      <w:color w:val="auto"/>
                      <w:sz w:val="21"/>
                      <w:szCs w:val="21"/>
                      <w:highlight w:val="none"/>
                    </w:rPr>
                    <w:t>（约）300mm</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hAnsi="宋体"/>
                      <w:color w:val="auto"/>
                      <w:sz w:val="21"/>
                      <w:szCs w:val="21"/>
                      <w:highlight w:val="none"/>
                    </w:rPr>
                  </w:pPr>
                  <w:r>
                    <w:rPr>
                      <w:rFonts w:hint="eastAsia" w:ascii="宋体" w:hAnsi="宋体"/>
                      <w:color w:val="auto"/>
                      <w:sz w:val="21"/>
                      <w:szCs w:val="21"/>
                      <w:highlight w:val="none"/>
                    </w:rPr>
                    <w:t>1根喷涂，1根酸洗磷化未喷涂</w:t>
                  </w:r>
                </w:p>
              </w:tc>
            </w:tr>
          </w:tbl>
          <w:p>
            <w:pPr>
              <w:adjustRightInd w:val="0"/>
              <w:snapToGrid w:val="0"/>
              <w:rPr>
                <w:rFonts w:hint="eastAsia" w:ascii="宋体" w:hAnsi="宋体"/>
                <w:color w:val="auto"/>
                <w:sz w:val="21"/>
                <w:szCs w:val="21"/>
                <w:highlight w:val="none"/>
              </w:rPr>
            </w:pPr>
          </w:p>
          <w:p>
            <w:pPr>
              <w:widowControl/>
              <w:jc w:val="left"/>
              <w:rPr>
                <w:rFonts w:hint="eastAsia" w:ascii="宋体" w:hAnsi="宋体"/>
                <w:b/>
                <w:color w:val="auto"/>
                <w:sz w:val="21"/>
                <w:szCs w:val="21"/>
                <w:highlight w:val="none"/>
              </w:rPr>
            </w:pPr>
            <w:r>
              <w:rPr>
                <w:rFonts w:hint="eastAsia" w:ascii="宋体" w:hAnsi="宋体"/>
                <w:b/>
                <w:color w:val="auto"/>
                <w:sz w:val="21"/>
                <w:szCs w:val="21"/>
                <w:highlight w:val="none"/>
              </w:rPr>
              <w:t>备注：</w:t>
            </w:r>
          </w:p>
          <w:p>
            <w:pPr>
              <w:widowControl/>
              <w:ind w:firstLine="105" w:firstLineChars="50"/>
              <w:jc w:val="left"/>
              <w:rPr>
                <w:rFonts w:hint="eastAsia" w:ascii="宋体" w:hAnsi="宋体"/>
                <w:color w:val="auto"/>
                <w:sz w:val="21"/>
                <w:szCs w:val="21"/>
                <w:highlight w:val="none"/>
              </w:rPr>
            </w:pPr>
            <w:r>
              <w:rPr>
                <w:rFonts w:hint="eastAsia" w:ascii="宋体" w:hAnsi="宋体"/>
                <w:color w:val="auto"/>
                <w:sz w:val="21"/>
                <w:szCs w:val="21"/>
                <w:highlight w:val="none"/>
              </w:rPr>
              <w:t>(1) 小样只是作为加分项，不作为投标的必须要求；小样的规格尺寸不作为评定要求。</w:t>
            </w:r>
          </w:p>
          <w:p>
            <w:pPr>
              <w:rPr>
                <w:rFonts w:hint="eastAsia" w:ascii="宋体" w:hAnsi="宋体"/>
                <w:color w:val="auto"/>
                <w:sz w:val="21"/>
                <w:szCs w:val="21"/>
                <w:highlight w:val="none"/>
              </w:rPr>
            </w:pPr>
            <w:r>
              <w:rPr>
                <w:rFonts w:hint="eastAsia" w:ascii="宋体" w:hAnsi="宋体"/>
                <w:color w:val="auto"/>
                <w:sz w:val="21"/>
                <w:szCs w:val="21"/>
                <w:highlight w:val="none"/>
              </w:rPr>
              <w:t>（2）小样递交时间：</w:t>
            </w:r>
            <w:r>
              <w:rPr>
                <w:rFonts w:hint="eastAsia" w:ascii="宋体" w:hAnsi="宋体"/>
                <w:b/>
                <w:bCs/>
                <w:color w:val="auto"/>
                <w:sz w:val="21"/>
                <w:szCs w:val="21"/>
                <w:highlight w:val="none"/>
              </w:rPr>
              <w:t>为开标当天提交</w:t>
            </w:r>
            <w:r>
              <w:rPr>
                <w:rFonts w:hint="eastAsia"/>
                <w:b/>
                <w:bCs/>
                <w:color w:val="auto"/>
                <w:sz w:val="21"/>
                <w:szCs w:val="21"/>
                <w:highlight w:val="none"/>
              </w:rPr>
              <w:t>投标文件截止时间前</w:t>
            </w:r>
            <w:r>
              <w:rPr>
                <w:rFonts w:hint="eastAsia"/>
                <w:b/>
                <w:color w:val="auto"/>
                <w:sz w:val="21"/>
                <w:szCs w:val="21"/>
                <w:highlight w:val="none"/>
              </w:rPr>
              <w:t>；</w:t>
            </w:r>
            <w:r>
              <w:rPr>
                <w:rFonts w:hint="eastAsia" w:ascii="宋体" w:hAnsi="宋体"/>
                <w:color w:val="auto"/>
                <w:sz w:val="21"/>
                <w:szCs w:val="21"/>
                <w:highlight w:val="none"/>
              </w:rPr>
              <w:t>提交小样的地点：</w:t>
            </w:r>
            <w:r>
              <w:rPr>
                <w:b/>
                <w:bCs/>
                <w:color w:val="auto"/>
                <w:sz w:val="21"/>
                <w:szCs w:val="21"/>
                <w:highlight w:val="none"/>
              </w:rPr>
              <w:t>为</w:t>
            </w:r>
            <w:r>
              <w:rPr>
                <w:rFonts w:hint="eastAsia" w:ascii="宋体" w:hAnsi="宋体"/>
                <w:b/>
                <w:bCs/>
                <w:color w:val="auto"/>
                <w:sz w:val="21"/>
                <w:szCs w:val="21"/>
                <w:highlight w:val="none"/>
              </w:rPr>
              <w:t>南宁市星湖路22号评标楼（4号楼）三楼303室</w:t>
            </w:r>
            <w:r>
              <w:rPr>
                <w:rFonts w:hint="eastAsia" w:ascii="宋体" w:hAnsi="宋体"/>
                <w:color w:val="auto"/>
                <w:sz w:val="21"/>
                <w:szCs w:val="21"/>
                <w:highlight w:val="none"/>
              </w:rPr>
              <w:t>。</w:t>
            </w:r>
          </w:p>
          <w:p>
            <w:pPr>
              <w:pStyle w:val="14"/>
              <w:rPr>
                <w:rFonts w:hint="eastAsia" w:ascii="宋体" w:hAnsi="宋体"/>
                <w:color w:val="auto"/>
                <w:sz w:val="21"/>
                <w:szCs w:val="21"/>
                <w:highlight w:val="none"/>
              </w:rPr>
            </w:pPr>
            <w:r>
              <w:rPr>
                <w:rFonts w:hint="eastAsia" w:ascii="宋体" w:hAnsi="宋体"/>
                <w:color w:val="auto"/>
                <w:sz w:val="21"/>
                <w:szCs w:val="21"/>
                <w:highlight w:val="none"/>
              </w:rPr>
              <w:t>（3）小样递交要求：</w:t>
            </w:r>
          </w:p>
          <w:p>
            <w:pPr>
              <w:pStyle w:val="14"/>
              <w:ind w:firstLine="105" w:firstLineChars="5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提交</w:t>
            </w:r>
            <w:r>
              <w:rPr>
                <w:rFonts w:hint="eastAsia" w:ascii="宋体" w:hAnsi="宋体"/>
                <w:color w:val="auto"/>
                <w:sz w:val="21"/>
                <w:szCs w:val="21"/>
                <w:highlight w:val="none"/>
              </w:rPr>
              <w:t>小样</w:t>
            </w:r>
            <w:r>
              <w:rPr>
                <w:rFonts w:ascii="宋体" w:hAnsi="宋体"/>
                <w:color w:val="auto"/>
                <w:sz w:val="21"/>
                <w:szCs w:val="21"/>
                <w:highlight w:val="none"/>
              </w:rPr>
              <w:t>的代表须向采购代理机构工作人员</w:t>
            </w:r>
            <w:r>
              <w:rPr>
                <w:rFonts w:hint="eastAsia" w:ascii="宋体" w:hAnsi="宋体"/>
                <w:color w:val="auto"/>
                <w:sz w:val="21"/>
                <w:szCs w:val="21"/>
                <w:highlight w:val="none"/>
              </w:rPr>
              <w:t>提</w:t>
            </w:r>
            <w:r>
              <w:rPr>
                <w:rFonts w:ascii="宋体" w:hAnsi="宋体"/>
                <w:color w:val="auto"/>
                <w:sz w:val="21"/>
                <w:szCs w:val="21"/>
                <w:highlight w:val="none"/>
              </w:rPr>
              <w:t>交</w:t>
            </w:r>
            <w:r>
              <w:rPr>
                <w:rFonts w:hint="eastAsia" w:ascii="宋体" w:hAnsi="宋体"/>
                <w:color w:val="auto"/>
                <w:sz w:val="21"/>
                <w:szCs w:val="21"/>
                <w:highlight w:val="none"/>
              </w:rPr>
              <w:t>“小样</w:t>
            </w:r>
            <w:r>
              <w:rPr>
                <w:rFonts w:ascii="宋体" w:hAnsi="宋体"/>
                <w:color w:val="auto"/>
                <w:sz w:val="21"/>
                <w:szCs w:val="21"/>
                <w:highlight w:val="none"/>
              </w:rPr>
              <w:t>授权委托书</w:t>
            </w:r>
            <w:r>
              <w:rPr>
                <w:rFonts w:hint="eastAsia" w:ascii="宋体" w:hAnsi="宋体"/>
                <w:color w:val="auto"/>
                <w:sz w:val="21"/>
                <w:szCs w:val="21"/>
                <w:highlight w:val="none"/>
              </w:rPr>
              <w:t>”原件。</w:t>
            </w:r>
          </w:p>
          <w:p>
            <w:pPr>
              <w:pStyle w:val="14"/>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 xml:space="preserve">2）所有小样按以下规定要求密封（包装）：小样包装外面贴上项目名称和项目编号及投标人名称等信息；包装里面的各小样不能出现有关投标人的标识，如出现透露投标人的信息，小样不得进行评定。 </w:t>
            </w:r>
          </w:p>
          <w:p>
            <w:pPr>
              <w:pStyle w:val="14"/>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3）评标前由采购代理机构工作人员将对投标人的标签进行遮盖，评定小样时由采购代理机构工作人员及评委一起打开，待评定小样完毕后，再统一拆封所有投标人的标签。</w:t>
            </w:r>
          </w:p>
          <w:p>
            <w:pPr>
              <w:pStyle w:val="14"/>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（4）采购结果公告后，中标人小样不退，作为验收依据之一。</w:t>
            </w:r>
            <w:r>
              <w:rPr>
                <w:rFonts w:hint="eastAsia" w:ascii="宋体" w:hAnsi="宋体"/>
                <w:b/>
                <w:bCs/>
                <w:color w:val="auto"/>
                <w:sz w:val="21"/>
                <w:szCs w:val="21"/>
                <w:highlight w:val="none"/>
              </w:rPr>
              <w:t>未中标的，在本项目评审结果（中标公告）发出（或接到广西壮族自治区政府采购中心电话通知）后五个工作日内，原路径领回样品，逾期未办理样品领取的，样品处置权交由广西壮族自治区政府采购中心。所造成的损失，由本公司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5"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 w:val="21"/>
                <w:szCs w:val="21"/>
                <w:highlight w:val="none"/>
              </w:rPr>
            </w:pPr>
            <w:r>
              <w:rPr>
                <w:rFonts w:hint="eastAsia" w:ascii="宋体" w:hAnsi="宋体"/>
                <w:color w:val="auto"/>
                <w:sz w:val="21"/>
                <w:szCs w:val="21"/>
                <w:highlight w:val="none"/>
              </w:rPr>
              <w:t>其它要求及说明</w:t>
            </w:r>
          </w:p>
        </w:tc>
        <w:tc>
          <w:tcPr>
            <w:tcW w:w="4374" w:type="pct"/>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156" w:afterLines="50" w:line="36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1、中标人保证向采购人提供的货物是全新、完整、未使用过的。</w:t>
            </w:r>
          </w:p>
          <w:p>
            <w:pPr>
              <w:widowControl/>
              <w:shd w:val="clear" w:color="auto" w:fill="FFFFFF"/>
              <w:jc w:val="lef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ascii="宋体" w:hAnsi="宋体" w:cs="宋体"/>
                <w:color w:val="auto"/>
                <w:sz w:val="21"/>
                <w:szCs w:val="21"/>
                <w:highlight w:val="none"/>
                <w:lang w:val="zh-CN"/>
              </w:rPr>
              <w:t>本项目不接受进口产品（即通过中国海关报关验放进入中国境内且产自关境外的产品）参与投标，如有此类产品参与投标的做投标无效处理。</w:t>
            </w:r>
          </w:p>
          <w:p>
            <w:pPr>
              <w:spacing w:line="360" w:lineRule="auto"/>
              <w:rPr>
                <w:rFonts w:ascii="宋体" w:hAnsi="宋体" w:cs="宋体"/>
                <w:color w:val="auto"/>
                <w:sz w:val="21"/>
                <w:szCs w:val="21"/>
                <w:highlight w:val="none"/>
                <w:lang w:val="zh-CN"/>
              </w:rPr>
            </w:pPr>
            <w:r>
              <w:rPr>
                <w:rFonts w:hint="eastAsia"/>
                <w:color w:val="auto"/>
                <w:sz w:val="21"/>
                <w:szCs w:val="21"/>
                <w:highlight w:val="none"/>
              </w:rPr>
              <w:t>3、</w:t>
            </w:r>
            <w:r>
              <w:rPr>
                <w:color w:val="auto"/>
                <w:sz w:val="21"/>
                <w:szCs w:val="21"/>
                <w:highlight w:val="none"/>
              </w:rPr>
              <w:t>家具的最终外形尺寸须根据实际布置进行调整，对</w:t>
            </w:r>
            <w:r>
              <w:rPr>
                <w:rFonts w:hint="eastAsia"/>
                <w:color w:val="auto"/>
                <w:sz w:val="21"/>
                <w:szCs w:val="21"/>
                <w:highlight w:val="none"/>
              </w:rPr>
              <w:t>有</w:t>
            </w:r>
            <w:r>
              <w:rPr>
                <w:color w:val="auto"/>
                <w:sz w:val="21"/>
                <w:szCs w:val="21"/>
                <w:highlight w:val="none"/>
              </w:rPr>
              <w:t>特殊的定制家具及修改的尺寸均包含在投标报价中，投标人在报价时应自行考虑，承诺不因定制或修改家具尺寸的因素而改变投标报价</w:t>
            </w:r>
            <w:r>
              <w:rPr>
                <w:rFonts w:hint="eastAsia" w:ascii="宋体" w:hAnsi="宋体" w:cs="宋体"/>
                <w:color w:val="auto"/>
                <w:sz w:val="21"/>
                <w:szCs w:val="21"/>
                <w:highlight w:val="none"/>
                <w:lang w:val="zh-CN"/>
              </w:rPr>
              <w:t>。</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4</w:t>
            </w:r>
            <w:r>
              <w:rPr>
                <w:rFonts w:ascii="宋体" w:hAnsi="宋体" w:cs="宋体"/>
                <w:color w:val="auto"/>
                <w:sz w:val="21"/>
                <w:szCs w:val="21"/>
                <w:highlight w:val="none"/>
                <w:lang w:val="zh-CN"/>
              </w:rPr>
              <w:t>、</w:t>
            </w:r>
            <w:r>
              <w:rPr>
                <w:rFonts w:hint="eastAsia" w:hAnsi="宋体"/>
                <w:color w:val="auto"/>
                <w:sz w:val="21"/>
                <w:szCs w:val="21"/>
                <w:highlight w:val="none"/>
              </w:rPr>
              <w:t>中标人在投标活动中提供任何虚假材料，其投标无效，并报监管部门查处。</w:t>
            </w:r>
          </w:p>
          <w:p>
            <w:pPr>
              <w:pStyle w:val="30"/>
              <w:rPr>
                <w:rFonts w:hint="eastAsia" w:hAnsi="宋体"/>
                <w:color w:val="auto"/>
                <w:sz w:val="21"/>
                <w:szCs w:val="21"/>
                <w:highlight w:val="none"/>
              </w:rPr>
            </w:pPr>
            <w:r>
              <w:rPr>
                <w:rFonts w:hint="eastAsia" w:hAnsi="宋体"/>
                <w:color w:val="auto"/>
                <w:kern w:val="2"/>
                <w:sz w:val="21"/>
                <w:szCs w:val="21"/>
                <w:highlight w:val="none"/>
                <w:lang w:val="zh-CN"/>
              </w:rPr>
              <w:t>▲</w:t>
            </w:r>
            <w:r>
              <w:rPr>
                <w:rFonts w:hint="eastAsia" w:hAnsi="宋体"/>
                <w:color w:val="auto"/>
                <w:sz w:val="21"/>
                <w:szCs w:val="21"/>
                <w:highlight w:val="none"/>
              </w:rPr>
              <w:t>5、验收：</w:t>
            </w:r>
          </w:p>
          <w:p>
            <w:pPr>
              <w:pStyle w:val="30"/>
              <w:rPr>
                <w:rFonts w:hint="eastAsia" w:hAnsi="宋体"/>
                <w:color w:val="auto"/>
                <w:sz w:val="21"/>
                <w:szCs w:val="21"/>
                <w:highlight w:val="none"/>
              </w:rPr>
            </w:pPr>
            <w:r>
              <w:rPr>
                <w:rFonts w:hint="eastAsia" w:hAnsi="宋体"/>
                <w:color w:val="auto"/>
                <w:sz w:val="21"/>
                <w:szCs w:val="21"/>
                <w:highlight w:val="none"/>
              </w:rPr>
              <w:t>（1）中标人在签订合同后，先提供（</w:t>
            </w:r>
            <w:r>
              <w:rPr>
                <w:rFonts w:hint="eastAsia" w:hAnsi="宋体"/>
                <w:b/>
                <w:bCs/>
                <w:color w:val="auto"/>
                <w:sz w:val="21"/>
                <w:szCs w:val="21"/>
                <w:highlight w:val="none"/>
                <w:u w:val="single"/>
              </w:rPr>
              <w:t>一套完整的所投产品</w:t>
            </w:r>
            <w:r>
              <w:rPr>
                <w:rFonts w:hint="eastAsia" w:hAnsi="宋体"/>
                <w:color w:val="auto"/>
                <w:sz w:val="21"/>
                <w:szCs w:val="21"/>
                <w:highlight w:val="none"/>
              </w:rPr>
              <w:t>）至采购单位处进行检测，采购单位可聘请具有验收资质的检测部门进行检测，检测合格的产品作为验收产品的依据，费用由中标人负责。</w:t>
            </w:r>
          </w:p>
          <w:p>
            <w:pPr>
              <w:adjustRightInd w:val="0"/>
              <w:snapToGrid w:val="0"/>
              <w:spacing w:before="152" w:after="160"/>
              <w:rPr>
                <w:rFonts w:hint="eastAsia" w:hAnsi="宋体" w:cs="Segoe UI Symbol"/>
                <w:color w:val="auto"/>
                <w:sz w:val="21"/>
                <w:szCs w:val="21"/>
                <w:highlight w:val="none"/>
              </w:rPr>
            </w:pPr>
            <w:r>
              <w:rPr>
                <w:rFonts w:hint="eastAsia" w:hAnsi="宋体"/>
                <w:color w:val="auto"/>
                <w:sz w:val="21"/>
                <w:szCs w:val="21"/>
                <w:highlight w:val="none"/>
              </w:rPr>
              <w:t>（2）中标人须按规定时间交货安装完毕，采购单位可聘请具有验收能力的检测部门进行验收，验收不合格按照政府采购法及相关规定执行</w:t>
            </w:r>
            <w:r>
              <w:rPr>
                <w:rFonts w:hint="eastAsia" w:hAnsi="宋体" w:cs="Segoe UI Symbol"/>
                <w:color w:val="auto"/>
                <w:sz w:val="21"/>
                <w:szCs w:val="21"/>
                <w:highlight w:val="none"/>
              </w:rPr>
              <w:t>。</w:t>
            </w:r>
          </w:p>
          <w:p>
            <w:pPr>
              <w:widowControl/>
              <w:shd w:val="clear" w:color="auto" w:fill="FFFFFF"/>
              <w:jc w:val="left"/>
              <w:rPr>
                <w:rFonts w:hint="eastAsia" w:ascii="宋体" w:hAnsi="宋体"/>
                <w:color w:val="auto"/>
                <w:sz w:val="21"/>
                <w:szCs w:val="21"/>
                <w:highlight w:val="none"/>
              </w:rPr>
            </w:pPr>
            <w:r>
              <w:rPr>
                <w:rFonts w:hint="eastAsia" w:ascii="宋体" w:hAnsi="宋体"/>
                <w:color w:val="auto"/>
                <w:sz w:val="21"/>
                <w:szCs w:val="21"/>
                <w:highlight w:val="none"/>
              </w:rPr>
              <w:t>6、政策功能</w:t>
            </w:r>
          </w:p>
          <w:p>
            <w:pPr>
              <w:widowControl/>
              <w:shd w:val="clear" w:color="auto" w:fill="FFFFFF"/>
              <w:jc w:val="left"/>
              <w:rPr>
                <w:rFonts w:hint="eastAsia" w:ascii="宋体" w:hAnsi="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olor w:val="auto"/>
                <w:sz w:val="21"/>
                <w:szCs w:val="21"/>
                <w:highlight w:val="none"/>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widowControl/>
              <w:shd w:val="clear" w:color="auto" w:fill="FFFFFF"/>
              <w:jc w:val="left"/>
              <w:rPr>
                <w:rFonts w:ascii="宋体" w:hAnsi="宋体"/>
                <w:b/>
                <w:color w:val="auto"/>
                <w:sz w:val="21"/>
                <w:szCs w:val="21"/>
                <w:highlight w:val="none"/>
              </w:rPr>
            </w:pPr>
            <w:r>
              <w:rPr>
                <w:rFonts w:hint="eastAsia" w:ascii="宋体" w:hAnsi="宋体"/>
                <w:color w:val="auto"/>
                <w:sz w:val="21"/>
                <w:szCs w:val="21"/>
                <w:highlight w:val="none"/>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bl>
    <w:p>
      <w:pPr>
        <w:spacing w:line="360" w:lineRule="exact"/>
        <w:ind w:left="6" w:firstLine="431"/>
        <w:rPr>
          <w:rFonts w:hint="eastAsia" w:ascii="宋体" w:hAnsi="宋体"/>
          <w:b/>
          <w:bCs/>
          <w:color w:val="auto"/>
          <w:sz w:val="21"/>
          <w:szCs w:val="21"/>
          <w:highlight w:val="none"/>
        </w:rPr>
      </w:pPr>
    </w:p>
    <w:p>
      <w:pPr>
        <w:rPr>
          <w:rFonts w:hint="eastAsia"/>
          <w:color w:val="auto"/>
          <w:highlight w:val="none"/>
        </w:rPr>
      </w:pPr>
    </w:p>
    <w:p>
      <w:pPr>
        <w:snapToGrid w:val="0"/>
        <w:spacing w:line="400" w:lineRule="exact"/>
        <w:ind w:firstLine="421" w:firstLineChars="200"/>
        <w:rPr>
          <w:rFonts w:hint="eastAsia" w:ascii="宋体" w:hAnsi="宋体"/>
          <w:b/>
          <w:bCs/>
          <w:color w:val="auto"/>
          <w:kern w:val="0"/>
          <w:szCs w:val="21"/>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1"/>
        <w:ind w:firstLine="240"/>
        <w:rPr>
          <w:rFonts w:hint="eastAsia"/>
          <w:color w:val="auto"/>
          <w:highlight w:val="none"/>
        </w:rPr>
      </w:pPr>
      <w:bookmarkStart w:id="8" w:name="_Toc40864906"/>
      <w:bookmarkStart w:id="9" w:name="_Toc40865022"/>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21"/>
        <w:ind w:firstLine="240"/>
        <w:rPr>
          <w:rFonts w:hint="eastAsia"/>
          <w:color w:val="auto"/>
          <w:highlight w:val="none"/>
        </w:rPr>
      </w:pPr>
    </w:p>
    <w:p>
      <w:pPr>
        <w:pStyle w:val="3"/>
        <w:jc w:val="center"/>
        <w:rPr>
          <w:rFonts w:hint="eastAsia"/>
          <w:color w:val="auto"/>
          <w:highlight w:val="none"/>
        </w:rPr>
      </w:pPr>
    </w:p>
    <w:p>
      <w:pPr>
        <w:rPr>
          <w:rFonts w:hint="eastAsia"/>
          <w:color w:val="auto"/>
          <w:highlight w:val="none"/>
        </w:rPr>
      </w:pPr>
    </w:p>
    <w:p>
      <w:pPr>
        <w:pStyle w:val="3"/>
        <w:numPr>
          <w:ilvl w:val="0"/>
          <w:numId w:val="3"/>
        </w:numPr>
        <w:jc w:val="center"/>
        <w:rPr>
          <w:rFonts w:hint="eastAsia"/>
          <w:color w:val="auto"/>
          <w:highlight w:val="none"/>
        </w:rPr>
      </w:pPr>
      <w:r>
        <w:rPr>
          <w:rFonts w:hint="eastAsia"/>
          <w:color w:val="auto"/>
          <w:highlight w:val="none"/>
        </w:rPr>
        <w:t xml:space="preserve"> 投标人须知</w:t>
      </w:r>
      <w:bookmarkEnd w:id="8"/>
      <w:bookmarkEnd w:id="9"/>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1"/>
        <w:ind w:firstLine="240"/>
        <w:rPr>
          <w:rFonts w:hint="eastAsia"/>
          <w:color w:val="auto"/>
          <w:highlight w:val="none"/>
        </w:rPr>
      </w:pPr>
    </w:p>
    <w:p>
      <w:pPr>
        <w:rPr>
          <w:rFonts w:hint="eastAsia"/>
          <w:color w:val="auto"/>
          <w:highlight w:val="none"/>
        </w:rPr>
      </w:pPr>
    </w:p>
    <w:p>
      <w:pPr>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snapToGrid w:val="0"/>
        <w:jc w:val="center"/>
        <w:rPr>
          <w:rFonts w:hint="eastAsia" w:ascii="仿宋_GB2312" w:hAnsi="宋体" w:eastAsia="仿宋_GB2312"/>
          <w:b/>
          <w:color w:val="auto"/>
          <w:szCs w:val="21"/>
          <w:highlight w:val="none"/>
        </w:rPr>
      </w:pPr>
      <w:r>
        <w:rPr>
          <w:rFonts w:hint="eastAsia" w:ascii="仿宋_GB2312" w:hAnsi="宋体" w:eastAsia="仿宋_GB2312"/>
          <w:b/>
          <w:color w:val="auto"/>
          <w:sz w:val="32"/>
          <w:szCs w:val="32"/>
          <w:highlight w:val="none"/>
        </w:rPr>
        <w:t>投标</w:t>
      </w:r>
      <w:bookmarkStart w:id="10" w:name="_Toc254970667"/>
      <w:bookmarkStart w:id="11" w:name="_Toc254970526"/>
      <w:r>
        <w:rPr>
          <w:rFonts w:hint="eastAsia" w:ascii="仿宋_GB2312" w:hAnsi="宋体" w:eastAsia="仿宋_GB2312"/>
          <w:b/>
          <w:color w:val="auto"/>
          <w:sz w:val="32"/>
          <w:szCs w:val="32"/>
          <w:highlight w:val="none"/>
        </w:rPr>
        <w:t>人须知及前附表</w:t>
      </w:r>
      <w:bookmarkEnd w:id="10"/>
      <w:bookmarkEnd w:id="11"/>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项目名称： 广西艺术学院课桌椅采购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bCs/>
                <w:color w:val="auto"/>
                <w:highlight w:val="none"/>
                <w:u w:val="single"/>
              </w:rPr>
            </w:pPr>
            <w:r>
              <w:rPr>
                <w:rFonts w:hint="eastAsia"/>
                <w:bCs/>
                <w:color w:val="auto"/>
                <w:highlight w:val="none"/>
              </w:rPr>
              <w:t>投标保证金（人民币）</w:t>
            </w:r>
            <w:r>
              <w:rPr>
                <w:rFonts w:hint="eastAsia"/>
                <w:bCs/>
                <w:color w:val="auto"/>
                <w:highlight w:val="none"/>
                <w:u w:val="single"/>
              </w:rPr>
              <w:t xml:space="preserve">      详见“第一章公开招标公告” 。 </w:t>
            </w:r>
          </w:p>
          <w:p>
            <w:pPr>
              <w:snapToGrid w:val="0"/>
              <w:spacing w:line="380" w:lineRule="exact"/>
              <w:rPr>
                <w:rFonts w:hint="eastAsia"/>
                <w:bCs/>
                <w:color w:val="auto"/>
                <w:highlight w:val="none"/>
              </w:rPr>
            </w:pPr>
            <w:r>
              <w:rPr>
                <w:rFonts w:hint="eastAsia"/>
                <w:bCs/>
                <w:color w:val="auto"/>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b/>
                <w:bCs/>
                <w:color w:val="auto"/>
                <w:highlight w:val="none"/>
              </w:rPr>
            </w:pPr>
            <w:r>
              <w:rPr>
                <w:rFonts w:hint="eastAsia" w:ascii="宋体" w:hAnsi="宋体"/>
                <w:b/>
                <w:color w:val="auto"/>
                <w:szCs w:val="21"/>
                <w:highlight w:val="none"/>
              </w:rPr>
              <w:t>现场勘查：</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lang w:eastAsia="zh-CN"/>
              </w:rPr>
              <w:t>无</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b/>
                <w:color w:val="auto"/>
                <w:szCs w:val="21"/>
                <w:highlight w:val="none"/>
                <w:u w:val="single"/>
              </w:rPr>
              <w:t xml:space="preserve">        无          </w:t>
            </w:r>
            <w:r>
              <w:rPr>
                <w:rFonts w:hint="eastAsia" w:ascii="宋体" w:hAnsi="宋体"/>
                <w:b/>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color w:val="auto"/>
                <w:szCs w:val="21"/>
                <w:highlight w:val="none"/>
              </w:rPr>
            </w:pPr>
            <w:r>
              <w:rPr>
                <w:rFonts w:hint="eastAsia"/>
                <w:color w:val="auto"/>
                <w:szCs w:val="21"/>
                <w:highlight w:val="none"/>
              </w:rPr>
              <w:t>1）答疑、澄清：如投标人认为招标文件表述不清晰、有误或有不合理要求的，</w:t>
            </w:r>
            <w:r>
              <w:rPr>
                <w:color w:val="auto"/>
                <w:szCs w:val="21"/>
                <w:highlight w:val="none"/>
              </w:rPr>
              <w:t>应当以书面形式要求采购人或者本中心作出书面答疑、澄清</w:t>
            </w:r>
            <w:r>
              <w:rPr>
                <w:rFonts w:hint="eastAsia"/>
                <w:color w:val="auto"/>
                <w:szCs w:val="21"/>
                <w:highlight w:val="none"/>
              </w:rPr>
              <w:t>；</w:t>
            </w:r>
          </w:p>
          <w:p>
            <w:pPr>
              <w:snapToGrid w:val="0"/>
              <w:spacing w:line="300" w:lineRule="exact"/>
              <w:rPr>
                <w:rFonts w:hint="eastAsia"/>
                <w:color w:val="auto"/>
                <w:szCs w:val="21"/>
                <w:highlight w:val="none"/>
              </w:rPr>
            </w:pPr>
            <w:r>
              <w:rPr>
                <w:rFonts w:hint="eastAsia"/>
                <w:color w:val="auto"/>
                <w:szCs w:val="21"/>
                <w:highlight w:val="none"/>
              </w:rPr>
              <w:t>（2）询问、质疑：如投标人对政府采购活动事项有疑问或认为招标文件、采购过程和中标结果使其权益受到损害的，按投标人须知“一、总则（九）询问、质疑和投诉”中的要求向</w:t>
            </w:r>
            <w:r>
              <w:rPr>
                <w:color w:val="auto"/>
                <w:szCs w:val="21"/>
                <w:highlight w:val="none"/>
              </w:rPr>
              <w:t>采购人或者采购代理机构</w:t>
            </w:r>
            <w:r>
              <w:rPr>
                <w:rFonts w:hint="eastAsia"/>
                <w:color w:val="auto"/>
                <w:szCs w:val="21"/>
                <w:highlight w:val="none"/>
              </w:rPr>
              <w:t>提出书面询问、质疑，并提供必要的证明材料。</w:t>
            </w:r>
          </w:p>
          <w:p>
            <w:pPr>
              <w:snapToGrid w:val="0"/>
              <w:spacing w:line="300" w:lineRule="exact"/>
              <w:rPr>
                <w:rFonts w:hint="eastAsia" w:ascii="宋体" w:hAnsi="宋体"/>
                <w:color w:val="auto"/>
                <w:szCs w:val="21"/>
                <w:highlight w:val="none"/>
              </w:rPr>
            </w:pPr>
            <w:r>
              <w:rPr>
                <w:rFonts w:hint="eastAsia"/>
                <w:color w:val="auto"/>
                <w:szCs w:val="21"/>
                <w:highlight w:val="none"/>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color w:val="auto"/>
                <w:sz w:val="22"/>
                <w:highlight w:val="none"/>
              </w:rPr>
            </w:pPr>
            <w:r>
              <w:rPr>
                <w:rFonts w:hint="eastAsia" w:ascii="宋体" w:hAnsi="宋体"/>
                <w:color w:val="auto"/>
                <w:szCs w:val="21"/>
                <w:highlight w:val="none"/>
              </w:rPr>
              <w:t>投标文件形式：</w:t>
            </w:r>
            <w:r>
              <w:rPr>
                <w:rFonts w:hint="eastAsia" w:ascii="宋体"/>
                <w:snapToGrid w:val="0"/>
                <w:color w:val="auto"/>
                <w:sz w:val="22"/>
                <w:highlight w:val="none"/>
              </w:rPr>
              <w:t>投标供应商应准备电子投标文件。</w:t>
            </w:r>
          </w:p>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snapToGrid w:val="0"/>
                <w:color w:val="auto"/>
                <w:sz w:val="22"/>
                <w:highlight w:val="none"/>
              </w:rPr>
              <w:t>电子投标文件是指通过“</w:t>
            </w:r>
            <w:r>
              <w:rPr>
                <w:rFonts w:ascii="宋体"/>
                <w:snapToGrid w:val="0"/>
                <w:color w:val="auto"/>
                <w:sz w:val="22"/>
                <w:highlight w:val="none"/>
                <w:lang w:val="en"/>
              </w:rPr>
              <w:t>广西政府采购云</w:t>
            </w:r>
            <w:r>
              <w:rPr>
                <w:color w:val="auto"/>
                <w:highlight w:val="none"/>
              </w:rPr>
              <w:t>电子投标</w:t>
            </w:r>
            <w:r>
              <w:rPr>
                <w:rFonts w:hint="eastAsia" w:ascii="宋体"/>
                <w:snapToGrid w:val="0"/>
                <w:color w:val="auto"/>
                <w:sz w:val="22"/>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法定代表人或其授权代表</w:t>
            </w:r>
            <w:r>
              <w:rPr>
                <w:rFonts w:hint="default" w:ascii="宋体"/>
                <w:snapToGrid w:val="0"/>
                <w:color w:val="auto"/>
                <w:sz w:val="22"/>
                <w:highlight w:val="none"/>
                <w:lang w:val="en"/>
              </w:rPr>
              <w:t>签字或签章</w:t>
            </w:r>
            <w:r>
              <w:rPr>
                <w:rFonts w:hint="eastAsia" w:ascii="宋体"/>
                <w:snapToGrid w:val="0"/>
                <w:color w:val="auto"/>
                <w:sz w:val="22"/>
                <w:highlight w:val="none"/>
              </w:rPr>
              <w:t>：本招标文件所涉及的法定代表人或其授权代表</w:t>
            </w:r>
            <w:r>
              <w:rPr>
                <w:rFonts w:hint="default" w:ascii="宋体"/>
                <w:snapToGrid w:val="0"/>
                <w:color w:val="auto"/>
                <w:sz w:val="22"/>
                <w:highlight w:val="none"/>
                <w:lang w:val="en"/>
              </w:rPr>
              <w:t>签字或签章</w:t>
            </w:r>
            <w:r>
              <w:rPr>
                <w:rFonts w:hint="eastAsia" w:ascii="宋体"/>
                <w:snapToGrid w:val="0"/>
                <w:color w:val="auto"/>
                <w:sz w:val="22"/>
                <w:highlight w:val="none"/>
              </w:rPr>
              <w:t>的内容，如果投标单位没有法定代表人电子签章，涉及到法定代表人或其授权代表</w:t>
            </w:r>
            <w:r>
              <w:rPr>
                <w:rFonts w:hint="default" w:ascii="宋体"/>
                <w:snapToGrid w:val="0"/>
                <w:color w:val="auto"/>
                <w:sz w:val="22"/>
                <w:highlight w:val="none"/>
                <w:lang w:val="en"/>
              </w:rPr>
              <w:t>签字或签章</w:t>
            </w:r>
            <w:r>
              <w:rPr>
                <w:rFonts w:hint="eastAsia" w:ascii="宋体"/>
                <w:snapToGrid w:val="0"/>
                <w:color w:val="auto"/>
                <w:sz w:val="22"/>
                <w:highlight w:val="none"/>
              </w:rPr>
              <w:t>的内容，投标单位可以线下</w:t>
            </w:r>
            <w:r>
              <w:rPr>
                <w:rFonts w:hint="default" w:ascii="宋体"/>
                <w:snapToGrid w:val="0"/>
                <w:color w:val="auto"/>
                <w:sz w:val="22"/>
                <w:highlight w:val="none"/>
                <w:lang w:val="en"/>
              </w:rPr>
              <w:t>签字或签章</w:t>
            </w:r>
            <w:r>
              <w:rPr>
                <w:rFonts w:hint="eastAsia" w:ascii="宋体"/>
                <w:snapToGrid w:val="0"/>
                <w:color w:val="auto"/>
                <w:sz w:val="22"/>
                <w:highlight w:val="none"/>
              </w:rPr>
              <w:t>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snapToGrid w:val="0"/>
                <w:color w:val="auto"/>
                <w:sz w:val="22"/>
                <w:highlight w:val="none"/>
              </w:rPr>
            </w:pPr>
            <w:r>
              <w:rPr>
                <w:rFonts w:hint="eastAsia" w:ascii="宋体"/>
                <w:snapToGrid w:val="0"/>
                <w:color w:val="auto"/>
                <w:sz w:val="22"/>
                <w:highlight w:val="none"/>
              </w:rPr>
              <w:t>投标文件的上传和提交：本项目通过“广西政府采购云平台（https://www.gcy.zfcg.gxzf.gov.cn）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hint="eastAsia" w:ascii="宋体"/>
                <w:snapToGrid w:val="0"/>
                <w:color w:val="auto"/>
                <w:sz w:val="22"/>
                <w:highlight w:val="none"/>
              </w:rPr>
              <w:t>广西政府采购云平台</w:t>
            </w:r>
            <w:r>
              <w:rPr>
                <w:rFonts w:ascii="宋体"/>
                <w:snapToGrid w:val="0"/>
                <w:color w:val="auto"/>
                <w:sz w:val="22"/>
                <w:highlight w:val="none"/>
              </w:rPr>
              <w:t>”。</w:t>
            </w:r>
          </w:p>
          <w:p>
            <w:pPr>
              <w:spacing w:line="300" w:lineRule="exact"/>
              <w:jc w:val="lef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a.投标供应商应在投标截止时间前将“电子加密投标文件”成功上传提交至“广西政府采购云平台”，否则投标无效。</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b/>
                <w:color w:val="auto"/>
                <w:highlight w:val="none"/>
                <w:u w:val="single"/>
              </w:rPr>
              <w:t xml:space="preserve"> </w:t>
            </w:r>
            <w:r>
              <w:rPr>
                <w:b/>
                <w:color w:val="auto"/>
                <w:highlight w:val="none"/>
                <w:u w:val="single"/>
                <w:lang w:val="en"/>
              </w:rPr>
              <w:t>202</w:t>
            </w:r>
            <w:r>
              <w:rPr>
                <w:rFonts w:hint="eastAsia"/>
                <w:b/>
                <w:color w:val="auto"/>
                <w:highlight w:val="none"/>
                <w:u w:val="single"/>
              </w:rPr>
              <w:t>5年</w:t>
            </w:r>
            <w:r>
              <w:rPr>
                <w:rFonts w:hint="eastAsia"/>
                <w:b/>
                <w:color w:val="auto"/>
                <w:highlight w:val="none"/>
                <w:u w:val="single"/>
                <w:lang w:val="en-US" w:eastAsia="zh-CN"/>
              </w:rPr>
              <w:t>9</w:t>
            </w:r>
            <w:r>
              <w:rPr>
                <w:rFonts w:hint="eastAsia"/>
                <w:b/>
                <w:color w:val="auto"/>
                <w:highlight w:val="none"/>
                <w:u w:val="single"/>
              </w:rPr>
              <w:t>月</w:t>
            </w:r>
            <w:r>
              <w:rPr>
                <w:rFonts w:hint="eastAsia"/>
                <w:b/>
                <w:color w:val="auto"/>
                <w:highlight w:val="none"/>
                <w:u w:val="single"/>
                <w:lang w:val="en-US" w:eastAsia="zh-CN"/>
              </w:rPr>
              <w:t>26</w:t>
            </w:r>
            <w:r>
              <w:rPr>
                <w:rFonts w:hint="eastAsia"/>
                <w:b/>
                <w:color w:val="auto"/>
                <w:highlight w:val="none"/>
                <w:u w:val="single"/>
              </w:rPr>
              <w:t>日</w:t>
            </w:r>
            <w:r>
              <w:rPr>
                <w:rFonts w:hint="eastAsia"/>
                <w:b/>
                <w:color w:val="auto"/>
                <w:highlight w:val="none"/>
              </w:rPr>
              <w:t>上午10时整，广西壮族自治区南宁市青秀区星湖路22号K304-01,02,03广西壮族自治区政府采购中心开标室</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开标时间及地点：</w:t>
            </w:r>
            <w:r>
              <w:rPr>
                <w:rFonts w:ascii="宋体"/>
                <w:b/>
                <w:color w:val="auto"/>
                <w:highlight w:val="none"/>
                <w:u w:val="single"/>
                <w:lang w:val="en"/>
              </w:rPr>
              <w:t>202</w:t>
            </w:r>
            <w:r>
              <w:rPr>
                <w:rFonts w:hint="eastAsia" w:ascii="宋体"/>
                <w:b/>
                <w:color w:val="auto"/>
                <w:highlight w:val="none"/>
                <w:u w:val="single"/>
              </w:rPr>
              <w:t>5</w:t>
            </w:r>
            <w:r>
              <w:rPr>
                <w:rFonts w:hint="eastAsia"/>
                <w:b/>
                <w:color w:val="auto"/>
                <w:highlight w:val="none"/>
                <w:u w:val="single"/>
              </w:rPr>
              <w:t>年</w:t>
            </w:r>
            <w:r>
              <w:rPr>
                <w:rFonts w:hint="eastAsia"/>
                <w:b/>
                <w:color w:val="auto"/>
                <w:highlight w:val="none"/>
                <w:u w:val="single"/>
                <w:lang w:val="en-US" w:eastAsia="zh-CN"/>
              </w:rPr>
              <w:t>9</w:t>
            </w:r>
            <w:r>
              <w:rPr>
                <w:rFonts w:hint="eastAsia"/>
                <w:b/>
                <w:color w:val="auto"/>
                <w:highlight w:val="none"/>
                <w:u w:val="single"/>
              </w:rPr>
              <w:t>月</w:t>
            </w:r>
            <w:r>
              <w:rPr>
                <w:rFonts w:hint="eastAsia"/>
                <w:b/>
                <w:color w:val="auto"/>
                <w:highlight w:val="none"/>
                <w:u w:val="single"/>
                <w:lang w:val="en-US" w:eastAsia="zh-CN"/>
              </w:rPr>
              <w:t>26</w:t>
            </w:r>
            <w:r>
              <w:rPr>
                <w:rFonts w:hint="eastAsia"/>
                <w:b/>
                <w:color w:val="auto"/>
                <w:highlight w:val="none"/>
                <w:u w:val="single"/>
              </w:rPr>
              <w:t>日</w:t>
            </w:r>
            <w:r>
              <w:rPr>
                <w:rFonts w:hint="eastAsia"/>
                <w:b/>
                <w:color w:val="auto"/>
                <w:highlight w:val="none"/>
              </w:rPr>
              <w:t>上午10时整，</w:t>
            </w:r>
            <w:r>
              <w:rPr>
                <w:rFonts w:hint="eastAsia"/>
                <w:b/>
                <w:color w:val="auto"/>
                <w:highlight w:val="none"/>
                <w:u w:val="single"/>
              </w:rPr>
              <w:t>广西壮族自治区南宁市青秀区星湖路22号K304-01,02,03广西壮族自治区政府采购中心开标室。（</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评标方法及评定标准：</w:t>
            </w:r>
            <w:r>
              <w:rPr>
                <w:rFonts w:hint="eastAsia" w:ascii="宋体" w:hAnsi="宋体"/>
                <w:b/>
                <w:bCs/>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auto"/>
                <w:szCs w:val="21"/>
                <w:highlight w:val="none"/>
              </w:rPr>
            </w:pPr>
            <w:r>
              <w:rPr>
                <w:rFonts w:hint="eastAsia" w:ascii="宋体" w:hAnsi="宋体"/>
                <w:color w:val="auto"/>
                <w:szCs w:val="21"/>
                <w:highlight w:val="none"/>
              </w:rPr>
              <w:t>中标公告及中标通知书：本中心</w:t>
            </w:r>
            <w:r>
              <w:rPr>
                <w:rFonts w:hint="eastAsia" w:ascii="宋体" w:hAnsi="宋体"/>
                <w:b/>
                <w:bCs/>
                <w:color w:val="auto"/>
                <w:szCs w:val="21"/>
                <w:highlight w:val="none"/>
              </w:rPr>
              <w:t>在采购人依法确认中标人后二个工作日内</w:t>
            </w:r>
            <w:r>
              <w:rPr>
                <w:rFonts w:hint="eastAsia" w:ascii="宋体" w:hAnsi="宋体"/>
                <w:color w:val="auto"/>
                <w:szCs w:val="21"/>
                <w:highlight w:val="none"/>
              </w:rPr>
              <w:t>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b/>
                <w:bCs/>
                <w:color w:val="auto"/>
                <w:szCs w:val="21"/>
                <w:highlight w:val="none"/>
              </w:rPr>
              <w:t>投标文件有效期：</w:t>
            </w:r>
            <w:r>
              <w:rPr>
                <w:rFonts w:hint="eastAsia" w:ascii="宋体" w:hAnsi="宋体" w:cs="Arial"/>
                <w:b/>
                <w:bCs/>
                <w:color w:val="auto"/>
                <w:szCs w:val="21"/>
                <w:highlight w:val="none"/>
                <w:u w:val="single"/>
              </w:rPr>
              <w:t xml:space="preserve"> 六十日</w:t>
            </w:r>
            <w:r>
              <w:rPr>
                <w:rFonts w:hint="eastAsia" w:ascii="宋体" w:hAnsi="宋体" w:cs="Arial"/>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b/>
                <w:bCs/>
                <w:color w:val="auto"/>
                <w:szCs w:val="21"/>
                <w:highlight w:val="none"/>
              </w:rPr>
              <w:t>对采购文件、采购过程或者中标（成交）结果的质疑由采购人接收或采购代理机构代为接收，由采购人负责答复。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olor w:val="auto"/>
                <w:szCs w:val="21"/>
                <w:highlight w:val="none"/>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质疑联系部门及联系方式：</w:t>
            </w:r>
          </w:p>
          <w:p>
            <w:pPr>
              <w:snapToGrid w:val="0"/>
              <w:spacing w:line="360" w:lineRule="exact"/>
              <w:rPr>
                <w:rFonts w:hint="eastAsia"/>
                <w:color w:val="auto"/>
                <w:highlight w:val="none"/>
              </w:rPr>
            </w:pPr>
            <w:r>
              <w:rPr>
                <w:rFonts w:hint="eastAsia"/>
                <w:color w:val="auto"/>
                <w:highlight w:val="none"/>
              </w:rPr>
              <w:t xml:space="preserve">（1）广西壮族自治区政府采购中心内审科     </w:t>
            </w:r>
          </w:p>
          <w:p>
            <w:pPr>
              <w:snapToGrid w:val="0"/>
              <w:spacing w:line="360" w:lineRule="exact"/>
              <w:ind w:firstLine="420" w:firstLineChars="200"/>
              <w:rPr>
                <w:rFonts w:hint="eastAsia"/>
                <w:color w:val="auto"/>
                <w:highlight w:val="none"/>
              </w:rPr>
            </w:pPr>
            <w:r>
              <w:rPr>
                <w:rFonts w:hint="eastAsia"/>
                <w:color w:val="auto"/>
                <w:highlight w:val="none"/>
              </w:rPr>
              <w:t>电话：0771-8600453</w:t>
            </w:r>
          </w:p>
          <w:p>
            <w:pPr>
              <w:snapToGrid w:val="0"/>
              <w:spacing w:line="360" w:lineRule="exact"/>
              <w:ind w:firstLine="420" w:firstLineChars="200"/>
              <w:rPr>
                <w:rFonts w:hint="eastAsia"/>
                <w:color w:val="auto"/>
                <w:highlight w:val="none"/>
              </w:rPr>
            </w:pPr>
            <w:r>
              <w:rPr>
                <w:rFonts w:hint="eastAsia"/>
                <w:color w:val="auto"/>
                <w:highlight w:val="none"/>
              </w:rPr>
              <w:t>地址：广西南宁市星湖路22号</w:t>
            </w:r>
          </w:p>
          <w:p>
            <w:pPr>
              <w:snapToGrid w:val="0"/>
              <w:spacing w:line="360" w:lineRule="exact"/>
              <w:rPr>
                <w:rFonts w:hint="default" w:eastAsia="宋体"/>
                <w:color w:val="auto"/>
                <w:highlight w:val="none"/>
                <w:lang w:val="en-US" w:eastAsia="zh-CN"/>
              </w:rPr>
            </w:pPr>
            <w:r>
              <w:rPr>
                <w:rFonts w:hint="eastAsia"/>
                <w:color w:val="auto"/>
                <w:highlight w:val="none"/>
              </w:rPr>
              <w:t>（2）</w:t>
            </w:r>
            <w:r>
              <w:rPr>
                <w:color w:val="auto"/>
                <w:highlight w:val="none"/>
                <w:lang w:val="en"/>
              </w:rPr>
              <w:t>广西</w:t>
            </w:r>
            <w:r>
              <w:rPr>
                <w:rFonts w:hint="eastAsia"/>
                <w:color w:val="auto"/>
                <w:highlight w:val="none"/>
                <w:lang w:val="en-US" w:eastAsia="zh-CN"/>
              </w:rPr>
              <w:t>艺术学院</w:t>
            </w:r>
          </w:p>
          <w:p>
            <w:pPr>
              <w:snapToGrid w:val="0"/>
              <w:spacing w:line="360" w:lineRule="exact"/>
              <w:ind w:firstLine="420" w:firstLineChars="200"/>
              <w:rPr>
                <w:rFonts w:hint="default" w:eastAsia="宋体"/>
                <w:color w:val="auto"/>
                <w:highlight w:val="none"/>
                <w:lang w:val="en-US" w:eastAsia="zh-CN"/>
              </w:rPr>
            </w:pPr>
            <w:r>
              <w:rPr>
                <w:rFonts w:hint="eastAsia"/>
                <w:color w:val="auto"/>
                <w:highlight w:val="none"/>
              </w:rPr>
              <w:t xml:space="preserve">电话：0771- </w:t>
            </w:r>
            <w:r>
              <w:rPr>
                <w:rFonts w:hint="eastAsia"/>
                <w:color w:val="auto"/>
                <w:highlight w:val="none"/>
                <w:lang w:val="en-US" w:eastAsia="zh-CN"/>
              </w:rPr>
              <w:t>5327987</w:t>
            </w:r>
          </w:p>
          <w:p>
            <w:pPr>
              <w:snapToGrid w:val="0"/>
              <w:spacing w:line="360" w:lineRule="exact"/>
              <w:ind w:firstLine="420" w:firstLineChars="200"/>
              <w:rPr>
                <w:rFonts w:hint="default" w:eastAsia="宋体"/>
                <w:color w:val="auto"/>
                <w:highlight w:val="none"/>
                <w:lang w:val="en-US" w:eastAsia="zh-CN"/>
              </w:rPr>
            </w:pPr>
            <w:r>
              <w:rPr>
                <w:rFonts w:hint="eastAsia"/>
                <w:color w:val="auto"/>
                <w:highlight w:val="none"/>
              </w:rPr>
              <w:t xml:space="preserve">地址：广西南宁 </w:t>
            </w:r>
            <w:r>
              <w:rPr>
                <w:rFonts w:hint="eastAsia"/>
                <w:color w:val="auto"/>
                <w:highlight w:val="none"/>
                <w:lang w:val="en-US" w:eastAsia="zh-CN"/>
              </w:rPr>
              <w:t>教育路7号</w:t>
            </w:r>
          </w:p>
          <w:p>
            <w:pPr>
              <w:pStyle w:val="21"/>
              <w:ind w:firstLine="240"/>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t>现场提交质疑办理业务时间：质疑期内每个工作日采购人或采购代理机构正常工作时间（其中采购代理机构为9：00到12：00，14：00到17：00）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12"/>
        <w:snapToGrid w:val="0"/>
        <w:spacing w:before="120" w:after="120" w:line="360" w:lineRule="exact"/>
        <w:jc w:val="center"/>
        <w:rPr>
          <w:rFonts w:hint="eastAsia" w:ascii="仿宋_GB2312" w:hAnsi="宋体" w:eastAsia="仿宋_GB2312"/>
          <w:b/>
          <w:color w:val="auto"/>
          <w:sz w:val="32"/>
          <w:szCs w:val="32"/>
          <w:highlight w:val="none"/>
        </w:rPr>
      </w:pPr>
    </w:p>
    <w:p>
      <w:pPr>
        <w:pStyle w:val="12"/>
        <w:snapToGrid w:val="0"/>
        <w:spacing w:before="120" w:after="120" w:line="360" w:lineRule="exact"/>
        <w:jc w:val="center"/>
        <w:rPr>
          <w:rFonts w:hint="eastAsia" w:ascii="仿宋_GB2312" w:hAnsi="宋体" w:eastAsia="仿宋_GB2312"/>
          <w:b/>
          <w:color w:val="auto"/>
          <w:sz w:val="32"/>
          <w:szCs w:val="32"/>
          <w:highlight w:val="none"/>
        </w:rPr>
      </w:pPr>
    </w:p>
    <w:p>
      <w:pPr>
        <w:pStyle w:val="12"/>
        <w:snapToGrid w:val="0"/>
        <w:spacing w:before="120" w:after="120" w:line="360" w:lineRule="exact"/>
        <w:jc w:val="center"/>
        <w:rPr>
          <w:rFonts w:hint="eastAsia" w:ascii="仿宋_GB2312" w:hAnsi="宋体" w:eastAsia="仿宋_GB2312"/>
          <w:b/>
          <w:color w:val="auto"/>
          <w:sz w:val="32"/>
          <w:szCs w:val="32"/>
          <w:highlight w:val="none"/>
        </w:rPr>
      </w:pPr>
    </w:p>
    <w:p>
      <w:pPr>
        <w:pStyle w:val="12"/>
        <w:snapToGrid w:val="0"/>
        <w:spacing w:before="120" w:after="120" w:line="360" w:lineRule="exact"/>
        <w:jc w:val="center"/>
        <w:rPr>
          <w:rFonts w:hint="eastAsia" w:ascii="仿宋_GB2312" w:hAnsi="宋体" w:eastAsia="仿宋_GB2312"/>
          <w:b/>
          <w:color w:val="auto"/>
          <w:sz w:val="32"/>
          <w:szCs w:val="32"/>
          <w:highlight w:val="none"/>
        </w:rPr>
      </w:pPr>
    </w:p>
    <w:p>
      <w:pPr>
        <w:pStyle w:val="12"/>
        <w:snapToGrid w:val="0"/>
        <w:spacing w:before="120" w:after="120" w:line="360" w:lineRule="exact"/>
        <w:jc w:val="center"/>
        <w:rPr>
          <w:rFonts w:hint="eastAsia" w:ascii="仿宋_GB2312" w:hAnsi="宋体" w:eastAsia="仿宋_GB2312"/>
          <w:b/>
          <w:color w:val="auto"/>
          <w:sz w:val="32"/>
          <w:szCs w:val="32"/>
          <w:highlight w:val="none"/>
        </w:rPr>
      </w:pPr>
    </w:p>
    <w:p>
      <w:pPr>
        <w:pStyle w:val="12"/>
        <w:snapToGrid w:val="0"/>
        <w:spacing w:before="120" w:after="120" w:line="360" w:lineRule="exact"/>
        <w:jc w:val="center"/>
        <w:rPr>
          <w:rFonts w:hint="eastAsia" w:ascii="仿宋_GB2312" w:hAnsi="宋体" w:eastAsia="仿宋_GB2312"/>
          <w:b/>
          <w:color w:val="auto"/>
          <w:sz w:val="32"/>
          <w:szCs w:val="32"/>
          <w:highlight w:val="none"/>
        </w:rPr>
      </w:pPr>
    </w:p>
    <w:p>
      <w:pPr>
        <w:pStyle w:val="12"/>
        <w:snapToGrid w:val="0"/>
        <w:spacing w:before="120" w:after="120" w:line="360" w:lineRule="exact"/>
        <w:jc w:val="center"/>
        <w:rPr>
          <w:rFonts w:hint="eastAsia" w:ascii="仿宋_GB2312" w:hAnsi="宋体" w:eastAsia="仿宋_GB2312"/>
          <w:b/>
          <w:color w:val="auto"/>
          <w:sz w:val="32"/>
          <w:szCs w:val="32"/>
          <w:highlight w:val="none"/>
        </w:rPr>
      </w:pPr>
    </w:p>
    <w:p>
      <w:pPr>
        <w:pStyle w:val="12"/>
        <w:snapToGrid w:val="0"/>
        <w:spacing w:before="120" w:after="120" w:line="360" w:lineRule="exact"/>
        <w:jc w:val="center"/>
        <w:rPr>
          <w:rFonts w:hint="eastAsia" w:ascii="仿宋_GB2312" w:hAnsi="宋体" w:eastAsia="仿宋_GB2312"/>
          <w:b/>
          <w:color w:val="auto"/>
          <w:sz w:val="32"/>
          <w:szCs w:val="32"/>
          <w:highlight w:val="none"/>
        </w:rPr>
      </w:pPr>
    </w:p>
    <w:p>
      <w:pPr>
        <w:pStyle w:val="12"/>
        <w:snapToGrid w:val="0"/>
        <w:spacing w:before="120" w:after="120" w:line="360" w:lineRule="exact"/>
        <w:jc w:val="center"/>
        <w:rPr>
          <w:rFonts w:hint="eastAsia" w:ascii="仿宋_GB2312" w:hAnsi="宋体" w:eastAsia="仿宋_GB2312"/>
          <w:b/>
          <w:color w:val="auto"/>
          <w:sz w:val="32"/>
          <w:szCs w:val="32"/>
          <w:highlight w:val="none"/>
        </w:rPr>
      </w:pPr>
    </w:p>
    <w:p>
      <w:pPr>
        <w:pStyle w:val="12"/>
        <w:snapToGrid w:val="0"/>
        <w:spacing w:before="120" w:after="120" w:line="360" w:lineRule="exact"/>
        <w:jc w:val="center"/>
        <w:rPr>
          <w:rFonts w:hint="eastAsia" w:ascii="仿宋_GB2312" w:hAnsi="宋体" w:eastAsia="仿宋_GB2312"/>
          <w:b/>
          <w:color w:val="auto"/>
          <w:sz w:val="32"/>
          <w:szCs w:val="32"/>
          <w:highlight w:val="none"/>
        </w:rPr>
      </w:pPr>
    </w:p>
    <w:p>
      <w:pPr>
        <w:pStyle w:val="12"/>
        <w:snapToGrid w:val="0"/>
        <w:spacing w:before="120" w:after="120" w:line="360" w:lineRule="exact"/>
        <w:jc w:val="center"/>
        <w:rPr>
          <w:rFonts w:hint="eastAsia" w:hAnsi="宋体"/>
          <w:b/>
          <w:color w:val="auto"/>
          <w:highlight w:val="none"/>
        </w:rPr>
      </w:pPr>
      <w:r>
        <w:rPr>
          <w:rFonts w:hint="eastAsia" w:ascii="仿宋_GB2312" w:hAnsi="宋体" w:eastAsia="仿宋_GB2312"/>
          <w:b/>
          <w:color w:val="auto"/>
          <w:sz w:val="32"/>
          <w:szCs w:val="32"/>
          <w:highlight w:val="none"/>
        </w:rPr>
        <w:t>投标人须知</w:t>
      </w:r>
    </w:p>
    <w:p>
      <w:pPr>
        <w:pStyle w:val="12"/>
        <w:snapToGrid w:val="0"/>
        <w:spacing w:before="120" w:after="120" w:line="360" w:lineRule="exact"/>
        <w:rPr>
          <w:rFonts w:hint="eastAsia" w:hAnsi="宋体"/>
          <w:b/>
          <w:color w:val="auto"/>
          <w:highlight w:val="none"/>
        </w:rPr>
      </w:pPr>
      <w:r>
        <w:rPr>
          <w:rFonts w:hint="eastAsia" w:hAnsi="宋体"/>
          <w:b/>
          <w:color w:val="auto"/>
          <w:highlight w:val="none"/>
        </w:rPr>
        <w:t>一、总  则</w:t>
      </w:r>
    </w:p>
    <w:p>
      <w:pPr>
        <w:snapToGrid w:val="0"/>
        <w:spacing w:line="360" w:lineRule="exact"/>
        <w:ind w:firstLine="413" w:firstLineChars="196"/>
        <w:jc w:val="left"/>
        <w:outlineLvl w:val="0"/>
        <w:rPr>
          <w:rFonts w:hint="eastAsia" w:ascii="宋体" w:hAnsi="宋体"/>
          <w:b/>
          <w:color w:val="auto"/>
          <w:szCs w:val="21"/>
          <w:highlight w:val="none"/>
        </w:rPr>
      </w:pPr>
      <w:bookmarkStart w:id="12" w:name="_Toc40865023"/>
      <w:bookmarkStart w:id="13" w:name="_Toc40864631"/>
      <w:bookmarkStart w:id="14" w:name="_Toc254970527"/>
      <w:bookmarkStart w:id="15" w:name="_Toc40864907"/>
      <w:bookmarkStart w:id="16" w:name="_Toc254970668"/>
      <w:r>
        <w:rPr>
          <w:rFonts w:hint="eastAsia" w:ascii="宋体" w:hAnsi="宋体"/>
          <w:b/>
          <w:color w:val="auto"/>
          <w:szCs w:val="21"/>
          <w:highlight w:val="none"/>
        </w:rPr>
        <w:t>（一） 适用范围</w:t>
      </w:r>
      <w:bookmarkEnd w:id="12"/>
      <w:bookmarkEnd w:id="13"/>
      <w:bookmarkEnd w:id="14"/>
      <w:bookmarkEnd w:id="15"/>
      <w:bookmarkEnd w:id="16"/>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156" w:beforeLines="50" w:line="360" w:lineRule="exact"/>
        <w:ind w:firstLine="309" w:firstLineChars="147"/>
        <w:jc w:val="left"/>
        <w:outlineLvl w:val="0"/>
        <w:rPr>
          <w:rFonts w:hint="eastAsia"/>
          <w:b/>
          <w:color w:val="auto"/>
          <w:highlight w:val="none"/>
        </w:rPr>
      </w:pPr>
      <w:bookmarkStart w:id="17" w:name="_Toc40864908"/>
      <w:bookmarkStart w:id="18" w:name="_Toc254970669"/>
      <w:bookmarkStart w:id="19" w:name="_Toc40864632"/>
      <w:bookmarkStart w:id="20" w:name="_Toc254970528"/>
      <w:bookmarkStart w:id="21" w:name="_Toc40865024"/>
      <w:bookmarkStart w:id="22" w:name="_Toc254970548"/>
      <w:bookmarkStart w:id="23" w:name="_Toc254970689"/>
      <w:r>
        <w:rPr>
          <w:rFonts w:hint="eastAsia"/>
          <w:b/>
          <w:color w:val="auto"/>
          <w:highlight w:val="none"/>
        </w:rPr>
        <w:t>（二）定义</w:t>
      </w:r>
      <w:bookmarkEnd w:id="17"/>
      <w:bookmarkEnd w:id="18"/>
      <w:bookmarkEnd w:id="19"/>
      <w:bookmarkEnd w:id="20"/>
      <w:bookmarkEnd w:id="21"/>
    </w:p>
    <w:p>
      <w:pPr>
        <w:snapToGrid w:val="0"/>
        <w:spacing w:line="360" w:lineRule="exact"/>
        <w:ind w:firstLine="420" w:firstLineChars="200"/>
        <w:jc w:val="left"/>
        <w:rPr>
          <w:rFonts w:hint="eastAsia"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1" w:firstLineChars="200"/>
        <w:jc w:val="left"/>
        <w:rPr>
          <w:rFonts w:hint="eastAsia" w:ascii="宋体" w:hAnsi="宋体"/>
          <w:b/>
          <w:bCs/>
          <w:color w:val="auto"/>
          <w:szCs w:val="21"/>
          <w:highlight w:val="none"/>
        </w:rPr>
      </w:pPr>
      <w:r>
        <w:rPr>
          <w:rFonts w:hint="eastAsia" w:ascii="宋体" w:hAnsi="宋体"/>
          <w:b/>
          <w:bCs/>
          <w:color w:val="auto"/>
          <w:szCs w:val="21"/>
          <w:highlight w:val="none"/>
        </w:rPr>
        <w:t>8.“▲”系指实质性要求条款。</w:t>
      </w:r>
    </w:p>
    <w:p>
      <w:pPr>
        <w:snapToGrid w:val="0"/>
        <w:spacing w:before="156" w:beforeLines="50" w:line="360" w:lineRule="exact"/>
        <w:ind w:firstLine="413" w:firstLineChars="196"/>
        <w:jc w:val="left"/>
        <w:outlineLvl w:val="1"/>
        <w:rPr>
          <w:rFonts w:hint="eastAsia" w:ascii="宋体" w:hAnsi="宋体"/>
          <w:b/>
          <w:color w:val="auto"/>
          <w:szCs w:val="21"/>
          <w:highlight w:val="none"/>
        </w:rPr>
      </w:pPr>
      <w:bookmarkStart w:id="24" w:name="_Toc40864909"/>
      <w:bookmarkStart w:id="25" w:name="_Toc254970529"/>
      <w:bookmarkStart w:id="26" w:name="_Toc40864633"/>
      <w:bookmarkStart w:id="27" w:name="_Toc254970670"/>
      <w:bookmarkStart w:id="28" w:name="_Toc40865025"/>
      <w:r>
        <w:rPr>
          <w:rFonts w:hint="eastAsia" w:ascii="宋体" w:hAnsi="宋体"/>
          <w:b/>
          <w:color w:val="auto"/>
          <w:szCs w:val="21"/>
          <w:highlight w:val="none"/>
        </w:rPr>
        <w:t>（三）招标方式</w:t>
      </w:r>
      <w:bookmarkEnd w:id="24"/>
      <w:bookmarkEnd w:id="25"/>
      <w:bookmarkEnd w:id="26"/>
      <w:bookmarkEnd w:id="27"/>
      <w:bookmarkEnd w:id="2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29" w:name="_Toc254970671"/>
      <w:bookmarkStart w:id="30" w:name="_Toc254970530"/>
      <w:bookmarkStart w:id="31" w:name="_Toc40864634"/>
      <w:bookmarkStart w:id="32" w:name="_Toc40864910"/>
      <w:bookmarkStart w:id="33" w:name="_Toc40865026"/>
      <w:r>
        <w:rPr>
          <w:rFonts w:hint="eastAsia" w:ascii="宋体" w:hAnsi="宋体"/>
          <w:b/>
          <w:color w:val="auto"/>
          <w:szCs w:val="21"/>
          <w:highlight w:val="none"/>
        </w:rPr>
        <w:t>（四）投标委托</w:t>
      </w:r>
      <w:bookmarkEnd w:id="29"/>
      <w:bookmarkEnd w:id="30"/>
      <w:bookmarkEnd w:id="31"/>
      <w:bookmarkEnd w:id="32"/>
      <w:bookmarkEnd w:id="33"/>
    </w:p>
    <w:p>
      <w:pPr>
        <w:pStyle w:val="11"/>
        <w:snapToGrid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投标人代表须携带有效身份证件。如投标人代表不是法定代表人，须有法定代表人出具的授权委托书（格式见第六章《投标文件格式》）。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4" w:name="_Toc40864635"/>
      <w:bookmarkStart w:id="35" w:name="_Toc254970672"/>
      <w:bookmarkStart w:id="36" w:name="_Toc40865027"/>
      <w:bookmarkStart w:id="37" w:name="_Toc254970531"/>
      <w:bookmarkStart w:id="38" w:name="_Toc40864911"/>
      <w:r>
        <w:rPr>
          <w:rFonts w:hint="eastAsia" w:ascii="宋体" w:hAnsi="宋体"/>
          <w:b/>
          <w:color w:val="auto"/>
          <w:szCs w:val="21"/>
          <w:highlight w:val="none"/>
        </w:rPr>
        <w:t>（五）投标费用</w:t>
      </w:r>
      <w:bookmarkEnd w:id="34"/>
      <w:bookmarkEnd w:id="35"/>
      <w:bookmarkEnd w:id="36"/>
      <w:bookmarkEnd w:id="37"/>
      <w:bookmarkEnd w:id="3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9" w:name="_Toc40864636"/>
      <w:bookmarkStart w:id="40" w:name="_Toc40865028"/>
      <w:bookmarkStart w:id="41" w:name="_Toc40864912"/>
      <w:r>
        <w:rPr>
          <w:rFonts w:hint="eastAsia" w:ascii="宋体" w:hAnsi="宋体"/>
          <w:b/>
          <w:color w:val="auto"/>
          <w:szCs w:val="21"/>
          <w:highlight w:val="none"/>
        </w:rPr>
        <w:t>（六）本项目不接受联合体投标</w:t>
      </w:r>
      <w:bookmarkEnd w:id="39"/>
      <w:bookmarkEnd w:id="40"/>
      <w:bookmarkEnd w:id="41"/>
    </w:p>
    <w:p>
      <w:pPr>
        <w:snapToGrid w:val="0"/>
        <w:spacing w:before="156" w:beforeLines="50" w:line="360" w:lineRule="exact"/>
        <w:ind w:firstLine="413" w:firstLineChars="196"/>
        <w:outlineLvl w:val="0"/>
        <w:rPr>
          <w:rFonts w:hint="eastAsia" w:ascii="宋体" w:hAnsi="宋体" w:cs="宋体"/>
          <w:b/>
          <w:color w:val="auto"/>
          <w:kern w:val="0"/>
          <w:szCs w:val="21"/>
          <w:highlight w:val="none"/>
        </w:rPr>
      </w:pPr>
      <w:bookmarkStart w:id="42" w:name="_Toc40864637"/>
      <w:bookmarkStart w:id="43" w:name="_Toc40865029"/>
      <w:bookmarkStart w:id="44" w:name="_Toc40864913"/>
      <w:r>
        <w:rPr>
          <w:rFonts w:hint="eastAsia" w:ascii="宋体" w:hAnsi="宋体"/>
          <w:b/>
          <w:color w:val="auto"/>
          <w:szCs w:val="21"/>
          <w:highlight w:val="none"/>
        </w:rPr>
        <w:t>（七）</w:t>
      </w:r>
      <w:r>
        <w:rPr>
          <w:rFonts w:hint="eastAsia" w:ascii="宋体" w:hAnsi="宋体" w:cs="宋体"/>
          <w:b/>
          <w:color w:val="auto"/>
          <w:kern w:val="0"/>
          <w:szCs w:val="21"/>
          <w:highlight w:val="none"/>
        </w:rPr>
        <w:t>转包与分包</w:t>
      </w:r>
      <w:bookmarkEnd w:id="42"/>
      <w:bookmarkEnd w:id="43"/>
      <w:bookmarkEnd w:id="44"/>
      <w:r>
        <w:rPr>
          <w:rFonts w:hint="eastAsia" w:ascii="宋体" w:hAnsi="宋体" w:cs="宋体"/>
          <w:b/>
          <w:color w:val="auto"/>
          <w:kern w:val="0"/>
          <w:szCs w:val="21"/>
          <w:highlight w:val="none"/>
        </w:rPr>
        <w:t xml:space="preserve">             </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45" w:name="_Toc254970673"/>
      <w:bookmarkStart w:id="46" w:name="_Toc40864914"/>
      <w:bookmarkStart w:id="47" w:name="_Toc40864638"/>
      <w:bookmarkStart w:id="48" w:name="_Toc40865030"/>
      <w:bookmarkStart w:id="49" w:name="_Toc254970532"/>
      <w:r>
        <w:rPr>
          <w:rFonts w:hint="eastAsia" w:ascii="宋体" w:hAnsi="宋体"/>
          <w:b/>
          <w:color w:val="auto"/>
          <w:szCs w:val="21"/>
          <w:highlight w:val="none"/>
        </w:rPr>
        <w:t>（八）特别说明：</w:t>
      </w:r>
      <w:bookmarkEnd w:id="45"/>
      <w:bookmarkEnd w:id="46"/>
      <w:bookmarkEnd w:id="47"/>
      <w:bookmarkEnd w:id="48"/>
      <w:bookmarkEnd w:id="49"/>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 xml:space="preserve"> 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3</w:t>
      </w:r>
      <w:r>
        <w:rPr>
          <w:rFonts w:hint="eastAsia" w:ascii="宋体" w:hAnsi="宋体" w:cs="宋体"/>
          <w:color w:val="auto"/>
          <w:kern w:val="0"/>
          <w:szCs w:val="21"/>
          <w:highlight w:val="none"/>
        </w:rPr>
        <w:t>.投标人应仔细阅读招标文件的所有内容，按照招标文件的要求提交投标文件，并对所提供的全部资料的真实性承担法律责任。</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.投标人在投标活动中提供任何虚假材料、互相串通投标，其投标无效，并报监管部门查处。</w:t>
      </w:r>
    </w:p>
    <w:p>
      <w:pPr>
        <w:snapToGrid w:val="0"/>
        <w:spacing w:line="360" w:lineRule="exact"/>
        <w:ind w:firstLine="420" w:firstLineChars="200"/>
        <w:rPr>
          <w:rFonts w:hint="eastAsia" w:hAnsi="宋体" w:cs="宋体"/>
          <w:color w:val="auto"/>
          <w:kern w:val="0"/>
          <w:highlight w:val="none"/>
        </w:rPr>
      </w:pPr>
      <w:bookmarkStart w:id="50" w:name="_Toc254970674"/>
      <w:bookmarkStart w:id="51" w:name="_Toc254970533"/>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.投标截止时间前三天，报名登记的供应商不足三家的，本中心将延迟截标和开标时间不少于十</w:t>
      </w:r>
      <w:r>
        <w:rPr>
          <w:rFonts w:hint="eastAsia" w:hAnsi="宋体" w:cs="宋体"/>
          <w:color w:val="auto"/>
          <w:kern w:val="0"/>
          <w:highlight w:val="none"/>
        </w:rPr>
        <w:t>日，并书面通知已报名登记的供应商，并在财政部门指定的政府采购信息发布媒体及本中心网站上发布变更公告。</w:t>
      </w:r>
    </w:p>
    <w:p>
      <w:pPr>
        <w:pStyle w:val="12"/>
        <w:snapToGrid w:val="0"/>
        <w:spacing w:line="360" w:lineRule="exact"/>
        <w:ind w:firstLine="413" w:firstLineChars="196"/>
        <w:outlineLvl w:val="0"/>
        <w:rPr>
          <w:rFonts w:hAnsi="宋体"/>
          <w:b/>
          <w:bCs/>
          <w:color w:val="auto"/>
          <w:highlight w:val="none"/>
        </w:rPr>
      </w:pPr>
      <w:bookmarkStart w:id="52" w:name="_Toc40865031"/>
      <w:bookmarkStart w:id="53" w:name="_Toc40864639"/>
      <w:bookmarkStart w:id="54" w:name="_Toc40864915"/>
      <w:r>
        <w:rPr>
          <w:rFonts w:hint="eastAsia" w:hAnsi="宋体"/>
          <w:b/>
          <w:bCs/>
          <w:color w:val="auto"/>
          <w:highlight w:val="none"/>
        </w:rPr>
        <w:t>（九）</w:t>
      </w:r>
      <w:bookmarkEnd w:id="50"/>
      <w:bookmarkEnd w:id="51"/>
      <w:r>
        <w:rPr>
          <w:rFonts w:hint="eastAsia" w:hAnsi="宋体"/>
          <w:b/>
          <w:color w:val="auto"/>
          <w:highlight w:val="none"/>
        </w:rPr>
        <w:t>询问、质疑和投诉</w:t>
      </w:r>
      <w:bookmarkEnd w:id="52"/>
      <w:bookmarkEnd w:id="53"/>
      <w:bookmarkEnd w:id="54"/>
    </w:p>
    <w:p>
      <w:pPr>
        <w:pStyle w:val="12"/>
        <w:snapToGrid w:val="0"/>
        <w:spacing w:line="360" w:lineRule="exact"/>
        <w:ind w:firstLine="420" w:firstLineChars="200"/>
        <w:rPr>
          <w:rFonts w:hint="eastAsia"/>
          <w:color w:val="auto"/>
          <w:highlight w:val="none"/>
        </w:rPr>
      </w:pPr>
      <w:r>
        <w:rPr>
          <w:rFonts w:hint="eastAsia"/>
          <w:color w:val="auto"/>
          <w:highlight w:val="none"/>
        </w:rPr>
        <w:t>1.投标人对政府采购活动事项有疑问的，可以向采购人、采购代理机构提出询问。</w:t>
      </w:r>
    </w:p>
    <w:p>
      <w:pPr>
        <w:pStyle w:val="12"/>
        <w:snapToGrid w:val="0"/>
        <w:spacing w:line="360" w:lineRule="exact"/>
        <w:ind w:firstLine="420" w:firstLineChars="200"/>
        <w:rPr>
          <w:rFonts w:hint="eastAsia"/>
          <w:color w:val="auto"/>
          <w:highlight w:val="none"/>
        </w:rPr>
      </w:pPr>
      <w:r>
        <w:rPr>
          <w:rFonts w:hint="eastAsia"/>
          <w:color w:val="auto"/>
          <w:highlight w:val="none"/>
        </w:rPr>
        <w:t>2.投标人认为采购文件、招标过程或中标结果使自己的合法权益受到损害的，应当在知道或者应知其权益受到损害之日起七个工作日内，以书面形式向采购人提出质疑。具体计算时间如下：</w:t>
      </w:r>
    </w:p>
    <w:p>
      <w:pPr>
        <w:pStyle w:val="12"/>
        <w:snapToGrid w:val="0"/>
        <w:spacing w:line="360" w:lineRule="exact"/>
        <w:ind w:firstLine="309" w:firstLineChars="147"/>
        <w:rPr>
          <w:rFonts w:hAnsi="宋体"/>
          <w:bCs/>
          <w:color w:val="auto"/>
          <w:highlight w:val="none"/>
        </w:rPr>
      </w:pPr>
      <w:r>
        <w:rPr>
          <w:b/>
          <w:color w:val="auto"/>
          <w:highlight w:val="none"/>
        </w:rPr>
        <w:t>（一）对可以质疑的</w:t>
      </w:r>
      <w:r>
        <w:rPr>
          <w:rFonts w:hint="eastAsia"/>
          <w:b/>
          <w:color w:val="auto"/>
          <w:highlight w:val="none"/>
        </w:rPr>
        <w:t>采购</w:t>
      </w:r>
      <w:r>
        <w:rPr>
          <w:b/>
          <w:color w:val="auto"/>
          <w:highlight w:val="none"/>
        </w:rPr>
        <w:t>文件提出质疑的，为收到采购文件之日；</w:t>
      </w:r>
    </w:p>
    <w:p>
      <w:pPr>
        <w:widowControl/>
        <w:spacing w:before="100" w:beforeAutospacing="1" w:after="100" w:afterAutospacing="1" w:line="432" w:lineRule="auto"/>
        <w:jc w:val="left"/>
        <w:rPr>
          <w:rFonts w:hint="eastAsia" w:ascii="宋体" w:hAnsi="Courier New" w:cs="Courier New"/>
          <w:b/>
          <w:color w:val="auto"/>
          <w:szCs w:val="21"/>
          <w:highlight w:val="none"/>
        </w:rPr>
      </w:pPr>
      <w:r>
        <w:rPr>
          <w:rFonts w:ascii="宋体" w:cs="Courier New"/>
          <w:color w:val="auto"/>
          <w:szCs w:val="21"/>
          <w:highlight w:val="none"/>
        </w:rPr>
        <w:t>　</w:t>
      </w:r>
      <w:r>
        <w:rPr>
          <w:rFonts w:ascii="宋体" w:hAnsi="Courier New" w:cs="Courier New"/>
          <w:b/>
          <w:color w:val="auto"/>
          <w:szCs w:val="21"/>
          <w:highlight w:val="none"/>
        </w:rPr>
        <w:t>（二）对</w:t>
      </w:r>
      <w:r>
        <w:rPr>
          <w:rFonts w:hint="eastAsia" w:ascii="宋体" w:hAnsi="Courier New" w:cs="Courier New"/>
          <w:b/>
          <w:color w:val="auto"/>
          <w:szCs w:val="21"/>
          <w:highlight w:val="none"/>
        </w:rPr>
        <w:t>采购</w:t>
      </w:r>
      <w:r>
        <w:rPr>
          <w:rFonts w:ascii="宋体" w:hAnsi="Courier New" w:cs="Courier New"/>
          <w:b/>
          <w:color w:val="auto"/>
          <w:szCs w:val="21"/>
          <w:highlight w:val="none"/>
        </w:rPr>
        <w:t>过程提出质疑的，为各采购程序环节结束之日；</w:t>
      </w:r>
    </w:p>
    <w:p>
      <w:pPr>
        <w:widowControl/>
        <w:spacing w:before="100" w:beforeAutospacing="1" w:after="100" w:afterAutospacing="1" w:line="432" w:lineRule="auto"/>
        <w:ind w:firstLine="206" w:firstLineChars="98"/>
        <w:jc w:val="left"/>
        <w:rPr>
          <w:rFonts w:hint="eastAsia" w:ascii="宋体" w:hAnsi="Courier New" w:cs="Courier New"/>
          <w:b/>
          <w:color w:val="auto"/>
          <w:szCs w:val="21"/>
          <w:highlight w:val="none"/>
        </w:rPr>
      </w:pPr>
      <w:r>
        <w:rPr>
          <w:rFonts w:ascii="宋体" w:hAnsi="Courier New" w:cs="Courier New"/>
          <w:b/>
          <w:color w:val="auto"/>
          <w:szCs w:val="21"/>
          <w:highlight w:val="none"/>
        </w:rPr>
        <w:t>（三）对中标结果提出质疑的，为中标结果公告期限届满之日。</w:t>
      </w:r>
      <w:r>
        <w:rPr>
          <w:rFonts w:hint="eastAsia" w:ascii="宋体" w:hAnsi="Courier New" w:cs="Courier New"/>
          <w:b/>
          <w:color w:val="auto"/>
          <w:szCs w:val="21"/>
          <w:highlight w:val="none"/>
        </w:rPr>
        <w:t>投标人对</w:t>
      </w:r>
      <w:r>
        <w:rPr>
          <w:rFonts w:ascii="宋体" w:hAnsi="宋体"/>
          <w:color w:val="auto"/>
          <w:szCs w:val="21"/>
          <w:highlight w:val="none"/>
        </w:rPr>
        <w:t>采购人</w:t>
      </w:r>
      <w:r>
        <w:rPr>
          <w:rFonts w:hint="eastAsia" w:ascii="宋体" w:hAnsi="Courier New" w:cs="Courier New"/>
          <w:b/>
          <w:color w:val="auto"/>
          <w:szCs w:val="21"/>
          <w:highlight w:val="none"/>
        </w:rPr>
        <w:t>的质疑答复不满意或者</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采购代理机构</w:t>
      </w:r>
      <w:r>
        <w:rPr>
          <w:rFonts w:hint="eastAsia" w:ascii="宋体" w:hAnsi="Courier New" w:cs="Courier New"/>
          <w:b/>
          <w:color w:val="auto"/>
          <w:szCs w:val="21"/>
          <w:highlight w:val="none"/>
        </w:rPr>
        <w:t>未在规定时间内作出答复的，可以在答复期满后十五个工作日内向</w:t>
      </w:r>
      <w:r>
        <w:rPr>
          <w:rFonts w:hint="eastAsia" w:cs="Courier New"/>
          <w:b/>
          <w:color w:val="auto"/>
          <w:szCs w:val="21"/>
          <w:highlight w:val="none"/>
        </w:rPr>
        <w:t>同级政府采购监督管理部门投诉</w:t>
      </w:r>
      <w:r>
        <w:rPr>
          <w:rFonts w:hint="eastAsia" w:ascii="宋体" w:hAnsi="Courier New" w:cs="Courier New"/>
          <w:b/>
          <w:color w:val="auto"/>
          <w:szCs w:val="21"/>
          <w:highlight w:val="none"/>
        </w:rPr>
        <w:t>。</w:t>
      </w:r>
    </w:p>
    <w:p>
      <w:pPr>
        <w:pStyle w:val="12"/>
        <w:snapToGrid w:val="0"/>
        <w:spacing w:line="360" w:lineRule="exact"/>
        <w:ind w:firstLine="420" w:firstLineChars="200"/>
        <w:rPr>
          <w:rFonts w:hint="eastAsia" w:hAnsi="宋体"/>
          <w:bCs/>
          <w:color w:val="auto"/>
          <w:highlight w:val="none"/>
        </w:rPr>
      </w:pPr>
      <w:r>
        <w:rPr>
          <w:rFonts w:hint="eastAsia" w:hAnsi="宋体"/>
          <w:bCs/>
          <w:color w:val="auto"/>
          <w:highlight w:val="none"/>
        </w:rPr>
        <w:t>3.质疑、投诉应当采用书面形式，质疑书、投诉书均应明确阐述采购文件、采购过程、中标结果中使自己合法权益受到损害的实质性内容，提供相关事实、明确的请求、必要的证明材料，便于有关单位调查、答复和处理。</w:t>
      </w:r>
    </w:p>
    <w:p>
      <w:pPr>
        <w:pStyle w:val="12"/>
        <w:snapToGrid w:val="0"/>
        <w:spacing w:line="360" w:lineRule="exact"/>
        <w:ind w:firstLine="420" w:firstLineChars="200"/>
        <w:rPr>
          <w:rFonts w:hint="eastAsia"/>
          <w:bCs/>
          <w:color w:val="auto"/>
          <w:highlight w:val="none"/>
        </w:rPr>
      </w:pPr>
      <w:r>
        <w:rPr>
          <w:rFonts w:hint="eastAsia"/>
          <w:bCs/>
          <w:color w:val="auto"/>
          <w:highlight w:val="none"/>
        </w:rPr>
        <w:t>4.采购人、采购代理机构接收质疑函的方式、联系部门、联系电话和地址等信息详见“投标人须知前附表”。</w:t>
      </w:r>
    </w:p>
    <w:p>
      <w:pPr>
        <w:pStyle w:val="12"/>
        <w:snapToGrid w:val="0"/>
        <w:spacing w:line="360" w:lineRule="exact"/>
        <w:ind w:firstLine="420" w:firstLineChars="200"/>
        <w:rPr>
          <w:rFonts w:hint="eastAsia" w:hAnsi="宋体"/>
          <w:bCs/>
          <w:color w:val="auto"/>
          <w:highlight w:val="none"/>
        </w:rPr>
      </w:pPr>
    </w:p>
    <w:p>
      <w:pPr>
        <w:pStyle w:val="12"/>
        <w:snapToGrid w:val="0"/>
        <w:spacing w:line="360" w:lineRule="exact"/>
        <w:ind w:firstLine="413" w:firstLineChars="196"/>
        <w:outlineLvl w:val="0"/>
        <w:rPr>
          <w:rFonts w:hint="eastAsia" w:hAnsi="宋体"/>
          <w:b/>
          <w:color w:val="auto"/>
          <w:highlight w:val="none"/>
        </w:rPr>
      </w:pPr>
      <w:bookmarkStart w:id="55" w:name="_Toc254970675"/>
      <w:bookmarkStart w:id="56" w:name="_Toc40865032"/>
      <w:bookmarkStart w:id="57" w:name="_Toc254970534"/>
      <w:bookmarkStart w:id="58" w:name="_Toc40864640"/>
      <w:bookmarkStart w:id="59" w:name="_Toc40864916"/>
      <w:r>
        <w:rPr>
          <w:rFonts w:hint="eastAsia" w:hAnsi="宋体"/>
          <w:b/>
          <w:color w:val="auto"/>
          <w:highlight w:val="none"/>
        </w:rPr>
        <w:t>二、招标文件</w:t>
      </w:r>
      <w:bookmarkEnd w:id="55"/>
      <w:bookmarkEnd w:id="56"/>
      <w:bookmarkEnd w:id="57"/>
      <w:bookmarkEnd w:id="58"/>
      <w:bookmarkEnd w:id="59"/>
    </w:p>
    <w:p>
      <w:pPr>
        <w:snapToGrid w:val="0"/>
        <w:spacing w:line="360" w:lineRule="exact"/>
        <w:ind w:firstLine="413" w:firstLineChars="196"/>
        <w:jc w:val="left"/>
        <w:outlineLvl w:val="0"/>
        <w:rPr>
          <w:rFonts w:hint="eastAsia" w:ascii="宋体" w:hAnsi="宋体"/>
          <w:b/>
          <w:color w:val="auto"/>
          <w:szCs w:val="21"/>
          <w:highlight w:val="none"/>
        </w:rPr>
      </w:pPr>
      <w:bookmarkStart w:id="60" w:name="_Toc40864641"/>
      <w:bookmarkStart w:id="61" w:name="_Toc40865033"/>
      <w:bookmarkStart w:id="62" w:name="_Toc40864917"/>
      <w:r>
        <w:rPr>
          <w:rFonts w:hint="eastAsia" w:ascii="宋体" w:hAnsi="宋体"/>
          <w:b/>
          <w:color w:val="auto"/>
          <w:szCs w:val="21"/>
          <w:highlight w:val="none"/>
        </w:rPr>
        <w:t>（一）招标文件的构成。</w:t>
      </w:r>
      <w:bookmarkEnd w:id="60"/>
      <w:bookmarkEnd w:id="61"/>
      <w:bookmarkEnd w:id="62"/>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4.评标方法及评定标准；</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63" w:name="_Toc40864918"/>
      <w:bookmarkStart w:id="64" w:name="_Toc40865034"/>
      <w:bookmarkStart w:id="65" w:name="_Toc40864642"/>
      <w:r>
        <w:rPr>
          <w:rFonts w:hint="eastAsia" w:ascii="宋体" w:hAnsi="宋体"/>
          <w:b/>
          <w:color w:val="auto"/>
          <w:szCs w:val="21"/>
          <w:highlight w:val="none"/>
        </w:rPr>
        <w:t>（二）投标人的风险</w:t>
      </w:r>
      <w:bookmarkEnd w:id="63"/>
      <w:bookmarkEnd w:id="64"/>
      <w:bookmarkEnd w:id="65"/>
    </w:p>
    <w:p>
      <w:pPr>
        <w:tabs>
          <w:tab w:val="left" w:pos="180"/>
          <w:tab w:val="left" w:pos="1620"/>
        </w:tabs>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5"/>
        <w:widowControl w:val="0"/>
        <w:tabs>
          <w:tab w:val="left" w:pos="720"/>
          <w:tab w:val="left" w:pos="840"/>
        </w:tabs>
        <w:snapToGrid w:val="0"/>
        <w:spacing w:before="156" w:beforeLines="50" w:after="0" w:afterLines="0" w:line="360" w:lineRule="exact"/>
        <w:ind w:left="0" w:firstLine="413" w:firstLineChars="196"/>
        <w:outlineLvl w:val="0"/>
        <w:rPr>
          <w:rFonts w:hint="eastAsia" w:ascii="宋体" w:hAnsi="宋体"/>
          <w:b/>
          <w:color w:val="auto"/>
          <w:sz w:val="21"/>
          <w:szCs w:val="21"/>
          <w:highlight w:val="none"/>
        </w:rPr>
      </w:pPr>
      <w:bookmarkStart w:id="66" w:name="_Toc40865035"/>
      <w:bookmarkStart w:id="67" w:name="_Toc40864919"/>
      <w:bookmarkStart w:id="68" w:name="_Toc40864643"/>
      <w:r>
        <w:rPr>
          <w:rFonts w:hint="eastAsia" w:ascii="宋体" w:hAnsi="宋体"/>
          <w:b/>
          <w:color w:val="auto"/>
          <w:sz w:val="21"/>
          <w:szCs w:val="21"/>
          <w:highlight w:val="none"/>
        </w:rPr>
        <w:t>（三）招标文件的澄清与修改</w:t>
      </w:r>
      <w:bookmarkEnd w:id="66"/>
      <w:bookmarkEnd w:id="67"/>
      <w:bookmarkEnd w:id="68"/>
      <w:r>
        <w:rPr>
          <w:rFonts w:hint="eastAsia" w:ascii="宋体" w:hAnsi="宋体"/>
          <w:b/>
          <w:color w:val="auto"/>
          <w:sz w:val="21"/>
          <w:szCs w:val="21"/>
          <w:highlight w:val="none"/>
        </w:rPr>
        <w:t xml:space="preserve"> </w:t>
      </w:r>
    </w:p>
    <w:p>
      <w:pPr>
        <w:pStyle w:val="12"/>
        <w:snapToGrid w:val="0"/>
        <w:spacing w:line="36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s="Times New Roman"/>
          <w:color w:val="auto"/>
          <w:highlight w:val="none"/>
        </w:rPr>
        <w:t>采购人或者采购代理机构</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12"/>
        <w:snapToGrid w:val="0"/>
        <w:spacing w:line="36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12"/>
        <w:snapToGrid w:val="0"/>
        <w:spacing w:line="36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12"/>
        <w:snapToGrid w:val="0"/>
        <w:spacing w:line="36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12"/>
        <w:snapToGrid w:val="0"/>
        <w:spacing w:line="36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12"/>
        <w:snapToGrid w:val="0"/>
        <w:spacing w:line="360" w:lineRule="exact"/>
        <w:ind w:firstLine="413" w:firstLineChars="196"/>
        <w:outlineLvl w:val="1"/>
        <w:rPr>
          <w:rFonts w:hint="eastAsia" w:hAnsi="宋体"/>
          <w:b/>
          <w:color w:val="auto"/>
          <w:highlight w:val="none"/>
        </w:rPr>
      </w:pPr>
      <w:bookmarkStart w:id="69" w:name="_Toc254970676"/>
      <w:bookmarkStart w:id="70" w:name="_Toc40865036"/>
      <w:bookmarkStart w:id="71" w:name="_Toc40864920"/>
      <w:bookmarkStart w:id="72" w:name="_Toc40864644"/>
      <w:bookmarkStart w:id="73" w:name="_Toc254970535"/>
      <w:r>
        <w:rPr>
          <w:rFonts w:hint="eastAsia" w:hAnsi="宋体"/>
          <w:b/>
          <w:color w:val="auto"/>
          <w:highlight w:val="none"/>
        </w:rPr>
        <w:t>三、投标文件的编制</w:t>
      </w:r>
      <w:bookmarkEnd w:id="69"/>
      <w:bookmarkEnd w:id="70"/>
      <w:bookmarkEnd w:id="71"/>
      <w:bookmarkEnd w:id="72"/>
      <w:bookmarkEnd w:id="73"/>
    </w:p>
    <w:p>
      <w:pPr>
        <w:snapToGrid w:val="0"/>
        <w:spacing w:line="360" w:lineRule="exact"/>
        <w:ind w:firstLine="413" w:firstLineChars="196"/>
        <w:jc w:val="left"/>
        <w:outlineLvl w:val="0"/>
        <w:rPr>
          <w:rFonts w:hint="eastAsia" w:ascii="宋体" w:hAnsi="宋体"/>
          <w:b/>
          <w:color w:val="auto"/>
          <w:szCs w:val="21"/>
          <w:highlight w:val="none"/>
        </w:rPr>
      </w:pPr>
      <w:bookmarkStart w:id="74" w:name="_Toc40864645"/>
      <w:bookmarkStart w:id="75" w:name="_Toc254970536"/>
      <w:bookmarkStart w:id="76" w:name="_Toc254970677"/>
      <w:bookmarkStart w:id="77" w:name="_Toc40865037"/>
      <w:bookmarkStart w:id="78" w:name="_Toc40864921"/>
      <w:r>
        <w:rPr>
          <w:rFonts w:hint="eastAsia" w:ascii="宋体" w:hAnsi="宋体"/>
          <w:b/>
          <w:color w:val="auto"/>
          <w:szCs w:val="21"/>
          <w:highlight w:val="none"/>
        </w:rPr>
        <w:t>（一）投标文件的组成</w:t>
      </w:r>
      <w:bookmarkEnd w:id="74"/>
      <w:bookmarkEnd w:id="75"/>
      <w:bookmarkEnd w:id="76"/>
      <w:bookmarkEnd w:id="77"/>
      <w:bookmarkEnd w:id="78"/>
    </w:p>
    <w:p>
      <w:pPr>
        <w:snapToGrid w:val="0"/>
        <w:spacing w:line="360" w:lineRule="exact"/>
        <w:ind w:firstLine="420" w:firstLineChars="200"/>
        <w:jc w:val="left"/>
        <w:rPr>
          <w:rFonts w:hint="eastAsia" w:ascii="宋体" w:hAnsi="宋体"/>
          <w:color w:val="auto"/>
          <w:szCs w:val="21"/>
          <w:highlight w:val="none"/>
        </w:rPr>
      </w:pP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3" w:firstLineChars="196"/>
        <w:jc w:val="left"/>
        <w:rPr>
          <w:rFonts w:hint="eastAsia" w:hAnsi="宋体"/>
          <w:b/>
          <w:bCs/>
          <w:color w:val="auto"/>
          <w:highlight w:val="none"/>
        </w:rPr>
      </w:pPr>
      <w:r>
        <w:rPr>
          <w:rFonts w:hint="eastAsia" w:hAnsi="宋体"/>
          <w:b/>
          <w:bCs/>
          <w:color w:val="auto"/>
          <w:highlight w:val="none"/>
        </w:rPr>
        <w:t>①投标人有效的营业执照等证明文件</w:t>
      </w:r>
      <w:r>
        <w:rPr>
          <w:rFonts w:hint="eastAsia" w:ascii="宋体" w:hAnsi="宋体"/>
          <w:b/>
          <w:bCs/>
          <w:color w:val="auto"/>
          <w:szCs w:val="21"/>
          <w:highlight w:val="none"/>
        </w:rPr>
        <w:t>扫描件或其他电子文件</w:t>
      </w:r>
      <w:r>
        <w:rPr>
          <w:rFonts w:hint="eastAsia" w:hAnsi="宋体"/>
          <w:b/>
          <w:bCs/>
          <w:color w:val="auto"/>
          <w:highlight w:val="none"/>
        </w:rPr>
        <w:t>，同时要加盖单位公章（</w:t>
      </w:r>
      <w:r>
        <w:rPr>
          <w:rFonts w:hint="eastAsia" w:hAnsi="宋体"/>
          <w:b/>
          <w:bCs/>
          <w:color w:val="auto"/>
          <w:highlight w:val="none"/>
          <w:u w:val="single"/>
        </w:rPr>
        <w:t>必须提供，原件备查</w:t>
      </w:r>
      <w:r>
        <w:rPr>
          <w:rFonts w:hint="eastAsia" w:hAnsi="宋体"/>
          <w:b/>
          <w:bCs/>
          <w:color w:val="auto"/>
          <w:highlight w:val="none"/>
        </w:rPr>
        <w:t>）；</w:t>
      </w:r>
    </w:p>
    <w:p>
      <w:pPr>
        <w:snapToGrid w:val="0"/>
        <w:spacing w:line="360" w:lineRule="exact"/>
        <w:ind w:firstLine="411" w:firstLineChars="196"/>
        <w:jc w:val="left"/>
        <w:rPr>
          <w:rFonts w:hint="eastAsia" w:hAnsi="宋体"/>
          <w:color w:val="auto"/>
          <w:highlight w:val="none"/>
        </w:rPr>
      </w:pPr>
      <w:r>
        <w:rPr>
          <w:rFonts w:hint="eastAsia" w:hAnsi="宋体"/>
          <w:color w:val="auto"/>
          <w:highlight w:val="none"/>
        </w:rPr>
        <w:t>②对于有经营资质要求的，投标人必须提供有效的经营资质证书副本内页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color w:val="auto"/>
          <w:highlight w:val="none"/>
        </w:rPr>
        <w:t>，同时要加盖单位公章（</w:t>
      </w:r>
      <w:r>
        <w:rPr>
          <w:rFonts w:hint="eastAsia" w:hAnsi="宋体"/>
          <w:color w:val="auto"/>
          <w:highlight w:val="none"/>
          <w:u w:val="single"/>
        </w:rPr>
        <w:t>必须提供，原件备查</w:t>
      </w:r>
      <w:r>
        <w:rPr>
          <w:rFonts w:hint="eastAsia" w:hAnsi="宋体"/>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bCs/>
          <w:color w:val="auto"/>
          <w:szCs w:val="21"/>
          <w:highlight w:val="none"/>
        </w:rPr>
        <w:t>①</w:t>
      </w:r>
      <w:r>
        <w:rPr>
          <w:rFonts w:hint="eastAsia" w:ascii="宋体" w:hAnsi="宋体" w:cs="宋体"/>
          <w:b/>
          <w:bCs/>
          <w:color w:val="auto"/>
          <w:kern w:val="0"/>
          <w:szCs w:val="21"/>
          <w:highlight w:val="none"/>
        </w:rPr>
        <w:t>参加政府采购活动前三年内在经营活动中没有重大违法记录的书面声明</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518" w:firstLineChars="246"/>
        <w:jc w:val="left"/>
        <w:rPr>
          <w:rFonts w:hint="eastAsia" w:ascii="宋体" w:hAnsi="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3</w:t>
      </w:r>
      <w:r>
        <w:rPr>
          <w:rFonts w:hint="eastAsia" w:ascii="宋体" w:hAnsi="宋体"/>
          <w:b/>
          <w:bCs/>
          <w:color w:val="auto"/>
          <w:szCs w:val="21"/>
          <w:highlight w:val="none"/>
          <w:lang w:eastAsia="zh-CN"/>
        </w:rPr>
        <w:t>）</w:t>
      </w:r>
      <w:r>
        <w:rPr>
          <w:rFonts w:hint="eastAsia" w:ascii="宋体" w:hAnsi="宋体"/>
          <w:b/>
          <w:bCs/>
          <w:color w:val="auto"/>
          <w:szCs w:val="21"/>
          <w:highlight w:val="none"/>
        </w:rPr>
        <w:t>中小企业声明函（必须提供）</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w:t>
      </w:r>
      <w:r>
        <w:rPr>
          <w:rFonts w:hint="eastAsia" w:ascii="宋体" w:hAnsi="宋体"/>
          <w:color w:val="auto"/>
          <w:szCs w:val="21"/>
          <w:highlight w:val="none"/>
        </w:rPr>
        <w:t>扫描件或其他电子文件</w:t>
      </w:r>
      <w:r>
        <w:rPr>
          <w:rFonts w:hint="eastAsia" w:ascii="宋体" w:hAnsi="宋体"/>
          <w:b/>
          <w:color w:val="auto"/>
          <w:szCs w:val="21"/>
          <w:highlight w:val="none"/>
        </w:rPr>
        <w:t>（可单独提交）（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w:t>
      </w:r>
      <w:r>
        <w:rPr>
          <w:rFonts w:hint="eastAsia" w:ascii="宋体" w:hAnsi="宋体"/>
          <w:color w:val="auto"/>
          <w:szCs w:val="21"/>
          <w:highlight w:val="none"/>
        </w:rPr>
        <w:t>扫描件或其他电子文件</w:t>
      </w:r>
      <w:r>
        <w:rPr>
          <w:rFonts w:hint="eastAsia" w:ascii="宋体" w:hAnsi="宋体"/>
          <w:b/>
          <w:color w:val="auto"/>
          <w:szCs w:val="21"/>
          <w:highlight w:val="none"/>
        </w:rPr>
        <w:t>（格式见第六章)（必须提供）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w:t>
      </w:r>
      <w:r>
        <w:rPr>
          <w:rFonts w:hint="eastAsia" w:ascii="宋体" w:hAnsi="宋体"/>
          <w:color w:val="auto"/>
          <w:szCs w:val="21"/>
          <w:highlight w:val="none"/>
        </w:rPr>
        <w:t>扫描件或其他电子文件；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w:t>
      </w:r>
      <w:r>
        <w:rPr>
          <w:rFonts w:hint="eastAsia" w:ascii="宋体" w:hAnsi="宋体"/>
          <w:color w:val="auto"/>
          <w:szCs w:val="21"/>
          <w:highlight w:val="none"/>
        </w:rPr>
        <w:t>扫描件或其他电子文件</w:t>
      </w:r>
      <w:r>
        <w:rPr>
          <w:rFonts w:hint="eastAsia" w:ascii="宋体" w:hAnsi="宋体"/>
          <w:b/>
          <w:color w:val="auto"/>
          <w:szCs w:val="21"/>
          <w:highlight w:val="none"/>
        </w:rPr>
        <w:t>，原件备查，格式自拟）（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w:t>
      </w:r>
      <w:r>
        <w:rPr>
          <w:rFonts w:hint="eastAsia" w:ascii="宋体" w:hAnsi="宋体"/>
          <w:color w:val="auto"/>
          <w:szCs w:val="21"/>
          <w:highlight w:val="none"/>
        </w:rPr>
        <w:t>扫描件（如有）</w:t>
      </w:r>
      <w:r>
        <w:rPr>
          <w:rFonts w:hint="eastAsia" w:ascii="宋体" w:hAnsi="宋体" w:cs="宋体"/>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bCs/>
          <w:color w:val="auto"/>
          <w:szCs w:val="21"/>
          <w:highlight w:val="none"/>
        </w:rPr>
        <w:t xml:space="preserve"> 可作为投标人资信评分的资质证明材料（可选）  </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16</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ascii="宋体" w:hAnsi="宋体"/>
          <w:color w:val="auto"/>
          <w:szCs w:val="21"/>
          <w:highlight w:val="none"/>
          <w:lang w:val="en"/>
        </w:rPr>
        <w:t>，</w:t>
      </w:r>
      <w:r>
        <w:rPr>
          <w:rFonts w:hint="eastAsia" w:ascii="宋体" w:hAnsi="宋体"/>
          <w:b/>
          <w:bCs/>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ascii="宋体" w:hAnsi="宋体"/>
          <w:color w:val="auto"/>
          <w:szCs w:val="21"/>
          <w:highlight w:val="none"/>
          <w:lang w:val="en"/>
        </w:rPr>
        <w:t>，</w:t>
      </w:r>
      <w:r>
        <w:rPr>
          <w:rFonts w:hint="eastAsia" w:ascii="宋体" w:hAnsi="宋体"/>
          <w:b/>
          <w:bCs/>
          <w:color w:val="auto"/>
          <w:szCs w:val="21"/>
          <w:highlight w:val="none"/>
        </w:rPr>
        <w:t>必须提供</w:t>
      </w:r>
      <w:r>
        <w:rPr>
          <w:rFonts w:hint="eastAsia" w:ascii="宋体" w:hAnsi="宋体"/>
          <w:color w:val="auto"/>
          <w:szCs w:val="21"/>
          <w:highlight w:val="none"/>
        </w:rPr>
        <w:t>）。</w:t>
      </w:r>
    </w:p>
    <w:p>
      <w:pPr>
        <w:pStyle w:val="19"/>
        <w:spacing w:line="360" w:lineRule="exact"/>
        <w:ind w:firstLine="420" w:firstLineChars="200"/>
        <w:rPr>
          <w:rFonts w:ascii="宋体" w:hAnsi="宋体"/>
          <w:color w:val="auto"/>
          <w:szCs w:val="21"/>
          <w:highlight w:val="none"/>
        </w:rPr>
      </w:pPr>
      <w:bookmarkStart w:id="79" w:name="_Toc254970678"/>
      <w:bookmarkStart w:id="80" w:name="_Toc254970537"/>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w:t>
      </w:r>
      <w:r>
        <w:rPr>
          <w:rFonts w:hint="eastAsia" w:ascii="宋体" w:hAnsi="宋体"/>
          <w:b/>
          <w:bCs/>
          <w:color w:val="auto"/>
          <w:szCs w:val="21"/>
          <w:highlight w:val="none"/>
          <w:lang w:eastAsia="zh-CN"/>
        </w:rPr>
        <w:t>签字或签章</w:t>
      </w:r>
      <w:r>
        <w:rPr>
          <w:rFonts w:hint="eastAsia" w:ascii="宋体" w:hAnsi="宋体"/>
          <w:b/>
          <w:bCs/>
          <w:color w:val="auto"/>
          <w:szCs w:val="21"/>
          <w:highlight w:val="none"/>
        </w:rPr>
        <w:t>和加盖单位公章。</w:t>
      </w:r>
    </w:p>
    <w:p>
      <w:pPr>
        <w:snapToGrid w:val="0"/>
        <w:spacing w:line="360" w:lineRule="exact"/>
        <w:ind w:firstLine="413" w:firstLineChars="196"/>
        <w:jc w:val="left"/>
        <w:outlineLvl w:val="0"/>
        <w:rPr>
          <w:rFonts w:hint="eastAsia" w:ascii="宋体" w:hAnsi="宋体"/>
          <w:b/>
          <w:color w:val="auto"/>
          <w:szCs w:val="21"/>
          <w:highlight w:val="none"/>
        </w:rPr>
      </w:pPr>
      <w:bookmarkStart w:id="81" w:name="_Toc40865038"/>
      <w:bookmarkStart w:id="82" w:name="_Toc40864922"/>
      <w:bookmarkStart w:id="83" w:name="_Toc40864646"/>
      <w:r>
        <w:rPr>
          <w:rFonts w:hint="eastAsia" w:ascii="宋体" w:hAnsi="宋体"/>
          <w:b/>
          <w:color w:val="auto"/>
          <w:szCs w:val="21"/>
          <w:highlight w:val="none"/>
        </w:rPr>
        <w:t>（二）投标文件的语言及计量</w:t>
      </w:r>
      <w:bookmarkEnd w:id="79"/>
      <w:bookmarkEnd w:id="80"/>
      <w:bookmarkEnd w:id="81"/>
      <w:bookmarkEnd w:id="82"/>
      <w:bookmarkEnd w:id="83"/>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84" w:name="_Toc40864923"/>
      <w:bookmarkStart w:id="85" w:name="_Toc40865039"/>
      <w:bookmarkStart w:id="86" w:name="_Toc254970538"/>
      <w:bookmarkStart w:id="87" w:name="_Toc40864647"/>
      <w:bookmarkStart w:id="88" w:name="_Toc254970679"/>
      <w:r>
        <w:rPr>
          <w:rFonts w:hint="eastAsia" w:ascii="宋体" w:hAnsi="宋体"/>
          <w:b/>
          <w:color w:val="auto"/>
          <w:szCs w:val="21"/>
          <w:highlight w:val="none"/>
        </w:rPr>
        <w:t>（三）投标报价</w:t>
      </w:r>
      <w:bookmarkEnd w:id="84"/>
      <w:bookmarkEnd w:id="85"/>
      <w:bookmarkEnd w:id="86"/>
      <w:bookmarkEnd w:id="87"/>
      <w:bookmarkEnd w:id="88"/>
    </w:p>
    <w:p>
      <w:pPr>
        <w:pStyle w:val="12"/>
        <w:snapToGrid w:val="0"/>
        <w:spacing w:line="360" w:lineRule="exact"/>
        <w:ind w:firstLine="420" w:firstLineChars="200"/>
        <w:jc w:val="left"/>
        <w:rPr>
          <w:rFonts w:hAnsi="宋体"/>
          <w:b/>
          <w:bCs/>
          <w:color w:val="auto"/>
          <w:highlight w:val="none"/>
        </w:rPr>
      </w:pPr>
      <w:r>
        <w:rPr>
          <w:rFonts w:hint="eastAsia" w:hAnsi="宋体"/>
          <w:color w:val="auto"/>
          <w:highlight w:val="none"/>
        </w:rPr>
        <w:t>1.投标报价应按招标文件中相关附表格式填写。</w:t>
      </w:r>
      <w:r>
        <w:rPr>
          <w:rFonts w:hint="eastAsia" w:hAnsi="宋体"/>
          <w:b/>
          <w:bCs/>
          <w:color w:val="auto"/>
          <w:highlight w:val="none"/>
        </w:rPr>
        <w:t>投标人可就《招标项目采购需求》中的货物和服务内容作完整唯一报价。</w:t>
      </w:r>
    </w:p>
    <w:p>
      <w:pPr>
        <w:pStyle w:val="12"/>
        <w:snapToGrid w:val="0"/>
        <w:spacing w:line="36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5"/>
        <w:widowControl w:val="0"/>
        <w:tabs>
          <w:tab w:val="left" w:pos="720"/>
          <w:tab w:val="left" w:pos="840"/>
        </w:tabs>
        <w:snapToGrid w:val="0"/>
        <w:spacing w:before="156" w:beforeLines="50" w:after="120" w:afterLines="0" w:line="360" w:lineRule="exact"/>
        <w:ind w:left="0" w:firstLine="413" w:firstLineChars="196"/>
        <w:outlineLvl w:val="0"/>
        <w:rPr>
          <w:rFonts w:hint="eastAsia" w:ascii="宋体" w:hAnsi="宋体"/>
          <w:b/>
          <w:color w:val="auto"/>
          <w:sz w:val="21"/>
          <w:szCs w:val="21"/>
          <w:highlight w:val="none"/>
        </w:rPr>
      </w:pPr>
      <w:bookmarkStart w:id="89" w:name="_Toc40864648"/>
      <w:bookmarkStart w:id="90" w:name="_Toc40865040"/>
      <w:bookmarkStart w:id="91" w:name="_Toc40864924"/>
      <w:r>
        <w:rPr>
          <w:rFonts w:hint="eastAsia" w:ascii="宋体" w:hAnsi="宋体"/>
          <w:b/>
          <w:color w:val="auto"/>
          <w:sz w:val="21"/>
          <w:szCs w:val="21"/>
          <w:highlight w:val="none"/>
        </w:rPr>
        <w:t>（四）投标文件的有效期</w:t>
      </w:r>
      <w:bookmarkEnd w:id="89"/>
      <w:bookmarkEnd w:id="90"/>
      <w:bookmarkEnd w:id="91"/>
    </w:p>
    <w:p>
      <w:pPr>
        <w:pStyle w:val="5"/>
        <w:widowControl w:val="0"/>
        <w:tabs>
          <w:tab w:val="left" w:pos="720"/>
          <w:tab w:val="left" w:pos="840"/>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60</w:t>
      </w:r>
      <w:r>
        <w:rPr>
          <w:rFonts w:hint="eastAsia" w:ascii="宋体" w:hAnsi="宋体"/>
          <w:color w:val="auto"/>
          <w:sz w:val="21"/>
          <w:szCs w:val="21"/>
          <w:highlight w:val="none"/>
        </w:rPr>
        <w:t>天投标文件应保持有效。有效期不足的投标文件将被拒绝。</w:t>
      </w:r>
    </w:p>
    <w:p>
      <w:pPr>
        <w:pStyle w:val="5"/>
        <w:widowControl w:val="0"/>
        <w:tabs>
          <w:tab w:val="left" w:pos="720"/>
          <w:tab w:val="left" w:pos="840"/>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hint="eastAsia" w:ascii="宋体" w:hAnsi="宋体"/>
          <w:b/>
          <w:color w:val="auto"/>
          <w:szCs w:val="21"/>
          <w:highlight w:val="none"/>
        </w:rPr>
      </w:pPr>
      <w:bookmarkStart w:id="92" w:name="_Toc254970680"/>
      <w:bookmarkStart w:id="93" w:name="_Toc40864925"/>
      <w:bookmarkStart w:id="94" w:name="_Toc40865041"/>
      <w:bookmarkStart w:id="95" w:name="_Toc254970539"/>
      <w:bookmarkStart w:id="96" w:name="_Toc40864649"/>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92"/>
      <w:bookmarkEnd w:id="93"/>
      <w:bookmarkEnd w:id="94"/>
      <w:bookmarkEnd w:id="95"/>
      <w:bookmarkEnd w:id="96"/>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hint="eastAsia" w:ascii="宋体" w:hAnsi="宋体"/>
          <w:b/>
          <w:color w:val="auto"/>
          <w:szCs w:val="21"/>
          <w:highlight w:val="none"/>
        </w:rPr>
      </w:pPr>
      <w:bookmarkStart w:id="97" w:name="_Toc40864650"/>
      <w:bookmarkStart w:id="98" w:name="_Toc40865042"/>
      <w:bookmarkStart w:id="99" w:name="_Toc254970681"/>
      <w:bookmarkStart w:id="100" w:name="_Toc40864926"/>
      <w:bookmarkStart w:id="101" w:name="_Toc254970540"/>
      <w:r>
        <w:rPr>
          <w:rFonts w:hint="eastAsia" w:ascii="宋体" w:hAnsi="宋体"/>
          <w:color w:val="auto"/>
          <w:szCs w:val="21"/>
          <w:highlight w:val="none"/>
        </w:rPr>
        <w:t>4.中标人的投标文件自开标之日起至合同履行完毕止均应保持有效。</w:t>
      </w:r>
      <w:bookmarkEnd w:id="97"/>
      <w:bookmarkEnd w:id="98"/>
      <w:bookmarkEnd w:id="99"/>
      <w:bookmarkEnd w:id="100"/>
      <w:bookmarkEnd w:id="101"/>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2" w:name="_Toc254970682"/>
      <w:bookmarkStart w:id="103" w:name="_Toc254970541"/>
      <w:bookmarkStart w:id="104" w:name="_Toc40864927"/>
      <w:bookmarkStart w:id="105" w:name="_Toc40864651"/>
      <w:bookmarkStart w:id="106" w:name="_Toc40865043"/>
      <w:r>
        <w:rPr>
          <w:rFonts w:hint="eastAsia" w:ascii="宋体" w:hAnsi="宋体"/>
          <w:b/>
          <w:color w:val="auto"/>
          <w:szCs w:val="21"/>
          <w:highlight w:val="none"/>
        </w:rPr>
        <w:t>（五）投标保证金</w:t>
      </w:r>
      <w:bookmarkEnd w:id="102"/>
      <w:bookmarkEnd w:id="103"/>
      <w:bookmarkEnd w:id="104"/>
      <w:bookmarkEnd w:id="105"/>
      <w:bookmarkEnd w:id="106"/>
    </w:p>
    <w:p>
      <w:pPr>
        <w:pStyle w:val="12"/>
        <w:spacing w:line="420" w:lineRule="exact"/>
        <w:ind w:left="840" w:leftChars="200" w:hanging="420" w:hangingChars="200"/>
        <w:rPr>
          <w:rFonts w:hint="eastAsia"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2.保证金交纳形式：</w:t>
      </w:r>
      <w:r>
        <w:rPr>
          <w:rFonts w:hint="eastAsia" w:hAnsi="宋体"/>
          <w:color w:val="auto"/>
          <w:szCs w:val="21"/>
          <w:highlight w:val="none"/>
        </w:rPr>
        <w:t>支票、汇票、本票、</w:t>
      </w:r>
      <w:r>
        <w:rPr>
          <w:rFonts w:hint="eastAsia" w:hAnsi="宋体" w:cs="Arial"/>
          <w:bCs/>
          <w:color w:val="auto"/>
          <w:highlight w:val="none"/>
        </w:rPr>
        <w:t>网上银行</w:t>
      </w:r>
      <w:r>
        <w:rPr>
          <w:rFonts w:hint="eastAsia" w:hAnsi="宋体"/>
          <w:color w:val="auto"/>
          <w:szCs w:val="22"/>
          <w:highlight w:val="none"/>
        </w:rPr>
        <w:t>或者银行、保险机构出具的保函</w:t>
      </w:r>
      <w:r>
        <w:rPr>
          <w:rFonts w:hint="eastAsia" w:hAnsi="宋体"/>
          <w:color w:val="auto"/>
          <w:szCs w:val="21"/>
          <w:highlight w:val="none"/>
        </w:rPr>
        <w:t>等非现金形式提交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w:t>
      </w:r>
      <w:r>
        <w:rPr>
          <w:rFonts w:hint="eastAsia" w:ascii="宋体" w:hAnsi="宋体"/>
          <w:color w:val="auto"/>
          <w:szCs w:val="21"/>
          <w:highlight w:val="none"/>
        </w:rPr>
        <w:t>或本中心财务处</w:t>
      </w:r>
      <w:r>
        <w:rPr>
          <w:rFonts w:ascii="宋体" w:hAnsi="宋体"/>
          <w:color w:val="auto"/>
          <w:szCs w:val="21"/>
          <w:highlight w:val="none"/>
        </w:rPr>
        <w:t>（投标人交纳投标保证金时应充分考虑保证金到达本中心账户上的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pStyle w:val="12"/>
        <w:spacing w:line="420" w:lineRule="exact"/>
        <w:ind w:left="989" w:leftChars="301" w:hanging="357" w:hangingChars="198"/>
        <w:rPr>
          <w:rFonts w:hint="eastAsia"/>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int="eastAsia"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未中标人的投标保证金在中标通知书发出后5个工作日内退还，</w:t>
      </w:r>
      <w:r>
        <w:rPr>
          <w:rFonts w:hint="eastAsia" w:hAnsi="宋体"/>
          <w:b/>
          <w:color w:val="auto"/>
          <w:sz w:val="18"/>
          <w:szCs w:val="18"/>
          <w:highlight w:val="none"/>
        </w:rPr>
        <w:t>不计利息。</w:t>
      </w:r>
    </w:p>
    <w:p>
      <w:pPr>
        <w:snapToGrid w:val="0"/>
        <w:spacing w:line="360" w:lineRule="exact"/>
        <w:ind w:left="1109" w:leftChars="444" w:hanging="177" w:hangingChars="98"/>
        <w:jc w:val="left"/>
        <w:rPr>
          <w:rFonts w:hint="eastAsia"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z w:val="18"/>
          <w:szCs w:val="18"/>
          <w:highlight w:val="none"/>
        </w:rPr>
        <w:t>中标人的</w:t>
      </w:r>
      <w:r>
        <w:rPr>
          <w:rFonts w:ascii="宋体" w:hAnsi="宋体"/>
          <w:b/>
          <w:color w:val="auto"/>
          <w:sz w:val="18"/>
          <w:szCs w:val="18"/>
          <w:highlight w:val="none"/>
        </w:rPr>
        <w:t>投标保证金自政府采购合同签订之日起</w:t>
      </w:r>
      <w:r>
        <w:rPr>
          <w:rFonts w:hint="eastAsia" w:ascii="宋体" w:hAnsi="宋体"/>
          <w:b/>
          <w:color w:val="auto"/>
          <w:sz w:val="18"/>
          <w:szCs w:val="18"/>
          <w:highlight w:val="none"/>
        </w:rPr>
        <w:t>5</w:t>
      </w:r>
      <w:r>
        <w:rPr>
          <w:rFonts w:ascii="宋体" w:hAnsi="宋体"/>
          <w:b/>
          <w:color w:val="auto"/>
          <w:sz w:val="18"/>
          <w:szCs w:val="18"/>
          <w:highlight w:val="none"/>
        </w:rPr>
        <w:t>个工作日内</w:t>
      </w:r>
      <w:r>
        <w:rPr>
          <w:rFonts w:hint="eastAsia" w:ascii="宋体" w:hAnsi="宋体"/>
          <w:b/>
          <w:color w:val="auto"/>
          <w:sz w:val="18"/>
          <w:szCs w:val="18"/>
          <w:highlight w:val="none"/>
        </w:rPr>
        <w:t>（合同签订后送达本中心)后</w:t>
      </w:r>
      <w:r>
        <w:rPr>
          <w:rFonts w:ascii="宋体" w:hAnsi="宋体"/>
          <w:b/>
          <w:color w:val="auto"/>
          <w:sz w:val="18"/>
          <w:szCs w:val="18"/>
          <w:highlight w:val="none"/>
        </w:rPr>
        <w:t>退还</w:t>
      </w:r>
      <w:r>
        <w:rPr>
          <w:rFonts w:hint="eastAsia" w:ascii="宋体" w:hAnsi="宋体"/>
          <w:b/>
          <w:color w:val="auto"/>
          <w:sz w:val="18"/>
          <w:szCs w:val="18"/>
          <w:highlight w:val="none"/>
        </w:rPr>
        <w:t>，不计利息。</w:t>
      </w:r>
    </w:p>
    <w:p>
      <w:pPr>
        <w:spacing w:line="400" w:lineRule="exact"/>
        <w:ind w:firstLine="420" w:firstLineChars="200"/>
        <w:rPr>
          <w:rFonts w:hint="eastAsia" w:ascii="宋体" w:hAnsi="宋体"/>
          <w:b/>
          <w:color w:val="auto"/>
          <w:sz w:val="18"/>
          <w:szCs w:val="18"/>
          <w:highlight w:val="none"/>
        </w:rPr>
      </w:pPr>
      <w:r>
        <w:rPr>
          <w:rFonts w:hint="eastAsia" w:ascii="宋体" w:hAnsi="宋体"/>
          <w:color w:val="auto"/>
          <w:szCs w:val="21"/>
          <w:highlight w:val="none"/>
        </w:rPr>
        <w:t>4.本项目保证金事宜请联系中心财务处（电话：0771-8600309，地址：</w:t>
      </w:r>
      <w:r>
        <w:rPr>
          <w:rFonts w:hAnsi="宋体" w:cs="宋体"/>
          <w:bCs/>
          <w:color w:val="auto"/>
          <w:kern w:val="0"/>
          <w:szCs w:val="21"/>
          <w:highlight w:val="none"/>
          <w:lang w:val="en"/>
        </w:rPr>
        <w:t>广西南宁市星湖路22号广西壮族自治区政府采购中心综合楼3楼306室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 </w:t>
      </w:r>
      <w:r>
        <w:rPr>
          <w:rFonts w:ascii="宋体" w:hAnsi="宋体" w:cs="宋体"/>
          <w:color w:val="auto"/>
          <w:kern w:val="0"/>
          <w:szCs w:val="21"/>
          <w:highlight w:val="none"/>
        </w:rPr>
        <w:t>中标人</w:t>
      </w:r>
      <w:r>
        <w:rPr>
          <w:rFonts w:ascii="宋体" w:hAnsi="宋体" w:cs="宋体"/>
          <w:b/>
          <w:bCs/>
          <w:color w:val="auto"/>
          <w:kern w:val="0"/>
          <w:szCs w:val="21"/>
          <w:highlight w:val="none"/>
        </w:rPr>
        <w:t>应在中标通知书发出</w:t>
      </w:r>
      <w:r>
        <w:rPr>
          <w:rFonts w:hint="eastAsia" w:ascii="宋体" w:hAnsi="宋体" w:cs="宋体"/>
          <w:b/>
          <w:bCs/>
          <w:color w:val="auto"/>
          <w:kern w:val="0"/>
          <w:szCs w:val="21"/>
          <w:highlight w:val="none"/>
        </w:rPr>
        <w:t>之日起</w:t>
      </w:r>
      <w:r>
        <w:rPr>
          <w:rFonts w:hint="eastAsia" w:ascii="宋体" w:hAnsi="宋体" w:cs="宋体"/>
          <w:b/>
          <w:bCs/>
          <w:color w:val="auto"/>
          <w:kern w:val="0"/>
          <w:szCs w:val="21"/>
          <w:highlight w:val="none"/>
          <w:u w:val="single"/>
        </w:rPr>
        <w:t xml:space="preserve">   </w:t>
      </w:r>
      <w:r>
        <w:rPr>
          <w:rFonts w:hint="eastAsia" w:ascii="宋体" w:hAnsi="宋体"/>
          <w:b/>
          <w:bCs/>
          <w:color w:val="auto"/>
          <w:szCs w:val="21"/>
          <w:highlight w:val="none"/>
          <w:u w:val="single"/>
        </w:rPr>
        <w:t xml:space="preserve">25  </w:t>
      </w:r>
      <w:r>
        <w:rPr>
          <w:rFonts w:hint="eastAsia" w:ascii="宋体" w:hAnsi="宋体"/>
          <w:b/>
          <w:bCs/>
          <w:color w:val="auto"/>
          <w:szCs w:val="21"/>
          <w:highlight w:val="none"/>
        </w:rPr>
        <w:t>日内</w:t>
      </w:r>
      <w:r>
        <w:rPr>
          <w:rFonts w:hint="eastAsia" w:ascii="宋体" w:hAnsi="宋体"/>
          <w:color w:val="auto"/>
          <w:szCs w:val="21"/>
          <w:highlight w:val="none"/>
        </w:rPr>
        <w:t>与采购人签订合同</w:t>
      </w:r>
      <w:r>
        <w:rPr>
          <w:rFonts w:hint="eastAsia" w:hAnsi="宋体"/>
          <w:b/>
          <w:color w:val="auto"/>
          <w:highlight w:val="none"/>
          <w:u w:val="single"/>
        </w:rPr>
        <w:t>（采购需求另有规定的，按采购需求要求执行）</w:t>
      </w:r>
      <w:r>
        <w:rPr>
          <w:rFonts w:hint="eastAsia" w:ascii="宋体" w:hAnsi="宋体"/>
          <w:color w:val="auto"/>
          <w:szCs w:val="21"/>
          <w:highlight w:val="none"/>
        </w:rPr>
        <w:t>。</w:t>
      </w:r>
    </w:p>
    <w:p>
      <w:pPr>
        <w:pStyle w:val="12"/>
        <w:spacing w:line="400" w:lineRule="exact"/>
        <w:ind w:firstLine="420" w:firstLineChars="200"/>
        <w:rPr>
          <w:rFonts w:hint="eastAsia" w:hAnsi="宋体"/>
          <w:color w:val="auto"/>
          <w:highlight w:val="none"/>
        </w:rPr>
      </w:pPr>
      <w:r>
        <w:rPr>
          <w:rFonts w:hint="eastAsia"/>
          <w:color w:val="auto"/>
          <w:highlight w:val="none"/>
        </w:rPr>
        <w:t>6.投标保证金不计息。</w:t>
      </w:r>
    </w:p>
    <w:p>
      <w:pPr>
        <w:snapToGrid w:val="0"/>
        <w:spacing w:line="360" w:lineRule="exact"/>
        <w:ind w:firstLine="413" w:firstLineChars="196"/>
        <w:jc w:val="left"/>
        <w:rPr>
          <w:rFonts w:hint="eastAsia" w:ascii="宋体" w:hAnsi="宋体"/>
          <w:b/>
          <w:bCs/>
          <w:color w:val="auto"/>
          <w:szCs w:val="21"/>
          <w:highlight w:val="none"/>
        </w:rPr>
      </w:pPr>
      <w:r>
        <w:rPr>
          <w:rFonts w:hint="eastAsia" w:ascii="宋体" w:hAnsi="宋体"/>
          <w:b/>
          <w:bCs/>
          <w:color w:val="auto"/>
          <w:szCs w:val="21"/>
          <w:highlight w:val="none"/>
        </w:rPr>
        <w:t>7.投标人有下列情形之一的，投标保证金将不予退还：</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7" w:name="_Toc40864928"/>
      <w:bookmarkStart w:id="108" w:name="_Toc254970683"/>
      <w:bookmarkStart w:id="109" w:name="_Toc254970542"/>
      <w:bookmarkStart w:id="110" w:name="_Toc40864652"/>
      <w:bookmarkStart w:id="111" w:name="_Toc40865044"/>
      <w:r>
        <w:rPr>
          <w:rFonts w:hint="eastAsia" w:ascii="宋体" w:hAnsi="宋体"/>
          <w:b/>
          <w:color w:val="auto"/>
          <w:szCs w:val="21"/>
          <w:highlight w:val="none"/>
        </w:rPr>
        <w:t>（六）投标文件的签署和份数</w:t>
      </w:r>
      <w:bookmarkEnd w:id="107"/>
      <w:bookmarkEnd w:id="108"/>
      <w:bookmarkEnd w:id="109"/>
      <w:bookmarkEnd w:id="110"/>
      <w:bookmarkEnd w:id="111"/>
    </w:p>
    <w:p>
      <w:pPr>
        <w:adjustRightInd w:val="0"/>
        <w:snapToGrid w:val="0"/>
        <w:spacing w:line="400" w:lineRule="exact"/>
        <w:ind w:firstLine="420" w:firstLineChars="200"/>
        <w:jc w:val="left"/>
        <w:rPr>
          <w:rFonts w:hint="eastAsia" w:ascii="宋体" w:hAnsi="宋体"/>
          <w:color w:val="auto"/>
          <w:szCs w:val="21"/>
          <w:highlight w:val="none"/>
        </w:rPr>
      </w:pPr>
      <w:bookmarkStart w:id="112" w:name="_Toc40864653"/>
      <w:bookmarkStart w:id="113" w:name="_Toc40865045"/>
      <w:bookmarkStart w:id="114" w:name="_Toc40864929"/>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w:t>
      </w:r>
      <w:r>
        <w:rPr>
          <w:rFonts w:hint="eastAsia" w:ascii="宋体" w:hAnsi="宋体"/>
          <w:color w:val="auto"/>
          <w:szCs w:val="21"/>
          <w:highlight w:val="none"/>
          <w:lang w:eastAsia="zh-CN"/>
        </w:rPr>
        <w:t>签字或签章</w:t>
      </w:r>
      <w:r>
        <w:rPr>
          <w:rFonts w:hint="eastAsia" w:ascii="宋体" w:hAnsi="宋体"/>
          <w:color w:val="auto"/>
          <w:szCs w:val="21"/>
          <w:highlight w:val="none"/>
        </w:rPr>
        <w:t>，投标人应写全称。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w:t>
      </w:r>
      <w:r>
        <w:rPr>
          <w:rFonts w:hint="default" w:ascii="宋体" w:hAnsi="宋体"/>
          <w:color w:val="auto"/>
          <w:szCs w:val="21"/>
          <w:highlight w:val="none"/>
          <w:lang w:val="en"/>
        </w:rPr>
        <w:t>签字或签章</w:t>
      </w:r>
      <w:r>
        <w:rPr>
          <w:rFonts w:hint="eastAsia" w:ascii="宋体" w:hAnsi="宋体"/>
          <w:color w:val="auto"/>
          <w:szCs w:val="21"/>
          <w:highlight w:val="none"/>
        </w:rPr>
        <w:t>。投标文件因扫描不清晰或乱码或表达不清所引起的后果由投标人负责。</w:t>
      </w:r>
    </w:p>
    <w:p>
      <w:pPr>
        <w:snapToGrid w:val="0"/>
        <w:spacing w:before="156" w:beforeLines="50" w:line="360" w:lineRule="exact"/>
        <w:ind w:firstLine="309" w:firstLineChars="147"/>
        <w:jc w:val="left"/>
        <w:outlineLvl w:val="0"/>
        <w:rPr>
          <w:rFonts w:hint="eastAsia" w:ascii="宋体" w:hAnsi="宋体"/>
          <w:b/>
          <w:color w:val="auto"/>
          <w:szCs w:val="21"/>
          <w:highlight w:val="none"/>
        </w:rPr>
      </w:pPr>
      <w:r>
        <w:rPr>
          <w:rFonts w:hint="eastAsia" w:ascii="宋体" w:hAnsi="宋体"/>
          <w:b/>
          <w:color w:val="auto"/>
          <w:szCs w:val="21"/>
          <w:highlight w:val="none"/>
        </w:rPr>
        <w:t>（七）</w:t>
      </w:r>
      <w:bookmarkEnd w:id="112"/>
      <w:bookmarkEnd w:id="113"/>
      <w:bookmarkEnd w:id="114"/>
      <w:r>
        <w:rPr>
          <w:rFonts w:hint="eastAsia"/>
          <w:b/>
          <w:color w:val="auto"/>
          <w:highlight w:val="none"/>
        </w:rPr>
        <w:t>投标文件的上传、提交、修改、撤回和解密</w:t>
      </w:r>
    </w:p>
    <w:p>
      <w:pPr>
        <w:adjustRightInd w:val="0"/>
        <w:snapToGrid w:val="0"/>
        <w:spacing w:line="400" w:lineRule="exact"/>
        <w:ind w:firstLine="210" w:firstLineChars="100"/>
        <w:jc w:val="left"/>
        <w:rPr>
          <w:rFonts w:hint="eastAsia"/>
          <w:b/>
          <w:color w:val="auto"/>
          <w:highlight w:val="none"/>
        </w:rPr>
      </w:pPr>
      <w:bookmarkStart w:id="115" w:name="_Toc40865046"/>
      <w:bookmarkStart w:id="116" w:name="_Toc40864930"/>
      <w:bookmarkStart w:id="117" w:name="_Toc40864654"/>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04"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hint="eastAsia" w:ascii="宋体" w:hAnsi="宋体"/>
          <w:b/>
          <w:color w:val="auto"/>
          <w:szCs w:val="21"/>
          <w:highlight w:val="none"/>
        </w:rPr>
      </w:pPr>
      <w:r>
        <w:rPr>
          <w:rFonts w:hint="eastAsia" w:ascii="宋体" w:hAnsi="宋体"/>
          <w:b/>
          <w:color w:val="auto"/>
          <w:szCs w:val="21"/>
          <w:highlight w:val="none"/>
        </w:rPr>
        <w:t>（八）投标无效的情形</w:t>
      </w:r>
      <w:bookmarkEnd w:id="115"/>
      <w:bookmarkEnd w:id="116"/>
      <w:bookmarkEnd w:id="117"/>
    </w:p>
    <w:p>
      <w:pPr>
        <w:pStyle w:val="11"/>
        <w:adjustRightInd w:val="0"/>
        <w:snapToGrid w:val="0"/>
        <w:spacing w:line="400" w:lineRule="exact"/>
        <w:ind w:firstLine="411" w:firstLineChars="196"/>
        <w:rPr>
          <w:rFonts w:ascii="宋体" w:hAnsi="宋体" w:eastAsia="宋体"/>
          <w:bCs/>
          <w:color w:val="auto"/>
          <w:sz w:val="21"/>
          <w:szCs w:val="21"/>
          <w:highlight w:val="none"/>
        </w:rPr>
      </w:pPr>
      <w:bookmarkStart w:id="118" w:name="_Toc40865048"/>
      <w:bookmarkStart w:id="119" w:name="_Toc40864656"/>
      <w:bookmarkStart w:id="120" w:name="_Toc40864932"/>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w:t>
      </w:r>
      <w:r>
        <w:rPr>
          <w:rFonts w:ascii="宋体" w:hAnsi="宋体" w:eastAsia="宋体"/>
          <w:bCs/>
          <w:color w:val="auto"/>
          <w:sz w:val="21"/>
          <w:szCs w:val="21"/>
          <w:highlight w:val="none"/>
          <w:lang w:val="en"/>
        </w:rPr>
        <w:t>广西政府采购云</w:t>
      </w:r>
      <w:r>
        <w:rPr>
          <w:rFonts w:hint="eastAsia" w:ascii="宋体" w:hAnsi="宋体" w:eastAsia="宋体"/>
          <w:bCs/>
          <w:color w:val="auto"/>
          <w:sz w:val="21"/>
          <w:szCs w:val="21"/>
          <w:highlight w:val="none"/>
        </w:rPr>
        <w:t>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bookmarkEnd w:id="118"/>
      <w:bookmarkEnd w:id="119"/>
      <w:bookmarkEnd w:id="120"/>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1" w:name="_Toc40865049"/>
      <w:bookmarkStart w:id="122" w:name="_Toc40864657"/>
      <w:bookmarkStart w:id="123" w:name="_Toc40864933"/>
      <w:r>
        <w:rPr>
          <w:rFonts w:hint="eastAsia" w:ascii="宋体" w:hAnsi="宋体" w:eastAsia="宋体"/>
          <w:color w:val="auto"/>
          <w:spacing w:val="-4"/>
          <w:sz w:val="21"/>
          <w:szCs w:val="21"/>
          <w:highlight w:val="none"/>
        </w:rPr>
        <w:t>（1）超越了按照法律法规规定必须获得行政许可或者行政审批的经营范围的；</w:t>
      </w:r>
      <w:bookmarkEnd w:id="121"/>
      <w:bookmarkEnd w:id="122"/>
      <w:bookmarkEnd w:id="123"/>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4" w:name="_Toc40865050"/>
      <w:bookmarkStart w:id="125" w:name="_Toc40864658"/>
      <w:bookmarkStart w:id="126" w:name="_Toc40864934"/>
      <w:r>
        <w:rPr>
          <w:rFonts w:hint="eastAsia" w:ascii="宋体" w:hAnsi="宋体" w:eastAsia="宋体"/>
          <w:color w:val="auto"/>
          <w:spacing w:val="-4"/>
          <w:sz w:val="21"/>
          <w:szCs w:val="21"/>
          <w:highlight w:val="none"/>
        </w:rPr>
        <w:t>（2）资格证明文件不全的，或者不符合招标文件标明的资格要求的；</w:t>
      </w:r>
      <w:bookmarkEnd w:id="124"/>
      <w:bookmarkEnd w:id="125"/>
      <w:bookmarkEnd w:id="126"/>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7" w:name="_Toc40864659"/>
      <w:bookmarkStart w:id="128" w:name="_Toc40864935"/>
      <w:bookmarkStart w:id="129" w:name="_Toc40865051"/>
      <w:r>
        <w:rPr>
          <w:rFonts w:hint="eastAsia" w:ascii="宋体" w:hAnsi="宋体" w:eastAsia="宋体"/>
          <w:color w:val="auto"/>
          <w:spacing w:val="-4"/>
          <w:sz w:val="21"/>
          <w:szCs w:val="21"/>
          <w:highlight w:val="none"/>
        </w:rPr>
        <w:t>（3）投标文件无法定代表人（负责人）或其授权委托代理人</w:t>
      </w:r>
      <w:r>
        <w:rPr>
          <w:rFonts w:hint="eastAsia" w:ascii="宋体" w:hAnsi="宋体" w:eastAsia="宋体"/>
          <w:color w:val="auto"/>
          <w:spacing w:val="-4"/>
          <w:sz w:val="21"/>
          <w:szCs w:val="21"/>
          <w:highlight w:val="none"/>
          <w:lang w:eastAsia="zh-CN"/>
        </w:rPr>
        <w:t>签字或签章</w:t>
      </w:r>
      <w:r>
        <w:rPr>
          <w:rFonts w:hint="eastAsia" w:ascii="宋体" w:hAnsi="宋体" w:eastAsia="宋体"/>
          <w:color w:val="auto"/>
          <w:spacing w:val="-4"/>
          <w:sz w:val="21"/>
          <w:szCs w:val="21"/>
          <w:highlight w:val="none"/>
        </w:rPr>
        <w:t>，或未提供法定代表人（负责人）授权委托书、投标声明书或者填写项目不齐全的；</w:t>
      </w:r>
      <w:bookmarkEnd w:id="127"/>
      <w:bookmarkEnd w:id="128"/>
      <w:bookmarkEnd w:id="129"/>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0" w:name="_Toc40864660"/>
      <w:bookmarkStart w:id="131" w:name="_Toc40864936"/>
      <w:bookmarkStart w:id="132" w:name="_Toc40865052"/>
      <w:r>
        <w:rPr>
          <w:rFonts w:hint="eastAsia" w:ascii="宋体" w:hAnsi="宋体" w:eastAsia="宋体"/>
          <w:color w:val="auto"/>
          <w:spacing w:val="-4"/>
          <w:sz w:val="21"/>
          <w:szCs w:val="21"/>
          <w:highlight w:val="none"/>
        </w:rPr>
        <w:t>（4）投标代表人未能出具身份证明或与法定代表人（负责人）授权委托人身份不符的；</w:t>
      </w:r>
      <w:bookmarkEnd w:id="130"/>
      <w:bookmarkEnd w:id="131"/>
      <w:bookmarkEnd w:id="132"/>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3" w:name="_Toc40865053"/>
      <w:bookmarkStart w:id="134" w:name="_Toc40864937"/>
      <w:bookmarkStart w:id="135" w:name="_Toc40864661"/>
      <w:r>
        <w:rPr>
          <w:rFonts w:hint="eastAsia" w:ascii="宋体" w:hAnsi="宋体" w:eastAsia="宋体"/>
          <w:color w:val="auto"/>
          <w:spacing w:val="-4"/>
          <w:sz w:val="21"/>
          <w:szCs w:val="21"/>
          <w:highlight w:val="none"/>
        </w:rPr>
        <w:t>（5）项目不齐全或者内容虚假的；</w:t>
      </w:r>
      <w:bookmarkEnd w:id="133"/>
      <w:bookmarkEnd w:id="134"/>
      <w:bookmarkEnd w:id="135"/>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6" w:name="_Toc40864662"/>
      <w:bookmarkStart w:id="137" w:name="_Toc40865054"/>
      <w:bookmarkStart w:id="138" w:name="_Toc40864938"/>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bookmarkEnd w:id="136"/>
      <w:bookmarkEnd w:id="137"/>
      <w:bookmarkEnd w:id="138"/>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9" w:name="_Toc40864939"/>
      <w:bookmarkStart w:id="140" w:name="_Toc40864663"/>
      <w:bookmarkStart w:id="141" w:name="_Toc40865055"/>
      <w:r>
        <w:rPr>
          <w:rFonts w:hint="eastAsia" w:ascii="宋体" w:hAnsi="宋体" w:eastAsia="宋体"/>
          <w:color w:val="auto"/>
          <w:spacing w:val="-4"/>
          <w:sz w:val="21"/>
          <w:szCs w:val="21"/>
          <w:highlight w:val="none"/>
        </w:rPr>
        <w:t>（7）投标有效期、交付使用时间、质保期等商务条款不能满足招标文件要求的；</w:t>
      </w:r>
      <w:bookmarkEnd w:id="139"/>
      <w:bookmarkEnd w:id="140"/>
      <w:bookmarkEnd w:id="141"/>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2" w:name="_Toc40865056"/>
      <w:bookmarkStart w:id="143" w:name="_Toc40864664"/>
      <w:bookmarkStart w:id="144" w:name="_Toc40864940"/>
      <w:r>
        <w:rPr>
          <w:rFonts w:hint="eastAsia" w:ascii="宋体" w:hAnsi="宋体" w:eastAsia="宋体"/>
          <w:color w:val="auto"/>
          <w:spacing w:val="-4"/>
          <w:sz w:val="21"/>
          <w:szCs w:val="21"/>
          <w:highlight w:val="none"/>
        </w:rPr>
        <w:t>（8）未实质性响应招标文件要求或者投标文件有招标方不能接受的附加条件的；</w:t>
      </w:r>
      <w:bookmarkEnd w:id="142"/>
      <w:bookmarkEnd w:id="143"/>
      <w:bookmarkEnd w:id="144"/>
    </w:p>
    <w:p>
      <w:pPr>
        <w:pStyle w:val="11"/>
        <w:adjustRightInd w:val="0"/>
        <w:snapToGrid w:val="0"/>
        <w:spacing w:line="400" w:lineRule="exact"/>
        <w:ind w:firstLine="411" w:firstLineChars="196"/>
        <w:rPr>
          <w:rFonts w:hint="eastAsia" w:ascii="宋体" w:hAnsi="宋体" w:eastAsia="宋体"/>
          <w:bCs/>
          <w:color w:val="auto"/>
          <w:sz w:val="21"/>
          <w:szCs w:val="21"/>
          <w:highlight w:val="none"/>
        </w:rPr>
      </w:pPr>
      <w:bookmarkStart w:id="145" w:name="_Toc40865058"/>
      <w:bookmarkStart w:id="146" w:name="_Toc40864666"/>
      <w:bookmarkStart w:id="147" w:name="_Toc40864942"/>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bookmarkEnd w:id="145"/>
      <w:bookmarkEnd w:id="146"/>
      <w:bookmarkEnd w:id="147"/>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8" w:name="_Toc40864667"/>
      <w:bookmarkStart w:id="149" w:name="_Toc40864943"/>
      <w:bookmarkStart w:id="150" w:name="_Toc40865059"/>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bookmarkEnd w:id="148"/>
      <w:bookmarkEnd w:id="149"/>
      <w:bookmarkEnd w:id="150"/>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1" w:name="_Toc40865060"/>
      <w:bookmarkStart w:id="152" w:name="_Toc40864944"/>
      <w:bookmarkStart w:id="153" w:name="_Toc40864668"/>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bookmarkEnd w:id="151"/>
      <w:bookmarkEnd w:id="152"/>
      <w:bookmarkEnd w:id="153"/>
    </w:p>
    <w:p>
      <w:pPr>
        <w:pStyle w:val="11"/>
        <w:snapToGrid w:val="0"/>
        <w:spacing w:line="360" w:lineRule="exact"/>
        <w:ind w:firstLine="397" w:firstLineChars="196"/>
        <w:outlineLvl w:val="0"/>
        <w:rPr>
          <w:rFonts w:hint="eastAsia" w:ascii="宋体" w:hAnsi="宋体" w:eastAsia="宋体"/>
          <w:b/>
          <w:bCs/>
          <w:color w:val="auto"/>
          <w:spacing w:val="-4"/>
          <w:sz w:val="21"/>
          <w:szCs w:val="21"/>
          <w:highlight w:val="none"/>
        </w:rPr>
      </w:pPr>
      <w:bookmarkStart w:id="154" w:name="_Toc40864669"/>
      <w:bookmarkStart w:id="155" w:name="_Toc40865061"/>
      <w:bookmarkStart w:id="156" w:name="_Toc40864945"/>
      <w:r>
        <w:rPr>
          <w:rFonts w:hint="eastAsia" w:ascii="宋体" w:hAnsi="宋体" w:eastAsia="宋体"/>
          <w:b/>
          <w:bCs/>
          <w:color w:val="auto"/>
          <w:spacing w:val="-4"/>
          <w:sz w:val="21"/>
          <w:szCs w:val="21"/>
          <w:highlight w:val="none"/>
        </w:rPr>
        <w:t>（3）标注 “▲”的技术、性能指标发生负偏离达1项（含）以上的；</w:t>
      </w:r>
      <w:bookmarkEnd w:id="154"/>
      <w:bookmarkEnd w:id="155"/>
      <w:bookmarkEnd w:id="156"/>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7" w:name="_Toc40864670"/>
      <w:bookmarkStart w:id="158" w:name="_Toc40865062"/>
      <w:bookmarkStart w:id="159" w:name="_Toc40864946"/>
      <w:r>
        <w:rPr>
          <w:rFonts w:hint="eastAsia" w:ascii="宋体" w:hAnsi="宋体" w:eastAsia="宋体"/>
          <w:color w:val="auto"/>
          <w:spacing w:val="-4"/>
          <w:sz w:val="21"/>
          <w:szCs w:val="21"/>
          <w:highlight w:val="none"/>
        </w:rPr>
        <w:t>（4）投标技术方案不明确，存在一个或一个以上备选（替换）投标方案的；</w:t>
      </w:r>
      <w:bookmarkEnd w:id="157"/>
      <w:bookmarkEnd w:id="158"/>
      <w:bookmarkEnd w:id="159"/>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0" w:name="_Toc40864671"/>
      <w:bookmarkStart w:id="161" w:name="_Toc40865063"/>
      <w:bookmarkStart w:id="162" w:name="_Toc40864947"/>
      <w:r>
        <w:rPr>
          <w:rFonts w:hint="eastAsia" w:ascii="宋体" w:hAnsi="宋体" w:eastAsia="宋体"/>
          <w:color w:val="auto"/>
          <w:spacing w:val="-4"/>
          <w:sz w:val="21"/>
          <w:szCs w:val="21"/>
          <w:highlight w:val="none"/>
        </w:rPr>
        <w:t>（5）与其他参加本次投标供应商的投标文件（技术文件）的文字表述内容差错相同二处以上的。</w:t>
      </w:r>
      <w:bookmarkEnd w:id="160"/>
      <w:bookmarkEnd w:id="161"/>
      <w:bookmarkEnd w:id="162"/>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3" w:name="_Toc40864948"/>
      <w:bookmarkStart w:id="164" w:name="_Toc40865064"/>
      <w:bookmarkStart w:id="165" w:name="_Toc40864672"/>
      <w:r>
        <w:rPr>
          <w:rFonts w:hint="eastAsia" w:ascii="宋体" w:hAnsi="宋体" w:eastAsia="宋体"/>
          <w:color w:val="auto"/>
          <w:spacing w:val="-4"/>
          <w:sz w:val="21"/>
          <w:szCs w:val="21"/>
          <w:highlight w:val="none"/>
        </w:rPr>
        <w:t>3.在报价评审时，如发现下列情形之一的，投标文件将被视为无效：</w:t>
      </w:r>
      <w:bookmarkEnd w:id="163"/>
      <w:bookmarkEnd w:id="164"/>
      <w:bookmarkEnd w:id="165"/>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6" w:name="_Toc40865065"/>
      <w:bookmarkStart w:id="167" w:name="_Toc40864949"/>
      <w:bookmarkStart w:id="168" w:name="_Toc40864673"/>
      <w:r>
        <w:rPr>
          <w:rFonts w:hint="eastAsia" w:ascii="宋体" w:hAnsi="宋体" w:eastAsia="宋体"/>
          <w:color w:val="auto"/>
          <w:spacing w:val="-4"/>
          <w:sz w:val="21"/>
          <w:szCs w:val="21"/>
          <w:highlight w:val="none"/>
        </w:rPr>
        <w:t>（1）未采用人民币报价或者未按照招标文件标明的币种报价的；</w:t>
      </w:r>
      <w:bookmarkEnd w:id="166"/>
      <w:bookmarkEnd w:id="167"/>
      <w:bookmarkEnd w:id="168"/>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9" w:name="_Toc40864950"/>
      <w:bookmarkStart w:id="170" w:name="_Toc40864674"/>
      <w:bookmarkStart w:id="171" w:name="_Toc40865066"/>
      <w:r>
        <w:rPr>
          <w:rFonts w:hint="eastAsia" w:ascii="宋体" w:hAnsi="宋体" w:eastAsia="宋体"/>
          <w:color w:val="auto"/>
          <w:spacing w:val="-4"/>
          <w:sz w:val="21"/>
          <w:szCs w:val="21"/>
          <w:highlight w:val="none"/>
        </w:rPr>
        <w:t>（2）报价超出最高限价，或者超出采购预算（最高限价）金额，采购人不能支付的；</w:t>
      </w:r>
      <w:bookmarkEnd w:id="169"/>
      <w:bookmarkEnd w:id="170"/>
      <w:bookmarkEnd w:id="171"/>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2" w:name="_Toc40865067"/>
      <w:bookmarkStart w:id="173" w:name="_Toc40864675"/>
      <w:bookmarkStart w:id="174" w:name="_Toc40864951"/>
      <w:r>
        <w:rPr>
          <w:rFonts w:hint="eastAsia" w:ascii="宋体" w:hAnsi="宋体" w:eastAsia="宋体"/>
          <w:color w:val="auto"/>
          <w:spacing w:val="-4"/>
          <w:sz w:val="21"/>
          <w:szCs w:val="21"/>
          <w:highlight w:val="none"/>
        </w:rPr>
        <w:t>（3）投标报价具有选择性，或者开标价格与投标文件承诺的优惠（折扣）价格不一致的。</w:t>
      </w:r>
      <w:bookmarkEnd w:id="172"/>
      <w:bookmarkEnd w:id="173"/>
      <w:bookmarkEnd w:id="174"/>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5" w:name="_Toc40864952"/>
      <w:bookmarkStart w:id="176" w:name="_Toc40864676"/>
      <w:bookmarkStart w:id="177" w:name="_Toc40865068"/>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bookmarkEnd w:id="175"/>
      <w:bookmarkEnd w:id="176"/>
      <w:bookmarkEnd w:id="177"/>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8" w:name="_Toc40864677"/>
      <w:bookmarkStart w:id="179" w:name="_Toc40864953"/>
      <w:bookmarkStart w:id="180" w:name="_Toc40865069"/>
      <w:r>
        <w:rPr>
          <w:rFonts w:hint="eastAsia" w:ascii="宋体" w:hAnsi="宋体" w:eastAsia="宋体"/>
          <w:color w:val="auto"/>
          <w:spacing w:val="-4"/>
          <w:sz w:val="21"/>
          <w:szCs w:val="21"/>
          <w:highlight w:val="none"/>
        </w:rPr>
        <w:t>4.有下列情形之一的视为投标人相互串通投标，投标文件将被视为无效:</w:t>
      </w:r>
      <w:bookmarkEnd w:id="178"/>
      <w:bookmarkEnd w:id="179"/>
      <w:bookmarkEnd w:id="180"/>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1" w:name="_Toc40864954"/>
      <w:bookmarkStart w:id="182" w:name="_Toc40865070"/>
      <w:bookmarkStart w:id="183" w:name="_Toc40864678"/>
      <w:r>
        <w:rPr>
          <w:rFonts w:hint="eastAsia" w:ascii="宋体" w:hAnsi="宋体" w:eastAsia="宋体"/>
          <w:color w:val="auto"/>
          <w:spacing w:val="-4"/>
          <w:sz w:val="21"/>
          <w:szCs w:val="21"/>
          <w:highlight w:val="none"/>
        </w:rPr>
        <w:t>（1）不同投标人的投标文件由同一单位或者个人编制；或不同投标人报名的IP地址一致的；</w:t>
      </w:r>
      <w:bookmarkEnd w:id="181"/>
      <w:bookmarkEnd w:id="182"/>
      <w:bookmarkEnd w:id="183"/>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4" w:name="_Toc40864679"/>
      <w:bookmarkStart w:id="185" w:name="_Toc40865071"/>
      <w:bookmarkStart w:id="186" w:name="_Toc40864955"/>
      <w:r>
        <w:rPr>
          <w:rFonts w:hint="eastAsia" w:ascii="宋体" w:hAnsi="宋体" w:eastAsia="宋体"/>
          <w:color w:val="auto"/>
          <w:spacing w:val="-4"/>
          <w:sz w:val="21"/>
          <w:szCs w:val="21"/>
          <w:highlight w:val="none"/>
        </w:rPr>
        <w:t>（2）不同投标人委托同一单位或者个人办理投标事宜；</w:t>
      </w:r>
      <w:bookmarkEnd w:id="184"/>
      <w:bookmarkEnd w:id="185"/>
      <w:bookmarkEnd w:id="186"/>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7" w:name="_Toc40865072"/>
      <w:bookmarkStart w:id="188" w:name="_Toc40864680"/>
      <w:bookmarkStart w:id="189" w:name="_Toc40864956"/>
      <w:r>
        <w:rPr>
          <w:rFonts w:hint="eastAsia" w:ascii="宋体" w:hAnsi="宋体" w:eastAsia="宋体"/>
          <w:color w:val="auto"/>
          <w:spacing w:val="-4"/>
          <w:sz w:val="21"/>
          <w:szCs w:val="21"/>
          <w:highlight w:val="none"/>
        </w:rPr>
        <w:t>（3）不同投标人的投标文件载明的项目管理成员或者联系人员为同一人；</w:t>
      </w:r>
      <w:bookmarkEnd w:id="187"/>
      <w:bookmarkEnd w:id="188"/>
      <w:bookmarkEnd w:id="189"/>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0" w:name="_Toc40865073"/>
      <w:bookmarkStart w:id="191" w:name="_Toc40864681"/>
      <w:bookmarkStart w:id="192" w:name="_Toc40864957"/>
      <w:r>
        <w:rPr>
          <w:rFonts w:hint="eastAsia" w:ascii="宋体" w:hAnsi="宋体" w:eastAsia="宋体"/>
          <w:color w:val="auto"/>
          <w:spacing w:val="-4"/>
          <w:sz w:val="21"/>
          <w:szCs w:val="21"/>
          <w:highlight w:val="none"/>
        </w:rPr>
        <w:t>（4）不同投标人的投标文件异常一致或投标报价呈规律性差异；</w:t>
      </w:r>
      <w:bookmarkEnd w:id="190"/>
      <w:bookmarkEnd w:id="191"/>
      <w:bookmarkEnd w:id="192"/>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3" w:name="_Toc40864682"/>
      <w:bookmarkStart w:id="194" w:name="_Toc40865074"/>
      <w:bookmarkStart w:id="195" w:name="_Toc40864958"/>
      <w:r>
        <w:rPr>
          <w:rFonts w:hint="eastAsia" w:ascii="宋体" w:hAnsi="宋体" w:eastAsia="宋体"/>
          <w:color w:val="auto"/>
          <w:spacing w:val="-4"/>
          <w:sz w:val="21"/>
          <w:szCs w:val="21"/>
          <w:highlight w:val="none"/>
        </w:rPr>
        <w:t>（5）不同投标人的投标文件相互混装；</w:t>
      </w:r>
      <w:bookmarkEnd w:id="193"/>
      <w:bookmarkEnd w:id="194"/>
      <w:bookmarkEnd w:id="195"/>
    </w:p>
    <w:p>
      <w:pPr>
        <w:pStyle w:val="1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6" w:name="_Toc40864683"/>
      <w:bookmarkStart w:id="197" w:name="_Toc40864959"/>
      <w:bookmarkStart w:id="198" w:name="_Toc40865075"/>
      <w:r>
        <w:rPr>
          <w:rFonts w:hint="eastAsia" w:ascii="宋体" w:hAnsi="宋体" w:eastAsia="宋体"/>
          <w:color w:val="auto"/>
          <w:spacing w:val="-4"/>
          <w:sz w:val="21"/>
          <w:szCs w:val="21"/>
          <w:highlight w:val="none"/>
        </w:rPr>
        <w:t>（6）不同投标人的投标保证金从同一个单位或者个人账户转出。</w:t>
      </w:r>
      <w:bookmarkEnd w:id="196"/>
      <w:bookmarkEnd w:id="197"/>
      <w:bookmarkEnd w:id="198"/>
    </w:p>
    <w:p>
      <w:pPr>
        <w:pStyle w:val="11"/>
        <w:adjustRightInd w:val="0"/>
        <w:snapToGrid w:val="0"/>
        <w:spacing w:line="400" w:lineRule="exact"/>
        <w:ind w:firstLine="395" w:firstLineChars="196"/>
        <w:rPr>
          <w:rFonts w:hint="eastAsia" w:ascii="宋体" w:hAnsi="宋体" w:eastAsia="宋体"/>
          <w:color w:val="auto"/>
          <w:spacing w:val="-4"/>
          <w:sz w:val="21"/>
          <w:szCs w:val="21"/>
          <w:highlight w:val="none"/>
        </w:rPr>
      </w:pPr>
      <w:bookmarkStart w:id="199" w:name="_Toc40864963"/>
      <w:bookmarkStart w:id="200" w:name="_Toc40864687"/>
      <w:bookmarkStart w:id="201" w:name="_Toc40865079"/>
      <w:r>
        <w:rPr>
          <w:rFonts w:hint="eastAsia" w:ascii="宋体" w:hAnsi="宋体" w:eastAsia="宋体"/>
          <w:color w:val="auto"/>
          <w:spacing w:val="-4"/>
          <w:sz w:val="21"/>
          <w:szCs w:val="21"/>
          <w:highlight w:val="none"/>
        </w:rPr>
        <w:t>5.</w:t>
      </w:r>
      <w:bookmarkEnd w:id="199"/>
      <w:bookmarkEnd w:id="200"/>
      <w:bookmarkEnd w:id="201"/>
      <w:r>
        <w:rPr>
          <w:rFonts w:hint="eastAsia" w:ascii="宋体" w:hAnsi="宋体"/>
          <w:bCs/>
          <w:color w:val="auto"/>
          <w:szCs w:val="21"/>
          <w:highlight w:val="none"/>
        </w:rPr>
        <w:t xml:space="preserve"> </w:t>
      </w:r>
      <w:r>
        <w:rPr>
          <w:rFonts w:hint="eastAsia" w:ascii="宋体" w:hAnsi="宋体" w:eastAsia="宋体"/>
          <w:bCs/>
          <w:color w:val="auto"/>
          <w:sz w:val="21"/>
          <w:szCs w:val="21"/>
          <w:highlight w:val="none"/>
        </w:rPr>
        <w:t>其他投标无效的情形：</w:t>
      </w:r>
    </w:p>
    <w:p>
      <w:pPr>
        <w:pStyle w:val="11"/>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投标文件未按招标文件要求签署</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11"/>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12"/>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11"/>
        <w:adjustRightInd w:val="0"/>
        <w:snapToGrid w:val="0"/>
        <w:spacing w:line="400" w:lineRule="exact"/>
        <w:ind w:firstLine="413" w:firstLineChars="196"/>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11"/>
        <w:snapToGrid w:val="0"/>
        <w:spacing w:line="360" w:lineRule="exact"/>
        <w:ind w:firstLine="413" w:firstLineChars="196"/>
        <w:outlineLvl w:val="0"/>
        <w:rPr>
          <w:rFonts w:hint="eastAsia" w:ascii="宋体" w:hAnsi="宋体" w:eastAsia="宋体"/>
          <w:b/>
          <w:snapToGrid w:val="0"/>
          <w:color w:val="auto"/>
          <w:sz w:val="21"/>
          <w:szCs w:val="21"/>
          <w:highlight w:val="none"/>
        </w:rPr>
      </w:pPr>
      <w:bookmarkStart w:id="202" w:name="_Toc40864964"/>
      <w:bookmarkStart w:id="203" w:name="_Toc254970685"/>
      <w:bookmarkStart w:id="204" w:name="_Toc40865080"/>
      <w:bookmarkStart w:id="205" w:name="_Toc254970544"/>
      <w:bookmarkStart w:id="206" w:name="_Toc40864688"/>
      <w:r>
        <w:rPr>
          <w:rFonts w:hint="eastAsia" w:ascii="宋体" w:hAnsi="宋体" w:eastAsia="宋体"/>
          <w:b/>
          <w:color w:val="auto"/>
          <w:sz w:val="21"/>
          <w:szCs w:val="21"/>
          <w:highlight w:val="none"/>
        </w:rPr>
        <w:t>四、开标</w:t>
      </w:r>
      <w:bookmarkEnd w:id="202"/>
      <w:bookmarkEnd w:id="203"/>
      <w:bookmarkEnd w:id="204"/>
      <w:bookmarkEnd w:id="205"/>
      <w:bookmarkEnd w:id="206"/>
    </w:p>
    <w:p>
      <w:pPr>
        <w:pStyle w:val="12"/>
        <w:snapToGrid w:val="0"/>
        <w:spacing w:line="360" w:lineRule="exact"/>
        <w:ind w:firstLine="413" w:firstLineChars="196"/>
        <w:outlineLvl w:val="0"/>
        <w:rPr>
          <w:rFonts w:hint="eastAsia" w:hAnsi="宋体"/>
          <w:b/>
          <w:color w:val="auto"/>
          <w:highlight w:val="none"/>
        </w:rPr>
      </w:pPr>
      <w:bookmarkStart w:id="207" w:name="_Toc40865081"/>
      <w:bookmarkStart w:id="208" w:name="_Toc40864965"/>
      <w:bookmarkStart w:id="209" w:name="_Toc40864689"/>
      <w:r>
        <w:rPr>
          <w:rFonts w:hint="eastAsia" w:hAnsi="宋体"/>
          <w:b/>
          <w:color w:val="auto"/>
          <w:highlight w:val="none"/>
        </w:rPr>
        <w:t>（一）开标准备</w:t>
      </w:r>
      <w:bookmarkEnd w:id="207"/>
      <w:bookmarkEnd w:id="208"/>
      <w:bookmarkEnd w:id="209"/>
    </w:p>
    <w:p>
      <w:pPr>
        <w:shd w:val="clear" w:color="auto" w:fill="FFFFFF"/>
        <w:adjustRightInd w:val="0"/>
        <w:snapToGrid w:val="0"/>
        <w:spacing w:line="400" w:lineRule="exact"/>
        <w:ind w:firstLine="440" w:firstLineChars="200"/>
        <w:rPr>
          <w:rFonts w:hint="eastAsia" w:hAnsi="宋体"/>
          <w:bCs/>
          <w:color w:val="auto"/>
          <w:highlight w:val="none"/>
        </w:rPr>
      </w:pPr>
      <w:bookmarkStart w:id="210" w:name="_Toc40864966"/>
      <w:bookmarkStart w:id="211" w:name="_Toc40864690"/>
      <w:bookmarkStart w:id="212" w:name="_Toc40865082"/>
      <w:r>
        <w:rPr>
          <w:rFonts w:hint="eastAsia" w:ascii="宋体"/>
          <w:color w:val="auto"/>
          <w:sz w:val="22"/>
          <w:highlight w:val="none"/>
        </w:rPr>
        <w:t>采购代理机构按招标文件规定的时间、地点通过“广西政府采购云平台”组织开标、开启投标文件，所有供应商均应当准时在线参加。投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pStyle w:val="12"/>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（二） 开标程序：</w:t>
      </w:r>
      <w:bookmarkEnd w:id="210"/>
      <w:bookmarkEnd w:id="211"/>
      <w:bookmarkEnd w:id="212"/>
    </w:p>
    <w:p>
      <w:pPr>
        <w:pStyle w:val="12"/>
        <w:adjustRightInd w:val="0"/>
        <w:snapToGrid w:val="0"/>
        <w:spacing w:line="400" w:lineRule="exact"/>
        <w:ind w:firstLine="420" w:firstLineChars="200"/>
        <w:rPr>
          <w:rFonts w:hint="eastAsia" w:hAnsi="宋体"/>
          <w:color w:val="auto"/>
          <w:highlight w:val="none"/>
        </w:rPr>
      </w:pPr>
      <w:bookmarkStart w:id="213" w:name="_Toc40865083"/>
      <w:bookmarkStart w:id="214" w:name="_Toc40864967"/>
      <w:bookmarkStart w:id="215" w:name="_Toc40864691"/>
      <w:bookmarkStart w:id="216" w:name="_Toc254970686"/>
      <w:bookmarkStart w:id="217" w:name="_Toc254970545"/>
      <w:r>
        <w:rPr>
          <w:rFonts w:hint="eastAsia" w:hAnsi="宋体"/>
          <w:color w:val="auto"/>
          <w:highlight w:val="none"/>
        </w:rPr>
        <w:t>1.电子开标会由本中心主持</w:t>
      </w:r>
    </w:p>
    <w:p>
      <w:pPr>
        <w:pStyle w:val="12"/>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12"/>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12"/>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12"/>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12"/>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12"/>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12"/>
        <w:adjustRightInd w:val="0"/>
        <w:snapToGrid w:val="0"/>
        <w:spacing w:line="400" w:lineRule="exact"/>
        <w:ind w:firstLine="441" w:firstLineChars="200"/>
        <w:rPr>
          <w:rFonts w:hAnsi="宋体"/>
          <w:color w:val="auto"/>
          <w:sz w:val="22"/>
          <w:szCs w:val="22"/>
          <w:highlight w:val="none"/>
        </w:rPr>
      </w:pPr>
      <w:r>
        <w:rPr>
          <w:rFonts w:hAnsi="宋体"/>
          <w:b/>
          <w:bCs/>
          <w:color w:val="auto"/>
          <w:sz w:val="22"/>
          <w:szCs w:val="22"/>
          <w:highlight w:val="none"/>
        </w:rPr>
        <w:t>特别说明：如遇“</w:t>
      </w:r>
      <w:r>
        <w:rPr>
          <w:rFonts w:hint="eastAsia" w:hAnsi="宋体"/>
          <w:b/>
          <w:bCs/>
          <w:color w:val="auto"/>
          <w:sz w:val="22"/>
          <w:szCs w:val="22"/>
          <w:highlight w:val="none"/>
        </w:rPr>
        <w:t>广西政府采购云平台</w:t>
      </w:r>
      <w:r>
        <w:rPr>
          <w:rFonts w:hAnsi="宋体"/>
          <w:b/>
          <w:bCs/>
          <w:color w:val="auto"/>
          <w:sz w:val="22"/>
          <w:szCs w:val="22"/>
          <w:highlight w:val="none"/>
        </w:rPr>
        <w:t>”电子化开标或评审程序调整的，按调整后程序执行。</w:t>
      </w:r>
    </w:p>
    <w:p>
      <w:pPr>
        <w:pStyle w:val="12"/>
        <w:snapToGrid w:val="0"/>
        <w:spacing w:line="360" w:lineRule="exact"/>
        <w:ind w:left="771" w:leftChars="267" w:hanging="210" w:hangingChars="100"/>
        <w:outlineLvl w:val="1"/>
        <w:rPr>
          <w:rFonts w:hint="eastAsia" w:hAnsi="宋体"/>
          <w:b/>
          <w:color w:val="auto"/>
          <w:highlight w:val="none"/>
        </w:rPr>
      </w:pPr>
      <w:r>
        <w:rPr>
          <w:rFonts w:hint="eastAsia" w:hAnsi="宋体"/>
          <w:b/>
          <w:color w:val="auto"/>
          <w:highlight w:val="none"/>
        </w:rPr>
        <w:t>五、</w:t>
      </w:r>
      <w:r>
        <w:rPr>
          <w:rFonts w:hint="eastAsia" w:hAnsi="宋体"/>
          <w:b/>
          <w:bCs/>
          <w:color w:val="auto"/>
          <w:highlight w:val="none"/>
        </w:rPr>
        <w:t>资格审查</w:t>
      </w:r>
      <w:bookmarkEnd w:id="213"/>
      <w:bookmarkEnd w:id="214"/>
      <w:bookmarkEnd w:id="215"/>
    </w:p>
    <w:p>
      <w:pPr>
        <w:pStyle w:val="12"/>
        <w:snapToGrid w:val="0"/>
        <w:spacing w:line="360" w:lineRule="exact"/>
        <w:ind w:left="771" w:leftChars="267" w:hanging="210" w:hangingChars="100"/>
        <w:outlineLvl w:val="1"/>
        <w:rPr>
          <w:rFonts w:hint="eastAsia" w:hAnsi="宋体"/>
          <w:b/>
          <w:color w:val="auto"/>
          <w:highlight w:val="none"/>
        </w:rPr>
      </w:pPr>
      <w:bookmarkStart w:id="218" w:name="_Toc40864692"/>
      <w:bookmarkStart w:id="219" w:name="_Toc40865084"/>
      <w:bookmarkStart w:id="220" w:name="_Toc40864968"/>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r>
        <w:rPr>
          <w:rFonts w:hint="eastAsia"/>
          <w:color w:val="auto"/>
          <w:highlight w:val="none"/>
        </w:rPr>
        <w:t>。</w:t>
      </w:r>
      <w:bookmarkEnd w:id="218"/>
      <w:bookmarkEnd w:id="219"/>
      <w:bookmarkEnd w:id="220"/>
    </w:p>
    <w:p>
      <w:pPr>
        <w:pStyle w:val="12"/>
        <w:snapToGrid w:val="0"/>
        <w:spacing w:line="360" w:lineRule="exact"/>
        <w:ind w:left="771" w:leftChars="267" w:hanging="210" w:hangingChars="100"/>
        <w:outlineLvl w:val="1"/>
        <w:rPr>
          <w:rFonts w:hint="eastAsia" w:hAnsi="宋体"/>
          <w:b/>
          <w:color w:val="auto"/>
          <w:highlight w:val="none"/>
        </w:rPr>
      </w:pPr>
      <w:bookmarkStart w:id="221" w:name="_Toc40864693"/>
      <w:bookmarkStart w:id="222" w:name="_Toc40864969"/>
      <w:bookmarkStart w:id="223" w:name="_Toc40865085"/>
      <w:r>
        <w:rPr>
          <w:rFonts w:hint="eastAsia" w:hAnsi="宋体"/>
          <w:b/>
          <w:color w:val="auto"/>
          <w:highlight w:val="none"/>
        </w:rPr>
        <w:t>六、评标</w:t>
      </w:r>
      <w:bookmarkEnd w:id="216"/>
      <w:bookmarkEnd w:id="217"/>
      <w:bookmarkEnd w:id="221"/>
      <w:bookmarkEnd w:id="222"/>
      <w:bookmarkEnd w:id="223"/>
    </w:p>
    <w:p>
      <w:pPr>
        <w:pStyle w:val="12"/>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（一）组建评标委员会</w:t>
      </w:r>
    </w:p>
    <w:p>
      <w:pPr>
        <w:pStyle w:val="12"/>
        <w:snapToGrid w:val="0"/>
        <w:spacing w:line="360" w:lineRule="exact"/>
        <w:ind w:firstLine="420" w:firstLineChars="200"/>
        <w:rPr>
          <w:rFonts w:hint="eastAsia"/>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12"/>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（二）评标的方式</w:t>
      </w:r>
    </w:p>
    <w:p>
      <w:pPr>
        <w:pStyle w:val="12"/>
        <w:snapToGrid w:val="0"/>
        <w:spacing w:line="360" w:lineRule="exact"/>
        <w:ind w:left="689" w:leftChars="228" w:hanging="210" w:hangingChars="100"/>
        <w:rPr>
          <w:rFonts w:hint="eastAsia" w:hAnsi="宋体"/>
          <w:color w:val="auto"/>
          <w:highlight w:val="none"/>
        </w:rPr>
      </w:pPr>
      <w:r>
        <w:rPr>
          <w:rFonts w:hint="eastAsia" w:hAnsi="宋体"/>
          <w:color w:val="auto"/>
          <w:highlight w:val="none"/>
        </w:rPr>
        <w:t>本项目采用不公开方式评标，评标的依据为招标文件和投标文件。</w:t>
      </w:r>
    </w:p>
    <w:p>
      <w:pPr>
        <w:pStyle w:val="12"/>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adjustRightInd w:val="0"/>
        <w:snapToGrid w:val="0"/>
        <w:spacing w:line="400" w:lineRule="exact"/>
        <w:ind w:firstLine="420" w:firstLineChars="200"/>
        <w:rPr>
          <w:rFonts w:hint="eastAsia" w:ascii="宋体" w:hAnsi="宋体"/>
          <w:color w:val="auto"/>
          <w:szCs w:val="21"/>
          <w:highlight w:val="none"/>
        </w:rPr>
      </w:pPr>
      <w:bookmarkStart w:id="224" w:name="_Toc40864970"/>
      <w:bookmarkStart w:id="225" w:name="_Toc40864694"/>
      <w:bookmarkStart w:id="226" w:name="_Toc40865086"/>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ascii="宋体"/>
          <w:color w:val="auto"/>
          <w:szCs w:val="21"/>
          <w:highlight w:val="none"/>
          <w:lang w:val="en"/>
        </w:rPr>
        <w:t>广西政府采购云</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bookmarkEnd w:id="224"/>
    <w:bookmarkEnd w:id="225"/>
    <w:bookmarkEnd w:id="226"/>
    <w:p>
      <w:pPr>
        <w:adjustRightInd w:val="0"/>
        <w:snapToGrid w:val="0"/>
        <w:spacing w:line="400" w:lineRule="exact"/>
        <w:ind w:firstLine="421" w:firstLineChars="200"/>
        <w:rPr>
          <w:rFonts w:hint="eastAsia"/>
          <w:b/>
          <w:color w:val="auto"/>
          <w:highlight w:val="none"/>
        </w:rPr>
      </w:pPr>
      <w:bookmarkStart w:id="227" w:name="_Toc40864696"/>
      <w:bookmarkStart w:id="228" w:name="_Toc40864972"/>
      <w:bookmarkStart w:id="229" w:name="_Toc40865088"/>
      <w:r>
        <w:rPr>
          <w:rFonts w:hint="eastAsia"/>
          <w:b/>
          <w:color w:val="auto"/>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1" w:firstLineChars="200"/>
        <w:rPr>
          <w:rFonts w:hint="eastAsia"/>
          <w:b/>
          <w:color w:val="auto"/>
          <w:highlight w:val="none"/>
        </w:rPr>
      </w:pPr>
      <w:r>
        <w:rPr>
          <w:rFonts w:hint="eastAsia"/>
          <w:b/>
          <w:color w:val="auto"/>
          <w:highlight w:val="none"/>
        </w:rPr>
        <w:t>（五）错误修正</w:t>
      </w:r>
    </w:p>
    <w:p>
      <w:pPr>
        <w:pStyle w:val="12"/>
        <w:adjustRightInd w:val="0"/>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12"/>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12"/>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12"/>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12"/>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12"/>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12"/>
        <w:adjustRightInd w:val="0"/>
        <w:snapToGrid w:val="0"/>
        <w:spacing w:line="400" w:lineRule="exact"/>
        <w:ind w:firstLine="420" w:firstLineChars="200"/>
        <w:rPr>
          <w:rFonts w:hint="eastAsia" w:hAnsi="宋体"/>
          <w:color w:val="auto"/>
          <w:highlight w:val="none"/>
        </w:rPr>
      </w:pPr>
      <w:r>
        <w:rPr>
          <w:rFonts w:hint="eastAsia"/>
          <w:color w:val="auto"/>
          <w:highlight w:val="none"/>
        </w:rPr>
        <w:t>同时出现两种以上不一致的，按照前款规定的顺序修正。</w:t>
      </w:r>
    </w:p>
    <w:p>
      <w:pPr>
        <w:pStyle w:val="12"/>
        <w:adjustRightInd w:val="0"/>
        <w:snapToGrid w:val="0"/>
        <w:spacing w:line="400" w:lineRule="exact"/>
        <w:ind w:firstLine="421"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w:t>
      </w:r>
      <w:r>
        <w:rPr>
          <w:rFonts w:hint="eastAsia" w:hAnsi="宋体"/>
          <w:b/>
          <w:bCs/>
          <w:color w:val="auto"/>
          <w:highlight w:val="none"/>
          <w:lang w:eastAsia="zh-CN"/>
        </w:rPr>
        <w:t>签字或签章</w:t>
      </w:r>
      <w:r>
        <w:rPr>
          <w:rFonts w:hint="eastAsia" w:hAnsi="宋体"/>
          <w:b/>
          <w:bCs/>
          <w:color w:val="auto"/>
          <w:highlight w:val="none"/>
        </w:rPr>
        <w:t>确认，调整后的投标报价对投标人具有约束作用。如果投标人不接受修正后的报价，则其投标将作为无效投标处理。</w:t>
      </w:r>
    </w:p>
    <w:p>
      <w:pPr>
        <w:pStyle w:val="12"/>
        <w:tabs>
          <w:tab w:val="left" w:pos="630"/>
        </w:tabs>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（六）评标原则和评标办法</w:t>
      </w:r>
      <w:bookmarkEnd w:id="227"/>
      <w:bookmarkEnd w:id="228"/>
      <w:bookmarkEnd w:id="229"/>
    </w:p>
    <w:p>
      <w:pPr>
        <w:pStyle w:val="12"/>
        <w:snapToGrid w:val="0"/>
        <w:spacing w:line="44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napToGrid w:val="0"/>
        <w:spacing w:line="440" w:lineRule="exact"/>
        <w:ind w:firstLine="420" w:firstLineChars="200"/>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12"/>
        <w:snapToGrid w:val="0"/>
        <w:spacing w:line="440" w:lineRule="exact"/>
        <w:ind w:firstLine="413" w:firstLineChars="196"/>
        <w:outlineLvl w:val="0"/>
        <w:rPr>
          <w:rFonts w:hint="eastAsia" w:hAnsi="宋体"/>
          <w:b/>
          <w:color w:val="auto"/>
          <w:highlight w:val="none"/>
        </w:rPr>
      </w:pPr>
      <w:bookmarkStart w:id="230" w:name="_Toc40865089"/>
      <w:bookmarkStart w:id="231" w:name="_Toc40864697"/>
      <w:bookmarkStart w:id="232" w:name="_Toc40864973"/>
      <w:r>
        <w:rPr>
          <w:rFonts w:hint="eastAsia" w:hAnsi="宋体"/>
          <w:b/>
          <w:color w:val="auto"/>
          <w:highlight w:val="none"/>
        </w:rPr>
        <w:t>（七）评标过程的监控</w:t>
      </w:r>
      <w:bookmarkEnd w:id="230"/>
      <w:bookmarkEnd w:id="231"/>
      <w:bookmarkEnd w:id="232"/>
    </w:p>
    <w:p>
      <w:pPr>
        <w:pStyle w:val="12"/>
        <w:snapToGrid w:val="0"/>
        <w:spacing w:line="440" w:lineRule="exact"/>
        <w:ind w:firstLine="42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12"/>
        <w:snapToGrid w:val="0"/>
        <w:spacing w:line="440" w:lineRule="exact"/>
        <w:ind w:firstLine="413" w:firstLineChars="196"/>
        <w:outlineLvl w:val="1"/>
        <w:rPr>
          <w:rFonts w:hint="eastAsia" w:hAnsi="宋体"/>
          <w:b/>
          <w:color w:val="auto"/>
          <w:highlight w:val="none"/>
        </w:rPr>
      </w:pPr>
      <w:bookmarkStart w:id="233" w:name="_Toc40865090"/>
      <w:bookmarkStart w:id="234" w:name="_Toc40864974"/>
      <w:bookmarkStart w:id="235" w:name="_Toc40864698"/>
      <w:bookmarkStart w:id="236" w:name="_Toc254970546"/>
      <w:bookmarkStart w:id="237" w:name="_Toc254970687"/>
      <w:r>
        <w:rPr>
          <w:rFonts w:hint="eastAsia" w:hAnsi="宋体"/>
          <w:b/>
          <w:color w:val="auto"/>
          <w:highlight w:val="none"/>
        </w:rPr>
        <w:t>七、评标结果</w:t>
      </w:r>
      <w:bookmarkEnd w:id="233"/>
      <w:bookmarkEnd w:id="234"/>
      <w:bookmarkEnd w:id="235"/>
      <w:bookmarkEnd w:id="236"/>
      <w:bookmarkEnd w:id="237"/>
    </w:p>
    <w:p>
      <w:pPr>
        <w:pStyle w:val="12"/>
        <w:spacing w:line="440" w:lineRule="exact"/>
        <w:ind w:firstLine="420"/>
        <w:rPr>
          <w:rFonts w:hint="eastAsia" w:hAnsi="宋体"/>
          <w:color w:val="auto"/>
          <w:highlight w:val="none"/>
        </w:rPr>
      </w:pPr>
      <w:r>
        <w:rPr>
          <w:rFonts w:hint="eastAsia" w:hAnsi="宋体"/>
          <w:b/>
          <w:bCs/>
          <w:color w:val="auto"/>
          <w:highlight w:val="none"/>
        </w:rPr>
        <w:t>（一）</w:t>
      </w:r>
      <w:r>
        <w:rPr>
          <w:rFonts w:hint="eastAsia" w:hAnsi="宋体"/>
          <w:color w:val="auto"/>
          <w:highlight w:val="none"/>
        </w:rPr>
        <w:t>本中心将在评标结束后</w:t>
      </w:r>
      <w:r>
        <w:rPr>
          <w:rFonts w:hint="eastAsia" w:hAnsi="宋体"/>
          <w:b/>
          <w:bCs/>
          <w:color w:val="auto"/>
          <w:highlight w:val="none"/>
        </w:rPr>
        <w:t>2个工作日内</w:t>
      </w:r>
      <w:r>
        <w:rPr>
          <w:rFonts w:hint="eastAsia" w:hAnsi="宋体"/>
          <w:color w:val="auto"/>
          <w:highlight w:val="none"/>
        </w:rPr>
        <w:t>将评标报告送采购人，采购人</w:t>
      </w:r>
      <w:r>
        <w:rPr>
          <w:rFonts w:hint="eastAsia" w:hAnsi="宋体"/>
          <w:b/>
          <w:bCs/>
          <w:color w:val="auto"/>
          <w:highlight w:val="none"/>
        </w:rPr>
        <w:t>在5个工作日内</w:t>
      </w:r>
      <w:r>
        <w:rPr>
          <w:rFonts w:hint="eastAsia" w:hAnsi="宋体"/>
          <w:color w:val="auto"/>
          <w:highlight w:val="none"/>
        </w:rPr>
        <w:t>按照评标报告中推荐的中标候选供应商顺序确定中标供应商。</w:t>
      </w:r>
    </w:p>
    <w:p>
      <w:pPr>
        <w:pStyle w:val="12"/>
        <w:spacing w:line="440" w:lineRule="exact"/>
        <w:ind w:firstLine="420"/>
        <w:rPr>
          <w:rFonts w:hint="eastAsia" w:hAnsi="宋体"/>
          <w:color w:val="auto"/>
          <w:highlight w:val="none"/>
        </w:rPr>
      </w:pPr>
      <w:r>
        <w:rPr>
          <w:rFonts w:hint="eastAsia" w:hAnsi="宋体"/>
          <w:color w:val="auto"/>
          <w:highlight w:val="none"/>
        </w:rPr>
        <w:t>（二）中标供应商确定后，本中心在中国政府采购网、广西财政网、</w:t>
      </w:r>
      <w:r>
        <w:rPr>
          <w:rFonts w:hint="eastAsia"/>
          <w:color w:val="auto"/>
          <w:highlight w:val="none"/>
        </w:rPr>
        <w:t>广西壮族自治区政府采购中心网站</w:t>
      </w:r>
      <w:r>
        <w:rPr>
          <w:rFonts w:hint="eastAsia" w:hAnsi="宋体"/>
          <w:color w:val="auto"/>
          <w:highlight w:val="none"/>
        </w:rPr>
        <w:t>发布中标结果公告。</w:t>
      </w:r>
    </w:p>
    <w:p>
      <w:pPr>
        <w:pStyle w:val="12"/>
        <w:spacing w:line="440" w:lineRule="exact"/>
        <w:ind w:firstLine="420"/>
        <w:rPr>
          <w:rFonts w:hint="eastAsia" w:hAnsi="宋体"/>
          <w:color w:val="auto"/>
          <w:highlight w:val="none"/>
        </w:rPr>
      </w:pPr>
      <w:r>
        <w:rPr>
          <w:rFonts w:hint="eastAsia" w:hAnsi="宋体"/>
          <w:color w:val="auto"/>
          <w:highlight w:val="none"/>
        </w:rPr>
        <w:t>（三）</w:t>
      </w:r>
      <w:r>
        <w:rPr>
          <w:rFonts w:hint="eastAsia"/>
          <w:color w:val="auto"/>
          <w:highlight w:val="none"/>
        </w:rPr>
        <w:t>在发布中标结果公告的同时，本中心向中标供应商发出中标通知书。</w:t>
      </w:r>
    </w:p>
    <w:p>
      <w:pPr>
        <w:pStyle w:val="12"/>
        <w:spacing w:line="440" w:lineRule="exact"/>
        <w:ind w:firstLine="420" w:firstLineChars="200"/>
        <w:rPr>
          <w:rFonts w:hint="eastAsia" w:hAnsi="宋体"/>
          <w:bCs/>
          <w:color w:val="auto"/>
          <w:highlight w:val="none"/>
        </w:rPr>
      </w:pPr>
      <w:r>
        <w:rPr>
          <w:rFonts w:hint="eastAsia" w:hAnsi="宋体"/>
          <w:color w:val="auto"/>
          <w:highlight w:val="none"/>
        </w:rPr>
        <w:t>（四）</w:t>
      </w:r>
      <w:r>
        <w:rPr>
          <w:rFonts w:hint="eastAsia" w:hAnsi="宋体"/>
          <w:bCs/>
          <w:color w:val="auto"/>
          <w:highlight w:val="none"/>
        </w:rPr>
        <w:t>投标人认为招标文件、招标过程和中标结果使自己的权益受到损害的，可以在知道或者应知其权益受到损害之日起七个工作日内，以书面形式向本中心提出质疑，并及时索要书面回执。</w:t>
      </w:r>
    </w:p>
    <w:p>
      <w:pPr>
        <w:pStyle w:val="12"/>
        <w:spacing w:line="440" w:lineRule="exact"/>
        <w:ind w:firstLine="420"/>
        <w:rPr>
          <w:rFonts w:hint="eastAsia" w:hAnsi="宋体"/>
          <w:color w:val="auto"/>
          <w:highlight w:val="none"/>
        </w:rPr>
      </w:pPr>
      <w:r>
        <w:rPr>
          <w:rFonts w:hint="eastAsia" w:hAnsi="宋体"/>
          <w:color w:val="auto"/>
          <w:highlight w:val="none"/>
        </w:rPr>
        <w:t>（五）</w:t>
      </w:r>
      <w:r>
        <w:rPr>
          <w:rFonts w:hint="eastAsia" w:hAnsi="宋体"/>
          <w:bCs/>
          <w:color w:val="auto"/>
          <w:highlight w:val="none"/>
        </w:rPr>
        <w:t>本中心应当按照有关规定就采购人委托授权范围内的事项在收到投标人的书面质疑后七个工作日内做出答复，但答复的内容不得涉及商业秘密。</w:t>
      </w:r>
    </w:p>
    <w:p>
      <w:pPr>
        <w:pStyle w:val="12"/>
        <w:snapToGrid w:val="0"/>
        <w:spacing w:line="440" w:lineRule="exact"/>
        <w:ind w:firstLine="413" w:firstLineChars="196"/>
        <w:outlineLvl w:val="1"/>
        <w:rPr>
          <w:rFonts w:hint="eastAsia" w:hAnsi="宋体"/>
          <w:b/>
          <w:color w:val="auto"/>
          <w:highlight w:val="none"/>
        </w:rPr>
      </w:pPr>
      <w:bookmarkStart w:id="238" w:name="_Toc40865091"/>
      <w:bookmarkStart w:id="239" w:name="_Toc40864975"/>
      <w:bookmarkStart w:id="240" w:name="_Toc40864699"/>
      <w:r>
        <w:rPr>
          <w:rFonts w:hint="eastAsia" w:hAnsi="宋体"/>
          <w:b/>
          <w:color w:val="auto"/>
          <w:highlight w:val="none"/>
        </w:rPr>
        <w:t>八、签订合同</w:t>
      </w:r>
      <w:bookmarkEnd w:id="238"/>
      <w:bookmarkEnd w:id="239"/>
      <w:bookmarkEnd w:id="240"/>
    </w:p>
    <w:p>
      <w:pPr>
        <w:pStyle w:val="12"/>
        <w:snapToGrid w:val="0"/>
        <w:spacing w:line="440" w:lineRule="exact"/>
        <w:ind w:firstLine="413" w:firstLineChars="196"/>
        <w:outlineLvl w:val="1"/>
        <w:rPr>
          <w:rFonts w:hint="eastAsia" w:hAnsi="宋体"/>
          <w:b/>
          <w:color w:val="auto"/>
          <w:highlight w:val="none"/>
        </w:rPr>
      </w:pPr>
      <w:bookmarkStart w:id="241" w:name="_Toc40865092"/>
      <w:bookmarkStart w:id="242" w:name="_Toc40864700"/>
      <w:bookmarkStart w:id="243" w:name="_Toc40864976"/>
      <w:r>
        <w:rPr>
          <w:rFonts w:hint="eastAsia" w:hAnsi="宋体"/>
          <w:b/>
          <w:color w:val="auto"/>
          <w:highlight w:val="none"/>
        </w:rPr>
        <w:t>（一）合同授予标准</w:t>
      </w:r>
      <w:bookmarkEnd w:id="241"/>
      <w:bookmarkEnd w:id="242"/>
      <w:bookmarkEnd w:id="243"/>
    </w:p>
    <w:p>
      <w:pPr>
        <w:pStyle w:val="12"/>
        <w:spacing w:line="440" w:lineRule="exact"/>
        <w:ind w:firstLine="420"/>
        <w:rPr>
          <w:rFonts w:hint="eastAsia" w:hAnsi="宋体"/>
          <w:color w:val="auto"/>
          <w:highlight w:val="none"/>
        </w:rPr>
      </w:pPr>
      <w:r>
        <w:rPr>
          <w:rFonts w:hint="eastAsia" w:hAnsi="宋体"/>
          <w:color w:val="auto"/>
          <w:highlight w:val="none"/>
        </w:rPr>
        <w:t>合同将授予被确定投标文件满足招标文件全部实质性要求，具备履行合同能力，</w:t>
      </w:r>
      <w:r>
        <w:rPr>
          <w:rFonts w:hint="eastAsia" w:hAnsi="宋体"/>
          <w:b/>
          <w:bCs/>
          <w:color w:val="auto"/>
          <w:highlight w:val="none"/>
        </w:rPr>
        <w:t>评审得分最高，综合评分排名第一的供应商</w:t>
      </w:r>
      <w:r>
        <w:rPr>
          <w:rFonts w:hint="eastAsia" w:hAnsi="宋体"/>
          <w:color w:val="auto"/>
          <w:highlight w:val="none"/>
        </w:rPr>
        <w:t>。</w:t>
      </w:r>
    </w:p>
    <w:p>
      <w:pPr>
        <w:pStyle w:val="12"/>
        <w:snapToGrid w:val="0"/>
        <w:spacing w:line="440" w:lineRule="exact"/>
        <w:ind w:firstLine="413" w:firstLineChars="196"/>
        <w:outlineLvl w:val="1"/>
        <w:rPr>
          <w:rFonts w:hint="eastAsia" w:hAnsi="宋体"/>
          <w:color w:val="auto"/>
          <w:highlight w:val="none"/>
        </w:rPr>
      </w:pPr>
      <w:bookmarkStart w:id="244" w:name="_Toc40864977"/>
      <w:bookmarkStart w:id="245" w:name="_Toc40865093"/>
      <w:bookmarkStart w:id="246" w:name="_Toc40864701"/>
      <w:r>
        <w:rPr>
          <w:rFonts w:hint="eastAsia" w:hAnsi="宋体"/>
          <w:b/>
          <w:color w:val="auto"/>
          <w:highlight w:val="none"/>
        </w:rPr>
        <w:t>（二）签订合同</w:t>
      </w:r>
      <w:bookmarkEnd w:id="244"/>
      <w:bookmarkEnd w:id="245"/>
      <w:bookmarkEnd w:id="246"/>
    </w:p>
    <w:p>
      <w:pPr>
        <w:pStyle w:val="12"/>
        <w:spacing w:line="440" w:lineRule="exact"/>
        <w:ind w:firstLine="420"/>
        <w:rPr>
          <w:rFonts w:hint="eastAsia"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12"/>
        <w:spacing w:line="440" w:lineRule="exact"/>
        <w:ind w:firstLine="420"/>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12"/>
        <w:spacing w:line="440" w:lineRule="exact"/>
        <w:ind w:firstLine="420" w:firstLineChars="200"/>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12"/>
        <w:snapToGrid w:val="0"/>
        <w:spacing w:line="440" w:lineRule="exact"/>
        <w:ind w:firstLine="413" w:firstLineChars="196"/>
        <w:outlineLvl w:val="1"/>
        <w:rPr>
          <w:rFonts w:hint="eastAsia" w:hAnsi="宋体"/>
          <w:b/>
          <w:color w:val="auto"/>
          <w:highlight w:val="none"/>
        </w:rPr>
      </w:pPr>
      <w:bookmarkStart w:id="247" w:name="_Toc40864702"/>
      <w:bookmarkStart w:id="248" w:name="_Toc40864978"/>
      <w:bookmarkStart w:id="249" w:name="_Toc40865094"/>
      <w:r>
        <w:rPr>
          <w:rFonts w:hint="eastAsia" w:hAnsi="宋体"/>
          <w:b/>
          <w:color w:val="auto"/>
          <w:highlight w:val="none"/>
        </w:rPr>
        <w:t>九、其他事项</w:t>
      </w:r>
      <w:bookmarkEnd w:id="247"/>
      <w:bookmarkEnd w:id="248"/>
      <w:bookmarkEnd w:id="249"/>
    </w:p>
    <w:p>
      <w:pPr>
        <w:pStyle w:val="12"/>
        <w:snapToGrid w:val="0"/>
        <w:spacing w:line="440" w:lineRule="exact"/>
        <w:ind w:firstLine="413" w:firstLineChars="196"/>
        <w:outlineLvl w:val="1"/>
        <w:rPr>
          <w:rFonts w:hint="eastAsia" w:hAnsi="宋体"/>
          <w:b/>
          <w:color w:val="auto"/>
          <w:highlight w:val="none"/>
        </w:rPr>
      </w:pPr>
      <w:bookmarkStart w:id="250" w:name="_Toc40864703"/>
      <w:bookmarkStart w:id="251" w:name="_Toc40864979"/>
      <w:bookmarkStart w:id="252" w:name="_Toc40865095"/>
      <w:r>
        <w:rPr>
          <w:rFonts w:hint="eastAsia" w:hAnsi="宋体"/>
          <w:b/>
          <w:color w:val="auto"/>
          <w:highlight w:val="none"/>
        </w:rPr>
        <w:t>（1）解释权：</w:t>
      </w:r>
      <w:r>
        <w:rPr>
          <w:rFonts w:hint="eastAsia" w:hAnsi="宋体"/>
          <w:color w:val="auto"/>
          <w:spacing w:val="-4"/>
          <w:highlight w:val="none"/>
        </w:rPr>
        <w:t>本招标文件解释权属本中心。</w:t>
      </w:r>
      <w:bookmarkEnd w:id="250"/>
      <w:bookmarkEnd w:id="251"/>
      <w:bookmarkEnd w:id="252"/>
    </w:p>
    <w:p>
      <w:pPr>
        <w:pStyle w:val="12"/>
        <w:snapToGrid w:val="0"/>
        <w:spacing w:line="440" w:lineRule="exact"/>
        <w:ind w:firstLine="413" w:firstLineChars="196"/>
        <w:outlineLvl w:val="1"/>
        <w:rPr>
          <w:rFonts w:hint="eastAsia" w:hAnsi="宋体"/>
          <w:color w:val="auto"/>
          <w:highlight w:val="none"/>
        </w:rPr>
      </w:pPr>
      <w:bookmarkStart w:id="253" w:name="_Toc40864980"/>
      <w:bookmarkStart w:id="254" w:name="_Toc40864704"/>
      <w:bookmarkStart w:id="255" w:name="_Toc40865096"/>
      <w:r>
        <w:rPr>
          <w:rFonts w:hint="eastAsia" w:hAnsi="宋体"/>
          <w:b/>
          <w:color w:val="auto"/>
          <w:highlight w:val="none"/>
        </w:rPr>
        <w:t>（2）有关事宜</w:t>
      </w:r>
      <w:bookmarkEnd w:id="253"/>
      <w:bookmarkEnd w:id="254"/>
      <w:bookmarkEnd w:id="255"/>
    </w:p>
    <w:p>
      <w:pPr>
        <w:pStyle w:val="12"/>
        <w:spacing w:line="360" w:lineRule="exact"/>
        <w:rPr>
          <w:rFonts w:hint="eastAsia" w:hAnsi="宋体"/>
          <w:b/>
          <w:bCs/>
          <w:color w:val="auto"/>
          <w:highlight w:val="none"/>
        </w:rPr>
      </w:pPr>
      <w:r>
        <w:rPr>
          <w:rFonts w:hint="eastAsia" w:hAnsi="宋体"/>
          <w:color w:val="auto"/>
          <w:highlight w:val="none"/>
        </w:rPr>
        <w:t xml:space="preserve">      </w:t>
      </w:r>
      <w:r>
        <w:rPr>
          <w:rFonts w:hint="eastAsia" w:hAnsi="宋体"/>
          <w:b/>
          <w:bCs/>
          <w:color w:val="auto"/>
          <w:highlight w:val="none"/>
        </w:rPr>
        <w:t>所有与本招标文件有关的函件请按下列通讯地址联系：</w:t>
      </w:r>
    </w:p>
    <w:p>
      <w:pPr>
        <w:pStyle w:val="12"/>
        <w:spacing w:line="360" w:lineRule="exact"/>
        <w:rPr>
          <w:rFonts w:hAnsi="宋体"/>
          <w:b/>
          <w:bCs/>
          <w:color w:val="auto"/>
          <w:highlight w:val="none"/>
        </w:rPr>
      </w:pPr>
      <w:r>
        <w:rPr>
          <w:rFonts w:hint="eastAsia" w:hAnsi="宋体"/>
          <w:b/>
          <w:bCs/>
          <w:color w:val="auto"/>
          <w:highlight w:val="none"/>
        </w:rPr>
        <w:t xml:space="preserve">      广西壮族自治区政府采购中心</w:t>
      </w:r>
    </w:p>
    <w:p>
      <w:pPr>
        <w:pStyle w:val="12"/>
        <w:tabs>
          <w:tab w:val="left" w:pos="1990"/>
        </w:tabs>
        <w:spacing w:line="360" w:lineRule="exact"/>
        <w:rPr>
          <w:rFonts w:hAnsi="宋体"/>
          <w:b/>
          <w:bCs/>
          <w:color w:val="auto"/>
          <w:highlight w:val="none"/>
          <w:u w:val="single"/>
        </w:rPr>
      </w:pPr>
      <w:r>
        <w:rPr>
          <w:rFonts w:hint="eastAsia" w:hAnsi="宋体"/>
          <w:b/>
          <w:bCs/>
          <w:color w:val="auto"/>
          <w:highlight w:val="none"/>
        </w:rPr>
        <w:t xml:space="preserve">      邮政编码：530020</w:t>
      </w:r>
    </w:p>
    <w:p>
      <w:pPr>
        <w:pStyle w:val="12"/>
        <w:tabs>
          <w:tab w:val="left" w:pos="1990"/>
        </w:tabs>
        <w:spacing w:line="360" w:lineRule="exact"/>
        <w:rPr>
          <w:rFonts w:hAnsi="宋体"/>
          <w:b/>
          <w:bCs/>
          <w:color w:val="auto"/>
          <w:spacing w:val="-4"/>
          <w:highlight w:val="none"/>
        </w:rPr>
      </w:pPr>
      <w:r>
        <w:rPr>
          <w:rFonts w:hint="eastAsia" w:hAnsi="宋体"/>
          <w:b/>
          <w:bCs/>
          <w:color w:val="auto"/>
          <w:highlight w:val="none"/>
        </w:rPr>
        <w:t xml:space="preserve">      通讯地址：</w:t>
      </w:r>
      <w:r>
        <w:rPr>
          <w:rFonts w:hint="eastAsia" w:hAnsi="宋体"/>
          <w:b/>
          <w:bCs/>
          <w:color w:val="auto"/>
          <w:spacing w:val="-4"/>
          <w:highlight w:val="none"/>
        </w:rPr>
        <w:t>广西</w:t>
      </w:r>
      <w:r>
        <w:rPr>
          <w:rFonts w:hAnsi="宋体"/>
          <w:b/>
          <w:bCs/>
          <w:color w:val="auto"/>
          <w:spacing w:val="-4"/>
          <w:highlight w:val="none"/>
        </w:rPr>
        <w:t>南宁市</w:t>
      </w:r>
      <w:r>
        <w:rPr>
          <w:rFonts w:hint="eastAsia" w:hAnsi="宋体"/>
          <w:b/>
          <w:bCs/>
          <w:color w:val="auto"/>
          <w:spacing w:val="-4"/>
          <w:highlight w:val="none"/>
        </w:rPr>
        <w:t>星湖路22号</w:t>
      </w:r>
    </w:p>
    <w:p>
      <w:pPr>
        <w:pStyle w:val="12"/>
        <w:spacing w:line="360" w:lineRule="exact"/>
        <w:rPr>
          <w:rFonts w:hint="eastAsia" w:hAnsi="宋体"/>
          <w:b/>
          <w:bCs/>
          <w:color w:val="auto"/>
          <w:highlight w:val="none"/>
        </w:rPr>
      </w:pPr>
      <w:r>
        <w:rPr>
          <w:rFonts w:hint="eastAsia" w:hAnsi="宋体"/>
          <w:b/>
          <w:bCs/>
          <w:color w:val="auto"/>
          <w:highlight w:val="none"/>
        </w:rPr>
        <w:t xml:space="preserve">      电    话：0771—</w:t>
      </w:r>
      <w:r>
        <w:rPr>
          <w:rFonts w:hAnsi="宋体"/>
          <w:b/>
          <w:bCs/>
          <w:color w:val="auto"/>
          <w:highlight w:val="none"/>
          <w:lang w:val="en"/>
        </w:rPr>
        <w:t>8600343</w:t>
      </w:r>
      <w:r>
        <w:rPr>
          <w:rFonts w:hint="eastAsia" w:hAnsi="宋体"/>
          <w:b/>
          <w:bCs/>
          <w:color w:val="auto"/>
          <w:highlight w:val="none"/>
        </w:rPr>
        <w:t xml:space="preserve">            </w:t>
      </w:r>
    </w:p>
    <w:p>
      <w:pPr>
        <w:pStyle w:val="12"/>
        <w:spacing w:line="360" w:lineRule="exact"/>
        <w:rPr>
          <w:rFonts w:hAnsi="宋体"/>
          <w:b/>
          <w:bCs/>
          <w:color w:val="auto"/>
          <w:highlight w:val="none"/>
          <w:lang w:val="en"/>
        </w:rPr>
      </w:pPr>
      <w:r>
        <w:rPr>
          <w:rFonts w:hint="eastAsia" w:hAnsi="宋体"/>
          <w:b/>
          <w:bCs/>
          <w:color w:val="auto"/>
          <w:highlight w:val="none"/>
        </w:rPr>
        <w:t xml:space="preserve">      传    真：0771—</w:t>
      </w:r>
      <w:r>
        <w:rPr>
          <w:rFonts w:hAnsi="宋体"/>
          <w:b/>
          <w:bCs/>
          <w:color w:val="auto"/>
          <w:highlight w:val="none"/>
          <w:lang w:val="en"/>
        </w:rPr>
        <w:t>8600305</w:t>
      </w:r>
    </w:p>
    <w:p>
      <w:pPr>
        <w:pStyle w:val="12"/>
        <w:snapToGrid w:val="0"/>
        <w:spacing w:before="120" w:after="120"/>
        <w:jc w:val="center"/>
        <w:outlineLvl w:val="0"/>
        <w:rPr>
          <w:rFonts w:hint="eastAsia" w:ascii="黑体" w:hAnsi="宋体" w:eastAsia="黑体"/>
          <w:b/>
          <w:color w:val="auto"/>
          <w:sz w:val="44"/>
          <w:szCs w:val="44"/>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bookmarkEnd w:id="22"/>
    <w:bookmarkEnd w:id="23"/>
    <w:p>
      <w:pPr>
        <w:pStyle w:val="12"/>
        <w:snapToGrid w:val="0"/>
        <w:spacing w:before="120" w:after="120"/>
        <w:jc w:val="center"/>
        <w:outlineLvl w:val="0"/>
        <w:rPr>
          <w:rStyle w:val="31"/>
          <w:rFonts w:hint="eastAsia"/>
          <w:color w:val="auto"/>
          <w:highlight w:val="none"/>
        </w:rPr>
      </w:pPr>
      <w:bookmarkStart w:id="256" w:name="_Toc40864981"/>
      <w:bookmarkStart w:id="257" w:name="_Toc40865097"/>
      <w:bookmarkStart w:id="258" w:name="_Toc40864705"/>
    </w:p>
    <w:p>
      <w:pPr>
        <w:pStyle w:val="4"/>
        <w:rPr>
          <w:rStyle w:val="31"/>
          <w:rFonts w:hint="eastAsia"/>
          <w:color w:val="auto"/>
          <w:highlight w:val="none"/>
        </w:rPr>
      </w:pPr>
    </w:p>
    <w:p>
      <w:pPr>
        <w:rPr>
          <w:rStyle w:val="31"/>
          <w:rFonts w:hint="eastAsia"/>
          <w:color w:val="auto"/>
          <w:highlight w:val="none"/>
        </w:rPr>
      </w:pPr>
    </w:p>
    <w:p>
      <w:pPr>
        <w:pStyle w:val="21"/>
        <w:ind w:firstLine="240"/>
        <w:rPr>
          <w:rFonts w:hint="eastAsia"/>
          <w:color w:val="auto"/>
          <w:highlight w:val="none"/>
        </w:rPr>
      </w:pPr>
    </w:p>
    <w:p>
      <w:pPr>
        <w:pStyle w:val="12"/>
        <w:snapToGrid w:val="0"/>
        <w:spacing w:before="120" w:after="120"/>
        <w:jc w:val="center"/>
        <w:outlineLvl w:val="0"/>
        <w:rPr>
          <w:rStyle w:val="31"/>
          <w:rFonts w:hint="eastAsia"/>
          <w:color w:val="auto"/>
          <w:highlight w:val="none"/>
        </w:rPr>
      </w:pPr>
    </w:p>
    <w:p>
      <w:pPr>
        <w:pStyle w:val="12"/>
        <w:snapToGrid w:val="0"/>
        <w:spacing w:before="120" w:after="120"/>
        <w:jc w:val="center"/>
        <w:outlineLvl w:val="0"/>
        <w:rPr>
          <w:rStyle w:val="31"/>
          <w:rFonts w:hint="eastAsia"/>
          <w:color w:val="auto"/>
          <w:highlight w:val="none"/>
        </w:rPr>
      </w:pPr>
    </w:p>
    <w:p>
      <w:pPr>
        <w:pStyle w:val="12"/>
        <w:snapToGrid w:val="0"/>
        <w:spacing w:before="120" w:after="120"/>
        <w:jc w:val="center"/>
        <w:outlineLvl w:val="0"/>
        <w:rPr>
          <w:rStyle w:val="31"/>
          <w:rFonts w:hint="eastAsia"/>
          <w:color w:val="auto"/>
          <w:highlight w:val="none"/>
        </w:rPr>
      </w:pPr>
    </w:p>
    <w:p>
      <w:pPr>
        <w:pStyle w:val="12"/>
        <w:snapToGrid w:val="0"/>
        <w:spacing w:before="120" w:after="120"/>
        <w:jc w:val="center"/>
        <w:outlineLvl w:val="0"/>
        <w:rPr>
          <w:rStyle w:val="31"/>
          <w:rFonts w:hint="eastAsia"/>
          <w:color w:val="auto"/>
          <w:highlight w:val="none"/>
        </w:rPr>
      </w:pPr>
    </w:p>
    <w:p>
      <w:pPr>
        <w:pStyle w:val="12"/>
        <w:snapToGrid w:val="0"/>
        <w:spacing w:before="120" w:after="120"/>
        <w:jc w:val="center"/>
        <w:outlineLvl w:val="0"/>
        <w:rPr>
          <w:rFonts w:ascii="黑体" w:hAnsi="宋体" w:eastAsia="黑体"/>
          <w:b/>
          <w:color w:val="auto"/>
          <w:sz w:val="44"/>
          <w:szCs w:val="44"/>
          <w:highlight w:val="none"/>
        </w:rPr>
      </w:pPr>
      <w:r>
        <w:rPr>
          <w:rStyle w:val="31"/>
          <w:rFonts w:hint="eastAsia"/>
          <w:color w:val="auto"/>
          <w:highlight w:val="none"/>
        </w:rPr>
        <w:t xml:space="preserve">第四章  </w:t>
      </w:r>
      <w:bookmarkEnd w:id="256"/>
      <w:bookmarkEnd w:id="257"/>
      <w:bookmarkEnd w:id="258"/>
      <w:r>
        <w:rPr>
          <w:rStyle w:val="31"/>
          <w:rFonts w:hint="eastAsia"/>
          <w:color w:val="auto"/>
          <w:highlight w:val="none"/>
        </w:rPr>
        <w:t>评标方法及评定标准</w:t>
      </w:r>
    </w:p>
    <w:p>
      <w:pPr>
        <w:pStyle w:val="12"/>
        <w:spacing w:line="360" w:lineRule="exact"/>
        <w:rPr>
          <w:rFonts w:hint="eastAsia" w:hAnsi="宋体"/>
          <w:b/>
          <w:bCs/>
          <w:color w:val="auto"/>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p>
      <w:pPr>
        <w:pStyle w:val="12"/>
        <w:spacing w:line="360" w:lineRule="exact"/>
        <w:rPr>
          <w:rFonts w:hint="eastAsia" w:hAnsi="宋体"/>
          <w:b/>
          <w:bCs/>
          <w:color w:val="auto"/>
          <w:highlight w:val="none"/>
        </w:rPr>
      </w:pPr>
      <w:bookmarkStart w:id="259" w:name="_Toc254970549"/>
      <w:bookmarkStart w:id="260" w:name="_Toc254970690"/>
    </w:p>
    <w:p>
      <w:pPr>
        <w:pStyle w:val="12"/>
        <w:spacing w:line="360" w:lineRule="exact"/>
        <w:rPr>
          <w:rFonts w:hint="eastAsia" w:hAnsi="宋体"/>
          <w:b/>
          <w:bCs/>
          <w:color w:val="auto"/>
          <w:highlight w:val="none"/>
        </w:rPr>
      </w:pPr>
    </w:p>
    <w:p>
      <w:pPr>
        <w:pStyle w:val="12"/>
        <w:spacing w:line="360" w:lineRule="exact"/>
        <w:rPr>
          <w:rFonts w:hint="eastAsia" w:hAnsi="宋体"/>
          <w:b/>
          <w:bCs/>
          <w:color w:val="auto"/>
          <w:highlight w:val="none"/>
        </w:rPr>
      </w:pPr>
    </w:p>
    <w:p>
      <w:pPr>
        <w:pStyle w:val="12"/>
        <w:spacing w:line="360" w:lineRule="exact"/>
        <w:rPr>
          <w:rFonts w:hint="eastAsia" w:hAnsi="宋体"/>
          <w:b/>
          <w:bCs/>
          <w:color w:val="auto"/>
          <w:highlight w:val="none"/>
        </w:rPr>
      </w:pPr>
    </w:p>
    <w:p>
      <w:pPr>
        <w:pStyle w:val="12"/>
        <w:spacing w:line="360" w:lineRule="exact"/>
        <w:rPr>
          <w:rFonts w:hint="eastAsia" w:hAnsi="宋体"/>
          <w:b/>
          <w:bCs/>
          <w:color w:val="auto"/>
          <w:highlight w:val="none"/>
        </w:rPr>
        <w:sectPr>
          <w:footerReference r:id="rId6" w:type="first"/>
          <w:headerReference r:id="rId3" w:type="default"/>
          <w:footerReference r:id="rId4" w:type="default"/>
          <w:footerReference r:id="rId5" w:type="even"/>
          <w:pgSz w:w="11906" w:h="16838"/>
          <w:pgMar w:top="1247" w:right="1247" w:bottom="1247" w:left="1247" w:header="851" w:footer="992" w:gutter="0"/>
          <w:pgNumType w:start="0"/>
          <w:cols w:space="720" w:num="1"/>
          <w:titlePg/>
          <w:docGrid w:type="lines" w:linePitch="312" w:charSpace="0"/>
        </w:sectPr>
      </w:pPr>
    </w:p>
    <w:bookmarkEnd w:id="259"/>
    <w:bookmarkEnd w:id="260"/>
    <w:p>
      <w:pPr>
        <w:ind w:firstLine="1606" w:firstLineChars="500"/>
        <w:jc w:val="left"/>
        <w:rPr>
          <w:rFonts w:ascii="宋体" w:hAnsi="宋体" w:cs="宋体"/>
          <w:color w:val="auto"/>
          <w:szCs w:val="21"/>
          <w:highlight w:val="none"/>
        </w:rPr>
      </w:pPr>
      <w:r>
        <w:rPr>
          <w:rFonts w:hint="eastAsia" w:ascii="仿宋_GB2312" w:hAnsi="宋体" w:eastAsia="仿宋_GB2312"/>
          <w:b/>
          <w:color w:val="auto"/>
          <w:sz w:val="32"/>
          <w:szCs w:val="32"/>
          <w:highlight w:val="none"/>
        </w:rPr>
        <w:t xml:space="preserve">         </w:t>
      </w:r>
      <w:r>
        <w:rPr>
          <w:rFonts w:eastAsia="仿宋_GB2312"/>
          <w:b/>
          <w:color w:val="auto"/>
          <w:sz w:val="32"/>
          <w:szCs w:val="32"/>
          <w:highlight w:val="none"/>
        </w:rPr>
        <w:t>评标方法及评定标准</w:t>
      </w:r>
      <w:r>
        <w:rPr>
          <w:rFonts w:hint="eastAsia" w:ascii="仿宋_GB2312" w:hAnsi="宋体" w:eastAsia="仿宋_GB2312"/>
          <w:b/>
          <w:color w:val="auto"/>
          <w:sz w:val="32"/>
          <w:szCs w:val="32"/>
          <w:highlight w:val="none"/>
        </w:rPr>
        <w:t xml:space="preserve">   </w:t>
      </w:r>
    </w:p>
    <w:p>
      <w:pPr>
        <w:pStyle w:val="12"/>
        <w:spacing w:line="360" w:lineRule="exact"/>
        <w:ind w:firstLine="2088" w:firstLineChars="650"/>
        <w:rPr>
          <w:rFonts w:ascii="仿宋_GB2312" w:hAnsi="宋体" w:eastAsia="仿宋_GB2312"/>
          <w:b/>
          <w:color w:val="auto"/>
          <w:sz w:val="32"/>
          <w:szCs w:val="32"/>
          <w:highlight w:val="none"/>
        </w:rPr>
      </w:pPr>
    </w:p>
    <w:p>
      <w:pPr>
        <w:pStyle w:val="12"/>
        <w:spacing w:line="340" w:lineRule="exact"/>
        <w:ind w:firstLine="455" w:firstLineChars="216"/>
        <w:rPr>
          <w:rFonts w:hint="eastAsia" w:hAnsi="宋体"/>
          <w:b/>
          <w:color w:val="auto"/>
          <w:highlight w:val="none"/>
        </w:rPr>
      </w:pPr>
      <w:r>
        <w:rPr>
          <w:rFonts w:hint="eastAsia" w:hAnsi="宋体"/>
          <w:b/>
          <w:color w:val="auto"/>
          <w:highlight w:val="none"/>
        </w:rPr>
        <w:t>一、评标原则</w:t>
      </w:r>
    </w:p>
    <w:p>
      <w:pPr>
        <w:pStyle w:val="12"/>
        <w:spacing w:line="340" w:lineRule="exact"/>
        <w:ind w:firstLine="483" w:firstLineChars="230"/>
        <w:rPr>
          <w:rFonts w:hint="eastAsia" w:hAnsi="宋体"/>
          <w:bCs/>
          <w:color w:val="auto"/>
          <w:highlight w:val="none"/>
        </w:rPr>
      </w:pPr>
      <w:r>
        <w:rPr>
          <w:rFonts w:hint="eastAsia" w:hAnsi="宋体"/>
          <w:bCs/>
          <w:color w:val="auto"/>
          <w:highlight w:val="none"/>
        </w:rPr>
        <w:t>(一)评委组成：本招标采购项目的</w:t>
      </w:r>
      <w:r>
        <w:rPr>
          <w:rFonts w:hint="eastAsia"/>
          <w:color w:val="auto"/>
          <w:spacing w:val="-4"/>
          <w:highlight w:val="none"/>
        </w:rPr>
        <w:t>评标委员会由采购人代表和评审专家组成，</w:t>
      </w:r>
      <w:r>
        <w:rPr>
          <w:rFonts w:hint="eastAsia"/>
          <w:color w:val="auto"/>
          <w:highlight w:val="none"/>
        </w:rPr>
        <w:t>成员人数</w:t>
      </w:r>
      <w:r>
        <w:rPr>
          <w:rFonts w:hint="eastAsia"/>
          <w:b/>
          <w:bCs/>
          <w:color w:val="auto"/>
          <w:highlight w:val="none"/>
        </w:rPr>
        <w:t>应当为五人或以上单数（采购预算1000万以上为七人或以上单数）</w:t>
      </w:r>
      <w:r>
        <w:rPr>
          <w:rFonts w:hint="eastAsia"/>
          <w:color w:val="auto"/>
          <w:highlight w:val="none"/>
        </w:rPr>
        <w:t>。其中，技术、经济等方面的专家不得少于成员总数的三分之二</w:t>
      </w:r>
      <w:r>
        <w:rPr>
          <w:rFonts w:hint="eastAsia"/>
          <w:color w:val="auto"/>
          <w:spacing w:val="-4"/>
          <w:highlight w:val="none"/>
        </w:rPr>
        <w:t>。</w:t>
      </w:r>
    </w:p>
    <w:p>
      <w:pPr>
        <w:pStyle w:val="12"/>
        <w:spacing w:line="340" w:lineRule="exact"/>
        <w:ind w:firstLine="499" w:firstLineChars="238"/>
        <w:rPr>
          <w:rFonts w:hint="eastAsia" w:hAnsi="宋体"/>
          <w:bCs/>
          <w:color w:val="auto"/>
          <w:highlight w:val="none"/>
        </w:rPr>
      </w:pPr>
      <w:r>
        <w:rPr>
          <w:rFonts w:hint="eastAsia" w:hAnsi="宋体"/>
          <w:bCs/>
          <w:color w:val="auto"/>
          <w:highlight w:val="none"/>
        </w:rPr>
        <w:t>(二)评标依据：评委将以招投标文件为评标依据，对投标人的内容按百分制打分。</w:t>
      </w:r>
    </w:p>
    <w:p>
      <w:pPr>
        <w:pStyle w:val="12"/>
        <w:spacing w:line="340" w:lineRule="exact"/>
        <w:ind w:firstLine="510" w:firstLineChars="243"/>
        <w:rPr>
          <w:rFonts w:hint="eastAsia" w:hAnsi="宋体"/>
          <w:bCs/>
          <w:color w:val="auto"/>
          <w:highlight w:val="none"/>
        </w:rPr>
      </w:pPr>
      <w:r>
        <w:rPr>
          <w:rFonts w:hint="eastAsia" w:hAnsi="宋体"/>
          <w:bCs/>
          <w:color w:val="auto"/>
          <w:highlight w:val="none"/>
        </w:rPr>
        <w:t>(三)评标方式：以封闭方式进行。</w:t>
      </w:r>
    </w:p>
    <w:p>
      <w:pPr>
        <w:pStyle w:val="12"/>
        <w:spacing w:line="340" w:lineRule="exact"/>
        <w:ind w:firstLine="413" w:firstLineChars="196"/>
        <w:outlineLvl w:val="0"/>
        <w:rPr>
          <w:rFonts w:hint="eastAsia" w:hAnsi="宋体"/>
          <w:b/>
          <w:color w:val="auto"/>
          <w:highlight w:val="none"/>
        </w:rPr>
      </w:pPr>
      <w:r>
        <w:rPr>
          <w:rFonts w:hint="eastAsia" w:hAnsi="宋体"/>
          <w:b/>
          <w:color w:val="auto"/>
          <w:highlight w:val="none"/>
        </w:rPr>
        <w:t>二、评标方法</w:t>
      </w:r>
    </w:p>
    <w:p>
      <w:pPr>
        <w:pStyle w:val="12"/>
        <w:spacing w:line="340" w:lineRule="exact"/>
        <w:ind w:firstLine="420" w:firstLineChars="200"/>
        <w:outlineLvl w:val="0"/>
        <w:rPr>
          <w:rFonts w:hint="eastAsia" w:hAnsi="宋体"/>
          <w:color w:val="auto"/>
          <w:highlight w:val="none"/>
        </w:rPr>
      </w:pPr>
      <w:r>
        <w:rPr>
          <w:rFonts w:hint="eastAsia" w:hAnsi="宋体"/>
          <w:color w:val="auto"/>
          <w:highlight w:val="none"/>
        </w:rPr>
        <w:t>（一）对进入详评的，采用百分制综合评分法。</w:t>
      </w:r>
    </w:p>
    <w:p>
      <w:pPr>
        <w:pStyle w:val="12"/>
        <w:spacing w:line="340" w:lineRule="exact"/>
        <w:ind w:firstLine="420" w:firstLineChars="200"/>
        <w:outlineLvl w:val="0"/>
        <w:rPr>
          <w:rFonts w:hint="eastAsia" w:hAnsi="宋体"/>
          <w:color w:val="auto"/>
          <w:highlight w:val="none"/>
        </w:rPr>
      </w:pPr>
      <w:r>
        <w:rPr>
          <w:rFonts w:hint="eastAsia" w:hAnsi="宋体"/>
          <w:color w:val="auto"/>
          <w:highlight w:val="none"/>
        </w:rPr>
        <w:t>（二）计分办法（按四舍五入取至百分位）：</w:t>
      </w:r>
    </w:p>
    <w:p>
      <w:pPr>
        <w:pStyle w:val="18"/>
        <w:spacing w:line="340" w:lineRule="exact"/>
        <w:ind w:left="0" w:firstLine="413" w:firstLineChars="196"/>
        <w:outlineLvl w:val="0"/>
        <w:rPr>
          <w:rFonts w:hint="eastAsia" w:ascii="宋体" w:hAnsi="宋体"/>
          <w:b/>
          <w:color w:val="auto"/>
          <w:szCs w:val="21"/>
          <w:highlight w:val="none"/>
        </w:rPr>
      </w:pPr>
      <w:r>
        <w:rPr>
          <w:rFonts w:hint="eastAsia" w:ascii="宋体" w:hAnsi="宋体"/>
          <w:b/>
          <w:color w:val="auto"/>
          <w:szCs w:val="21"/>
          <w:highlight w:val="none"/>
        </w:rPr>
        <w:t xml:space="preserve"> 1、价格分……………………………………………………………………………………30分</w:t>
      </w:r>
    </w:p>
    <w:p>
      <w:pPr>
        <w:pStyle w:val="32"/>
        <w:adjustRightInd w:val="0"/>
        <w:snapToGrid w:val="0"/>
        <w:spacing w:line="400" w:lineRule="exact"/>
        <w:rPr>
          <w:rFonts w:hint="eastAsia"/>
          <w:color w:val="auto"/>
          <w:highlight w:val="none"/>
        </w:rPr>
      </w:pPr>
      <w:r>
        <w:rPr>
          <w:rFonts w:hint="eastAsia"/>
          <w:color w:val="auto"/>
          <w:highlight w:val="none"/>
          <w:lang w:val="en-US" w:eastAsia="zh-CN"/>
        </w:rPr>
        <w:t xml:space="preserve">   </w:t>
      </w:r>
      <w:r>
        <w:rPr>
          <w:rFonts w:hint="eastAsia"/>
          <w:color w:val="auto"/>
          <w:highlight w:val="none"/>
        </w:rPr>
        <w:t>（1）</w:t>
      </w:r>
      <w:r>
        <w:rPr>
          <w:rFonts w:hint="eastAsia" w:ascii="Times New Roman" w:hAnsi="Times New Roman" w:cs="Times New Roman"/>
          <w:b/>
          <w:bCs/>
          <w:color w:val="auto"/>
          <w:highlight w:val="none"/>
        </w:rPr>
        <w:t>本项目专门面向</w:t>
      </w:r>
      <w:r>
        <w:rPr>
          <w:rFonts w:hint="eastAsia"/>
          <w:b/>
          <w:bCs/>
          <w:color w:val="auto"/>
          <w:highlight w:val="none"/>
          <w:lang w:val="en"/>
        </w:rPr>
        <w:t>小微企业</w:t>
      </w:r>
      <w:r>
        <w:rPr>
          <w:rFonts w:hint="eastAsia" w:ascii="Times New Roman" w:hAnsi="Times New Roman" w:cs="Times New Roman"/>
          <w:b/>
          <w:bCs/>
          <w:color w:val="auto"/>
          <w:highlight w:val="none"/>
        </w:rPr>
        <w:t>，投标价=评标价</w:t>
      </w:r>
      <w:r>
        <w:rPr>
          <w:rFonts w:hint="eastAsia" w:ascii="Times New Roman" w:hAnsi="Times New Roman" w:cs="Times New Roman"/>
          <w:color w:val="auto"/>
          <w:highlight w:val="none"/>
        </w:rPr>
        <w:t>。</w:t>
      </w:r>
    </w:p>
    <w:p>
      <w:pPr>
        <w:pStyle w:val="12"/>
        <w:spacing w:line="380" w:lineRule="exact"/>
        <w:ind w:firstLine="420" w:firstLineChars="200"/>
        <w:outlineLvl w:val="0"/>
        <w:rPr>
          <w:rFonts w:hAnsi="宋体"/>
          <w:color w:val="auto"/>
          <w:highlight w:val="none"/>
        </w:rPr>
      </w:pPr>
      <w:r>
        <w:rPr>
          <w:rFonts w:hint="eastAsia" w:hAnsi="宋体"/>
          <w:color w:val="auto"/>
          <w:highlight w:val="none"/>
        </w:rPr>
        <w:t>投标产品的制造企业按《关于政府采购支持监狱企业发展有关问题的通知》(财库[2014]68号)认定为监狱企业的，在政府采购活动中，监狱企业视同小型、微型企业。投标人提供投标产品制造企业属于监狱企业的证明文</w:t>
      </w:r>
      <w:r>
        <w:rPr>
          <w:rFonts w:hint="eastAsia"/>
          <w:color w:val="auto"/>
          <w:highlight w:val="none"/>
        </w:rPr>
        <w:t>件</w:t>
      </w:r>
      <w:r>
        <w:rPr>
          <w:color w:val="auto"/>
          <w:highlight w:val="none"/>
        </w:rPr>
        <w:t>，不再提供《中小企业声明函》</w:t>
      </w:r>
      <w:r>
        <w:rPr>
          <w:rFonts w:hint="eastAsia"/>
          <w:color w:val="auto"/>
          <w:highlight w:val="none"/>
        </w:rPr>
        <w:t>。</w:t>
      </w:r>
    </w:p>
    <w:p>
      <w:pPr>
        <w:pStyle w:val="12"/>
        <w:spacing w:line="380" w:lineRule="exact"/>
        <w:ind w:firstLine="420" w:firstLineChars="200"/>
        <w:outlineLvl w:val="0"/>
        <w:rPr>
          <w:rFonts w:hAnsi="宋体"/>
          <w:color w:val="auto"/>
          <w:highlight w:val="none"/>
        </w:rPr>
      </w:pPr>
      <w:r>
        <w:rPr>
          <w:rFonts w:hint="eastAsia" w:hAnsi="宋体"/>
          <w:color w:val="auto"/>
          <w:highlight w:val="none"/>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w:t>
      </w:r>
      <w:r>
        <w:rPr>
          <w:rFonts w:hAnsi="宋体"/>
          <w:color w:val="auto"/>
          <w:highlight w:val="none"/>
        </w:rPr>
        <w:t>，不再提供《中小企业声明函》</w:t>
      </w:r>
      <w:r>
        <w:rPr>
          <w:rFonts w:hint="eastAsia" w:hAnsi="宋体"/>
          <w:color w:val="auto"/>
          <w:highlight w:val="none"/>
        </w:rPr>
        <w:t>。</w:t>
      </w:r>
    </w:p>
    <w:p>
      <w:pPr>
        <w:pStyle w:val="12"/>
        <w:spacing w:line="380" w:lineRule="exact"/>
        <w:ind w:firstLine="420" w:firstLineChars="200"/>
        <w:outlineLvl w:val="0"/>
        <w:rPr>
          <w:rFonts w:hAnsi="宋体"/>
          <w:color w:val="auto"/>
          <w:highlight w:val="none"/>
        </w:rPr>
      </w:pPr>
      <w:r>
        <w:rPr>
          <w:rFonts w:hint="eastAsia" w:hAnsi="宋体"/>
          <w:color w:val="auto"/>
          <w:highlight w:val="none"/>
        </w:rPr>
        <w:t>（2）以满足招标文件的最低评标价为30分。</w:t>
      </w:r>
    </w:p>
    <w:p>
      <w:pPr>
        <w:pStyle w:val="12"/>
        <w:spacing w:line="380" w:lineRule="exact"/>
        <w:ind w:firstLine="420" w:firstLineChars="200"/>
        <w:outlineLvl w:val="0"/>
        <w:rPr>
          <w:rFonts w:hint="eastAsia"/>
          <w:bCs/>
          <w:color w:val="auto"/>
          <w:highlight w:val="none"/>
        </w:rPr>
      </w:pPr>
      <w:r>
        <w:rPr>
          <w:rFonts w:hint="eastAsia"/>
          <w:bCs/>
          <w:color w:val="auto"/>
          <w:highlight w:val="none"/>
          <w:lang w:eastAsia="zh-CN"/>
        </w:rPr>
        <w:t>（</w:t>
      </w:r>
      <w:r>
        <w:rPr>
          <w:rFonts w:hint="eastAsia"/>
          <w:bCs/>
          <w:color w:val="auto"/>
          <w:highlight w:val="none"/>
          <w:lang w:val="en-US" w:eastAsia="zh-CN"/>
        </w:rPr>
        <w:t>3</w:t>
      </w:r>
      <w:r>
        <w:rPr>
          <w:rFonts w:hint="eastAsia"/>
          <w:bCs/>
          <w:color w:val="auto"/>
          <w:highlight w:val="none"/>
          <w:lang w:eastAsia="zh-CN"/>
        </w:rPr>
        <w:t>）</w:t>
      </w:r>
      <w:r>
        <w:rPr>
          <w:rFonts w:hint="eastAsia"/>
          <w:bCs/>
          <w:color w:val="auto"/>
          <w:highlight w:val="none"/>
        </w:rPr>
        <w:t>某投标人价格分 = 投标人最低评标价（金额）/某投标人</w:t>
      </w:r>
      <w:r>
        <w:rPr>
          <w:rFonts w:hint="eastAsia" w:ascii="Times New Roman" w:hAnsi="Times New Roman" w:cs="Times New Roman"/>
          <w:color w:val="auto"/>
          <w:highlight w:val="none"/>
        </w:rPr>
        <w:t>评标价</w:t>
      </w:r>
      <w:r>
        <w:rPr>
          <w:rFonts w:hint="eastAsia"/>
          <w:bCs/>
          <w:color w:val="auto"/>
          <w:highlight w:val="none"/>
        </w:rPr>
        <w:t>（金额） ×30分</w:t>
      </w:r>
    </w:p>
    <w:p>
      <w:pPr>
        <w:spacing w:line="320" w:lineRule="exact"/>
        <w:ind w:firstLine="421" w:firstLineChars="200"/>
        <w:rPr>
          <w:rFonts w:hint="eastAsia"/>
          <w:b/>
          <w:color w:val="auto"/>
          <w:szCs w:val="21"/>
          <w:highlight w:val="none"/>
        </w:rPr>
      </w:pPr>
    </w:p>
    <w:p>
      <w:pPr>
        <w:spacing w:line="320" w:lineRule="exact"/>
        <w:ind w:firstLine="421" w:firstLineChars="200"/>
        <w:rPr>
          <w:b/>
          <w:color w:val="auto"/>
          <w:szCs w:val="21"/>
          <w:highlight w:val="none"/>
        </w:rPr>
      </w:pPr>
      <w:r>
        <w:rPr>
          <w:rFonts w:hint="eastAsia"/>
          <w:b/>
          <w:color w:val="auto"/>
          <w:szCs w:val="21"/>
          <w:highlight w:val="none"/>
        </w:rPr>
        <w:t>2、技术分</w:t>
      </w:r>
      <w:r>
        <w:rPr>
          <w:rFonts w:hint="eastAsia" w:ascii="宋体" w:hAnsi="宋体"/>
          <w:b/>
          <w:color w:val="auto"/>
          <w:szCs w:val="21"/>
          <w:highlight w:val="none"/>
        </w:rPr>
        <w:t>……………………………………………………………………………………</w:t>
      </w:r>
      <w:r>
        <w:rPr>
          <w:rFonts w:hint="eastAsia"/>
          <w:b/>
          <w:color w:val="auto"/>
          <w:szCs w:val="21"/>
          <w:highlight w:val="none"/>
        </w:rPr>
        <w:t>64分</w:t>
      </w:r>
    </w:p>
    <w:p>
      <w:pPr>
        <w:spacing w:line="400" w:lineRule="exact"/>
        <w:ind w:firstLine="420" w:firstLineChars="200"/>
        <w:rPr>
          <w:color w:val="auto"/>
          <w:szCs w:val="21"/>
          <w:highlight w:val="none"/>
        </w:rPr>
      </w:pPr>
      <w:r>
        <w:rPr>
          <w:rFonts w:hint="eastAsia"/>
          <w:color w:val="auto"/>
          <w:szCs w:val="21"/>
          <w:highlight w:val="none"/>
        </w:rPr>
        <w:t>（1）样品展示分(满分</w:t>
      </w:r>
      <w:r>
        <w:rPr>
          <w:rFonts w:hint="eastAsia"/>
          <w:color w:val="auto"/>
          <w:szCs w:val="21"/>
          <w:highlight w:val="none"/>
          <w:lang w:val="en-US" w:eastAsia="zh-CN"/>
        </w:rPr>
        <w:t>10</w:t>
      </w:r>
      <w:r>
        <w:rPr>
          <w:rFonts w:hint="eastAsia"/>
          <w:color w:val="auto"/>
          <w:szCs w:val="21"/>
          <w:highlight w:val="none"/>
        </w:rPr>
        <w:t>分)</w:t>
      </w:r>
    </w:p>
    <w:p>
      <w:pPr>
        <w:spacing w:line="400" w:lineRule="exact"/>
        <w:ind w:firstLine="420" w:firstLineChars="200"/>
        <w:rPr>
          <w:color w:val="auto"/>
          <w:szCs w:val="21"/>
          <w:highlight w:val="none"/>
        </w:rPr>
      </w:pPr>
      <w:r>
        <w:rPr>
          <w:rFonts w:hint="eastAsia"/>
          <w:color w:val="auto"/>
          <w:szCs w:val="21"/>
          <w:highlight w:val="none"/>
        </w:rPr>
        <w:t>由评标委员会对各投标实物小样进行综合评定：主要从提供的主料小样的样式、厚度及外观质量、喷涂质量、工艺打磨等方面进行综合评定。</w:t>
      </w:r>
    </w:p>
    <w:p>
      <w:pPr>
        <w:spacing w:line="400" w:lineRule="exact"/>
        <w:ind w:firstLine="420" w:firstLineChars="200"/>
        <w:rPr>
          <w:color w:val="auto"/>
          <w:szCs w:val="21"/>
          <w:highlight w:val="none"/>
        </w:rPr>
      </w:pPr>
      <w:r>
        <w:rPr>
          <w:rFonts w:hint="eastAsia"/>
          <w:color w:val="auto"/>
          <w:szCs w:val="21"/>
          <w:highlight w:val="none"/>
        </w:rPr>
        <w:t>一档（</w:t>
      </w:r>
      <w:r>
        <w:rPr>
          <w:rFonts w:hint="eastAsia"/>
          <w:color w:val="auto"/>
          <w:szCs w:val="21"/>
          <w:highlight w:val="none"/>
          <w:lang w:val="en-US" w:eastAsia="zh-CN"/>
        </w:rPr>
        <w:t>1</w:t>
      </w:r>
      <w:r>
        <w:rPr>
          <w:rFonts w:hint="eastAsia"/>
          <w:color w:val="auto"/>
          <w:szCs w:val="21"/>
          <w:highlight w:val="none"/>
        </w:rPr>
        <w:t>分）：①投标小样提供齐全；②小样参数、外观、样式、材料性能等符合实际，符合采购需求；③小</w:t>
      </w:r>
      <w:r>
        <w:rPr>
          <w:rFonts w:hint="eastAsia"/>
          <w:color w:val="auto"/>
          <w:highlight w:val="none"/>
        </w:rPr>
        <w:t>样</w:t>
      </w:r>
      <w:r>
        <w:rPr>
          <w:rFonts w:hint="eastAsia"/>
          <w:color w:val="auto"/>
          <w:highlight w:val="none"/>
          <w:lang w:eastAsia="zh-CN"/>
        </w:rPr>
        <w:t>有两处及以上</w:t>
      </w:r>
      <w:r>
        <w:rPr>
          <w:rFonts w:hint="eastAsia"/>
          <w:color w:val="auto"/>
          <w:highlight w:val="none"/>
        </w:rPr>
        <w:t>瑕疵</w:t>
      </w:r>
      <w:r>
        <w:rPr>
          <w:rFonts w:hint="eastAsia"/>
          <w:color w:val="auto"/>
          <w:szCs w:val="21"/>
          <w:highlight w:val="none"/>
        </w:rPr>
        <w:t>（如有明显的焊渣、焊疤、裂缝、毛刺、黑斑等瑕疵的）。</w:t>
      </w:r>
    </w:p>
    <w:p>
      <w:pPr>
        <w:spacing w:line="400" w:lineRule="exact"/>
        <w:ind w:firstLine="420" w:firstLineChars="200"/>
        <w:rPr>
          <w:color w:val="auto"/>
          <w:szCs w:val="21"/>
          <w:highlight w:val="none"/>
        </w:rPr>
      </w:pPr>
      <w:r>
        <w:rPr>
          <w:rFonts w:hint="eastAsia"/>
          <w:color w:val="auto"/>
          <w:szCs w:val="21"/>
          <w:highlight w:val="none"/>
        </w:rPr>
        <w:t>二档（4分）：①投标小样提供齐全；②小样参数、外观、样式、材料性能等符合实际，满足采购需求；③小样</w:t>
      </w:r>
      <w:r>
        <w:rPr>
          <w:rFonts w:hint="eastAsia"/>
          <w:color w:val="auto"/>
          <w:szCs w:val="21"/>
          <w:highlight w:val="none"/>
          <w:lang w:eastAsia="zh-CN"/>
        </w:rPr>
        <w:t>有一处</w:t>
      </w:r>
      <w:r>
        <w:rPr>
          <w:rFonts w:hint="eastAsia" w:ascii="Times New Roman" w:hAnsi="Times New Roman" w:cs="Times New Roman"/>
          <w:color w:val="auto"/>
          <w:szCs w:val="21"/>
          <w:highlight w:val="none"/>
        </w:rPr>
        <w:t>瑕疵的</w:t>
      </w:r>
      <w:r>
        <w:rPr>
          <w:rFonts w:hint="eastAsia"/>
          <w:color w:val="auto"/>
          <w:szCs w:val="21"/>
          <w:highlight w:val="none"/>
        </w:rPr>
        <w:t>（如有焊渣、焊疤、裂缝、毛刺、黑斑等瑕疵的）不影响小样外观、材质的。</w:t>
      </w:r>
    </w:p>
    <w:p>
      <w:pPr>
        <w:spacing w:line="400" w:lineRule="exact"/>
        <w:ind w:firstLine="420" w:firstLineChars="200"/>
        <w:rPr>
          <w:color w:val="auto"/>
          <w:szCs w:val="21"/>
          <w:highlight w:val="none"/>
        </w:rPr>
      </w:pPr>
      <w:r>
        <w:rPr>
          <w:rFonts w:hint="eastAsia"/>
          <w:color w:val="auto"/>
          <w:szCs w:val="21"/>
          <w:highlight w:val="none"/>
        </w:rPr>
        <w:t>三档（</w:t>
      </w:r>
      <w:r>
        <w:rPr>
          <w:rFonts w:hint="eastAsia"/>
          <w:color w:val="auto"/>
          <w:szCs w:val="21"/>
          <w:highlight w:val="none"/>
          <w:lang w:val="en-US" w:eastAsia="zh-CN"/>
        </w:rPr>
        <w:t>7</w:t>
      </w:r>
      <w:r>
        <w:rPr>
          <w:rFonts w:hint="eastAsia"/>
          <w:color w:val="auto"/>
          <w:szCs w:val="21"/>
          <w:highlight w:val="none"/>
        </w:rPr>
        <w:t>分）：①投标小样提供齐全；②小样参数、外观、样式、材料、结构设计等（包括主材、五金件、加工工艺、成品质量等方面）符合实际</w:t>
      </w:r>
      <w:r>
        <w:rPr>
          <w:rFonts w:hint="eastAsia"/>
          <w:color w:val="auto"/>
          <w:szCs w:val="21"/>
          <w:highlight w:val="none"/>
          <w:lang w:eastAsia="zh-CN"/>
        </w:rPr>
        <w:t>；</w:t>
      </w:r>
      <w:r>
        <w:rPr>
          <w:rFonts w:hint="eastAsia"/>
          <w:color w:val="auto"/>
          <w:szCs w:val="21"/>
          <w:highlight w:val="none"/>
        </w:rPr>
        <w:t>③小样符合要求，无明显瑕疵的。</w:t>
      </w:r>
    </w:p>
    <w:p>
      <w:pPr>
        <w:spacing w:line="400" w:lineRule="exact"/>
        <w:ind w:firstLine="420" w:firstLineChars="200"/>
        <w:rPr>
          <w:color w:val="auto"/>
          <w:szCs w:val="21"/>
          <w:highlight w:val="none"/>
        </w:rPr>
      </w:pPr>
      <w:r>
        <w:rPr>
          <w:rFonts w:hint="eastAsia"/>
          <w:color w:val="auto"/>
          <w:szCs w:val="21"/>
          <w:highlight w:val="none"/>
        </w:rPr>
        <w:t>四档（</w:t>
      </w:r>
      <w:r>
        <w:rPr>
          <w:rFonts w:hint="eastAsia"/>
          <w:color w:val="auto"/>
          <w:szCs w:val="21"/>
          <w:highlight w:val="none"/>
          <w:lang w:val="en-US" w:eastAsia="zh-CN"/>
        </w:rPr>
        <w:t>10</w:t>
      </w:r>
      <w:r>
        <w:rPr>
          <w:rFonts w:hint="eastAsia"/>
          <w:color w:val="auto"/>
          <w:szCs w:val="21"/>
          <w:highlight w:val="none"/>
        </w:rPr>
        <w:t>分）：①投标小样提供齐全；②小样参数、外观、样式、材料、结构设计等（包括主材</w:t>
      </w:r>
      <w:r>
        <w:rPr>
          <w:rFonts w:hint="eastAsia"/>
          <w:color w:val="auto"/>
          <w:szCs w:val="21"/>
          <w:highlight w:val="none"/>
          <w:lang w:eastAsia="zh-CN"/>
        </w:rPr>
        <w:t>、</w:t>
      </w:r>
      <w:r>
        <w:rPr>
          <w:rFonts w:hint="eastAsia"/>
          <w:color w:val="auto"/>
          <w:szCs w:val="21"/>
          <w:highlight w:val="none"/>
        </w:rPr>
        <w:t>工艺、质量等方面）符合实际；③小样外表感官良好，工艺精致（如涂层光滑均匀、色泽一致、安装严密平整、注塑件表面光洁无杂质等）。</w:t>
      </w:r>
    </w:p>
    <w:p>
      <w:pPr>
        <w:spacing w:line="400" w:lineRule="exact"/>
        <w:ind w:firstLine="420" w:firstLineChars="200"/>
        <w:rPr>
          <w:color w:val="auto"/>
          <w:szCs w:val="21"/>
          <w:highlight w:val="none"/>
        </w:rPr>
      </w:pPr>
      <w:r>
        <w:rPr>
          <w:rFonts w:hint="eastAsia"/>
          <w:color w:val="auto"/>
          <w:szCs w:val="21"/>
          <w:highlight w:val="none"/>
        </w:rPr>
        <w:t>（注：投标人未提供小样或提供小样数量不全的得0分）</w:t>
      </w:r>
    </w:p>
    <w:p>
      <w:pPr>
        <w:spacing w:line="400" w:lineRule="exact"/>
        <w:ind w:firstLine="420" w:firstLineChars="200"/>
        <w:rPr>
          <w:color w:val="auto"/>
          <w:szCs w:val="21"/>
          <w:highlight w:val="none"/>
        </w:rPr>
      </w:pPr>
      <w:r>
        <w:rPr>
          <w:rFonts w:hint="eastAsia"/>
          <w:color w:val="auto"/>
          <w:szCs w:val="21"/>
          <w:highlight w:val="none"/>
        </w:rPr>
        <w:t>（2）产品设计分(满分</w:t>
      </w:r>
      <w:r>
        <w:rPr>
          <w:rFonts w:hint="eastAsia"/>
          <w:color w:val="auto"/>
          <w:szCs w:val="21"/>
          <w:highlight w:val="none"/>
          <w:lang w:val="en-US" w:eastAsia="zh-CN"/>
        </w:rPr>
        <w:t>10</w:t>
      </w:r>
      <w:r>
        <w:rPr>
          <w:rFonts w:hint="eastAsia"/>
          <w:color w:val="auto"/>
          <w:szCs w:val="21"/>
          <w:highlight w:val="none"/>
        </w:rPr>
        <w:t>分)</w:t>
      </w:r>
    </w:p>
    <w:p>
      <w:pPr>
        <w:spacing w:line="400" w:lineRule="exact"/>
        <w:ind w:firstLine="420" w:firstLineChars="200"/>
        <w:rPr>
          <w:color w:val="auto"/>
          <w:szCs w:val="21"/>
          <w:highlight w:val="none"/>
        </w:rPr>
      </w:pPr>
      <w:r>
        <w:rPr>
          <w:rFonts w:hint="eastAsia"/>
          <w:color w:val="auto"/>
          <w:szCs w:val="21"/>
          <w:highlight w:val="none"/>
        </w:rPr>
        <w:t>提供本项目产品</w:t>
      </w:r>
      <w:r>
        <w:rPr>
          <w:rFonts w:hint="eastAsia"/>
          <w:color w:val="auto"/>
          <w:highlight w:val="none"/>
          <w:lang w:eastAsia="zh-CN"/>
        </w:rPr>
        <w:t>（第</w:t>
      </w:r>
      <w:r>
        <w:rPr>
          <w:rFonts w:hint="eastAsia"/>
          <w:color w:val="auto"/>
          <w:highlight w:val="none"/>
          <w:lang w:val="en-US" w:eastAsia="zh-CN"/>
        </w:rPr>
        <w:t>5项课桌椅、第11项L型课桌、第6项双人课桌、第7项课椅</w:t>
      </w:r>
      <w:r>
        <w:rPr>
          <w:rFonts w:hint="eastAsia"/>
          <w:color w:val="auto"/>
          <w:highlight w:val="none"/>
          <w:lang w:eastAsia="zh-CN"/>
        </w:rPr>
        <w:t>）的</w:t>
      </w:r>
      <w:r>
        <w:rPr>
          <w:rFonts w:hint="eastAsia"/>
          <w:color w:val="auto"/>
          <w:szCs w:val="21"/>
          <w:highlight w:val="none"/>
        </w:rPr>
        <w:t>设计方案，包括：产品外观设计图、结构图、产品效果图、产品设计用材、产品工件明细表（列明“自制件”、“外协件”、“外购件”）等。</w:t>
      </w:r>
    </w:p>
    <w:p>
      <w:pPr>
        <w:spacing w:line="400" w:lineRule="exact"/>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一档（</w:t>
      </w:r>
      <w:r>
        <w:rPr>
          <w:rFonts w:hint="eastAsia" w:ascii="Times New Roman" w:hAnsi="Times New Roman" w:cs="Times New Roman"/>
          <w:color w:val="auto"/>
          <w:szCs w:val="21"/>
          <w:highlight w:val="none"/>
          <w:lang w:val="en-US" w:eastAsia="zh-CN"/>
        </w:rPr>
        <w:t>1</w:t>
      </w:r>
      <w:r>
        <w:rPr>
          <w:rFonts w:hint="eastAsia" w:ascii="Times New Roman" w:hAnsi="Times New Roman" w:cs="Times New Roman"/>
          <w:color w:val="auto"/>
          <w:szCs w:val="21"/>
          <w:highlight w:val="none"/>
        </w:rPr>
        <w:t>分)：提供产品的设计结构图、产品效果图，有产品使用功能描述、产品结构分析，规格尺寸等细节不清晰。</w:t>
      </w:r>
      <w:r>
        <w:rPr>
          <w:rFonts w:hint="eastAsia" w:ascii="Times New Roman" w:hAnsi="Times New Roman" w:cs="Times New Roman"/>
          <w:color w:val="auto"/>
          <w:szCs w:val="21"/>
          <w:highlight w:val="none"/>
        </w:rPr>
        <w:br w:type="textWrapping"/>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二档（</w:t>
      </w:r>
      <w:r>
        <w:rPr>
          <w:rFonts w:hint="eastAsia" w:ascii="Times New Roman" w:hAnsi="Times New Roman" w:cs="Times New Roman"/>
          <w:color w:val="auto"/>
          <w:szCs w:val="21"/>
          <w:highlight w:val="none"/>
          <w:lang w:val="en-US" w:eastAsia="zh-CN"/>
        </w:rPr>
        <w:t>4</w:t>
      </w:r>
      <w:r>
        <w:rPr>
          <w:rFonts w:hint="eastAsia" w:ascii="Times New Roman" w:hAnsi="Times New Roman" w:cs="Times New Roman"/>
          <w:color w:val="auto"/>
          <w:szCs w:val="21"/>
          <w:highlight w:val="none"/>
        </w:rPr>
        <w:t>分)：提供产品的设计结构图、产品效果图、产品使用功能描述、产品结构分析，规格尺寸等细节清晰明确，产品设计规范合理。</w:t>
      </w:r>
      <w:r>
        <w:rPr>
          <w:rFonts w:hint="eastAsia" w:ascii="Times New Roman" w:hAnsi="Times New Roman" w:cs="Times New Roman"/>
          <w:color w:val="auto"/>
          <w:szCs w:val="21"/>
          <w:highlight w:val="none"/>
        </w:rPr>
        <w:br w:type="textWrapping"/>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三档（7分)：提供产品的设计结构图、产品效果图</w:t>
      </w:r>
      <w:r>
        <w:rPr>
          <w:rFonts w:hint="eastAsia" w:cs="Times New Roman"/>
          <w:color w:val="auto"/>
          <w:szCs w:val="21"/>
          <w:highlight w:val="none"/>
          <w:lang w:eastAsia="zh-CN"/>
        </w:rPr>
        <w:t>，</w:t>
      </w:r>
      <w:r>
        <w:rPr>
          <w:rFonts w:hint="eastAsia" w:ascii="Times New Roman" w:hAnsi="Times New Roman" w:cs="Times New Roman"/>
          <w:color w:val="auto"/>
          <w:szCs w:val="21"/>
          <w:highlight w:val="none"/>
        </w:rPr>
        <w:t>产品使用功能描述、产品结构分析，规格尺寸等细节清晰明确，产品设计规范合理，款式（结构）设计符合人体工学。</w:t>
      </w:r>
      <w:r>
        <w:rPr>
          <w:rFonts w:hint="eastAsia" w:ascii="Times New Roman" w:hAnsi="Times New Roman" w:cs="Times New Roman"/>
          <w:color w:val="auto"/>
          <w:szCs w:val="21"/>
          <w:highlight w:val="none"/>
        </w:rPr>
        <w:br w:type="textWrapping"/>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四档（</w:t>
      </w:r>
      <w:r>
        <w:rPr>
          <w:rFonts w:hint="eastAsia" w:ascii="Times New Roman" w:hAnsi="Times New Roman" w:cs="Times New Roman"/>
          <w:color w:val="auto"/>
          <w:szCs w:val="21"/>
          <w:highlight w:val="none"/>
          <w:lang w:val="en-US" w:eastAsia="zh-CN"/>
        </w:rPr>
        <w:t>10</w:t>
      </w:r>
      <w:r>
        <w:rPr>
          <w:rFonts w:hint="eastAsia" w:ascii="Times New Roman" w:hAnsi="Times New Roman" w:cs="Times New Roman"/>
          <w:color w:val="auto"/>
          <w:szCs w:val="21"/>
          <w:highlight w:val="none"/>
        </w:rPr>
        <w:t>分)：提供产品的设计结构图、产品效果图，产品使用功能描述清晰、完整，产品结构分析，规格尺寸等细节清晰明确，产品设计规范合理，款式（结构）设计符合人体工学，设计方案有特色有亮点（包括外观设计、款式结构、色彩搭配等）。</w:t>
      </w:r>
    </w:p>
    <w:p>
      <w:pPr>
        <w:spacing w:line="400" w:lineRule="exact"/>
        <w:rPr>
          <w:color w:val="auto"/>
          <w:szCs w:val="21"/>
          <w:highlight w:val="none"/>
        </w:rPr>
      </w:pPr>
      <w:r>
        <w:rPr>
          <w:rFonts w:hint="eastAsia"/>
          <w:color w:val="auto"/>
          <w:szCs w:val="21"/>
          <w:highlight w:val="none"/>
        </w:rPr>
        <w:t xml:space="preserve">   （注：不满足最低档要求该项得0分）</w:t>
      </w:r>
    </w:p>
    <w:p>
      <w:pPr>
        <w:spacing w:line="400" w:lineRule="exact"/>
        <w:rPr>
          <w:rFonts w:hint="eastAsia" w:eastAsia="宋体"/>
          <w:color w:val="auto"/>
          <w:szCs w:val="21"/>
          <w:highlight w:val="none"/>
          <w:lang w:eastAsia="zh-CN"/>
        </w:rPr>
      </w:pP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（3）产品性能分（满分</w:t>
      </w:r>
      <w:r>
        <w:rPr>
          <w:rFonts w:hint="eastAsia"/>
          <w:color w:val="auto"/>
          <w:szCs w:val="21"/>
          <w:highlight w:val="none"/>
          <w:lang w:val="en-US" w:eastAsia="zh-CN"/>
        </w:rPr>
        <w:t>15</w:t>
      </w:r>
      <w:r>
        <w:rPr>
          <w:rFonts w:hint="eastAsia"/>
          <w:color w:val="auto"/>
          <w:szCs w:val="21"/>
          <w:highlight w:val="none"/>
        </w:rPr>
        <w:t>分）</w:t>
      </w:r>
    </w:p>
    <w:p>
      <w:pPr>
        <w:spacing w:line="400" w:lineRule="exact"/>
        <w:ind w:firstLine="420" w:firstLineChars="200"/>
        <w:rPr>
          <w:rFonts w:hint="eastAsia"/>
          <w:color w:val="auto"/>
          <w:szCs w:val="21"/>
          <w:highlight w:val="none"/>
        </w:rPr>
      </w:pPr>
      <w:r>
        <w:rPr>
          <w:rFonts w:hint="eastAsia"/>
          <w:color w:val="auto"/>
          <w:szCs w:val="21"/>
          <w:highlight w:val="none"/>
          <w:lang w:val="en-US" w:eastAsia="zh-CN"/>
        </w:rPr>
        <w:t xml:space="preserve"> </w:t>
      </w:r>
      <w:r>
        <w:rPr>
          <w:rFonts w:hint="eastAsia"/>
          <w:color w:val="auto"/>
          <w:szCs w:val="21"/>
          <w:highlight w:val="none"/>
        </w:rPr>
        <w:t>提供2022年1月1日以来具有资质的第三方检验机构出具的符合以下要求的检验报告复印件；检验对象名称可以不完全一致，只需要相符；检验报告的送检单位必须是投标人、产品生产厂家、原材料生产厂家。（注：投标人需承诺检验报告中检测的材料在本次投标的产品中使用；检测的产品应与本次投标产品采用同样的材料和工艺生产。）</w:t>
      </w:r>
    </w:p>
    <w:p>
      <w:pPr>
        <w:pStyle w:val="29"/>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汉仪书宋二S" w:hAnsi="汉仪书宋二S" w:eastAsia="汉仪书宋二S" w:cs="汉仪书宋二S"/>
          <w:color w:val="auto"/>
          <w:kern w:val="2"/>
          <w:sz w:val="21"/>
          <w:szCs w:val="21"/>
          <w:highlight w:val="none"/>
          <w:lang w:val="en-US" w:eastAsia="zh-CN" w:bidi="ar-SA"/>
        </w:rPr>
        <w:t xml:space="preserve">    ①</w:t>
      </w:r>
      <w:r>
        <w:rPr>
          <w:rFonts w:hint="eastAsia" w:ascii="Times New Roman" w:hAnsi="Times New Roman" w:eastAsia="宋体" w:cs="Times New Roman"/>
          <w:color w:val="auto"/>
          <w:kern w:val="2"/>
          <w:sz w:val="21"/>
          <w:szCs w:val="21"/>
          <w:highlight w:val="none"/>
          <w:lang w:val="en-US" w:eastAsia="zh-CN" w:bidi="ar-SA"/>
        </w:rPr>
        <w:t>提供</w:t>
      </w:r>
      <w:r>
        <w:rPr>
          <w:rFonts w:hint="eastAsia" w:cs="Times New Roman"/>
          <w:color w:val="auto"/>
          <w:kern w:val="2"/>
          <w:sz w:val="21"/>
          <w:szCs w:val="21"/>
          <w:highlight w:val="none"/>
          <w:lang w:val="en-US" w:eastAsia="zh-CN" w:bidi="ar-SA"/>
        </w:rPr>
        <w:t>“刨花板”的</w:t>
      </w:r>
      <w:r>
        <w:rPr>
          <w:rFonts w:hint="eastAsia"/>
          <w:color w:val="auto"/>
          <w:szCs w:val="21"/>
          <w:highlight w:val="none"/>
        </w:rPr>
        <w:t>检验报告</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GB/T 15102-2017《浸渍胶膜纸饰面纤维板和刨花板》，检测内容包括但不限于：静曲强度、弹性模量、内结合强度、表面胶合强度、24h吸水厚度膨胀率%、含水率，提供有符合以上检测内容的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得1分；</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GB 18580-2017《室内装饰装修材料 人造板及其制品中甲醛释放限量》，检测内容包括但不限于：甲醛释放量，提供有符合以上检测内容的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得0.5分；</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JC/T2039-2010《抗菌防霉木质装饰板》，检测内容包括但不限于：防霉菌性能（出芽短梗霉）</w:t>
      </w: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得0.5分。本项满分2分。</w:t>
      </w:r>
    </w:p>
    <w:p>
      <w:pPr>
        <w:pStyle w:val="29"/>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 xml:space="preserve">    </w:t>
      </w:r>
      <w:r>
        <w:rPr>
          <w:rFonts w:hint="eastAsia" w:ascii="汉仪书宋二S" w:hAnsi="汉仪书宋二S" w:eastAsia="汉仪书宋二S" w:cs="汉仪书宋二S"/>
          <w:color w:val="auto"/>
          <w:kern w:val="2"/>
          <w:sz w:val="21"/>
          <w:szCs w:val="21"/>
          <w:highlight w:val="none"/>
          <w:lang w:val="en-US" w:eastAsia="zh-CN" w:bidi="ar-SA"/>
        </w:rPr>
        <w:t>②</w:t>
      </w:r>
      <w:r>
        <w:rPr>
          <w:rFonts w:hint="eastAsia" w:ascii="Times New Roman" w:hAnsi="Times New Roman" w:eastAsia="宋体" w:cs="Times New Roman"/>
          <w:color w:val="auto"/>
          <w:kern w:val="2"/>
          <w:sz w:val="21"/>
          <w:szCs w:val="21"/>
          <w:highlight w:val="none"/>
          <w:lang w:val="en-US" w:eastAsia="zh-CN" w:bidi="ar-SA"/>
        </w:rPr>
        <w:t>提供</w:t>
      </w:r>
      <w:r>
        <w:rPr>
          <w:rFonts w:hint="eastAsia" w:cs="Times New Roman"/>
          <w:b w:val="0"/>
          <w:bCs w:val="0"/>
          <w:color w:val="auto"/>
          <w:kern w:val="2"/>
          <w:sz w:val="21"/>
          <w:szCs w:val="21"/>
          <w:highlight w:val="none"/>
          <w:lang w:val="en" w:eastAsia="zh-CN" w:bidi="ar-SA"/>
        </w:rPr>
        <w:t>“</w:t>
      </w:r>
      <w:r>
        <w:rPr>
          <w:rFonts w:hint="eastAsia" w:ascii="Times New Roman" w:hAnsi="Times New Roman" w:eastAsia="宋体" w:cs="Times New Roman"/>
          <w:b w:val="0"/>
          <w:bCs w:val="0"/>
          <w:color w:val="auto"/>
          <w:kern w:val="2"/>
          <w:sz w:val="21"/>
          <w:szCs w:val="21"/>
          <w:highlight w:val="none"/>
          <w:lang w:val="en-US" w:eastAsia="zh-CN" w:bidi="ar-SA"/>
        </w:rPr>
        <w:t>三聚氰胺饰面纸</w:t>
      </w:r>
      <w:r>
        <w:rPr>
          <w:rFonts w:hint="eastAsia" w:cs="Times New Roman"/>
          <w:b w:val="0"/>
          <w:bCs w:val="0"/>
          <w:color w:val="auto"/>
          <w:kern w:val="2"/>
          <w:sz w:val="21"/>
          <w:szCs w:val="21"/>
          <w:highlight w:val="none"/>
          <w:lang w:val="en" w:eastAsia="zh-CN" w:bidi="ar-SA"/>
        </w:rPr>
        <w:t>”</w:t>
      </w:r>
      <w:r>
        <w:rPr>
          <w:rFonts w:hint="eastAsia" w:ascii="Times New Roman" w:hAnsi="Times New Roman" w:eastAsia="宋体" w:cs="Times New Roman"/>
          <w:color w:val="auto"/>
          <w:kern w:val="2"/>
          <w:sz w:val="21"/>
          <w:szCs w:val="21"/>
          <w:highlight w:val="none"/>
          <w:lang w:val="en-US" w:eastAsia="zh-CN" w:bidi="ar-SA"/>
        </w:rPr>
        <w:t>的</w:t>
      </w:r>
      <w:r>
        <w:rPr>
          <w:rFonts w:hint="default" w:cs="Times New Roman"/>
          <w:color w:val="auto"/>
          <w:kern w:val="2"/>
          <w:sz w:val="21"/>
          <w:szCs w:val="21"/>
          <w:highlight w:val="none"/>
          <w:lang w:val="en" w:eastAsia="zh-CN" w:bidi="ar-SA"/>
        </w:rPr>
        <w:t>检验报告</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GB/T-28995-2012《人造板饰面专用纸》，检测内容包括但不限于：甲醛释放量、挥发物含量、预固化度、耐磨转数，提供有符合以上检测内容的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得1分。本项满分1分。</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 xml:space="preserve">    </w:t>
      </w:r>
      <w:r>
        <w:rPr>
          <w:rFonts w:hint="eastAsia" w:ascii="汉仪书宋二S" w:hAnsi="汉仪书宋二S" w:eastAsia="汉仪书宋二S" w:cs="汉仪书宋二S"/>
          <w:color w:val="auto"/>
          <w:kern w:val="2"/>
          <w:sz w:val="21"/>
          <w:szCs w:val="21"/>
          <w:highlight w:val="none"/>
          <w:lang w:val="en-US" w:eastAsia="zh-CN" w:bidi="ar-SA"/>
        </w:rPr>
        <w:t>③</w:t>
      </w:r>
      <w:r>
        <w:rPr>
          <w:rFonts w:hint="eastAsia" w:ascii="Times New Roman" w:hAnsi="Times New Roman" w:eastAsia="宋体" w:cs="Times New Roman"/>
          <w:color w:val="auto"/>
          <w:kern w:val="2"/>
          <w:sz w:val="21"/>
          <w:szCs w:val="21"/>
          <w:highlight w:val="none"/>
          <w:lang w:val="en-US" w:eastAsia="zh-CN" w:bidi="ar-SA"/>
        </w:rPr>
        <w:t>提供</w:t>
      </w:r>
      <w:r>
        <w:rPr>
          <w:rFonts w:hint="eastAsia" w:cs="Times New Roman"/>
          <w:color w:val="auto"/>
          <w:kern w:val="2"/>
          <w:sz w:val="21"/>
          <w:szCs w:val="21"/>
          <w:highlight w:val="none"/>
          <w:lang w:val="en" w:eastAsia="zh-CN" w:bidi="ar-SA"/>
        </w:rPr>
        <w:t>“</w:t>
      </w:r>
      <w:r>
        <w:rPr>
          <w:rFonts w:hint="eastAsia" w:ascii="Times New Roman" w:hAnsi="Times New Roman" w:eastAsia="宋体" w:cs="Times New Roman"/>
          <w:b w:val="0"/>
          <w:bCs w:val="0"/>
          <w:color w:val="auto"/>
          <w:kern w:val="2"/>
          <w:sz w:val="21"/>
          <w:szCs w:val="21"/>
          <w:highlight w:val="none"/>
          <w:lang w:val="en-US" w:eastAsia="zh-CN" w:bidi="ar-SA"/>
        </w:rPr>
        <w:t>PVC封边条</w:t>
      </w:r>
      <w:r>
        <w:rPr>
          <w:rFonts w:hint="eastAsia" w:cs="Times New Roman"/>
          <w:color w:val="auto"/>
          <w:kern w:val="2"/>
          <w:sz w:val="21"/>
          <w:szCs w:val="21"/>
          <w:highlight w:val="none"/>
          <w:lang w:val="en" w:eastAsia="zh-CN" w:bidi="ar-SA"/>
        </w:rPr>
        <w:t>”</w:t>
      </w:r>
      <w:r>
        <w:rPr>
          <w:rFonts w:hint="eastAsia" w:ascii="Times New Roman" w:hAnsi="Times New Roman" w:eastAsia="宋体" w:cs="Times New Roman"/>
          <w:color w:val="auto"/>
          <w:kern w:val="2"/>
          <w:sz w:val="21"/>
          <w:szCs w:val="21"/>
          <w:highlight w:val="none"/>
          <w:lang w:val="en-US" w:eastAsia="zh-CN" w:bidi="ar-SA"/>
        </w:rPr>
        <w:t>的</w:t>
      </w:r>
      <w:r>
        <w:rPr>
          <w:rFonts w:hint="default" w:cs="Times New Roman"/>
          <w:color w:val="auto"/>
          <w:kern w:val="2"/>
          <w:sz w:val="21"/>
          <w:szCs w:val="21"/>
          <w:highlight w:val="none"/>
          <w:lang w:val="en" w:eastAsia="zh-CN" w:bidi="ar-SA"/>
        </w:rPr>
        <w:t>检验报告</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QB/T4463-2013《家具用封边条技术要求》，检测内容包括但不限于：耐干热性、耐磨性、耐开裂性、耐开裂性、耐老化性、耐冷热循环、甲醛释放量、可迁移元素</w:t>
      </w: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残留氯乙烯单体，提供有符合以上检测内容的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得1分</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本项满分</w:t>
      </w:r>
      <w:r>
        <w:rPr>
          <w:rFonts w:hint="eastAsia" w:ascii="Times New Roman" w:hAnsi="Times New Roman"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 xml:space="preserve">    </w:t>
      </w:r>
      <w:r>
        <w:rPr>
          <w:rFonts w:hint="eastAsia" w:ascii="汉仪书宋二S" w:hAnsi="汉仪书宋二S" w:eastAsia="汉仪书宋二S" w:cs="汉仪书宋二S"/>
          <w:color w:val="auto"/>
          <w:kern w:val="2"/>
          <w:sz w:val="21"/>
          <w:szCs w:val="21"/>
          <w:highlight w:val="none"/>
          <w:lang w:val="en-US" w:eastAsia="zh-CN" w:bidi="ar-SA"/>
        </w:rPr>
        <w:t>④</w:t>
      </w:r>
      <w:r>
        <w:rPr>
          <w:rFonts w:hint="eastAsia" w:ascii="Times New Roman" w:hAnsi="Times New Roman" w:eastAsia="宋体" w:cs="Times New Roman"/>
          <w:color w:val="auto"/>
          <w:kern w:val="2"/>
          <w:sz w:val="21"/>
          <w:szCs w:val="21"/>
          <w:highlight w:val="none"/>
          <w:lang w:val="en-US" w:eastAsia="zh-CN" w:bidi="ar-SA"/>
        </w:rPr>
        <w:t>提供“</w:t>
      </w:r>
      <w:r>
        <w:rPr>
          <w:rFonts w:hint="eastAsia" w:ascii="Times New Roman" w:hAnsi="Times New Roman" w:eastAsia="宋体" w:cs="Times New Roman"/>
          <w:b w:val="0"/>
          <w:bCs w:val="0"/>
          <w:color w:val="auto"/>
          <w:kern w:val="2"/>
          <w:sz w:val="21"/>
          <w:szCs w:val="21"/>
          <w:highlight w:val="none"/>
          <w:lang w:val="en-US" w:eastAsia="zh-CN" w:bidi="ar-SA"/>
        </w:rPr>
        <w:t>热熔胶”</w:t>
      </w:r>
      <w:r>
        <w:rPr>
          <w:rFonts w:hint="eastAsia" w:ascii="Times New Roman" w:hAnsi="Times New Roman" w:eastAsia="宋体" w:cs="Times New Roman"/>
          <w:color w:val="auto"/>
          <w:kern w:val="2"/>
          <w:sz w:val="21"/>
          <w:szCs w:val="21"/>
          <w:highlight w:val="none"/>
          <w:lang w:val="en-US" w:eastAsia="zh-CN" w:bidi="ar-SA"/>
        </w:rPr>
        <w:t>的</w:t>
      </w:r>
      <w:r>
        <w:rPr>
          <w:rFonts w:hint="default" w:cs="Times New Roman"/>
          <w:color w:val="auto"/>
          <w:kern w:val="2"/>
          <w:sz w:val="21"/>
          <w:szCs w:val="21"/>
          <w:highlight w:val="none"/>
          <w:lang w:val="en" w:eastAsia="zh-CN" w:bidi="ar-SA"/>
        </w:rPr>
        <w:t>检验报告</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GB 18583-2008《室内装饰装修材料 胶粘剂中有害物质限量》（水基型聚乙酸乙烯酯胶粘剂），</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内容至少包含但不限于：总挥发有机化合物,苯、甲苯+二甲苯、游离甲醛含量。提供有符合以上检测内容的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得1分，本项满分1分。</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 xml:space="preserve">    </w:t>
      </w:r>
      <w:r>
        <w:rPr>
          <w:rFonts w:hint="eastAsia" w:ascii="汉仪书宋二S" w:hAnsi="汉仪书宋二S" w:eastAsia="汉仪书宋二S" w:cs="汉仪书宋二S"/>
          <w:color w:val="auto"/>
          <w:kern w:val="2"/>
          <w:sz w:val="21"/>
          <w:szCs w:val="21"/>
          <w:highlight w:val="none"/>
          <w:lang w:val="en-US" w:eastAsia="zh-CN" w:bidi="ar-SA"/>
        </w:rPr>
        <w:t>⑤</w:t>
      </w:r>
      <w:r>
        <w:rPr>
          <w:rFonts w:hint="eastAsia" w:ascii="Times New Roman" w:hAnsi="Times New Roman" w:eastAsia="宋体" w:cs="Times New Roman"/>
          <w:color w:val="auto"/>
          <w:kern w:val="2"/>
          <w:sz w:val="21"/>
          <w:szCs w:val="21"/>
          <w:highlight w:val="none"/>
          <w:lang w:val="en-US" w:eastAsia="zh-CN" w:bidi="ar-SA"/>
        </w:rPr>
        <w:t>提供</w:t>
      </w:r>
      <w:r>
        <w:rPr>
          <w:rFonts w:hint="eastAsia" w:cs="Times New Roman"/>
          <w:color w:val="auto"/>
          <w:kern w:val="2"/>
          <w:sz w:val="21"/>
          <w:szCs w:val="21"/>
          <w:highlight w:val="none"/>
          <w:lang w:val="en" w:eastAsia="zh-CN" w:bidi="ar-SA"/>
        </w:rPr>
        <w:t>“</w:t>
      </w:r>
      <w:r>
        <w:rPr>
          <w:rFonts w:hint="eastAsia" w:ascii="Times New Roman" w:hAnsi="Times New Roman" w:eastAsia="宋体" w:cs="Times New Roman"/>
          <w:b w:val="0"/>
          <w:bCs w:val="0"/>
          <w:color w:val="auto"/>
          <w:kern w:val="2"/>
          <w:sz w:val="21"/>
          <w:szCs w:val="21"/>
          <w:highlight w:val="none"/>
          <w:lang w:val="en-US" w:eastAsia="zh-CN" w:bidi="ar-SA"/>
        </w:rPr>
        <w:t>油漆</w:t>
      </w:r>
      <w:r>
        <w:rPr>
          <w:rFonts w:hint="eastAsia" w:cs="Times New Roman"/>
          <w:color w:val="auto"/>
          <w:kern w:val="2"/>
          <w:sz w:val="21"/>
          <w:szCs w:val="21"/>
          <w:highlight w:val="none"/>
          <w:lang w:val="en" w:eastAsia="zh-CN" w:bidi="ar-SA"/>
        </w:rPr>
        <w:t>”</w:t>
      </w:r>
      <w:r>
        <w:rPr>
          <w:rFonts w:hint="eastAsia" w:ascii="Times New Roman" w:hAnsi="Times New Roman" w:eastAsia="宋体" w:cs="Times New Roman"/>
          <w:color w:val="auto"/>
          <w:kern w:val="2"/>
          <w:sz w:val="21"/>
          <w:szCs w:val="21"/>
          <w:highlight w:val="none"/>
          <w:lang w:val="en-US" w:eastAsia="zh-CN" w:bidi="ar-SA"/>
        </w:rPr>
        <w:t>的</w:t>
      </w:r>
      <w:r>
        <w:rPr>
          <w:rFonts w:hint="default" w:cs="Times New Roman"/>
          <w:color w:val="auto"/>
          <w:kern w:val="2"/>
          <w:sz w:val="21"/>
          <w:szCs w:val="21"/>
          <w:highlight w:val="none"/>
          <w:lang w:val="en" w:eastAsia="zh-CN" w:bidi="ar-SA"/>
        </w:rPr>
        <w:t>检验报告</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GB 18581-2020《木器涂料中有害物质限量》，检测结果包括但不限于以下内容：VOC 含量、总铅（Pb）含量、可溶性重金属含量（镉含量、铬含量、汞含量）、乙二醇醚及醚酯总和含量、苯含量、甲苯与二甲苯（含乙苯）总和含量、多环芳烃总和含量（限萘、蒽）、游离二异氰酸酯总和含量、卤代烃总和含量，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得1分；检测依据GB/T 21866-2008《抗菌涂料(漆膜)抗菌性能》，检测结果包括但不限于以下内容：抗细菌性能（痤疮丙酸杆菌、表皮葡萄球菌 抗细菌率≥99.95%），提供有符合以上检测内容的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得1分。本项满分2分</w:t>
      </w:r>
      <w:r>
        <w:rPr>
          <w:rFonts w:hint="eastAsia" w:cs="Times New Roman"/>
          <w:color w:val="auto"/>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 xml:space="preserve">    </w:t>
      </w:r>
      <w:r>
        <w:rPr>
          <w:rFonts w:hint="eastAsia" w:ascii="汉仪书宋二S" w:hAnsi="汉仪书宋二S" w:eastAsia="汉仪书宋二S" w:cs="汉仪书宋二S"/>
          <w:color w:val="auto"/>
          <w:kern w:val="2"/>
          <w:sz w:val="21"/>
          <w:szCs w:val="21"/>
          <w:highlight w:val="none"/>
          <w:lang w:val="en-US" w:eastAsia="zh-CN" w:bidi="ar-SA"/>
        </w:rPr>
        <w:t>⑥</w:t>
      </w:r>
      <w:r>
        <w:rPr>
          <w:rFonts w:hint="eastAsia" w:ascii="Times New Roman" w:hAnsi="Times New Roman" w:eastAsia="宋体" w:cs="Times New Roman"/>
          <w:color w:val="auto"/>
          <w:kern w:val="2"/>
          <w:sz w:val="21"/>
          <w:szCs w:val="21"/>
          <w:highlight w:val="none"/>
          <w:lang w:val="en-US" w:eastAsia="zh-CN" w:bidi="ar-SA"/>
        </w:rPr>
        <w:t>提供“</w:t>
      </w:r>
      <w:r>
        <w:rPr>
          <w:rFonts w:hint="eastAsia" w:ascii="Times New Roman" w:hAnsi="Times New Roman" w:eastAsia="宋体" w:cs="Times New Roman"/>
          <w:b w:val="0"/>
          <w:bCs w:val="0"/>
          <w:color w:val="auto"/>
          <w:kern w:val="2"/>
          <w:sz w:val="21"/>
          <w:szCs w:val="21"/>
          <w:highlight w:val="none"/>
          <w:lang w:val="en-US" w:eastAsia="zh-CN" w:bidi="ar-SA"/>
        </w:rPr>
        <w:t>塑粉</w:t>
      </w:r>
      <w:r>
        <w:rPr>
          <w:rFonts w:hint="eastAsia" w:ascii="Times New Roman" w:hAnsi="Times New Roman" w:eastAsia="宋体" w:cs="Times New Roman"/>
          <w:color w:val="auto"/>
          <w:kern w:val="2"/>
          <w:sz w:val="21"/>
          <w:szCs w:val="21"/>
          <w:highlight w:val="none"/>
          <w:lang w:val="en-US" w:eastAsia="zh-CN" w:bidi="ar-SA"/>
        </w:rPr>
        <w:t>”的</w:t>
      </w:r>
      <w:r>
        <w:rPr>
          <w:rFonts w:hint="default" w:cs="Times New Roman"/>
          <w:color w:val="auto"/>
          <w:kern w:val="2"/>
          <w:sz w:val="21"/>
          <w:szCs w:val="21"/>
          <w:highlight w:val="none"/>
          <w:lang w:val="en" w:eastAsia="zh-CN" w:bidi="ar-SA"/>
        </w:rPr>
        <w:t>检验报告</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 xml:space="preserve"> HG/T 2006-2022《热固性和热塑性粉末涂料》，检测内容包括但不限于：外观、筛余物、胶化时间、密度、涂（漆）膜外观、附着力、铅笔硬度、耐冲击性、弯曲试验、杯突试验，光泽（60°）、耐磨性、耐沸水性，耐碱性，耐酸性，耐盐雾，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w:t>
      </w:r>
      <w:r>
        <w:rPr>
          <w:rFonts w:hint="eastAsia" w:ascii="Times New Roman" w:hAnsi="Times New Roman"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分。本项满分</w:t>
      </w:r>
      <w:r>
        <w:rPr>
          <w:rFonts w:hint="eastAsia" w:ascii="Times New Roman" w:hAnsi="Times New Roman"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 xml:space="preserve">    </w:t>
      </w:r>
      <w:r>
        <w:rPr>
          <w:rFonts w:hint="eastAsia" w:ascii="汉仪书宋二S" w:hAnsi="汉仪书宋二S" w:eastAsia="汉仪书宋二S" w:cs="汉仪书宋二S"/>
          <w:color w:val="auto"/>
          <w:kern w:val="2"/>
          <w:sz w:val="21"/>
          <w:szCs w:val="21"/>
          <w:highlight w:val="none"/>
          <w:lang w:val="en-US" w:eastAsia="zh-CN" w:bidi="ar-SA"/>
        </w:rPr>
        <w:t>⑦</w:t>
      </w:r>
      <w:r>
        <w:rPr>
          <w:rFonts w:hint="eastAsia" w:ascii="Times New Roman" w:hAnsi="Times New Roman" w:eastAsia="宋体" w:cs="Times New Roman"/>
          <w:color w:val="auto"/>
          <w:kern w:val="2"/>
          <w:sz w:val="21"/>
          <w:szCs w:val="21"/>
          <w:highlight w:val="none"/>
          <w:lang w:val="en-US" w:eastAsia="zh-CN" w:bidi="ar-SA"/>
        </w:rPr>
        <w:t>提</w:t>
      </w:r>
      <w:r>
        <w:rPr>
          <w:rFonts w:hint="eastAsia" w:cs="Times New Roman"/>
          <w:color w:val="auto"/>
          <w:kern w:val="2"/>
          <w:sz w:val="21"/>
          <w:szCs w:val="21"/>
          <w:highlight w:val="none"/>
          <w:lang w:val="en-US" w:eastAsia="zh-CN" w:bidi="ar-SA"/>
        </w:rPr>
        <w:t>供第</w:t>
      </w:r>
      <w:r>
        <w:rPr>
          <w:rFonts w:hint="eastAsia" w:cs="Times New Roman"/>
          <w:color w:val="auto"/>
          <w:kern w:val="2"/>
          <w:sz w:val="21"/>
          <w:szCs w:val="21"/>
          <w:highlight w:val="none"/>
          <w:lang w:val="en" w:eastAsia="zh-CN" w:bidi="ar-SA"/>
        </w:rPr>
        <w:t>“</w:t>
      </w:r>
      <w:r>
        <w:rPr>
          <w:rFonts w:hint="eastAsia" w:ascii="Times New Roman" w:hAnsi="Times New Roman" w:eastAsia="宋体" w:cs="Times New Roman"/>
          <w:b w:val="0"/>
          <w:bCs w:val="0"/>
          <w:color w:val="auto"/>
          <w:kern w:val="2"/>
          <w:sz w:val="21"/>
          <w:szCs w:val="21"/>
          <w:highlight w:val="none"/>
          <w:lang w:val="en-US" w:eastAsia="zh-CN" w:bidi="ar-SA"/>
        </w:rPr>
        <w:t>多层板（胶合板）</w:t>
      </w:r>
      <w:r>
        <w:rPr>
          <w:rFonts w:hint="eastAsia" w:cs="Times New Roman"/>
          <w:color w:val="auto"/>
          <w:kern w:val="2"/>
          <w:sz w:val="21"/>
          <w:szCs w:val="21"/>
          <w:highlight w:val="none"/>
          <w:lang w:val="en" w:eastAsia="zh-CN" w:bidi="ar-SA"/>
        </w:rPr>
        <w:t>”</w:t>
      </w:r>
      <w:r>
        <w:rPr>
          <w:rFonts w:hint="eastAsia" w:ascii="Times New Roman" w:hAnsi="Times New Roman" w:eastAsia="宋体" w:cs="Times New Roman"/>
          <w:color w:val="auto"/>
          <w:kern w:val="2"/>
          <w:sz w:val="21"/>
          <w:szCs w:val="21"/>
          <w:highlight w:val="none"/>
          <w:lang w:val="en-US" w:eastAsia="zh-CN" w:bidi="ar-SA"/>
        </w:rPr>
        <w:t>的</w:t>
      </w:r>
      <w:r>
        <w:rPr>
          <w:rFonts w:hint="default" w:cs="Times New Roman"/>
          <w:color w:val="auto"/>
          <w:kern w:val="2"/>
          <w:sz w:val="21"/>
          <w:szCs w:val="21"/>
          <w:highlight w:val="none"/>
          <w:lang w:val="en" w:eastAsia="zh-CN" w:bidi="ar-SA"/>
        </w:rPr>
        <w:t>检验报告</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GB/T 34722-2017《浸渍胶膜纸饰面胶合板和细木工板》</w:t>
      </w: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检测内容包括但不限于：甲醛释放量（气候箱法E1≤0.124mg/m³）、含水率6.0%-16.0%、表面胶合强度、表面耐磨、表面耐香烟灼烧、表面</w:t>
      </w:r>
      <w:r>
        <w:rPr>
          <w:rFonts w:hint="eastAsia" w:ascii="Times New Roman" w:hAnsi="Times New Roman" w:cs="Times New Roman"/>
          <w:color w:val="auto"/>
          <w:kern w:val="2"/>
          <w:sz w:val="21"/>
          <w:szCs w:val="21"/>
          <w:highlight w:val="none"/>
          <w:lang w:val="en-US" w:eastAsia="zh-CN" w:bidi="ar-SA"/>
        </w:rPr>
        <w:t>耐</w:t>
      </w:r>
      <w:r>
        <w:rPr>
          <w:rFonts w:hint="eastAsia" w:ascii="Times New Roman" w:hAnsi="Times New Roman" w:eastAsia="宋体" w:cs="Times New Roman"/>
          <w:color w:val="auto"/>
          <w:kern w:val="2"/>
          <w:sz w:val="21"/>
          <w:szCs w:val="21"/>
          <w:highlight w:val="none"/>
          <w:lang w:val="en-US" w:eastAsia="zh-CN" w:bidi="ar-SA"/>
        </w:rPr>
        <w:t>干热性、表面耐污染腐蚀、表面耐龟裂、表面耐水蒸气，提供有符合以上检测内容的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得1分；检测依据《LY/T 1985-2011 防腐木材和人造板中五氯苯酚含量》的测定方法，检测内容包含但不限于以下：五氯苯酚含量，提供有符合以上检测内容的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w:t>
      </w:r>
      <w:r>
        <w:rPr>
          <w:rFonts w:hint="eastAsia" w:ascii="Times New Roman" w:hAnsi="Times New Roman"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本项满分2分。</w:t>
      </w:r>
    </w:p>
    <w:p>
      <w:pPr>
        <w:pStyle w:val="6"/>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 xml:space="preserve">    </w:t>
      </w:r>
      <w:r>
        <w:rPr>
          <w:rFonts w:hint="eastAsia" w:ascii="汉仪书宋二S" w:hAnsi="汉仪书宋二S" w:eastAsia="汉仪书宋二S" w:cs="汉仪书宋二S"/>
          <w:color w:val="auto"/>
          <w:kern w:val="2"/>
          <w:sz w:val="21"/>
          <w:szCs w:val="21"/>
          <w:highlight w:val="none"/>
          <w:lang w:val="en-US" w:eastAsia="zh-CN" w:bidi="ar-SA"/>
        </w:rPr>
        <w:t>⑧</w:t>
      </w:r>
      <w:r>
        <w:rPr>
          <w:rFonts w:hint="eastAsia" w:ascii="Times New Roman" w:hAnsi="Times New Roman" w:eastAsia="宋体" w:cs="Times New Roman"/>
          <w:color w:val="auto"/>
          <w:kern w:val="2"/>
          <w:sz w:val="21"/>
          <w:szCs w:val="21"/>
          <w:highlight w:val="none"/>
          <w:lang w:val="en-US" w:eastAsia="zh-CN" w:bidi="ar-SA"/>
        </w:rPr>
        <w:t>提供</w:t>
      </w:r>
      <w:r>
        <w:rPr>
          <w:rFonts w:hint="eastAsia" w:cs="Times New Roman"/>
          <w:color w:val="auto"/>
          <w:kern w:val="2"/>
          <w:sz w:val="21"/>
          <w:szCs w:val="21"/>
          <w:highlight w:val="none"/>
          <w:lang w:val="en" w:eastAsia="zh-CN" w:bidi="ar-SA"/>
        </w:rPr>
        <w:t>“</w:t>
      </w:r>
      <w:r>
        <w:rPr>
          <w:rFonts w:hint="eastAsia" w:ascii="Times New Roman" w:hAnsi="Times New Roman" w:eastAsia="宋体" w:cs="Times New Roman"/>
          <w:b w:val="0"/>
          <w:bCs w:val="0"/>
          <w:color w:val="auto"/>
          <w:kern w:val="2"/>
          <w:sz w:val="21"/>
          <w:szCs w:val="21"/>
          <w:highlight w:val="none"/>
          <w:lang w:val="en-US" w:eastAsia="zh-CN" w:bidi="ar-SA"/>
        </w:rPr>
        <w:t>钢化玻璃</w:t>
      </w:r>
      <w:r>
        <w:rPr>
          <w:rFonts w:hint="eastAsia" w:cs="Times New Roman"/>
          <w:color w:val="auto"/>
          <w:kern w:val="2"/>
          <w:sz w:val="21"/>
          <w:szCs w:val="21"/>
          <w:highlight w:val="none"/>
          <w:lang w:val="en" w:eastAsia="zh-CN" w:bidi="ar-SA"/>
        </w:rPr>
        <w:t>”</w:t>
      </w:r>
      <w:r>
        <w:rPr>
          <w:rFonts w:hint="eastAsia" w:ascii="Times New Roman" w:hAnsi="Times New Roman" w:eastAsia="宋体" w:cs="Times New Roman"/>
          <w:color w:val="auto"/>
          <w:kern w:val="2"/>
          <w:sz w:val="21"/>
          <w:szCs w:val="21"/>
          <w:highlight w:val="none"/>
          <w:lang w:val="en-US" w:eastAsia="zh-CN" w:bidi="ar-SA"/>
        </w:rPr>
        <w:t>的</w:t>
      </w:r>
      <w:r>
        <w:rPr>
          <w:rFonts w:hint="default" w:cs="Times New Roman"/>
          <w:color w:val="auto"/>
          <w:kern w:val="2"/>
          <w:sz w:val="21"/>
          <w:szCs w:val="21"/>
          <w:highlight w:val="none"/>
          <w:lang w:val="en" w:eastAsia="zh-CN" w:bidi="ar-SA"/>
        </w:rPr>
        <w:t>检验报告</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GB/T26695-2011《家具用钢化玻璃板》，检测内容包括但不限于：碎片状态、弯曲度、外观性能要求、外观质量（点状缺陷、点状缺陷密集度、划伤、裂纹、断面缺陷、线道、夹钳印），提供有符合以上检测内容的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w:t>
      </w:r>
      <w:r>
        <w:rPr>
          <w:rFonts w:hint="eastAsia" w:ascii="Times New Roman" w:hAnsi="Times New Roman"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分。本项满分</w:t>
      </w:r>
      <w:r>
        <w:rPr>
          <w:rFonts w:hint="eastAsia" w:ascii="Times New Roman" w:hAnsi="Times New Roman"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 xml:space="preserve">    ⑨</w:t>
      </w:r>
      <w:r>
        <w:rPr>
          <w:rFonts w:hint="eastAsia" w:ascii="Times New Roman" w:hAnsi="Times New Roman" w:eastAsia="宋体" w:cs="Times New Roman"/>
          <w:color w:val="auto"/>
          <w:kern w:val="2"/>
          <w:sz w:val="21"/>
          <w:szCs w:val="21"/>
          <w:highlight w:val="none"/>
          <w:lang w:val="en-US" w:eastAsia="zh-CN" w:bidi="ar-SA"/>
        </w:rPr>
        <w:t>提供</w:t>
      </w:r>
      <w:r>
        <w:rPr>
          <w:rFonts w:hint="eastAsia" w:cs="Times New Roman"/>
          <w:color w:val="auto"/>
          <w:kern w:val="2"/>
          <w:sz w:val="21"/>
          <w:szCs w:val="21"/>
          <w:highlight w:val="none"/>
          <w:lang w:val="en" w:eastAsia="zh-CN" w:bidi="ar-SA"/>
        </w:rPr>
        <w:t>“</w:t>
      </w:r>
      <w:r>
        <w:rPr>
          <w:rFonts w:hint="eastAsia" w:ascii="Times New Roman" w:hAnsi="Times New Roman" w:eastAsia="宋体" w:cs="Times New Roman"/>
          <w:b w:val="0"/>
          <w:bCs w:val="0"/>
          <w:color w:val="auto"/>
          <w:kern w:val="2"/>
          <w:sz w:val="21"/>
          <w:szCs w:val="21"/>
          <w:highlight w:val="none"/>
          <w:lang w:val="en-US" w:eastAsia="zh-CN" w:bidi="ar-SA"/>
        </w:rPr>
        <w:t>双人课桌</w:t>
      </w:r>
      <w:r>
        <w:rPr>
          <w:rFonts w:hint="eastAsia" w:cs="Times New Roman"/>
          <w:color w:val="auto"/>
          <w:kern w:val="2"/>
          <w:sz w:val="21"/>
          <w:szCs w:val="21"/>
          <w:highlight w:val="none"/>
          <w:lang w:val="en" w:eastAsia="zh-CN" w:bidi="ar-SA"/>
        </w:rPr>
        <w:t>”</w:t>
      </w:r>
      <w:r>
        <w:rPr>
          <w:rFonts w:hint="default" w:cs="Times New Roman"/>
          <w:color w:val="auto"/>
          <w:kern w:val="2"/>
          <w:sz w:val="21"/>
          <w:szCs w:val="21"/>
          <w:highlight w:val="none"/>
          <w:lang w:val="en" w:eastAsia="zh-CN" w:bidi="ar-SA"/>
        </w:rPr>
        <w:t>类</w:t>
      </w:r>
      <w:r>
        <w:rPr>
          <w:rFonts w:hint="eastAsia" w:ascii="Times New Roman" w:hAnsi="Times New Roman" w:eastAsia="宋体" w:cs="Times New Roman"/>
          <w:color w:val="auto"/>
          <w:kern w:val="2"/>
          <w:sz w:val="21"/>
          <w:szCs w:val="21"/>
          <w:highlight w:val="none"/>
          <w:lang w:val="en-US" w:eastAsia="zh-CN" w:bidi="ar-SA"/>
        </w:rPr>
        <w:t>的</w:t>
      </w:r>
      <w:r>
        <w:rPr>
          <w:rFonts w:hint="default" w:cs="Times New Roman"/>
          <w:color w:val="auto"/>
          <w:kern w:val="2"/>
          <w:sz w:val="21"/>
          <w:szCs w:val="21"/>
          <w:highlight w:val="none"/>
          <w:lang w:val="en" w:eastAsia="zh-CN" w:bidi="ar-SA"/>
        </w:rPr>
        <w:t>检验报告</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QB/T 4071-2021《课桌椅》，检测内容包含但不限于以下内容：形状和位置公差、金属外观、塑料件、木制件外观、桌面垂直静载荷、桌面垂直耐久性、桌面垂直冲击、桌腿跌落、桌面水平静载荷，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得1分；</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 xml:space="preserve"> GB/T35607-2024《绿色产品评价家具》，检测内容包含但不限于以下：甲醛释放量、苯、甲苯、二甲苯、TVOC、家具涂层可迁移元素，提供有符合以上检测内容的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w:t>
      </w:r>
      <w:r>
        <w:rPr>
          <w:rFonts w:hint="eastAsia" w:ascii="Times New Roman" w:hAnsi="Times New Roman"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本项满分2分。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⑩提供</w:t>
      </w:r>
      <w:r>
        <w:rPr>
          <w:rFonts w:hint="eastAsia" w:cs="Times New Roman"/>
          <w:color w:val="auto"/>
          <w:kern w:val="2"/>
          <w:sz w:val="21"/>
          <w:szCs w:val="21"/>
          <w:highlight w:val="none"/>
          <w:lang w:val="en" w:eastAsia="zh-CN" w:bidi="ar-SA"/>
        </w:rPr>
        <w:t>“</w:t>
      </w:r>
      <w:r>
        <w:rPr>
          <w:rFonts w:hint="eastAsia" w:ascii="Times New Roman" w:hAnsi="Times New Roman" w:eastAsia="宋体" w:cs="Times New Roman"/>
          <w:b w:val="0"/>
          <w:bCs w:val="0"/>
          <w:color w:val="auto"/>
          <w:kern w:val="2"/>
          <w:sz w:val="21"/>
          <w:szCs w:val="21"/>
          <w:highlight w:val="none"/>
          <w:lang w:val="en-US" w:eastAsia="zh-CN" w:bidi="ar-SA"/>
        </w:rPr>
        <w:t>学习椅</w:t>
      </w:r>
      <w:r>
        <w:rPr>
          <w:rFonts w:hint="default" w:cs="Times New Roman"/>
          <w:b w:val="0"/>
          <w:bCs w:val="0"/>
          <w:color w:val="auto"/>
          <w:kern w:val="2"/>
          <w:sz w:val="21"/>
          <w:szCs w:val="21"/>
          <w:highlight w:val="none"/>
          <w:lang w:val="en" w:eastAsia="zh-CN" w:bidi="ar-SA"/>
        </w:rPr>
        <w:t>/学生椅</w:t>
      </w:r>
      <w:r>
        <w:rPr>
          <w:rFonts w:hint="eastAsia" w:cs="Times New Roman"/>
          <w:color w:val="auto"/>
          <w:kern w:val="2"/>
          <w:sz w:val="21"/>
          <w:szCs w:val="21"/>
          <w:highlight w:val="none"/>
          <w:lang w:val="en" w:eastAsia="zh-CN" w:bidi="ar-SA"/>
        </w:rPr>
        <w:t>”</w:t>
      </w:r>
      <w:r>
        <w:rPr>
          <w:rFonts w:hint="default" w:cs="Times New Roman"/>
          <w:color w:val="auto"/>
          <w:kern w:val="2"/>
          <w:sz w:val="21"/>
          <w:szCs w:val="21"/>
          <w:highlight w:val="none"/>
          <w:lang w:val="en" w:eastAsia="zh-CN" w:bidi="ar-SA"/>
        </w:rPr>
        <w:t>类</w:t>
      </w:r>
      <w:r>
        <w:rPr>
          <w:rFonts w:hint="eastAsia" w:ascii="Times New Roman" w:hAnsi="Times New Roman" w:eastAsia="宋体" w:cs="Times New Roman"/>
          <w:color w:val="auto"/>
          <w:kern w:val="2"/>
          <w:sz w:val="21"/>
          <w:szCs w:val="21"/>
          <w:highlight w:val="none"/>
          <w:lang w:val="en-US" w:eastAsia="zh-CN" w:bidi="ar-SA"/>
        </w:rPr>
        <w:t>的</w:t>
      </w:r>
      <w:r>
        <w:rPr>
          <w:rFonts w:hint="default" w:cs="Times New Roman"/>
          <w:color w:val="auto"/>
          <w:kern w:val="2"/>
          <w:sz w:val="21"/>
          <w:szCs w:val="21"/>
          <w:highlight w:val="none"/>
          <w:lang w:val="en" w:eastAsia="zh-CN" w:bidi="ar-SA"/>
        </w:rPr>
        <w:t>检验报告</w:t>
      </w:r>
      <w:r>
        <w:rPr>
          <w:rFonts w:hint="eastAsia"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QB/T 4071-2021《课桌椅》</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检测内容包含但不限于以下内容：外观要求</w:t>
      </w: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形状与位置公差</w:t>
      </w: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表面理化性能要求（金属喷涂层：抗盐雾24h、抗冲击、附着力）</w:t>
      </w: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可迁移元素、邻苯二甲酸酯的总量、可溶性重金属、多环芳烃、多溴联苯、多溴二苯醚，甲醛释放量≤0.5mg/L</w:t>
      </w:r>
      <w:r>
        <w:rPr>
          <w:rFonts w:hint="eastAsia" w:ascii="Times New Roman" w:hAnsi="Times New Roman" w:cs="Times New Roman"/>
          <w:color w:val="auto"/>
          <w:kern w:val="2"/>
          <w:sz w:val="21"/>
          <w:szCs w:val="21"/>
          <w:highlight w:val="none"/>
          <w:lang w:val="en-US" w:eastAsia="zh-CN" w:bidi="ar-SA"/>
        </w:rPr>
        <w:t>、力</w:t>
      </w:r>
      <w:r>
        <w:rPr>
          <w:rFonts w:hint="eastAsia" w:ascii="Times New Roman" w:hAnsi="Times New Roman" w:eastAsia="宋体" w:cs="Times New Roman"/>
          <w:color w:val="auto"/>
          <w:kern w:val="2"/>
          <w:sz w:val="21"/>
          <w:szCs w:val="21"/>
          <w:highlight w:val="none"/>
          <w:lang w:val="en-US" w:eastAsia="zh-CN" w:bidi="ar-SA"/>
        </w:rPr>
        <w:t>学性能（椅子向前翻试验、椅子向后翻试验、座面椅背联合静载荷、椅腿跌落试验），提供有符合以上检测内容的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得1分；</w:t>
      </w:r>
      <w:r>
        <w:rPr>
          <w:rFonts w:hint="eastAsia" w:cs="Times New Roman"/>
          <w:color w:val="auto"/>
          <w:kern w:val="2"/>
          <w:sz w:val="21"/>
          <w:szCs w:val="21"/>
          <w:highlight w:val="none"/>
          <w:lang w:val="en-US" w:eastAsia="zh-CN" w:bidi="ar-SA"/>
        </w:rPr>
        <w:t>检测依据为</w:t>
      </w:r>
      <w:r>
        <w:rPr>
          <w:rFonts w:hint="eastAsia" w:ascii="Times New Roman" w:hAnsi="Times New Roman" w:eastAsia="宋体" w:cs="Times New Roman"/>
          <w:color w:val="auto"/>
          <w:kern w:val="2"/>
          <w:sz w:val="21"/>
          <w:szCs w:val="21"/>
          <w:highlight w:val="none"/>
          <w:lang w:val="en-US" w:eastAsia="zh-CN" w:bidi="ar-SA"/>
        </w:rPr>
        <w:t>GB/T35607-2024《绿色产品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评价家具》，检测内容包含但不限于以下：苯、甲苯、二甲苯、TVOC，提供有符合以上检测内容的</w:t>
      </w:r>
      <w:r>
        <w:rPr>
          <w:rFonts w:hint="eastAsia" w:cs="Times New Roman"/>
          <w:color w:val="auto"/>
          <w:kern w:val="2"/>
          <w:sz w:val="21"/>
          <w:szCs w:val="21"/>
          <w:highlight w:val="none"/>
          <w:lang w:val="en-US" w:eastAsia="zh-CN" w:bidi="ar-SA"/>
        </w:rPr>
        <w:t>检验报告</w:t>
      </w:r>
      <w:r>
        <w:rPr>
          <w:rFonts w:hint="eastAsia" w:ascii="Times New Roman" w:hAnsi="Times New Roman" w:eastAsia="宋体" w:cs="Times New Roman"/>
          <w:color w:val="auto"/>
          <w:kern w:val="2"/>
          <w:sz w:val="21"/>
          <w:szCs w:val="21"/>
          <w:highlight w:val="none"/>
          <w:lang w:val="en-US" w:eastAsia="zh-CN" w:bidi="ar-SA"/>
        </w:rPr>
        <w:t>得</w:t>
      </w:r>
      <w:r>
        <w:rPr>
          <w:rFonts w:hint="eastAsia" w:ascii="Times New Roman" w:hAnsi="Times New Roman"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分。本项满分2分。</w:t>
      </w:r>
      <w:r>
        <w:rPr>
          <w:rFonts w:hint="eastAsia"/>
          <w:color w:val="auto"/>
          <w:szCs w:val="21"/>
          <w:highlight w:val="none"/>
        </w:rPr>
        <w:t xml:space="preserve"> </w:t>
      </w:r>
    </w:p>
    <w:p>
      <w:pPr>
        <w:spacing w:line="400" w:lineRule="exact"/>
        <w:ind w:firstLine="420" w:firstLineChars="200"/>
        <w:rPr>
          <w:color w:val="auto"/>
          <w:szCs w:val="21"/>
          <w:highlight w:val="none"/>
        </w:rPr>
      </w:pPr>
      <w:r>
        <w:rPr>
          <w:rFonts w:hint="eastAsia"/>
          <w:color w:val="auto"/>
          <w:szCs w:val="21"/>
          <w:highlight w:val="none"/>
        </w:rPr>
        <w:t>（4）产品生产能力分（满分</w:t>
      </w:r>
      <w:r>
        <w:rPr>
          <w:rFonts w:hint="eastAsia"/>
          <w:color w:val="auto"/>
          <w:szCs w:val="21"/>
          <w:highlight w:val="none"/>
          <w:lang w:val="en-US" w:eastAsia="zh-CN"/>
        </w:rPr>
        <w:t>11</w:t>
      </w:r>
      <w:r>
        <w:rPr>
          <w:rFonts w:hint="eastAsia"/>
          <w:color w:val="auto"/>
          <w:szCs w:val="21"/>
          <w:highlight w:val="none"/>
        </w:rPr>
        <w:t>分）</w:t>
      </w:r>
    </w:p>
    <w:p>
      <w:pPr>
        <w:spacing w:line="400" w:lineRule="exact"/>
        <w:ind w:firstLine="420" w:firstLineChars="200"/>
        <w:rPr>
          <w:rFonts w:hint="eastAsia"/>
          <w:color w:val="auto"/>
          <w:szCs w:val="21"/>
          <w:highlight w:val="none"/>
        </w:rPr>
      </w:pPr>
      <w:r>
        <w:rPr>
          <w:rFonts w:hint="eastAsia"/>
          <w:color w:val="auto"/>
          <w:szCs w:val="21"/>
          <w:highlight w:val="none"/>
        </w:rPr>
        <w:t>根据本项目货物采购需求，为了满足产品质量要求，投标人或生产厂家提供与本项目货物生产相关的生产设备、生产场地、生产计划和技术人员、质量管控措施等进行综合评定，专家评委根据综合评定进行打分。</w:t>
      </w:r>
    </w:p>
    <w:p>
      <w:pPr>
        <w:spacing w:line="400" w:lineRule="exact"/>
        <w:ind w:firstLine="420" w:firstLineChars="200"/>
        <w:rPr>
          <w:rFonts w:hint="eastAsia"/>
          <w:color w:val="auto"/>
          <w:szCs w:val="21"/>
          <w:highlight w:val="none"/>
        </w:rPr>
      </w:pPr>
      <w:r>
        <w:rPr>
          <w:rFonts w:hint="eastAsia"/>
          <w:color w:val="auto"/>
          <w:szCs w:val="21"/>
          <w:highlight w:val="none"/>
        </w:rPr>
        <w:t>①提供与本项目货物生产相关的生产设备（或同等功能的设备）证明材料，包含：喷涂（喷塑）设备、机器人焊接手、激光切管机、数控弯管机、柔性折弯中心、激光切割中心、电子裁板锯、起重机、空压机、封边机；每提供一项设备得0.5分，满分5分。（提供设备购置发票或租赁合同等扫描件、提供设备现场作业真实图片）</w:t>
      </w:r>
    </w:p>
    <w:p>
      <w:pPr>
        <w:spacing w:line="400" w:lineRule="exact"/>
        <w:ind w:firstLine="420" w:firstLineChars="200"/>
        <w:rPr>
          <w:rFonts w:hint="eastAsia"/>
          <w:color w:val="auto"/>
          <w:szCs w:val="21"/>
          <w:highlight w:val="none"/>
        </w:rPr>
      </w:pPr>
      <w:r>
        <w:rPr>
          <w:rFonts w:hint="eastAsia"/>
          <w:color w:val="auto"/>
          <w:szCs w:val="21"/>
          <w:highlight w:val="none"/>
        </w:rPr>
        <w:t>②投标人提供生产场地证明材料，生产场地真实图片，提供证明材料得2分，（提供生产场地产权证明或租赁合同、生产车间照片、仓库照片等）</w:t>
      </w:r>
    </w:p>
    <w:p>
      <w:pPr>
        <w:spacing w:line="400" w:lineRule="exact"/>
        <w:ind w:firstLine="420" w:firstLineChars="200"/>
        <w:rPr>
          <w:rFonts w:hint="eastAsia"/>
          <w:color w:val="auto"/>
          <w:szCs w:val="21"/>
          <w:highlight w:val="none"/>
        </w:rPr>
      </w:pPr>
      <w:r>
        <w:rPr>
          <w:rFonts w:hint="eastAsia"/>
          <w:color w:val="auto"/>
          <w:szCs w:val="21"/>
          <w:highlight w:val="none"/>
        </w:rPr>
        <w:t>③提供生产进度计划表、生产流程图、生产人员安排表等，并配有5名以上专业技术人员，提供证明材料得2分。（提供技术人员职称或技术证书的扫描件/复印件等）</w:t>
      </w:r>
    </w:p>
    <w:p>
      <w:pPr>
        <w:spacing w:line="400" w:lineRule="exact"/>
        <w:ind w:firstLine="420" w:firstLineChars="200"/>
        <w:rPr>
          <w:rFonts w:hint="eastAsia"/>
          <w:color w:val="auto"/>
          <w:szCs w:val="21"/>
          <w:highlight w:val="none"/>
        </w:rPr>
      </w:pPr>
      <w:r>
        <w:rPr>
          <w:rFonts w:hint="eastAsia"/>
          <w:color w:val="auto"/>
          <w:szCs w:val="21"/>
          <w:highlight w:val="none"/>
        </w:rPr>
        <w:t>④提供质量管控措施、质量相关认证证书（除“质量管理体系认证”外）（含各项质量管理制度、生产各工序和产品出场标准等制度标准文件），提供证明材料得2分。</w:t>
      </w:r>
    </w:p>
    <w:p>
      <w:pPr>
        <w:spacing w:line="400" w:lineRule="exact"/>
        <w:ind w:firstLine="420" w:firstLineChars="200"/>
        <w:rPr>
          <w:color w:val="auto"/>
          <w:szCs w:val="21"/>
          <w:highlight w:val="none"/>
        </w:rPr>
      </w:pPr>
      <w:bookmarkStart w:id="297" w:name="_GoBack"/>
      <w:bookmarkEnd w:id="297"/>
      <w:r>
        <w:rPr>
          <w:rFonts w:hint="eastAsia"/>
          <w:color w:val="auto"/>
          <w:szCs w:val="21"/>
          <w:highlight w:val="none"/>
        </w:rPr>
        <w:t>（5）</w:t>
      </w:r>
      <w:r>
        <w:rPr>
          <w:rFonts w:hint="eastAsia" w:ascii="宋体" w:hAnsi="宋体" w:cs="宋体"/>
          <w:color w:val="auto"/>
          <w:kern w:val="0"/>
          <w:sz w:val="21"/>
          <w:szCs w:val="21"/>
          <w:highlight w:val="none"/>
        </w:rPr>
        <w:t>项目实施、安装方案</w:t>
      </w:r>
      <w:r>
        <w:rPr>
          <w:rFonts w:hint="eastAsia"/>
          <w:color w:val="auto"/>
          <w:szCs w:val="21"/>
          <w:highlight w:val="none"/>
        </w:rPr>
        <w:t>分（满分</w:t>
      </w:r>
      <w:r>
        <w:rPr>
          <w:rFonts w:hint="eastAsia"/>
          <w:color w:val="auto"/>
          <w:szCs w:val="21"/>
          <w:highlight w:val="none"/>
          <w:lang w:val="en-US" w:eastAsia="zh-CN"/>
        </w:rPr>
        <w:t>8</w:t>
      </w:r>
      <w:r>
        <w:rPr>
          <w:rFonts w:hint="eastAsia"/>
          <w:color w:val="auto"/>
          <w:szCs w:val="21"/>
          <w:highlight w:val="none"/>
        </w:rPr>
        <w:t>分）</w:t>
      </w:r>
    </w:p>
    <w:p>
      <w:pPr>
        <w:keepNext w:val="0"/>
        <w:keepLines w:val="0"/>
        <w:pageBreakBefore w:val="0"/>
        <w:widowControl/>
        <w:kinsoku/>
        <w:wordWrap/>
        <w:overflowPunct/>
        <w:topLinePunct w:val="0"/>
        <w:bidi w:val="0"/>
        <w:adjustRightInd w:val="0"/>
        <w:snapToGrid w:val="0"/>
        <w:spacing w:line="320" w:lineRule="exact"/>
        <w:ind w:firstLine="378" w:firstLineChars="18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一档（</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分）：项目实施、安装方案进度安排合理，实施方案</w:t>
      </w:r>
      <w:r>
        <w:rPr>
          <w:rFonts w:hint="eastAsia" w:ascii="宋体" w:hAnsi="宋体" w:cs="宋体"/>
          <w:color w:val="auto"/>
          <w:kern w:val="0"/>
          <w:sz w:val="21"/>
          <w:szCs w:val="21"/>
          <w:highlight w:val="none"/>
          <w:lang w:eastAsia="zh-CN"/>
        </w:rPr>
        <w:t>简略</w:t>
      </w:r>
      <w:r>
        <w:rPr>
          <w:rFonts w:hint="eastAsia" w:ascii="宋体" w:hAnsi="宋体" w:cs="宋体"/>
          <w:color w:val="auto"/>
          <w:kern w:val="0"/>
          <w:sz w:val="21"/>
          <w:szCs w:val="21"/>
          <w:highlight w:val="none"/>
        </w:rPr>
        <w:t>，配套有货物存放仓库、送货人员、运输工具、项目实施人员，项目生产能力、实施的技术力量和人力资源安排等无保障，安装调试及培训方案不完整。</w:t>
      </w:r>
    </w:p>
    <w:p>
      <w:pPr>
        <w:keepNext w:val="0"/>
        <w:keepLines w:val="0"/>
        <w:pageBreakBefore w:val="0"/>
        <w:widowControl/>
        <w:kinsoku/>
        <w:wordWrap/>
        <w:overflowPunct/>
        <w:topLinePunct w:val="0"/>
        <w:bidi w:val="0"/>
        <w:adjustRightInd w:val="0"/>
        <w:snapToGrid w:val="0"/>
        <w:spacing w:line="320" w:lineRule="exact"/>
        <w:ind w:firstLine="378" w:firstLineChars="18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二档（</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项目实施、安装方案详细，配套有货物存放仓库、送货人员、运输工具、项目实施人员，项目生产能力、实施的技术力量和人力资源安排等有一定保障，服务内容和措施完善，安装调试及培训方案详细完整。</w:t>
      </w:r>
    </w:p>
    <w:p>
      <w:pPr>
        <w:keepNext w:val="0"/>
        <w:keepLines w:val="0"/>
        <w:pageBreakBefore w:val="0"/>
        <w:widowControl/>
        <w:kinsoku/>
        <w:wordWrap/>
        <w:overflowPunct/>
        <w:topLinePunct w:val="0"/>
        <w:bidi w:val="0"/>
        <w:adjustRightInd w:val="0"/>
        <w:snapToGrid w:val="0"/>
        <w:spacing w:line="320" w:lineRule="exact"/>
        <w:ind w:firstLine="378" w:firstLineChars="18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三档（</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分）：项目实施、安装方案详细、生产能力有保障措施，配套有货物存放仓库、送货人员、运输工具、项目实施人员，项目实施的技术力量和人力资源安排充足且提供有可靠保证，能对突发计划外供货需求的应对能力，大件家具需要紧急搬运重组需求的应对能力，承诺紧急服务时限，服务内容和措施完善，建议的验收方法或方案完善有效且更优化、切实可行，安装调试及培训方案详细完整且针对性强。</w:t>
      </w:r>
    </w:p>
    <w:p>
      <w:pPr>
        <w:keepNext w:val="0"/>
        <w:keepLines w:val="0"/>
        <w:pageBreakBefore w:val="0"/>
        <w:widowControl/>
        <w:kinsoku/>
        <w:wordWrap/>
        <w:overflowPunct/>
        <w:topLinePunct w:val="0"/>
        <w:bidi w:val="0"/>
        <w:adjustRightInd w:val="0"/>
        <w:snapToGrid w:val="0"/>
        <w:spacing w:line="320" w:lineRule="exact"/>
        <w:ind w:firstLine="378" w:firstLineChars="180"/>
        <w:rPr>
          <w:rFonts w:ascii="宋体" w:hAnsi="宋体" w:cs="宋体"/>
          <w:color w:val="auto"/>
          <w:kern w:val="0"/>
          <w:sz w:val="21"/>
          <w:szCs w:val="21"/>
          <w:highlight w:val="none"/>
        </w:rPr>
      </w:pPr>
      <w:r>
        <w:rPr>
          <w:rFonts w:hint="eastAsia" w:ascii="宋体" w:hAnsi="宋体" w:cs="宋体"/>
          <w:color w:val="auto"/>
          <w:kern w:val="0"/>
          <w:sz w:val="21"/>
          <w:szCs w:val="21"/>
          <w:highlight w:val="none"/>
        </w:rPr>
        <w:t>（备注：未提供“项目实施、安装方案”或经评定不能进档的不得分。）</w:t>
      </w:r>
    </w:p>
    <w:p>
      <w:pPr>
        <w:spacing w:line="400" w:lineRule="exact"/>
        <w:rPr>
          <w:color w:val="auto"/>
          <w:szCs w:val="21"/>
          <w:highlight w:val="none"/>
        </w:rPr>
      </w:pPr>
      <w:r>
        <w:rPr>
          <w:rFonts w:hint="eastAsia"/>
          <w:color w:val="auto"/>
          <w:szCs w:val="21"/>
          <w:highlight w:val="none"/>
        </w:rPr>
        <w:t xml:space="preserve">   （6）售后服务分（满分10分）</w:t>
      </w:r>
    </w:p>
    <w:p>
      <w:pPr>
        <w:pStyle w:val="33"/>
        <w:spacing w:line="301" w:lineRule="auto"/>
        <w:ind w:firstLine="420" w:firstLineChars="200"/>
        <w:rPr>
          <w:color w:val="auto"/>
          <w:kern w:val="2"/>
          <w:sz w:val="21"/>
          <w:szCs w:val="21"/>
          <w:highlight w:val="none"/>
        </w:rPr>
      </w:pPr>
      <w:r>
        <w:rPr>
          <w:rFonts w:hint="eastAsia"/>
          <w:color w:val="auto"/>
          <w:kern w:val="2"/>
          <w:sz w:val="21"/>
          <w:szCs w:val="21"/>
          <w:highlight w:val="none"/>
        </w:rPr>
        <w:t>项目实施及售后服务承诺基本要求：至少应包括质保期、保修期限、到达故障现场时间（维护电话保证7×24小时响应，自接到故障通知起24小时内到达故障现场）、故障出现解决方案、定期维护（注明时间）、质保期内提供专人负责维保（售后服务承诺书内应有维保人员名单及联系方式），故障处理时限（不能超过12小时，对不能修复的保证在24小时内提供替代品或直接更换），质保期满前一个月及质保期内每年进行一次全面检修与保养，保修期外维修方案、其他优惠措施、安装要求及方案。</w:t>
      </w:r>
    </w:p>
    <w:p>
      <w:pPr>
        <w:pStyle w:val="33"/>
        <w:spacing w:line="301" w:lineRule="auto"/>
        <w:ind w:firstLine="420" w:firstLineChars="200"/>
        <w:rPr>
          <w:color w:val="auto"/>
          <w:kern w:val="2"/>
          <w:sz w:val="21"/>
          <w:szCs w:val="21"/>
          <w:highlight w:val="none"/>
        </w:rPr>
      </w:pPr>
      <w:r>
        <w:rPr>
          <w:rFonts w:hint="eastAsia"/>
          <w:color w:val="auto"/>
          <w:kern w:val="2"/>
          <w:sz w:val="21"/>
          <w:szCs w:val="21"/>
          <w:highlight w:val="none"/>
        </w:rPr>
        <w:t xml:space="preserve">一档（1分）：有售后服务承诺书；有故障出现解决方案，有技术培训方案、保修期外维修方案。 </w:t>
      </w:r>
    </w:p>
    <w:p>
      <w:pPr>
        <w:pStyle w:val="33"/>
        <w:spacing w:line="301" w:lineRule="auto"/>
        <w:ind w:firstLine="420" w:firstLineChars="200"/>
        <w:rPr>
          <w:color w:val="auto"/>
          <w:kern w:val="2"/>
          <w:sz w:val="21"/>
          <w:szCs w:val="21"/>
          <w:highlight w:val="none"/>
        </w:rPr>
      </w:pPr>
      <w:r>
        <w:rPr>
          <w:rFonts w:hint="eastAsia"/>
          <w:color w:val="auto"/>
          <w:kern w:val="2"/>
          <w:sz w:val="21"/>
          <w:szCs w:val="21"/>
          <w:highlight w:val="none"/>
        </w:rPr>
        <w:t>二档（4分）：售后服务承诺书内容完整；解决一般故障时间在4小时内，故障出现解决方案可靠，定期维护方式方法合理，有完整的技术培训方案、保修期外维修方案；有售后服务能力措施。</w:t>
      </w:r>
    </w:p>
    <w:p>
      <w:pPr>
        <w:pStyle w:val="33"/>
        <w:spacing w:line="301" w:lineRule="auto"/>
        <w:ind w:firstLine="420" w:firstLineChars="200"/>
        <w:rPr>
          <w:color w:val="auto"/>
          <w:kern w:val="2"/>
          <w:sz w:val="21"/>
          <w:szCs w:val="21"/>
          <w:highlight w:val="none"/>
        </w:rPr>
      </w:pPr>
      <w:r>
        <w:rPr>
          <w:rFonts w:hint="eastAsia"/>
          <w:color w:val="auto"/>
          <w:kern w:val="2"/>
          <w:sz w:val="21"/>
          <w:szCs w:val="21"/>
          <w:highlight w:val="none"/>
        </w:rPr>
        <w:t>三档（7分）：售后服务承诺书内容详细具体；解决一般故障时间在2小时内，故障出现解决方案可靠，定期维护方式方法合理，有完整的技术培训方案、保修期外维修方案；有完善的本地化售后服务措施；对售后服务应急预案、其他优惠措施等方面都有描述，可操作性强。</w:t>
      </w:r>
    </w:p>
    <w:p>
      <w:pPr>
        <w:pStyle w:val="33"/>
        <w:spacing w:line="301" w:lineRule="auto"/>
        <w:ind w:firstLine="420" w:firstLineChars="200"/>
        <w:rPr>
          <w:color w:val="auto"/>
          <w:kern w:val="2"/>
          <w:sz w:val="21"/>
          <w:szCs w:val="21"/>
          <w:highlight w:val="none"/>
        </w:rPr>
      </w:pPr>
      <w:r>
        <w:rPr>
          <w:rFonts w:hint="eastAsia"/>
          <w:color w:val="auto"/>
          <w:kern w:val="2"/>
          <w:sz w:val="21"/>
          <w:szCs w:val="21"/>
          <w:highlight w:val="none"/>
        </w:rPr>
        <w:t>四档（1</w:t>
      </w:r>
      <w:r>
        <w:rPr>
          <w:color w:val="auto"/>
          <w:kern w:val="2"/>
          <w:sz w:val="21"/>
          <w:szCs w:val="21"/>
          <w:highlight w:val="none"/>
        </w:rPr>
        <w:t>0</w:t>
      </w:r>
      <w:r>
        <w:rPr>
          <w:rFonts w:hint="eastAsia"/>
          <w:color w:val="auto"/>
          <w:kern w:val="2"/>
          <w:sz w:val="21"/>
          <w:szCs w:val="21"/>
          <w:highlight w:val="none"/>
        </w:rPr>
        <w:t>分）：在三档基础上，提供的服务承诺针对性强，可靠保证，符合采购方实际需求的，售后服务方案详细描述了设备售后维护和应急保障方案的方法以及实现方式，常年备有齐全的配件，整体方案针对性、可行性强，对采购人有实际性帮助。投标人或投标产品生产厂家具备“家具报修服务平台”，平台服务内容包含但不限如下：（1）报修功能；（2）派单功能；（3）定位和签到功能等。（提供功能截图并加盖公章）</w:t>
      </w:r>
    </w:p>
    <w:p>
      <w:pPr>
        <w:spacing w:line="400" w:lineRule="exact"/>
        <w:ind w:firstLine="421" w:firstLineChars="200"/>
        <w:rPr>
          <w:b/>
          <w:bCs/>
          <w:color w:val="auto"/>
          <w:szCs w:val="21"/>
          <w:highlight w:val="none"/>
        </w:rPr>
      </w:pPr>
      <w:r>
        <w:rPr>
          <w:rFonts w:hint="eastAsia"/>
          <w:b/>
          <w:bCs/>
          <w:color w:val="auto"/>
          <w:szCs w:val="21"/>
          <w:highlight w:val="none"/>
        </w:rPr>
        <w:t>3、商务分</w:t>
      </w:r>
      <w:r>
        <w:rPr>
          <w:rFonts w:hint="eastAsia" w:ascii="宋体" w:hAnsi="宋体"/>
          <w:b/>
          <w:color w:val="auto"/>
          <w:szCs w:val="21"/>
          <w:highlight w:val="none"/>
        </w:rPr>
        <w:t>……………………………………………………………………………………</w:t>
      </w:r>
      <w:r>
        <w:rPr>
          <w:rFonts w:hint="eastAsia"/>
          <w:b/>
          <w:bCs/>
          <w:color w:val="auto"/>
          <w:szCs w:val="21"/>
          <w:highlight w:val="none"/>
        </w:rPr>
        <w:t>6分</w:t>
      </w:r>
    </w:p>
    <w:p>
      <w:pPr>
        <w:pStyle w:val="33"/>
        <w:spacing w:line="301" w:lineRule="auto"/>
        <w:ind w:firstLine="420" w:firstLineChars="200"/>
        <w:rPr>
          <w:color w:val="auto"/>
          <w:kern w:val="2"/>
          <w:sz w:val="21"/>
          <w:szCs w:val="21"/>
          <w:highlight w:val="none"/>
        </w:rPr>
      </w:pPr>
      <w:r>
        <w:rPr>
          <w:rFonts w:hint="eastAsia"/>
          <w:color w:val="auto"/>
          <w:kern w:val="2"/>
          <w:sz w:val="21"/>
          <w:szCs w:val="21"/>
          <w:highlight w:val="none"/>
        </w:rPr>
        <w:t>（1）信誉及</w:t>
      </w:r>
      <w:r>
        <w:rPr>
          <w:rFonts w:hint="eastAsia"/>
          <w:color w:val="auto"/>
          <w:kern w:val="2"/>
          <w:sz w:val="21"/>
          <w:szCs w:val="21"/>
          <w:highlight w:val="none"/>
          <w:lang w:eastAsia="zh-CN"/>
        </w:rPr>
        <w:t>售后服务能力</w:t>
      </w:r>
      <w:r>
        <w:rPr>
          <w:rFonts w:hint="eastAsia"/>
          <w:color w:val="auto"/>
          <w:kern w:val="2"/>
          <w:sz w:val="21"/>
          <w:szCs w:val="21"/>
          <w:highlight w:val="none"/>
        </w:rPr>
        <w:t>分（满分4分）</w:t>
      </w:r>
    </w:p>
    <w:p>
      <w:pPr>
        <w:pStyle w:val="33"/>
        <w:numPr>
          <w:ilvl w:val="0"/>
          <w:numId w:val="0"/>
        </w:numPr>
        <w:spacing w:line="301" w:lineRule="auto"/>
        <w:rPr>
          <w:color w:val="auto"/>
          <w:kern w:val="2"/>
          <w:sz w:val="21"/>
          <w:szCs w:val="21"/>
          <w:highlight w:val="none"/>
        </w:rPr>
      </w:pPr>
      <w:r>
        <w:rPr>
          <w:rFonts w:hint="eastAsia"/>
          <w:color w:val="auto"/>
          <w:kern w:val="2"/>
          <w:sz w:val="21"/>
          <w:szCs w:val="21"/>
          <w:highlight w:val="none"/>
          <w:lang w:val="en-US" w:eastAsia="zh-CN"/>
        </w:rPr>
        <w:t xml:space="preserve">    </w:t>
      </w:r>
      <w:r>
        <w:rPr>
          <w:rFonts w:hint="eastAsia"/>
          <w:color w:val="auto"/>
          <w:kern w:val="2"/>
          <w:sz w:val="21"/>
          <w:szCs w:val="21"/>
          <w:highlight w:val="none"/>
        </w:rPr>
        <w:t>①投标人或核心产品生产厂家获得ISO9001质量管理体系认证证书、ISO14001环境管理系统标准认证证书、ISO45001职业健康卫生管理系统标准认证证书且在有效期内的，每提供一类证书得</w:t>
      </w:r>
      <w:r>
        <w:rPr>
          <w:rFonts w:hint="eastAsia"/>
          <w:color w:val="auto"/>
          <w:kern w:val="2"/>
          <w:sz w:val="21"/>
          <w:szCs w:val="21"/>
          <w:highlight w:val="none"/>
          <w:lang w:val="en-US" w:eastAsia="zh-CN"/>
        </w:rPr>
        <w:t>1</w:t>
      </w:r>
      <w:r>
        <w:rPr>
          <w:rFonts w:hint="eastAsia"/>
          <w:color w:val="auto"/>
          <w:kern w:val="2"/>
          <w:sz w:val="21"/>
          <w:szCs w:val="21"/>
          <w:highlight w:val="none"/>
        </w:rPr>
        <w:t>分，满分</w:t>
      </w:r>
      <w:r>
        <w:rPr>
          <w:rFonts w:hint="eastAsia"/>
          <w:color w:val="auto"/>
          <w:kern w:val="2"/>
          <w:sz w:val="21"/>
          <w:szCs w:val="21"/>
          <w:highlight w:val="none"/>
          <w:lang w:val="en-US" w:eastAsia="zh-CN"/>
        </w:rPr>
        <w:t>3</w:t>
      </w:r>
      <w:r>
        <w:rPr>
          <w:rFonts w:hint="eastAsia"/>
          <w:color w:val="auto"/>
          <w:kern w:val="2"/>
          <w:sz w:val="21"/>
          <w:szCs w:val="21"/>
          <w:highlight w:val="none"/>
        </w:rPr>
        <w:t>分。</w:t>
      </w:r>
    </w:p>
    <w:p>
      <w:pPr>
        <w:pStyle w:val="33"/>
        <w:numPr>
          <w:ilvl w:val="0"/>
          <w:numId w:val="0"/>
        </w:numPr>
        <w:spacing w:line="301" w:lineRule="auto"/>
        <w:rPr>
          <w:color w:val="auto"/>
          <w:kern w:val="2"/>
          <w:sz w:val="21"/>
          <w:szCs w:val="21"/>
          <w:highlight w:val="none"/>
        </w:rPr>
      </w:pPr>
      <w:r>
        <w:rPr>
          <w:rFonts w:hint="eastAsia"/>
          <w:color w:val="auto"/>
          <w:kern w:val="2"/>
          <w:sz w:val="21"/>
          <w:szCs w:val="21"/>
          <w:highlight w:val="none"/>
          <w:lang w:val="en-US" w:eastAsia="zh-CN"/>
        </w:rPr>
        <w:t xml:space="preserve">    </w:t>
      </w:r>
      <w:r>
        <w:rPr>
          <w:rFonts w:hint="eastAsia"/>
          <w:color w:val="auto"/>
          <w:kern w:val="2"/>
          <w:sz w:val="21"/>
          <w:szCs w:val="21"/>
          <w:highlight w:val="none"/>
        </w:rPr>
        <w:fldChar w:fldCharType="begin"/>
      </w:r>
      <w:r>
        <w:rPr>
          <w:rFonts w:hint="eastAsia"/>
          <w:color w:val="auto"/>
          <w:kern w:val="2"/>
          <w:sz w:val="21"/>
          <w:szCs w:val="21"/>
          <w:highlight w:val="none"/>
        </w:rPr>
        <w:instrText xml:space="preserve"> = 2 \* GB3 \* MERGEFORMAT </w:instrText>
      </w:r>
      <w:r>
        <w:rPr>
          <w:rFonts w:hint="eastAsia"/>
          <w:color w:val="auto"/>
          <w:kern w:val="2"/>
          <w:sz w:val="21"/>
          <w:szCs w:val="21"/>
          <w:highlight w:val="none"/>
        </w:rPr>
        <w:fldChar w:fldCharType="separate"/>
      </w:r>
      <w:r>
        <w:rPr>
          <w:rFonts w:hint="eastAsia"/>
          <w:color w:val="auto"/>
          <w:kern w:val="2"/>
          <w:sz w:val="21"/>
          <w:szCs w:val="21"/>
          <w:highlight w:val="none"/>
        </w:rPr>
        <w:t>②</w:t>
      </w:r>
      <w:r>
        <w:rPr>
          <w:rFonts w:hint="eastAsia"/>
          <w:color w:val="auto"/>
          <w:kern w:val="2"/>
          <w:sz w:val="21"/>
          <w:szCs w:val="21"/>
          <w:highlight w:val="none"/>
        </w:rPr>
        <w:fldChar w:fldCharType="end"/>
      </w:r>
      <w:r>
        <w:rPr>
          <w:rFonts w:hint="eastAsia"/>
          <w:color w:val="auto"/>
          <w:kern w:val="2"/>
          <w:sz w:val="21"/>
          <w:szCs w:val="21"/>
          <w:highlight w:val="none"/>
        </w:rPr>
        <w:t>投标人或核心产品生产厂家提供的售后服务符合GB/T 37652-2019《家具售后服务要求》的，得</w:t>
      </w:r>
      <w:r>
        <w:rPr>
          <w:rFonts w:hint="eastAsia"/>
          <w:color w:val="auto"/>
          <w:kern w:val="2"/>
          <w:sz w:val="21"/>
          <w:szCs w:val="21"/>
          <w:highlight w:val="none"/>
          <w:lang w:val="en-US" w:eastAsia="zh-CN"/>
        </w:rPr>
        <w:t>1</w:t>
      </w:r>
      <w:r>
        <w:rPr>
          <w:rFonts w:hint="eastAsia"/>
          <w:color w:val="auto"/>
          <w:kern w:val="2"/>
          <w:sz w:val="21"/>
          <w:szCs w:val="21"/>
          <w:highlight w:val="none"/>
        </w:rPr>
        <w:t>分。（需提供有效的相关证明材料复印件）。</w:t>
      </w:r>
    </w:p>
    <w:p>
      <w:pPr>
        <w:pStyle w:val="33"/>
        <w:spacing w:line="301" w:lineRule="auto"/>
        <w:ind w:firstLine="420" w:firstLineChars="200"/>
        <w:rPr>
          <w:color w:val="auto"/>
          <w:kern w:val="2"/>
          <w:sz w:val="21"/>
          <w:szCs w:val="21"/>
          <w:highlight w:val="none"/>
        </w:rPr>
      </w:pPr>
      <w:r>
        <w:rPr>
          <w:rFonts w:hint="eastAsia"/>
          <w:color w:val="auto"/>
          <w:kern w:val="2"/>
          <w:sz w:val="21"/>
          <w:szCs w:val="21"/>
          <w:highlight w:val="none"/>
        </w:rPr>
        <w:t>（注：以上证书应</w:t>
      </w:r>
      <w:r>
        <w:rPr>
          <w:rFonts w:hint="eastAsia"/>
          <w:color w:val="auto"/>
          <w:kern w:val="2"/>
          <w:sz w:val="21"/>
          <w:szCs w:val="21"/>
          <w:highlight w:val="none"/>
          <w:lang w:eastAsia="zh-CN"/>
        </w:rPr>
        <w:t>在</w:t>
      </w:r>
      <w:r>
        <w:rPr>
          <w:rFonts w:hint="eastAsia"/>
          <w:color w:val="auto"/>
          <w:kern w:val="2"/>
          <w:sz w:val="21"/>
          <w:szCs w:val="21"/>
          <w:highlight w:val="none"/>
        </w:rPr>
        <w:t>有效期内，提供证书复印件并加盖投标人公章。）</w:t>
      </w:r>
    </w:p>
    <w:p>
      <w:pPr>
        <w:pStyle w:val="33"/>
        <w:spacing w:line="301" w:lineRule="auto"/>
        <w:ind w:firstLine="0"/>
        <w:rPr>
          <w:color w:val="auto"/>
          <w:kern w:val="2"/>
          <w:sz w:val="21"/>
          <w:szCs w:val="21"/>
          <w:highlight w:val="none"/>
        </w:rPr>
      </w:pPr>
      <w:r>
        <w:rPr>
          <w:rFonts w:hint="eastAsia"/>
          <w:color w:val="auto"/>
          <w:kern w:val="2"/>
          <w:sz w:val="21"/>
          <w:szCs w:val="21"/>
          <w:highlight w:val="none"/>
        </w:rPr>
        <w:t xml:space="preserve">   （2）业绩分（满分1分）</w:t>
      </w:r>
    </w:p>
    <w:p>
      <w:pPr>
        <w:pStyle w:val="33"/>
        <w:spacing w:line="301" w:lineRule="auto"/>
        <w:ind w:firstLine="420" w:firstLineChars="200"/>
        <w:rPr>
          <w:color w:val="auto"/>
          <w:kern w:val="2"/>
          <w:sz w:val="21"/>
          <w:szCs w:val="21"/>
          <w:highlight w:val="none"/>
        </w:rPr>
      </w:pPr>
      <w:r>
        <w:rPr>
          <w:rFonts w:hint="eastAsia"/>
          <w:color w:val="auto"/>
          <w:kern w:val="2"/>
          <w:sz w:val="21"/>
          <w:szCs w:val="21"/>
          <w:highlight w:val="none"/>
        </w:rPr>
        <w:t>投标人2021年1月1日以来</w:t>
      </w:r>
      <w:r>
        <w:rPr>
          <w:rFonts w:hint="eastAsia"/>
          <w:b/>
          <w:bCs/>
          <w:color w:val="auto"/>
          <w:kern w:val="2"/>
          <w:sz w:val="21"/>
          <w:szCs w:val="21"/>
          <w:highlight w:val="none"/>
        </w:rPr>
        <w:t>学生课桌椅类</w:t>
      </w:r>
      <w:r>
        <w:rPr>
          <w:rFonts w:hint="eastAsia"/>
          <w:color w:val="auto"/>
          <w:kern w:val="2"/>
          <w:sz w:val="21"/>
          <w:szCs w:val="21"/>
          <w:highlight w:val="none"/>
        </w:rPr>
        <w:t>项目业绩（须同时提供合同复印件、验收报告复印件、发票复印件，未按此要求提供的不得分）的，每一项得0.5分，满分1分。</w:t>
      </w:r>
    </w:p>
    <w:p>
      <w:pPr>
        <w:pStyle w:val="33"/>
        <w:spacing w:line="301" w:lineRule="auto"/>
        <w:ind w:firstLine="420" w:firstLineChars="200"/>
        <w:rPr>
          <w:color w:val="auto"/>
          <w:kern w:val="2"/>
          <w:sz w:val="21"/>
          <w:szCs w:val="21"/>
          <w:highlight w:val="none"/>
        </w:rPr>
      </w:pPr>
      <w:r>
        <w:rPr>
          <w:rFonts w:hint="eastAsia"/>
          <w:color w:val="auto"/>
          <w:kern w:val="2"/>
          <w:sz w:val="21"/>
          <w:szCs w:val="21"/>
          <w:highlight w:val="none"/>
        </w:rPr>
        <w:t>（3）政策功能分（满分1分）</w:t>
      </w:r>
    </w:p>
    <w:p>
      <w:pPr>
        <w:pStyle w:val="32"/>
        <w:adjustRightInd w:val="0"/>
        <w:snapToGrid w:val="0"/>
        <w:spacing w:line="400" w:lineRule="exact"/>
        <w:ind w:firstLine="420"/>
        <w:rPr>
          <w:rFonts w:hint="eastAsia"/>
          <w:color w:val="auto"/>
          <w:highlight w:val="none"/>
        </w:rPr>
      </w:pPr>
      <w:r>
        <w:rPr>
          <w:rFonts w:hint="eastAsia"/>
          <w:color w:val="auto"/>
          <w:highlight w:val="none"/>
        </w:rPr>
        <w:t>①投标产品纳入（财库[2019]19号）中节能产品政府采购清单的（适用于非强制采购节能产品</w:t>
      </w:r>
      <w:r>
        <w:rPr>
          <w:rFonts w:hint="eastAsia"/>
          <w:color w:val="auto"/>
          <w:highlight w:val="none"/>
          <w:lang w:eastAsia="zh-CN"/>
        </w:rPr>
        <w:t>，</w:t>
      </w:r>
      <w:r>
        <w:rPr>
          <w:rFonts w:hint="eastAsia"/>
          <w:color w:val="auto"/>
          <w:highlight w:val="none"/>
        </w:rPr>
        <w:t>依据《市场监管总局关于发布参与实施政府采购节能产品、环境标志产品认证机构名录的公告》，提供所投相应型号产品有效的认证证书扫描件或其他电子文件</w:t>
      </w:r>
      <w:r>
        <w:rPr>
          <w:rFonts w:hint="eastAsia"/>
          <w:color w:val="auto"/>
          <w:highlight w:val="none"/>
          <w:lang w:eastAsia="zh-CN"/>
        </w:rPr>
        <w:t>），得</w:t>
      </w:r>
      <w:r>
        <w:rPr>
          <w:rFonts w:hint="eastAsia"/>
          <w:color w:val="auto"/>
          <w:highlight w:val="none"/>
          <w:lang w:val="en-US" w:eastAsia="zh-CN"/>
        </w:rPr>
        <w:t>0.5分，</w:t>
      </w:r>
      <w:r>
        <w:rPr>
          <w:rFonts w:hint="eastAsia"/>
          <w:color w:val="auto"/>
          <w:highlight w:val="none"/>
        </w:rPr>
        <w:t>满分</w:t>
      </w:r>
      <w:r>
        <w:rPr>
          <w:rFonts w:hint="eastAsia"/>
          <w:color w:val="auto"/>
          <w:highlight w:val="none"/>
          <w:lang w:val="en-US" w:eastAsia="zh-CN"/>
        </w:rPr>
        <w:t>0.5</w:t>
      </w:r>
      <w:r>
        <w:rPr>
          <w:rFonts w:hint="eastAsia"/>
          <w:color w:val="auto"/>
          <w:highlight w:val="none"/>
        </w:rPr>
        <w:t>分。</w:t>
      </w:r>
    </w:p>
    <w:p>
      <w:pPr>
        <w:spacing w:line="400" w:lineRule="exact"/>
        <w:ind w:firstLine="420" w:firstLineChars="200"/>
        <w:outlineLvl w:val="0"/>
        <w:rPr>
          <w:rFonts w:hint="eastAsia" w:ascii="宋体" w:hAnsi="宋体" w:cs="宋体"/>
          <w:color w:val="auto"/>
          <w:highlight w:val="none"/>
        </w:rPr>
      </w:pPr>
      <w:r>
        <w:rPr>
          <w:rFonts w:hint="eastAsia" w:ascii="宋体" w:hAnsi="宋体" w:cs="宋体"/>
          <w:bCs/>
          <w:color w:val="auto"/>
          <w:kern w:val="0"/>
          <w:szCs w:val="21"/>
          <w:highlight w:val="none"/>
          <w:lang w:bidi="ar"/>
        </w:rPr>
        <w:fldChar w:fldCharType="begin"/>
      </w:r>
      <w:r>
        <w:rPr>
          <w:rFonts w:hint="eastAsia" w:ascii="宋体" w:hAnsi="宋体" w:cs="宋体"/>
          <w:bCs/>
          <w:color w:val="auto"/>
          <w:kern w:val="0"/>
          <w:szCs w:val="21"/>
          <w:highlight w:val="none"/>
          <w:lang w:bidi="ar"/>
        </w:rPr>
        <w:instrText xml:space="preserve"> = 2 \* GB3 \* MERGEFORMAT </w:instrText>
      </w:r>
      <w:r>
        <w:rPr>
          <w:rFonts w:hint="eastAsia" w:ascii="宋体" w:hAnsi="宋体" w:cs="宋体"/>
          <w:bCs/>
          <w:color w:val="auto"/>
          <w:kern w:val="0"/>
          <w:szCs w:val="21"/>
          <w:highlight w:val="none"/>
          <w:lang w:bidi="ar"/>
        </w:rPr>
        <w:fldChar w:fldCharType="separate"/>
      </w:r>
      <w:r>
        <w:rPr>
          <w:rFonts w:hint="eastAsia" w:ascii="宋体" w:hAnsi="宋体" w:cs="宋体"/>
          <w:color w:val="auto"/>
          <w:highlight w:val="none"/>
        </w:rPr>
        <w:t>②</w:t>
      </w:r>
      <w:r>
        <w:rPr>
          <w:rFonts w:hint="eastAsia" w:ascii="宋体" w:hAnsi="宋体" w:cs="宋体"/>
          <w:bCs/>
          <w:color w:val="auto"/>
          <w:kern w:val="0"/>
          <w:szCs w:val="21"/>
          <w:highlight w:val="none"/>
          <w:lang w:bidi="ar"/>
        </w:rPr>
        <w:fldChar w:fldCharType="end"/>
      </w:r>
      <w:r>
        <w:rPr>
          <w:rFonts w:hint="eastAsia" w:ascii="宋体" w:hAnsi="宋体" w:cs="宋体"/>
          <w:color w:val="auto"/>
          <w:highlight w:val="none"/>
        </w:rPr>
        <w:t>投标产品纳入（财库[2019]18号）中环境标志产品政府采购清单的（依据《市场监管总局关于发</w:t>
      </w:r>
      <w:r>
        <w:rPr>
          <w:rFonts w:hint="eastAsia"/>
          <w:color w:val="auto"/>
          <w:highlight w:val="none"/>
        </w:rPr>
        <w:t>布参与实施政府采购节能产品、环境标志产品认证机构名录的公告》，提供所投相应型号产品有效的认</w:t>
      </w:r>
      <w:r>
        <w:rPr>
          <w:rFonts w:hint="eastAsia" w:ascii="宋体" w:hAnsi="宋体" w:cs="宋体"/>
          <w:color w:val="auto"/>
          <w:highlight w:val="none"/>
        </w:rPr>
        <w:t>证证书扫描件或其他电子文件）</w:t>
      </w:r>
      <w:r>
        <w:rPr>
          <w:rFonts w:hint="eastAsia"/>
          <w:color w:val="auto"/>
          <w:highlight w:val="none"/>
          <w:lang w:eastAsia="zh-CN"/>
        </w:rPr>
        <w:t>，得</w:t>
      </w:r>
      <w:r>
        <w:rPr>
          <w:rFonts w:hint="eastAsia"/>
          <w:color w:val="auto"/>
          <w:highlight w:val="none"/>
          <w:lang w:val="en-US" w:eastAsia="zh-CN"/>
        </w:rPr>
        <w:t>0.5分，</w:t>
      </w:r>
      <w:r>
        <w:rPr>
          <w:rFonts w:hint="eastAsia" w:ascii="宋体" w:hAnsi="宋体" w:cs="宋体"/>
          <w:color w:val="auto"/>
          <w:highlight w:val="none"/>
        </w:rPr>
        <w:t>满分</w:t>
      </w:r>
      <w:r>
        <w:rPr>
          <w:rFonts w:hint="eastAsia" w:ascii="宋体" w:hAnsi="宋体" w:cs="宋体"/>
          <w:color w:val="auto"/>
          <w:highlight w:val="none"/>
          <w:lang w:val="en-US" w:eastAsia="zh-CN"/>
        </w:rPr>
        <w:t>0.5</w:t>
      </w:r>
      <w:r>
        <w:rPr>
          <w:rFonts w:hint="eastAsia" w:ascii="宋体" w:hAnsi="宋体" w:cs="宋体"/>
          <w:color w:val="auto"/>
          <w:highlight w:val="none"/>
        </w:rPr>
        <w:t>分。</w:t>
      </w:r>
    </w:p>
    <w:p>
      <w:pPr>
        <w:spacing w:line="400" w:lineRule="exact"/>
        <w:rPr>
          <w:rFonts w:hint="eastAsia"/>
          <w:b/>
          <w:bCs/>
          <w:color w:val="auto"/>
          <w:spacing w:val="-2"/>
          <w:highlight w:val="none"/>
        </w:rPr>
      </w:pPr>
      <w:r>
        <w:rPr>
          <w:rFonts w:hint="eastAsia" w:ascii="宋体" w:hAnsi="宋体" w:cs="宋体"/>
          <w:b/>
          <w:color w:val="auto"/>
          <w:szCs w:val="21"/>
          <w:highlight w:val="none"/>
        </w:rPr>
        <w:t xml:space="preserve">    </w:t>
      </w:r>
      <w:r>
        <w:rPr>
          <w:rFonts w:hint="eastAsia"/>
          <w:b/>
          <w:bCs/>
          <w:color w:val="auto"/>
          <w:spacing w:val="-2"/>
          <w:highlight w:val="none"/>
        </w:rPr>
        <w:t>（三）总得分=1 + 2 + 3。</w:t>
      </w:r>
    </w:p>
    <w:p>
      <w:pPr>
        <w:pStyle w:val="12"/>
        <w:spacing w:line="340" w:lineRule="exact"/>
        <w:ind w:firstLine="463" w:firstLineChars="220"/>
        <w:rPr>
          <w:rFonts w:hint="eastAsia"/>
          <w:b/>
          <w:bCs/>
          <w:color w:val="auto"/>
          <w:highlight w:val="none"/>
        </w:rPr>
      </w:pPr>
      <w:r>
        <w:rPr>
          <w:rFonts w:hint="eastAsia"/>
          <w:b/>
          <w:bCs/>
          <w:color w:val="auto"/>
          <w:highlight w:val="none"/>
        </w:rPr>
        <w:t>三、中标候选人推荐原则</w:t>
      </w:r>
    </w:p>
    <w:p>
      <w:pPr>
        <w:pStyle w:val="12"/>
        <w:spacing w:line="340" w:lineRule="exact"/>
        <w:ind w:firstLine="315" w:firstLineChars="150"/>
        <w:rPr>
          <w:rFonts w:hint="eastAsia"/>
          <w:bCs/>
          <w:color w:val="auto"/>
          <w:highlight w:val="none"/>
        </w:rPr>
      </w:pPr>
      <w:r>
        <w:rPr>
          <w:rFonts w:hint="eastAsia"/>
          <w:bCs/>
          <w:color w:val="auto"/>
          <w:highlight w:val="none"/>
        </w:rPr>
        <w:t>（一）评标委员会将根据得分由高到低排列次序</w:t>
      </w:r>
      <w:r>
        <w:rPr>
          <w:rFonts w:hint="eastAsia"/>
          <w:b/>
          <w:bCs/>
          <w:color w:val="auto"/>
          <w:highlight w:val="none"/>
        </w:rPr>
        <w:t>（得分相同时，以投标报价由低到高顺序排列；得分相同且投标报价相同的，按技术评定得分从高到低顺序排列）</w:t>
      </w:r>
      <w:r>
        <w:rPr>
          <w:rFonts w:hint="eastAsia"/>
          <w:bCs/>
          <w:color w:val="auto"/>
          <w:highlight w:val="none"/>
        </w:rPr>
        <w:t>并推荐中标候选供应商。采购人应当确定评审委员会推荐排名第一的中标候选人为中标人。</w:t>
      </w:r>
    </w:p>
    <w:p>
      <w:pPr>
        <w:pStyle w:val="12"/>
        <w:spacing w:line="340" w:lineRule="exact"/>
        <w:ind w:firstLine="525" w:firstLineChars="250"/>
        <w:rPr>
          <w:rFonts w:hint="eastAsia"/>
          <w:b/>
          <w:bCs/>
          <w:color w:val="auto"/>
          <w:highlight w:val="none"/>
        </w:rPr>
      </w:pPr>
      <w:r>
        <w:rPr>
          <w:rFonts w:hint="eastAsia"/>
          <w:bCs/>
          <w:color w:val="auto"/>
          <w:highlight w:val="none"/>
        </w:rPr>
        <w:t>排名第一的中标候选人放弃中标、因不可抗力提出不能履行合同，或者招标文件规定应当提交</w:t>
      </w:r>
      <w:r>
        <w:rPr>
          <w:rFonts w:hint="eastAsia"/>
          <w:b/>
          <w:color w:val="auto"/>
          <w:highlight w:val="none"/>
        </w:rPr>
        <w:t>履约保证金</w:t>
      </w:r>
      <w:r>
        <w:rPr>
          <w:rFonts w:hint="eastAsia"/>
          <w:bCs/>
          <w:color w:val="auto"/>
          <w:highlight w:val="none"/>
        </w:rPr>
        <w:t>而在规定的期限内未能提交的，采购人可以确定排名第二的中标候选人为中标人。排名第二的中标候选人因前款规定的同样原因不能签订合同的，采购人可以确定排名第三的中标候选人为中标人，其余以此类推</w:t>
      </w:r>
      <w:r>
        <w:rPr>
          <w:rFonts w:hint="eastAsia"/>
          <w:b/>
          <w:bCs/>
          <w:color w:val="auto"/>
          <w:highlight w:val="none"/>
        </w:rPr>
        <w:t>。</w:t>
      </w:r>
    </w:p>
    <w:p>
      <w:pPr>
        <w:pStyle w:val="12"/>
        <w:spacing w:line="340" w:lineRule="exact"/>
        <w:ind w:firstLine="315" w:firstLineChars="150"/>
        <w:rPr>
          <w:rFonts w:hint="eastAsia"/>
          <w:color w:val="auto"/>
          <w:highlight w:val="none"/>
        </w:rPr>
      </w:pPr>
      <w:r>
        <w:rPr>
          <w:rFonts w:hint="eastAsia"/>
          <w:bCs/>
          <w:color w:val="auto"/>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spacing w:line="360" w:lineRule="exact"/>
        <w:ind w:firstLine="3196" w:firstLineChars="995"/>
        <w:rPr>
          <w:rFonts w:hint="eastAsia" w:ascii="仿宋_GB2312" w:hAnsi="宋体" w:eastAsia="仿宋_GB2312"/>
          <w:b/>
          <w:color w:val="auto"/>
          <w:sz w:val="32"/>
          <w:szCs w:val="32"/>
          <w:highlight w:val="none"/>
        </w:rPr>
      </w:pPr>
    </w:p>
    <w:p>
      <w:pPr>
        <w:pStyle w:val="12"/>
        <w:snapToGrid w:val="0"/>
        <w:spacing w:before="120" w:after="120"/>
        <w:jc w:val="center"/>
        <w:outlineLvl w:val="0"/>
        <w:rPr>
          <w:rFonts w:hint="eastAsia" w:ascii="仿宋_GB2312" w:hAnsi="宋体" w:eastAsia="仿宋_GB2312"/>
          <w:b/>
          <w:color w:val="auto"/>
          <w:sz w:val="44"/>
          <w:szCs w:val="44"/>
          <w:highlight w:val="none"/>
        </w:rPr>
      </w:pPr>
    </w:p>
    <w:p>
      <w:pPr>
        <w:pStyle w:val="12"/>
        <w:snapToGrid w:val="0"/>
        <w:spacing w:before="120" w:after="120"/>
        <w:jc w:val="center"/>
        <w:outlineLvl w:val="0"/>
        <w:rPr>
          <w:rFonts w:hint="eastAsia" w:ascii="仿宋_GB2312" w:hAnsi="宋体" w:eastAsia="仿宋_GB2312"/>
          <w:b/>
          <w:color w:val="auto"/>
          <w:sz w:val="44"/>
          <w:szCs w:val="44"/>
          <w:highlight w:val="none"/>
        </w:rPr>
      </w:pPr>
    </w:p>
    <w:p>
      <w:pPr>
        <w:pStyle w:val="12"/>
        <w:snapToGrid w:val="0"/>
        <w:spacing w:before="120" w:after="120"/>
        <w:jc w:val="center"/>
        <w:outlineLvl w:val="0"/>
        <w:rPr>
          <w:rFonts w:hint="eastAsia" w:ascii="仿宋_GB2312" w:hAnsi="宋体" w:eastAsia="仿宋_GB2312"/>
          <w:b/>
          <w:color w:val="auto"/>
          <w:sz w:val="44"/>
          <w:szCs w:val="44"/>
          <w:highlight w:val="none"/>
        </w:rPr>
      </w:pPr>
    </w:p>
    <w:p>
      <w:pPr>
        <w:pStyle w:val="12"/>
        <w:spacing w:before="120" w:after="120"/>
        <w:jc w:val="center"/>
        <w:outlineLvl w:val="0"/>
        <w:rPr>
          <w:rFonts w:hint="eastAsia" w:hAnsi="宋体"/>
          <w:b/>
          <w:color w:val="auto"/>
          <w:highlight w:val="none"/>
        </w:rPr>
      </w:pPr>
    </w:p>
    <w:p>
      <w:pPr>
        <w:pStyle w:val="12"/>
        <w:snapToGrid w:val="0"/>
        <w:spacing w:before="120" w:after="120"/>
        <w:jc w:val="center"/>
        <w:outlineLvl w:val="0"/>
        <w:rPr>
          <w:rFonts w:hint="eastAsia" w:ascii="仿宋_GB2312" w:hAnsi="宋体" w:eastAsia="仿宋_GB2312"/>
          <w:b/>
          <w:color w:val="auto"/>
          <w:sz w:val="44"/>
          <w:szCs w:val="44"/>
          <w:highlight w:val="none"/>
        </w:rPr>
      </w:pPr>
    </w:p>
    <w:p>
      <w:pPr>
        <w:pStyle w:val="12"/>
        <w:snapToGrid w:val="0"/>
        <w:spacing w:before="120" w:after="120"/>
        <w:jc w:val="center"/>
        <w:outlineLvl w:val="0"/>
        <w:rPr>
          <w:rFonts w:hint="eastAsia" w:ascii="仿宋_GB2312" w:hAnsi="宋体" w:eastAsia="仿宋_GB2312"/>
          <w:b/>
          <w:color w:val="auto"/>
          <w:sz w:val="44"/>
          <w:szCs w:val="44"/>
          <w:highlight w:val="none"/>
        </w:rPr>
      </w:pPr>
    </w:p>
    <w:p>
      <w:pPr>
        <w:pStyle w:val="3"/>
        <w:jc w:val="center"/>
        <w:rPr>
          <w:rFonts w:hint="eastAsia"/>
          <w:color w:val="auto"/>
          <w:highlight w:val="none"/>
        </w:rPr>
      </w:pPr>
      <w:bookmarkStart w:id="261" w:name="_Toc40864723"/>
      <w:bookmarkStart w:id="262" w:name="_Toc40865115"/>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ascii="黑体" w:eastAsia="黑体"/>
          <w:color w:val="auto"/>
          <w:highlight w:val="none"/>
        </w:rPr>
      </w:pPr>
      <w:r>
        <w:rPr>
          <w:rFonts w:hint="eastAsia"/>
          <w:color w:val="auto"/>
          <w:highlight w:val="none"/>
        </w:rPr>
        <w:t>第五章    政府采购合同主要条款</w:t>
      </w:r>
      <w:bookmarkEnd w:id="261"/>
      <w:bookmarkEnd w:id="262"/>
    </w:p>
    <w:p>
      <w:pPr>
        <w:pStyle w:val="12"/>
        <w:jc w:val="center"/>
        <w:rPr>
          <w:rFonts w:hint="eastAsia" w:hAnsi="宋体"/>
          <w:b/>
          <w:color w:val="auto"/>
          <w:sz w:val="52"/>
          <w:szCs w:val="52"/>
          <w:highlight w:val="none"/>
        </w:rPr>
      </w:pPr>
    </w:p>
    <w:p>
      <w:pPr>
        <w:pStyle w:val="12"/>
        <w:jc w:val="center"/>
        <w:rPr>
          <w:rFonts w:hint="eastAsia" w:hAnsi="宋体"/>
          <w:b/>
          <w:color w:val="auto"/>
          <w:sz w:val="52"/>
          <w:szCs w:val="52"/>
          <w:highlight w:val="none"/>
        </w:rPr>
      </w:pPr>
      <w:r>
        <w:rPr>
          <w:rFonts w:hAnsi="宋体"/>
          <w:b/>
          <w:color w:val="auto"/>
          <w:sz w:val="52"/>
          <w:szCs w:val="52"/>
          <w:highlight w:val="none"/>
        </w:rPr>
        <w:br w:type="page"/>
      </w:r>
    </w:p>
    <w:p>
      <w:pPr>
        <w:pStyle w:val="12"/>
        <w:jc w:val="center"/>
        <w:rPr>
          <w:rFonts w:hint="eastAsia" w:hAnsi="宋体"/>
          <w:b/>
          <w:color w:val="auto"/>
          <w:sz w:val="52"/>
          <w:szCs w:val="52"/>
          <w:highlight w:val="none"/>
        </w:rPr>
      </w:pPr>
      <w:r>
        <w:rPr>
          <w:rFonts w:hint="eastAsia" w:hAnsi="宋体"/>
          <w:b/>
          <w:color w:val="auto"/>
          <w:sz w:val="52"/>
          <w:szCs w:val="52"/>
          <w:highlight w:val="none"/>
        </w:rPr>
        <w:t>广西壮族自治区政府采购合同</w:t>
      </w:r>
    </w:p>
    <w:p>
      <w:pPr>
        <w:pStyle w:val="12"/>
        <w:rPr>
          <w:rFonts w:hint="eastAsia" w:hAnsi="宋体"/>
          <w:color w:val="auto"/>
          <w:highlight w:val="none"/>
        </w:rPr>
      </w:pPr>
    </w:p>
    <w:p>
      <w:pPr>
        <w:pStyle w:val="12"/>
        <w:rPr>
          <w:rFonts w:hint="eastAsia" w:hAnsi="宋体"/>
          <w:color w:val="auto"/>
          <w:highlight w:val="none"/>
        </w:rPr>
      </w:pPr>
    </w:p>
    <w:p>
      <w:pPr>
        <w:pStyle w:val="12"/>
        <w:rPr>
          <w:rFonts w:hint="eastAsia" w:hAnsi="宋体"/>
          <w:color w:val="auto"/>
          <w:highlight w:val="none"/>
        </w:rPr>
      </w:pPr>
    </w:p>
    <w:p>
      <w:pPr>
        <w:pStyle w:val="12"/>
        <w:rPr>
          <w:rFonts w:hint="eastAsia" w:hAnsi="宋体"/>
          <w:color w:val="auto"/>
          <w:highlight w:val="none"/>
        </w:rPr>
      </w:pPr>
    </w:p>
    <w:p>
      <w:pPr>
        <w:pStyle w:val="12"/>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12"/>
        <w:ind w:firstLine="1590" w:firstLineChars="495"/>
        <w:rPr>
          <w:rFonts w:hint="eastAsia" w:hAnsi="宋体"/>
          <w:b/>
          <w:color w:val="auto"/>
          <w:sz w:val="32"/>
          <w:szCs w:val="32"/>
          <w:highlight w:val="none"/>
        </w:rPr>
      </w:pPr>
    </w:p>
    <w:p>
      <w:pPr>
        <w:pStyle w:val="12"/>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12"/>
        <w:jc w:val="center"/>
        <w:rPr>
          <w:rFonts w:hint="eastAsia" w:hAnsi="宋体"/>
          <w:color w:val="auto"/>
          <w:highlight w:val="none"/>
        </w:rPr>
      </w:pPr>
    </w:p>
    <w:p>
      <w:pPr>
        <w:pStyle w:val="12"/>
        <w:jc w:val="center"/>
        <w:rPr>
          <w:rFonts w:hint="eastAsia" w:hAnsi="宋体"/>
          <w:color w:val="auto"/>
          <w:highlight w:val="none"/>
        </w:rPr>
      </w:pPr>
    </w:p>
    <w:p>
      <w:pPr>
        <w:pStyle w:val="12"/>
        <w:jc w:val="center"/>
        <w:rPr>
          <w:rFonts w:hint="eastAsia" w:hAnsi="宋体"/>
          <w:color w:val="auto"/>
          <w:highlight w:val="none"/>
        </w:rPr>
      </w:pPr>
    </w:p>
    <w:p>
      <w:pPr>
        <w:pStyle w:val="12"/>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12"/>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12"/>
        <w:spacing w:line="340" w:lineRule="exact"/>
        <w:ind w:firstLine="1590" w:firstLineChars="495"/>
        <w:rPr>
          <w:rFonts w:hint="eastAsia" w:hAnsi="宋体"/>
          <w:b/>
          <w:color w:val="auto"/>
          <w:sz w:val="32"/>
          <w:szCs w:val="32"/>
          <w:highlight w:val="none"/>
        </w:rPr>
      </w:pPr>
    </w:p>
    <w:p>
      <w:pPr>
        <w:pStyle w:val="12"/>
        <w:spacing w:line="340" w:lineRule="exact"/>
        <w:ind w:firstLine="1590" w:firstLineChars="495"/>
        <w:rPr>
          <w:rFonts w:hint="eastAsia" w:hAnsi="宋体"/>
          <w:b/>
          <w:color w:val="auto"/>
          <w:sz w:val="32"/>
          <w:szCs w:val="32"/>
          <w:highlight w:val="none"/>
        </w:rPr>
      </w:pPr>
    </w:p>
    <w:p>
      <w:pPr>
        <w:pStyle w:val="12"/>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12"/>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12"/>
        <w:spacing w:line="340" w:lineRule="exact"/>
        <w:ind w:firstLine="1590" w:firstLineChars="495"/>
        <w:rPr>
          <w:rFonts w:hint="eastAsia" w:hAnsi="宋体"/>
          <w:b/>
          <w:color w:val="auto"/>
          <w:sz w:val="32"/>
          <w:szCs w:val="32"/>
          <w:highlight w:val="none"/>
        </w:rPr>
      </w:pPr>
    </w:p>
    <w:p>
      <w:pPr>
        <w:pStyle w:val="12"/>
        <w:jc w:val="center"/>
        <w:rPr>
          <w:rFonts w:hint="eastAsia" w:hAnsi="宋体"/>
          <w:color w:val="auto"/>
          <w:highlight w:val="none"/>
        </w:rPr>
      </w:pPr>
      <w:r>
        <w:rPr>
          <w:rFonts w:hint="eastAsia" w:hAnsi="宋体"/>
          <w:color w:val="auto"/>
          <w:highlight w:val="none"/>
        </w:rPr>
        <w:t xml:space="preserve"> </w:t>
      </w:r>
    </w:p>
    <w:p>
      <w:pPr>
        <w:pStyle w:val="12"/>
        <w:jc w:val="center"/>
        <w:rPr>
          <w:rFonts w:hint="eastAsia" w:hAnsi="宋体"/>
          <w:color w:val="auto"/>
          <w:highlight w:val="none"/>
        </w:rPr>
      </w:pPr>
    </w:p>
    <w:p>
      <w:pPr>
        <w:pStyle w:val="12"/>
        <w:jc w:val="center"/>
        <w:rPr>
          <w:rFonts w:hint="eastAsia" w:hAnsi="宋体"/>
          <w:color w:val="auto"/>
          <w:highlight w:val="none"/>
        </w:rPr>
      </w:pPr>
    </w:p>
    <w:p>
      <w:pPr>
        <w:pStyle w:val="12"/>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12"/>
        <w:ind w:firstLine="1590" w:firstLineChars="495"/>
        <w:rPr>
          <w:rFonts w:hint="eastAsia" w:hAnsi="宋体"/>
          <w:b/>
          <w:color w:val="auto"/>
          <w:sz w:val="32"/>
          <w:szCs w:val="32"/>
          <w:highlight w:val="none"/>
        </w:rPr>
      </w:pPr>
    </w:p>
    <w:p>
      <w:pPr>
        <w:pStyle w:val="12"/>
        <w:ind w:firstLine="1590" w:firstLineChars="495"/>
        <w:rPr>
          <w:rFonts w:hint="eastAsia"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12"/>
        <w:jc w:val="center"/>
        <w:rPr>
          <w:rFonts w:hint="eastAsia" w:hAnsi="宋体"/>
          <w:color w:val="auto"/>
          <w:highlight w:val="none"/>
        </w:rPr>
      </w:pPr>
    </w:p>
    <w:p>
      <w:pPr>
        <w:pStyle w:val="12"/>
        <w:jc w:val="center"/>
        <w:rPr>
          <w:rFonts w:hint="eastAsia" w:hAnsi="宋体"/>
          <w:color w:val="auto"/>
          <w:highlight w:val="none"/>
        </w:rPr>
      </w:pPr>
    </w:p>
    <w:p>
      <w:pPr>
        <w:pStyle w:val="12"/>
        <w:jc w:val="center"/>
        <w:rPr>
          <w:rFonts w:hint="eastAsia" w:hAnsi="宋体"/>
          <w:color w:val="auto"/>
          <w:highlight w:val="none"/>
        </w:rPr>
      </w:pPr>
    </w:p>
    <w:p>
      <w:pPr>
        <w:pStyle w:val="12"/>
        <w:jc w:val="center"/>
        <w:rPr>
          <w:rFonts w:hint="eastAsia" w:hAnsi="宋体"/>
          <w:color w:val="auto"/>
          <w:highlight w:val="none"/>
        </w:rPr>
      </w:pPr>
    </w:p>
    <w:p>
      <w:pPr>
        <w:pStyle w:val="12"/>
        <w:spacing w:line="420" w:lineRule="exact"/>
        <w:jc w:val="center"/>
        <w:rPr>
          <w:rFonts w:hint="eastAsia" w:hAnsi="宋体"/>
          <w:color w:val="auto"/>
          <w:highlight w:val="none"/>
        </w:rPr>
      </w:pPr>
      <w:r>
        <w:rPr>
          <w:rFonts w:hint="eastAsia" w:hAnsi="宋体"/>
          <w:color w:val="auto"/>
          <w:highlight w:val="none"/>
        </w:rPr>
        <w:t>合同使用说明：根据《中华人民共和国政府采购法》、《</w:t>
      </w:r>
      <w:r>
        <w:rPr>
          <w:color w:val="auto"/>
          <w:highlight w:val="none"/>
        </w:rPr>
        <w:t>中华人民共和国民法典</w:t>
      </w:r>
      <w:r>
        <w:rPr>
          <w:rFonts w:hint="eastAsia" w:hAnsi="宋体"/>
          <w:color w:val="auto"/>
          <w:highlight w:val="none"/>
        </w:rPr>
        <w:t>》等法律、法规规定，</w:t>
      </w:r>
    </w:p>
    <w:p>
      <w:pPr>
        <w:pStyle w:val="12"/>
        <w:spacing w:line="420" w:lineRule="exact"/>
        <w:ind w:firstLine="1470" w:firstLineChars="700"/>
        <w:rPr>
          <w:rFonts w:hint="eastAsia" w:hAnsi="宋体"/>
          <w:color w:val="auto"/>
          <w:highlight w:val="none"/>
        </w:rPr>
      </w:pPr>
      <w:r>
        <w:rPr>
          <w:rFonts w:hint="eastAsia" w:hAnsi="宋体"/>
          <w:color w:val="auto"/>
          <w:highlight w:val="none"/>
        </w:rPr>
        <w:t>按照招标文件规定条款和中标供应商投标文件及其承诺，甲乙双方签订本合同。</w:t>
      </w:r>
    </w:p>
    <w:p>
      <w:pPr>
        <w:pStyle w:val="12"/>
        <w:snapToGrid w:val="0"/>
        <w:spacing w:before="120" w:after="120"/>
        <w:jc w:val="center"/>
        <w:outlineLvl w:val="0"/>
        <w:rPr>
          <w:rFonts w:hint="eastAsia" w:hAnsi="宋体"/>
          <w:color w:val="auto"/>
          <w:highlight w:val="none"/>
        </w:rPr>
      </w:pPr>
    </w:p>
    <w:p>
      <w:pPr>
        <w:spacing w:line="300" w:lineRule="auto"/>
        <w:ind w:left="105" w:leftChars="50" w:firstLine="3092" w:firstLineChars="700"/>
        <w:rPr>
          <w:rFonts w:ascii="黑体" w:hAnsi="宋体" w:eastAsia="黑体"/>
          <w:b/>
          <w:bCs/>
          <w:color w:val="auto"/>
          <w:sz w:val="44"/>
          <w:szCs w:val="44"/>
          <w:highlight w:val="none"/>
        </w:rPr>
      </w:pPr>
      <w:r>
        <w:rPr>
          <w:rFonts w:ascii="黑体" w:hAnsi="宋体" w:eastAsia="黑体"/>
          <w:b/>
          <w:color w:val="auto"/>
          <w:sz w:val="44"/>
          <w:szCs w:val="44"/>
          <w:highlight w:val="none"/>
        </w:rPr>
        <w:br w:type="page"/>
      </w:r>
      <w:r>
        <w:rPr>
          <w:rFonts w:hint="eastAsia" w:ascii="黑体" w:hAnsi="宋体" w:eastAsia="黑体"/>
          <w:b/>
          <w:color w:val="auto"/>
          <w:sz w:val="44"/>
          <w:szCs w:val="44"/>
          <w:highlight w:val="none"/>
        </w:rPr>
        <w:t>采购</w:t>
      </w:r>
      <w:r>
        <w:rPr>
          <w:rFonts w:hint="eastAsia" w:ascii="黑体" w:hAnsi="宋体" w:eastAsia="黑体"/>
          <w:b/>
          <w:bCs/>
          <w:color w:val="auto"/>
          <w:sz w:val="44"/>
          <w:szCs w:val="44"/>
          <w:highlight w:val="none"/>
        </w:rPr>
        <w:t>合同文本</w:t>
      </w:r>
    </w:p>
    <w:p>
      <w:pPr>
        <w:snapToGrid w:val="0"/>
        <w:spacing w:line="360" w:lineRule="exact"/>
        <w:ind w:right="480"/>
        <w:jc w:val="center"/>
        <w:rPr>
          <w:rFonts w:hint="eastAsia" w:ascii="宋体" w:hAnsi="宋体"/>
          <w:bCs/>
          <w:color w:val="auto"/>
          <w:szCs w:val="21"/>
          <w:highlight w:val="none"/>
        </w:rPr>
      </w:pPr>
      <w:r>
        <w:rPr>
          <w:rFonts w:hint="eastAsia" w:ascii="宋体" w:hAnsi="宋体"/>
          <w:b/>
          <w:bCs/>
          <w:color w:val="auto"/>
          <w:szCs w:val="21"/>
          <w:highlight w:val="none"/>
        </w:rPr>
        <w:t xml:space="preserve"> 广西壮族自治区政府采购合同</w:t>
      </w:r>
    </w:p>
    <w:p>
      <w:pPr>
        <w:snapToGrid w:val="0"/>
        <w:spacing w:line="360" w:lineRule="exact"/>
        <w:ind w:right="480"/>
        <w:jc w:val="center"/>
        <w:rPr>
          <w:rFonts w:hint="eastAsia" w:ascii="宋体" w:hAnsi="宋体"/>
          <w:b/>
          <w:bCs/>
          <w:color w:val="auto"/>
          <w:szCs w:val="21"/>
          <w:highlight w:val="none"/>
        </w:rPr>
      </w:pPr>
      <w:r>
        <w:rPr>
          <w:rFonts w:hint="eastAsia" w:ascii="宋体" w:hAnsi="宋体"/>
          <w:b/>
          <w:bCs/>
          <w:color w:val="auto"/>
          <w:szCs w:val="21"/>
          <w:highlight w:val="none"/>
        </w:rPr>
        <w:t xml:space="preserve">                                       </w:t>
      </w:r>
    </w:p>
    <w:p>
      <w:pPr>
        <w:snapToGrid w:val="0"/>
        <w:spacing w:line="360" w:lineRule="exact"/>
        <w:ind w:right="480"/>
        <w:jc w:val="center"/>
        <w:rPr>
          <w:rFonts w:hint="eastAsia" w:ascii="宋体" w:hAnsi="宋体"/>
          <w:bCs/>
          <w:color w:val="auto"/>
          <w:szCs w:val="21"/>
          <w:highlight w:val="none"/>
          <w:u w:val="single"/>
        </w:rPr>
      </w:pPr>
      <w:r>
        <w:rPr>
          <w:rFonts w:hint="eastAsia" w:ascii="宋体" w:hAnsi="宋体"/>
          <w:bCs/>
          <w:color w:val="auto"/>
          <w:szCs w:val="21"/>
          <w:highlight w:val="none"/>
        </w:rPr>
        <w:t xml:space="preserve">                        合同编号：</w:t>
      </w:r>
      <w:r>
        <w:rPr>
          <w:rFonts w:hint="eastAsia" w:ascii="宋体" w:hAnsi="宋体"/>
          <w:bCs/>
          <w:color w:val="auto"/>
          <w:szCs w:val="21"/>
          <w:highlight w:val="none"/>
          <w:u w:val="single"/>
        </w:rPr>
        <w:t xml:space="preserve">                    </w:t>
      </w:r>
    </w:p>
    <w:p>
      <w:pPr>
        <w:snapToGrid w:val="0"/>
        <w:spacing w:line="360" w:lineRule="exact"/>
        <w:ind w:firstLine="3685" w:firstLineChars="1748"/>
        <w:rPr>
          <w:rFonts w:hint="eastAsia" w:ascii="宋体" w:hAnsi="宋体"/>
          <w:b/>
          <w:color w:val="auto"/>
          <w:szCs w:val="21"/>
          <w:highlight w:val="none"/>
        </w:rPr>
      </w:pP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pacing w:val="-20"/>
          <w:szCs w:val="21"/>
          <w:highlight w:val="none"/>
        </w:rPr>
        <w:t xml:space="preserve">   采 购 计 划 号</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项目名称和编号</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 </w:t>
      </w:r>
      <w:r>
        <w:rPr>
          <w:rFonts w:hint="eastAsia" w:ascii="宋体" w:hAnsi="宋体"/>
          <w:color w:val="auto"/>
          <w:szCs w:val="21"/>
          <w:highlight w:val="none"/>
          <w:u w:val="single"/>
        </w:rPr>
        <w:t xml:space="preserve">                    </w:t>
      </w:r>
    </w:p>
    <w:p>
      <w:pPr>
        <w:snapToGrid w:val="0"/>
        <w:spacing w:line="360" w:lineRule="exact"/>
        <w:ind w:firstLine="420" w:firstLineChars="200"/>
        <w:rPr>
          <w:rFonts w:hint="eastAsia" w:ascii="宋体" w:hAnsi="宋体"/>
          <w:color w:val="auto"/>
          <w:szCs w:val="21"/>
          <w:highlight w:val="none"/>
        </w:rPr>
      </w:pPr>
    </w:p>
    <w:p>
      <w:pPr>
        <w:pStyle w:val="12"/>
        <w:spacing w:line="420" w:lineRule="exact"/>
        <w:ind w:firstLine="420"/>
        <w:jc w:val="center"/>
        <w:rPr>
          <w:rFonts w:hint="eastAsia"/>
          <w:color w:val="auto"/>
          <w:highlight w:val="none"/>
        </w:rPr>
      </w:pPr>
      <w:r>
        <w:rPr>
          <w:rFonts w:hint="eastAsia"/>
          <w:color w:val="auto"/>
          <w:highlight w:val="none"/>
        </w:rPr>
        <w:t>根据《中华人民共和国政府采购法》、《</w:t>
      </w:r>
      <w:r>
        <w:rPr>
          <w:color w:val="auto"/>
          <w:highlight w:val="none"/>
        </w:rPr>
        <w:t>中华人民共和国民法典</w:t>
      </w:r>
      <w:r>
        <w:rPr>
          <w:rFonts w:hint="eastAsia"/>
          <w:color w:val="auto"/>
          <w:highlight w:val="none"/>
        </w:rPr>
        <w:t>》等法律、法规规定，按照招标文</w:t>
      </w:r>
    </w:p>
    <w:p>
      <w:pPr>
        <w:pStyle w:val="12"/>
        <w:spacing w:line="420" w:lineRule="exact"/>
        <w:rPr>
          <w:rFonts w:hint="eastAsia"/>
          <w:color w:val="auto"/>
          <w:highlight w:val="none"/>
        </w:rPr>
      </w:pPr>
      <w:r>
        <w:rPr>
          <w:rFonts w:hint="eastAsia"/>
          <w:color w:val="auto"/>
          <w:highlight w:val="none"/>
        </w:rPr>
        <w:t>件规定条款和中标供应商响应文件及其承诺，甲乙双方签订本合同。</w:t>
      </w:r>
    </w:p>
    <w:p>
      <w:pPr>
        <w:snapToGrid w:val="0"/>
        <w:spacing w:line="360" w:lineRule="exact"/>
        <w:ind w:firstLine="524" w:firstLineChars="249"/>
        <w:rPr>
          <w:rFonts w:hint="eastAsia" w:ascii="宋体" w:hAnsi="宋体"/>
          <w:color w:val="auto"/>
          <w:szCs w:val="21"/>
          <w:highlight w:val="none"/>
        </w:rPr>
      </w:pPr>
      <w:r>
        <w:rPr>
          <w:rFonts w:hint="eastAsia" w:ascii="宋体" w:hAnsi="宋体"/>
          <w:b/>
          <w:color w:val="auto"/>
          <w:szCs w:val="21"/>
          <w:highlight w:val="none"/>
        </w:rPr>
        <w:t>第一条  合同标的</w:t>
      </w:r>
    </w:p>
    <w:p>
      <w:pPr>
        <w:snapToGrid w:val="0"/>
        <w:spacing w:line="360" w:lineRule="exact"/>
        <w:ind w:firstLine="630" w:firstLineChars="300"/>
        <w:rPr>
          <w:rFonts w:hint="eastAsia" w:ascii="宋体" w:hAnsi="宋体"/>
          <w:color w:val="auto"/>
          <w:szCs w:val="21"/>
          <w:highlight w:val="none"/>
        </w:rPr>
      </w:pPr>
      <w:r>
        <w:rPr>
          <w:rFonts w:hint="eastAsia" w:ascii="宋体" w:hAnsi="宋体"/>
          <w:color w:val="auto"/>
          <w:szCs w:val="21"/>
          <w:highlight w:val="none"/>
        </w:rPr>
        <w:t>1、家具一览表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60"/>
        <w:gridCol w:w="1090"/>
        <w:gridCol w:w="2990"/>
        <w:gridCol w:w="720"/>
        <w:gridCol w:w="72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299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500" w:lineRule="exact"/>
              <w:jc w:val="center"/>
              <w:rPr>
                <w:rFonts w:hint="eastAsia" w:ascii="宋体" w:hAnsi="宋体"/>
                <w:color w:val="auto"/>
                <w:szCs w:val="21"/>
                <w:highlight w:val="none"/>
              </w:rPr>
            </w:pPr>
            <w:r>
              <w:rPr>
                <w:rFonts w:hint="eastAsia" w:ascii="宋体" w:hAnsi="宋体"/>
                <w:color w:val="auto"/>
                <w:szCs w:val="21"/>
                <w:highlight w:val="none"/>
              </w:rPr>
              <w:t>技术参数及性能配置</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要求（材质工艺要求说明）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46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3360" w:firstLineChars="1600"/>
              <w:rPr>
                <w:rFonts w:ascii="宋体" w:hAnsi="宋体"/>
                <w:color w:val="auto"/>
                <w:szCs w:val="21"/>
                <w:highlight w:val="none"/>
              </w:rPr>
            </w:pPr>
            <w:r>
              <w:rPr>
                <w:rFonts w:hint="eastAsia" w:ascii="宋体"/>
                <w:color w:val="auto"/>
                <w:szCs w:val="21"/>
                <w:highlight w:val="none"/>
              </w:rPr>
              <w:t>详细内容见“投标报价明细表”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6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人民币合计金额（大写）：                                （小写）</w:t>
            </w:r>
          </w:p>
        </w:tc>
      </w:tr>
    </w:tbl>
    <w:p>
      <w:pPr>
        <w:snapToGrid w:val="0"/>
        <w:spacing w:line="360" w:lineRule="exact"/>
        <w:ind w:right="420"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2、合同合计金额包括家具价款、备件、专用工具、安装、检验、技术资料和包装、运输等全部费用。如招响应文件对其另有规定的，从其规定。</w:t>
      </w:r>
    </w:p>
    <w:p>
      <w:pPr>
        <w:snapToGrid w:val="0"/>
        <w:spacing w:line="360" w:lineRule="exact"/>
        <w:ind w:right="525" w:firstLine="656" w:firstLineChars="300"/>
        <w:rPr>
          <w:rFonts w:hint="eastAsia" w:ascii="宋体" w:hAnsi="宋体"/>
          <w:color w:val="auto"/>
          <w:spacing w:val="4"/>
          <w:szCs w:val="21"/>
          <w:highlight w:val="none"/>
        </w:rPr>
      </w:pPr>
      <w:r>
        <w:rPr>
          <w:rFonts w:hint="eastAsia" w:ascii="宋体" w:hAnsi="宋体"/>
          <w:b/>
          <w:bCs/>
          <w:color w:val="auto"/>
          <w:spacing w:val="4"/>
          <w:szCs w:val="21"/>
          <w:highlight w:val="none"/>
        </w:rPr>
        <w:t xml:space="preserve">第二条  </w:t>
      </w:r>
      <w:r>
        <w:rPr>
          <w:rFonts w:hint="eastAsia" w:ascii="宋体" w:hAnsi="宋体"/>
          <w:b/>
          <w:color w:val="auto"/>
          <w:spacing w:val="4"/>
          <w:szCs w:val="21"/>
          <w:highlight w:val="none"/>
        </w:rPr>
        <w:t>质量保证</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1、乙方所提供的家具规格、技术标准、材料等质量必须与招响应文件和承诺相一致。乙方提供的节能和环保产品必须是列入政府采购清单的产品。</w:t>
      </w:r>
    </w:p>
    <w:p>
      <w:pPr>
        <w:snapToGrid w:val="0"/>
        <w:spacing w:line="360" w:lineRule="exact"/>
        <w:ind w:firstLine="436" w:firstLineChars="200"/>
        <w:jc w:val="left"/>
        <w:rPr>
          <w:rFonts w:hint="eastAsia" w:ascii="宋体" w:hAnsi="宋体"/>
          <w:color w:val="auto"/>
          <w:spacing w:val="4"/>
          <w:szCs w:val="21"/>
          <w:highlight w:val="none"/>
          <w:u w:val="single"/>
        </w:rPr>
      </w:pPr>
      <w:r>
        <w:rPr>
          <w:rFonts w:hint="eastAsia" w:ascii="宋体" w:hAnsi="宋体"/>
          <w:color w:val="auto"/>
          <w:spacing w:val="4"/>
          <w:szCs w:val="21"/>
          <w:highlight w:val="none"/>
        </w:rPr>
        <w:t>2、乙方所提供的家具必须是全新、未使用的产品，且在正常使用条件下，其使用寿命应达到承诺年限。</w:t>
      </w:r>
    </w:p>
    <w:p>
      <w:pPr>
        <w:snapToGrid w:val="0"/>
        <w:spacing w:line="360" w:lineRule="exact"/>
        <w:ind w:firstLine="652" w:firstLineChars="298"/>
        <w:rPr>
          <w:rFonts w:hint="eastAsia" w:ascii="宋体" w:hAnsi="宋体"/>
          <w:color w:val="auto"/>
          <w:spacing w:val="4"/>
          <w:szCs w:val="21"/>
          <w:highlight w:val="none"/>
        </w:rPr>
      </w:pPr>
      <w:r>
        <w:rPr>
          <w:rFonts w:hint="eastAsia" w:ascii="宋体" w:hAnsi="宋体"/>
          <w:b/>
          <w:bCs/>
          <w:color w:val="auto"/>
          <w:spacing w:val="4"/>
          <w:szCs w:val="21"/>
          <w:highlight w:val="none"/>
        </w:rPr>
        <w:t xml:space="preserve">第三条  </w:t>
      </w:r>
      <w:r>
        <w:rPr>
          <w:rFonts w:hint="eastAsia" w:ascii="宋体" w:hAnsi="宋体"/>
          <w:b/>
          <w:color w:val="auto"/>
          <w:spacing w:val="4"/>
          <w:szCs w:val="21"/>
          <w:highlight w:val="none"/>
        </w:rPr>
        <w:t>权利保证</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乙方应保证所提供家具在使用时不会侵犯任何第三方的专利权、商标权、工业设计权或其他权利。</w:t>
      </w:r>
    </w:p>
    <w:p>
      <w:pPr>
        <w:snapToGrid w:val="0"/>
        <w:spacing w:line="360" w:lineRule="exact"/>
        <w:ind w:firstLine="643" w:firstLineChars="294"/>
        <w:rPr>
          <w:rFonts w:hint="eastAsia" w:ascii="宋体" w:hAnsi="宋体"/>
          <w:b/>
          <w:bCs/>
          <w:color w:val="auto"/>
          <w:spacing w:val="4"/>
          <w:szCs w:val="21"/>
          <w:highlight w:val="none"/>
        </w:rPr>
      </w:pPr>
      <w:r>
        <w:rPr>
          <w:rFonts w:hint="eastAsia" w:ascii="宋体" w:hAnsi="宋体"/>
          <w:b/>
          <w:bCs/>
          <w:color w:val="auto"/>
          <w:spacing w:val="4"/>
          <w:szCs w:val="21"/>
          <w:highlight w:val="none"/>
        </w:rPr>
        <w:t>第四条  包装和运输</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1、乙方提供的家具均应按招响应文件要求的包装材料、包装标准、包装方式进行包装。</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2、乙方负责家具运输，家具的运输方式：</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w:t>
      </w:r>
    </w:p>
    <w:p>
      <w:pPr>
        <w:snapToGrid w:val="0"/>
        <w:spacing w:line="360" w:lineRule="exact"/>
        <w:ind w:firstLine="652" w:firstLineChars="298"/>
        <w:rPr>
          <w:rFonts w:hint="eastAsia" w:ascii="宋体" w:hAnsi="宋体"/>
          <w:b/>
          <w:color w:val="auto"/>
          <w:spacing w:val="4"/>
          <w:szCs w:val="21"/>
          <w:highlight w:val="none"/>
        </w:rPr>
      </w:pPr>
      <w:r>
        <w:rPr>
          <w:rFonts w:hint="eastAsia" w:ascii="宋体" w:hAnsi="宋体"/>
          <w:b/>
          <w:color w:val="auto"/>
          <w:spacing w:val="4"/>
          <w:szCs w:val="21"/>
          <w:highlight w:val="none"/>
        </w:rPr>
        <w:t>第五条  交付和验收</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1、交付使用时间：</w:t>
      </w:r>
      <w:r>
        <w:rPr>
          <w:rFonts w:hint="eastAsia" w:ascii="宋体" w:hAnsi="宋体"/>
          <w:b/>
          <w:color w:val="auto"/>
          <w:spacing w:val="4"/>
          <w:szCs w:val="21"/>
          <w:highlight w:val="none"/>
          <w:u w:val="single"/>
        </w:rPr>
        <w:t>按乙方响应文件承诺的交付使用时间</w:t>
      </w:r>
      <w:r>
        <w:rPr>
          <w:rFonts w:hint="eastAsia" w:ascii="宋体" w:hAnsi="宋体"/>
          <w:color w:val="auto"/>
          <w:spacing w:val="4"/>
          <w:szCs w:val="21"/>
          <w:highlight w:val="none"/>
        </w:rPr>
        <w:t>；地点：</w:t>
      </w:r>
      <w:r>
        <w:rPr>
          <w:rFonts w:hint="eastAsia" w:ascii="宋体" w:hAnsi="宋体"/>
          <w:b/>
          <w:color w:val="auto"/>
          <w:szCs w:val="21"/>
          <w:highlight w:val="none"/>
          <w:u w:val="single"/>
        </w:rPr>
        <w:t>采购人指定地点</w:t>
      </w:r>
      <w:r>
        <w:rPr>
          <w:rFonts w:hint="eastAsia" w:ascii="宋体" w:hAnsi="宋体"/>
          <w:b/>
          <w:color w:val="auto"/>
          <w:spacing w:val="4"/>
          <w:szCs w:val="21"/>
          <w:highlight w:val="none"/>
          <w:u w:val="single"/>
        </w:rPr>
        <w:t>。</w:t>
      </w:r>
    </w:p>
    <w:p>
      <w:pPr>
        <w:snapToGrid w:val="0"/>
        <w:spacing w:line="360" w:lineRule="exact"/>
        <w:ind w:firstLine="436" w:firstLineChars="200"/>
        <w:rPr>
          <w:rFonts w:hint="eastAsia" w:ascii="宋体" w:hAnsi="宋体"/>
          <w:color w:val="auto"/>
          <w:szCs w:val="21"/>
          <w:highlight w:val="none"/>
        </w:rPr>
      </w:pPr>
      <w:r>
        <w:rPr>
          <w:rFonts w:hint="eastAsia" w:ascii="宋体" w:hAnsi="宋体"/>
          <w:color w:val="auto"/>
          <w:spacing w:val="4"/>
          <w:szCs w:val="21"/>
          <w:highlight w:val="none"/>
        </w:rPr>
        <w:t>2、乙</w:t>
      </w:r>
      <w:r>
        <w:rPr>
          <w:rFonts w:hint="eastAsia" w:ascii="宋体" w:hAnsi="宋体"/>
          <w:color w:val="auto"/>
          <w:szCs w:val="21"/>
          <w:highlight w:val="none"/>
        </w:rPr>
        <w:t>方提供不符合招响应文件和本合同规定的家具，甲方有权拒绝接受。</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3、乙方应按照甲方的要求，在</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年</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月</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日前安装完毕并承担安装费用。甲方应提供必要安装条件（如场地、电源等）。</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4、甲方应当在产品安装完毕后十五个工作日内进行验收，逾期不验收的，乙方可视同验收合格。验收合格后由甲乙双方签署货物验收单并加盖采购单位公章，甲乙双方各执一份。</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6、甲方对验收有异议的，在验收后五个工作日内以书面形式向乙方提出，乙方应自收到甲方书面异议后</w:t>
      </w:r>
      <w:r>
        <w:rPr>
          <w:rFonts w:hint="eastAsia" w:ascii="宋体" w:hAnsi="宋体"/>
          <w:color w:val="auto"/>
          <w:spacing w:val="4"/>
          <w:szCs w:val="21"/>
          <w:highlight w:val="none"/>
          <w:u w:val="single"/>
        </w:rPr>
        <w:t>三</w:t>
      </w:r>
      <w:r>
        <w:rPr>
          <w:rFonts w:hint="eastAsia" w:ascii="宋体" w:hAnsi="宋体"/>
          <w:color w:val="auto"/>
          <w:spacing w:val="4"/>
          <w:szCs w:val="21"/>
          <w:highlight w:val="none"/>
        </w:rPr>
        <w:t>日内及时予以解决。</w:t>
      </w:r>
    </w:p>
    <w:p>
      <w:pPr>
        <w:snapToGrid w:val="0"/>
        <w:spacing w:line="360" w:lineRule="exact"/>
        <w:ind w:firstLine="536" w:firstLineChars="245"/>
        <w:rPr>
          <w:rFonts w:hint="eastAsia" w:ascii="宋体" w:hAnsi="宋体"/>
          <w:color w:val="auto"/>
          <w:spacing w:val="4"/>
          <w:szCs w:val="21"/>
          <w:highlight w:val="none"/>
          <w:u w:val="single"/>
        </w:rPr>
      </w:pPr>
      <w:r>
        <w:rPr>
          <w:rFonts w:hint="eastAsia" w:ascii="宋体" w:hAnsi="宋体"/>
          <w:b/>
          <w:color w:val="auto"/>
          <w:spacing w:val="4"/>
          <w:szCs w:val="21"/>
          <w:highlight w:val="none"/>
        </w:rPr>
        <w:t xml:space="preserve">第六条  </w:t>
      </w:r>
      <w:r>
        <w:rPr>
          <w:rFonts w:hint="eastAsia" w:ascii="宋体" w:hAnsi="宋体"/>
          <w:color w:val="auto"/>
          <w:spacing w:val="4"/>
          <w:szCs w:val="21"/>
          <w:highlight w:val="none"/>
        </w:rPr>
        <w:t>定做家具图纸提供方法及要求：</w:t>
      </w:r>
      <w:r>
        <w:rPr>
          <w:rFonts w:hint="eastAsia" w:ascii="宋体" w:hAnsi="宋体"/>
          <w:color w:val="auto"/>
          <w:spacing w:val="4"/>
          <w:szCs w:val="21"/>
          <w:highlight w:val="none"/>
          <w:u w:val="single"/>
        </w:rPr>
        <w:t xml:space="preserve">                     。</w:t>
      </w:r>
    </w:p>
    <w:p>
      <w:pPr>
        <w:snapToGrid w:val="0"/>
        <w:spacing w:line="360" w:lineRule="exact"/>
        <w:ind w:firstLine="542" w:firstLineChars="248"/>
        <w:rPr>
          <w:rFonts w:hint="eastAsia" w:ascii="宋体" w:hAnsi="宋体"/>
          <w:b/>
          <w:color w:val="auto"/>
          <w:spacing w:val="4"/>
          <w:szCs w:val="21"/>
          <w:highlight w:val="none"/>
        </w:rPr>
      </w:pPr>
      <w:r>
        <w:rPr>
          <w:rFonts w:hint="eastAsia" w:ascii="宋体" w:hAnsi="宋体"/>
          <w:b/>
          <w:bCs/>
          <w:color w:val="auto"/>
          <w:spacing w:val="4"/>
          <w:szCs w:val="21"/>
          <w:highlight w:val="none"/>
        </w:rPr>
        <w:t xml:space="preserve">第七条  </w:t>
      </w:r>
      <w:r>
        <w:rPr>
          <w:rFonts w:hint="eastAsia" w:ascii="宋体" w:hAnsi="宋体"/>
          <w:b/>
          <w:color w:val="auto"/>
          <w:spacing w:val="4"/>
          <w:szCs w:val="21"/>
          <w:highlight w:val="none"/>
        </w:rPr>
        <w:t>售后服务、保修期（质量保证期）</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1、乙方应按照国家有关法律法规和“三包”规定以及招响应文件和本合同所附的《服务承诺》，为甲方提供售后服务。</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2、家具保修期为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个月，在保修期内出现家具质量问题，乙方须在</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天内修理好或更换，并承担全部费用，家具更换后保修期重新开始计算。修理不好或不能更换的，予以退货，乙方应退回该家具全部货款。</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3、乙方提供的服务承诺和售后服务及保修期责任等其它具体约定事项。（见合同附件）</w:t>
      </w:r>
    </w:p>
    <w:p>
      <w:pPr>
        <w:snapToGrid w:val="0"/>
        <w:spacing w:line="360" w:lineRule="exact"/>
        <w:ind w:firstLine="503" w:firstLineChars="230"/>
        <w:rPr>
          <w:rFonts w:hint="eastAsia" w:ascii="宋体" w:hAnsi="宋体"/>
          <w:color w:val="auto"/>
          <w:spacing w:val="4"/>
          <w:szCs w:val="21"/>
          <w:highlight w:val="none"/>
        </w:rPr>
      </w:pPr>
      <w:r>
        <w:rPr>
          <w:rFonts w:hint="eastAsia" w:ascii="宋体" w:hAnsi="宋体"/>
          <w:b/>
          <w:bCs/>
          <w:color w:val="auto"/>
          <w:spacing w:val="4"/>
          <w:szCs w:val="21"/>
          <w:highlight w:val="none"/>
        </w:rPr>
        <w:t xml:space="preserve">第八条  </w:t>
      </w:r>
      <w:r>
        <w:rPr>
          <w:rFonts w:hint="eastAsia" w:ascii="宋体" w:hAnsi="宋体"/>
          <w:b/>
          <w:color w:val="auto"/>
          <w:spacing w:val="4"/>
          <w:szCs w:val="21"/>
          <w:highlight w:val="none"/>
        </w:rPr>
        <w:t>付款方式</w:t>
      </w:r>
    </w:p>
    <w:p>
      <w:pPr>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1、当采购数量与实际使用数量不一致时，乙方应根据实际使用量供货，合同的最终结算金额按实际使用量乘以成交单价进行计算。</w:t>
      </w:r>
    </w:p>
    <w:p>
      <w:pPr>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2、资金性质：</w:t>
      </w:r>
      <w:r>
        <w:rPr>
          <w:rFonts w:hint="eastAsia" w:ascii="宋体" w:hAnsi="宋体"/>
          <w:color w:val="auto"/>
          <w:szCs w:val="21"/>
          <w:highlight w:val="none"/>
          <w:u w:val="single"/>
        </w:rPr>
        <w:t xml:space="preserve">            财政性资金          </w:t>
      </w:r>
      <w:r>
        <w:rPr>
          <w:rFonts w:hint="eastAsia" w:ascii="宋体" w:hAnsi="宋体"/>
          <w:color w:val="auto"/>
          <w:szCs w:val="21"/>
          <w:highlight w:val="none"/>
        </w:rPr>
        <w:t>。</w:t>
      </w:r>
    </w:p>
    <w:p>
      <w:pPr>
        <w:snapToGrid w:val="0"/>
        <w:spacing w:line="420" w:lineRule="exact"/>
        <w:ind w:firstLine="420" w:firstLineChars="200"/>
        <w:rPr>
          <w:rFonts w:hint="eastAsia" w:hAnsi="宋体"/>
          <w:dstrike/>
          <w:color w:val="auto"/>
          <w:highlight w:val="none"/>
        </w:rPr>
      </w:pPr>
      <w:r>
        <w:rPr>
          <w:rFonts w:hint="eastAsia" w:ascii="宋体" w:hAnsi="宋体"/>
          <w:color w:val="auto"/>
          <w:szCs w:val="21"/>
          <w:highlight w:val="none"/>
        </w:rPr>
        <w:t>3、付款方式：</w:t>
      </w:r>
      <w:r>
        <w:rPr>
          <w:rFonts w:hint="eastAsia" w:ascii="宋体" w:hAnsi="宋体"/>
          <w:b/>
          <w:bCs/>
          <w:color w:val="auto"/>
          <w:sz w:val="21"/>
          <w:szCs w:val="21"/>
          <w:highlight w:val="none"/>
        </w:rPr>
        <w:t>合同签订后10个工作日内，</w:t>
      </w:r>
      <w:r>
        <w:rPr>
          <w:rFonts w:hint="eastAsia" w:ascii="宋体" w:hAnsi="宋体"/>
          <w:b/>
          <w:bCs/>
          <w:color w:val="auto"/>
          <w:sz w:val="21"/>
          <w:szCs w:val="21"/>
          <w:highlight w:val="none"/>
          <w:lang w:eastAsia="zh-CN"/>
        </w:rPr>
        <w:t>甲方</w:t>
      </w:r>
      <w:r>
        <w:rPr>
          <w:rFonts w:hint="eastAsia" w:ascii="宋体" w:hAnsi="宋体"/>
          <w:b/>
          <w:bCs/>
          <w:color w:val="auto"/>
          <w:sz w:val="21"/>
          <w:szCs w:val="21"/>
          <w:highlight w:val="none"/>
        </w:rPr>
        <w:t>以转账方式向</w:t>
      </w:r>
      <w:r>
        <w:rPr>
          <w:rFonts w:hint="eastAsia" w:ascii="宋体" w:hAnsi="宋体"/>
          <w:b/>
          <w:bCs/>
          <w:color w:val="auto"/>
          <w:sz w:val="21"/>
          <w:szCs w:val="21"/>
          <w:highlight w:val="none"/>
          <w:lang w:eastAsia="zh-CN"/>
        </w:rPr>
        <w:t>中标人</w:t>
      </w:r>
      <w:r>
        <w:rPr>
          <w:rFonts w:hint="eastAsia" w:ascii="宋体" w:hAnsi="宋体"/>
          <w:b/>
          <w:bCs/>
          <w:color w:val="auto"/>
          <w:sz w:val="21"/>
          <w:szCs w:val="21"/>
          <w:highlight w:val="none"/>
        </w:rPr>
        <w:t>支付合同金额的30%作为预付款，交货</w:t>
      </w:r>
      <w:r>
        <w:rPr>
          <w:rFonts w:hint="eastAsia" w:ascii="宋体" w:hAnsi="宋体"/>
          <w:b/>
          <w:bCs/>
          <w:color w:val="auto"/>
          <w:sz w:val="21"/>
          <w:szCs w:val="21"/>
          <w:highlight w:val="none"/>
          <w:lang w:val="en-US" w:eastAsia="zh-CN"/>
        </w:rPr>
        <w:t>安装</w:t>
      </w:r>
      <w:r>
        <w:rPr>
          <w:rFonts w:hint="eastAsia" w:ascii="宋体" w:hAnsi="宋体"/>
          <w:b/>
          <w:bCs/>
          <w:color w:val="auto"/>
          <w:sz w:val="21"/>
          <w:szCs w:val="21"/>
          <w:highlight w:val="none"/>
        </w:rPr>
        <w:t>验收合格后10个工作日内，</w:t>
      </w:r>
      <w:r>
        <w:rPr>
          <w:rFonts w:hint="eastAsia" w:ascii="宋体" w:hAnsi="宋体"/>
          <w:b/>
          <w:bCs/>
          <w:color w:val="auto"/>
          <w:sz w:val="21"/>
          <w:szCs w:val="21"/>
          <w:highlight w:val="none"/>
          <w:lang w:eastAsia="zh-CN"/>
        </w:rPr>
        <w:t>甲方</w:t>
      </w:r>
      <w:r>
        <w:rPr>
          <w:rFonts w:hint="eastAsia" w:ascii="宋体" w:hAnsi="宋体"/>
          <w:b/>
          <w:bCs/>
          <w:color w:val="auto"/>
          <w:sz w:val="21"/>
          <w:szCs w:val="21"/>
          <w:highlight w:val="none"/>
        </w:rPr>
        <w:t>支付</w:t>
      </w:r>
      <w:r>
        <w:rPr>
          <w:rFonts w:hint="eastAsia" w:ascii="宋体" w:hAnsi="宋体"/>
          <w:b/>
          <w:bCs/>
          <w:color w:val="auto"/>
          <w:sz w:val="21"/>
          <w:szCs w:val="21"/>
          <w:highlight w:val="none"/>
          <w:lang w:eastAsia="zh-CN"/>
        </w:rPr>
        <w:t>中标人</w:t>
      </w:r>
      <w:r>
        <w:rPr>
          <w:rFonts w:hint="eastAsia" w:ascii="宋体" w:hAnsi="宋体"/>
          <w:b/>
          <w:bCs/>
          <w:color w:val="auto"/>
          <w:sz w:val="21"/>
          <w:szCs w:val="21"/>
          <w:highlight w:val="none"/>
        </w:rPr>
        <w:t>剩余结算款，</w:t>
      </w:r>
      <w:r>
        <w:rPr>
          <w:rFonts w:hint="eastAsia" w:ascii="宋体" w:hAnsi="宋体"/>
          <w:b/>
          <w:bCs/>
          <w:color w:val="auto"/>
          <w:sz w:val="21"/>
          <w:szCs w:val="21"/>
          <w:highlight w:val="none"/>
          <w:lang w:eastAsia="zh-CN"/>
        </w:rPr>
        <w:t>中标人</w:t>
      </w:r>
      <w:r>
        <w:rPr>
          <w:rFonts w:hint="eastAsia" w:ascii="宋体" w:hAnsi="宋体"/>
          <w:b/>
          <w:bCs/>
          <w:color w:val="auto"/>
          <w:sz w:val="21"/>
          <w:szCs w:val="21"/>
          <w:highlight w:val="none"/>
        </w:rPr>
        <w:t>自收到款项之日起三个工作日内开具发票给</w:t>
      </w:r>
      <w:r>
        <w:rPr>
          <w:rFonts w:hint="eastAsia" w:ascii="宋体" w:hAnsi="宋体"/>
          <w:b/>
          <w:bCs/>
          <w:color w:val="auto"/>
          <w:sz w:val="21"/>
          <w:szCs w:val="21"/>
          <w:highlight w:val="none"/>
          <w:lang w:eastAsia="zh-CN"/>
        </w:rPr>
        <w:t>甲方</w:t>
      </w:r>
      <w:r>
        <w:rPr>
          <w:rFonts w:hint="eastAsia" w:ascii="宋体" w:hAnsi="宋体"/>
          <w:b/>
          <w:bCs/>
          <w:color w:val="auto"/>
          <w:sz w:val="21"/>
          <w:szCs w:val="21"/>
          <w:highlight w:val="none"/>
        </w:rPr>
        <w:t>。</w:t>
      </w:r>
    </w:p>
    <w:p>
      <w:pPr>
        <w:snapToGrid w:val="0"/>
        <w:spacing w:line="420" w:lineRule="exact"/>
        <w:ind w:left="-61" w:leftChars="-29" w:firstLine="516" w:firstLineChars="245"/>
        <w:rPr>
          <w:rFonts w:hint="eastAsia" w:ascii="宋体" w:hAnsi="宋体"/>
          <w:b/>
          <w:color w:val="auto"/>
          <w:szCs w:val="21"/>
          <w:highlight w:val="none"/>
        </w:rPr>
      </w:pPr>
      <w:r>
        <w:rPr>
          <w:rFonts w:hint="eastAsia" w:ascii="宋体" w:hAnsi="宋体"/>
          <w:b/>
          <w:color w:val="auto"/>
          <w:szCs w:val="21"/>
          <w:highlight w:val="none"/>
        </w:rPr>
        <w:t>第九条　履约保证金</w:t>
      </w:r>
    </w:p>
    <w:p>
      <w:pPr>
        <w:snapToGrid w:val="0"/>
        <w:spacing w:line="360" w:lineRule="exact"/>
        <w:ind w:firstLine="436" w:firstLineChars="200"/>
        <w:rPr>
          <w:rFonts w:hint="eastAsia" w:ascii="宋体" w:hAnsi="宋体"/>
          <w:bCs/>
          <w:color w:val="auto"/>
          <w:spacing w:val="4"/>
          <w:szCs w:val="21"/>
          <w:highlight w:val="none"/>
        </w:rPr>
      </w:pPr>
      <w:r>
        <w:rPr>
          <w:rFonts w:hint="eastAsia" w:ascii="宋体" w:hAnsi="宋体"/>
          <w:bCs/>
          <w:color w:val="auto"/>
          <w:spacing w:val="4"/>
          <w:szCs w:val="21"/>
          <w:highlight w:val="none"/>
        </w:rPr>
        <w:t xml:space="preserve">合同签订之前，供应商按合同金额的3%向采购人交纳履约保证金，履约保证金在供应商按合同约定交货验收合格后5个工作日内无息返还。 </w:t>
      </w:r>
    </w:p>
    <w:p>
      <w:pPr>
        <w:snapToGrid w:val="0"/>
        <w:spacing w:line="360" w:lineRule="exact"/>
        <w:ind w:firstLine="437" w:firstLineChars="200"/>
        <w:rPr>
          <w:rFonts w:ascii="宋体" w:hAnsi="宋体"/>
          <w:b/>
          <w:color w:val="auto"/>
          <w:spacing w:val="4"/>
          <w:szCs w:val="21"/>
          <w:highlight w:val="none"/>
        </w:rPr>
      </w:pPr>
      <w:r>
        <w:rPr>
          <w:rFonts w:hint="eastAsia" w:ascii="宋体" w:hAnsi="宋体"/>
          <w:b/>
          <w:color w:val="auto"/>
          <w:spacing w:val="4"/>
          <w:szCs w:val="21"/>
          <w:highlight w:val="none"/>
        </w:rPr>
        <w:t>第十条  合同的变更、终止与转让</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1、除《中华人民共和国政府采购法》第五十条规定的情形外，本合同一经签订，甲乙双方不得擅自变更、中止或终止。</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2、乙方不得擅自转让其应履行的合同义务。</w:t>
      </w:r>
    </w:p>
    <w:p>
      <w:pPr>
        <w:snapToGrid w:val="0"/>
        <w:spacing w:line="360" w:lineRule="exact"/>
        <w:ind w:firstLine="437" w:firstLineChars="200"/>
        <w:rPr>
          <w:rFonts w:hint="eastAsia" w:ascii="宋体" w:hAnsi="宋体"/>
          <w:b/>
          <w:color w:val="auto"/>
          <w:spacing w:val="4"/>
          <w:szCs w:val="21"/>
          <w:highlight w:val="none"/>
        </w:rPr>
      </w:pPr>
      <w:r>
        <w:rPr>
          <w:rFonts w:hint="eastAsia" w:ascii="宋体" w:hAnsi="宋体"/>
          <w:b/>
          <w:color w:val="auto"/>
          <w:spacing w:val="4"/>
          <w:szCs w:val="21"/>
          <w:highlight w:val="none"/>
        </w:rPr>
        <w:t>第十一条  违约责任</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1、乙方所提供的家具规格、技术标准、材料等质量不合格的，应及时更换，更换不及时的按逾期交货处罚；因质量问题甲方不同意接收的或特殊情况甲方同意接收的，乙方应向甲方支付违约货款额 5%违约金并乙方应赔偿甲方经济损失。</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2、乙方提供的货物如侵犯第三方合法权益而引发的任何纠纷或诉讼，均由乙方负责交涉并承担全部责任。</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3、因包装、运输引起的货物损坏，按质量不合格处罚。</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4、甲方无故延期接收货物、乙方逾期交货的，每天向对方偿付违约货款额</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‰违约金，但违约金累计不得超过违约货款额</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%，超过</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天对方有权解除合同，违约方承担因此给对方造成经济损失；甲方延期付货款的，每天向乙方偿付延期货款额</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‰违约金，但违约金累计不得超过延期货款额</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 xml:space="preserve"> %。</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5、乙方未按本合同和响应文件中规定的服务承诺提供售后服务的，乙方应按本合同合计金额 5%向甲方支付违约金。</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6、</w:t>
      </w:r>
      <w:r>
        <w:rPr>
          <w:rFonts w:hint="eastAsia" w:ascii="宋体" w:hAnsi="宋体"/>
          <w:color w:val="auto"/>
          <w:szCs w:val="21"/>
          <w:highlight w:val="none"/>
        </w:rPr>
        <w:t>乙方提供的货物在质量保证期内，因设计、工艺或材料的缺陷和其它质量原因造成的问题，由乙方负责，费用从</w:t>
      </w:r>
      <w:r>
        <w:rPr>
          <w:rFonts w:hint="eastAsia" w:ascii="宋体" w:hAnsi="宋体"/>
          <w:b/>
          <w:color w:val="auto"/>
          <w:szCs w:val="21"/>
          <w:highlight w:val="none"/>
        </w:rPr>
        <w:t>履约保证金</w:t>
      </w:r>
      <w:r>
        <w:rPr>
          <w:rFonts w:hint="eastAsia" w:ascii="宋体" w:hAnsi="宋体"/>
          <w:color w:val="auto"/>
          <w:szCs w:val="21"/>
          <w:highlight w:val="none"/>
        </w:rPr>
        <w:t>中扣除，</w:t>
      </w:r>
      <w:r>
        <w:rPr>
          <w:rFonts w:hint="eastAsia" w:ascii="宋体" w:hAnsi="宋体"/>
          <w:b/>
          <w:color w:val="auto"/>
          <w:szCs w:val="21"/>
          <w:highlight w:val="none"/>
        </w:rPr>
        <w:t>履约保证金</w:t>
      </w:r>
      <w:r>
        <w:rPr>
          <w:rFonts w:hint="eastAsia" w:ascii="宋体" w:hAnsi="宋体"/>
          <w:color w:val="auto"/>
          <w:szCs w:val="21"/>
          <w:highlight w:val="none"/>
        </w:rPr>
        <w:t>不足以支付的，由乙方另行支付</w:t>
      </w:r>
      <w:r>
        <w:rPr>
          <w:rFonts w:hint="eastAsia" w:ascii="宋体" w:hAnsi="宋体"/>
          <w:color w:val="auto"/>
          <w:spacing w:val="4"/>
          <w:szCs w:val="21"/>
          <w:highlight w:val="none"/>
        </w:rPr>
        <w:t>。</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7、其它违约行为按违约货款额</w:t>
      </w:r>
      <w:r>
        <w:rPr>
          <w:rFonts w:hint="eastAsia" w:ascii="宋体" w:hAnsi="宋体"/>
          <w:color w:val="auto"/>
          <w:spacing w:val="4"/>
          <w:szCs w:val="21"/>
          <w:highlight w:val="none"/>
          <w:u w:val="single"/>
        </w:rPr>
        <w:t xml:space="preserve">       </w:t>
      </w:r>
      <w:r>
        <w:rPr>
          <w:rFonts w:ascii="宋体" w:hAnsi="宋体"/>
          <w:color w:val="auto"/>
          <w:spacing w:val="4"/>
          <w:szCs w:val="21"/>
          <w:highlight w:val="none"/>
          <w:u w:val="single"/>
          <w:lang w:val="en"/>
        </w:rPr>
        <w:t xml:space="preserve">   </w:t>
      </w:r>
      <w:r>
        <w:rPr>
          <w:rFonts w:hint="eastAsia" w:ascii="宋体" w:hAnsi="宋体"/>
          <w:color w:val="auto"/>
          <w:spacing w:val="4"/>
          <w:szCs w:val="21"/>
          <w:highlight w:val="none"/>
        </w:rPr>
        <w:t>%收取违约金并赔偿经济损失。</w:t>
      </w:r>
    </w:p>
    <w:p>
      <w:pPr>
        <w:snapToGrid w:val="0"/>
        <w:spacing w:line="360" w:lineRule="exact"/>
        <w:ind w:firstLine="437" w:firstLineChars="200"/>
        <w:rPr>
          <w:rFonts w:hint="eastAsia" w:ascii="宋体" w:hAnsi="宋体"/>
          <w:color w:val="auto"/>
          <w:spacing w:val="4"/>
          <w:szCs w:val="21"/>
          <w:highlight w:val="none"/>
        </w:rPr>
      </w:pPr>
      <w:r>
        <w:rPr>
          <w:rFonts w:hint="eastAsia" w:ascii="宋体" w:hAnsi="宋体"/>
          <w:b/>
          <w:color w:val="auto"/>
          <w:spacing w:val="4"/>
          <w:szCs w:val="21"/>
          <w:highlight w:val="none"/>
        </w:rPr>
        <w:t>第十二条  解决合同争议</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1、因家具质量问题发生争议的，应邀请国家认可的质量检测机构对家具质量进行鉴定。家具符合标准的，鉴定费由甲方承担；家具不符合标准的，鉴定费由乙方承担。</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2、因履行本合同引起的或与本合同有关的争议，甲乙双方应首先通过友好协商解决，如果协商不能解决，可向甲方所在地的人民法院提起诉讼。</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3、诉讼期间，本合同继续履行。</w:t>
      </w:r>
    </w:p>
    <w:p>
      <w:pPr>
        <w:pStyle w:val="12"/>
        <w:snapToGrid w:val="0"/>
        <w:spacing w:before="120" w:after="120" w:line="360" w:lineRule="exact"/>
        <w:ind w:firstLine="421" w:firstLineChars="200"/>
        <w:rPr>
          <w:rFonts w:hint="eastAsia" w:hAnsi="宋体"/>
          <w:b/>
          <w:color w:val="auto"/>
          <w:highlight w:val="none"/>
        </w:rPr>
      </w:pPr>
      <w:r>
        <w:rPr>
          <w:rFonts w:hint="eastAsia" w:hAnsi="宋体"/>
          <w:b/>
          <w:color w:val="auto"/>
          <w:highlight w:val="none"/>
        </w:rPr>
        <w:t>第十三条 合同生效及其它</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1、合同经双方法定代表人或授权代表签字并加盖单位公章后生效。</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3、本合同未尽事宜，遵照《</w:t>
      </w:r>
      <w:r>
        <w:rPr>
          <w:color w:val="auto"/>
          <w:highlight w:val="none"/>
        </w:rPr>
        <w:t>中华人民共和国民法典</w:t>
      </w:r>
      <w:r>
        <w:rPr>
          <w:rFonts w:hint="eastAsia" w:ascii="宋体" w:hAnsi="宋体"/>
          <w:color w:val="auto"/>
          <w:szCs w:val="21"/>
          <w:highlight w:val="none"/>
        </w:rPr>
        <w:t>》有关条文执行。</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exact"/>
        <w:ind w:firstLine="437" w:firstLineChars="200"/>
        <w:rPr>
          <w:rFonts w:hint="eastAsia" w:ascii="宋体" w:hAnsi="宋体"/>
          <w:b/>
          <w:color w:val="auto"/>
          <w:spacing w:val="4"/>
          <w:szCs w:val="21"/>
          <w:highlight w:val="none"/>
        </w:rPr>
      </w:pPr>
      <w:r>
        <w:rPr>
          <w:rFonts w:hint="eastAsia" w:ascii="宋体" w:hAnsi="宋体"/>
          <w:b/>
          <w:color w:val="auto"/>
          <w:spacing w:val="4"/>
          <w:szCs w:val="21"/>
          <w:highlight w:val="none"/>
        </w:rPr>
        <w:t>第十四条  签订本合同依据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1、政府采购招标文件</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2、乙方提供的投标文件</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4、中标通知书</w:t>
      </w:r>
    </w:p>
    <w:p>
      <w:pPr>
        <w:snapToGrid w:val="0"/>
        <w:spacing w:line="3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5、其他约定附件</w:t>
      </w:r>
    </w:p>
    <w:p>
      <w:pPr>
        <w:snapToGrid w:val="0"/>
        <w:spacing w:line="400" w:lineRule="exact"/>
        <w:ind w:firstLine="437" w:firstLineChars="200"/>
        <w:rPr>
          <w:rFonts w:hint="eastAsia" w:ascii="宋体" w:hAnsi="宋体"/>
          <w:b/>
          <w:color w:val="auto"/>
          <w:szCs w:val="21"/>
          <w:highlight w:val="none"/>
        </w:rPr>
      </w:pPr>
      <w:r>
        <w:rPr>
          <w:rFonts w:hint="eastAsia" w:ascii="宋体" w:hAnsi="宋体"/>
          <w:b/>
          <w:color w:val="auto"/>
          <w:spacing w:val="4"/>
          <w:szCs w:val="21"/>
          <w:highlight w:val="none"/>
        </w:rPr>
        <w:t xml:space="preserve">第十五条  </w:t>
      </w:r>
      <w:r>
        <w:rPr>
          <w:rFonts w:hint="eastAsia" w:ascii="宋体" w:hAnsi="宋体"/>
          <w:b/>
          <w:color w:val="auto"/>
          <w:szCs w:val="21"/>
          <w:highlight w:val="none"/>
        </w:rPr>
        <w:t>本合同一式六份，具有同等法律效力。广西壮族自治区财政厅政府采购监督管理处、代理机构各一份，甲方三份，乙方一份。</w:t>
      </w:r>
    </w:p>
    <w:p>
      <w:pPr>
        <w:snapToGrid w:val="0"/>
        <w:spacing w:line="400" w:lineRule="exact"/>
        <w:ind w:firstLine="421" w:firstLineChars="200"/>
        <w:rPr>
          <w:rFonts w:hint="eastAsia" w:ascii="宋体" w:hAnsi="宋体"/>
          <w:color w:val="auto"/>
          <w:spacing w:val="4"/>
          <w:szCs w:val="21"/>
          <w:highlight w:val="none"/>
        </w:rPr>
      </w:pPr>
      <w:r>
        <w:rPr>
          <w:rFonts w:hint="eastAsia" w:ascii="宋体" w:hAnsi="宋体"/>
          <w:b/>
          <w:color w:val="auto"/>
          <w:szCs w:val="21"/>
          <w:highlight w:val="none"/>
        </w:rPr>
        <w:t>自签订之日起两个工作日内，甲方应当将合同通过广西政府采购云平台上传完成合同网上公示。</w:t>
      </w:r>
    </w:p>
    <w:p>
      <w:pPr>
        <w:snapToGrid w:val="0"/>
        <w:spacing w:line="360" w:lineRule="exact"/>
        <w:ind w:firstLine="436" w:firstLineChars="200"/>
        <w:rPr>
          <w:rFonts w:hint="eastAsia" w:ascii="宋体" w:hAnsi="宋体"/>
          <w:color w:val="auto"/>
          <w:spacing w:val="4"/>
          <w:szCs w:val="21"/>
          <w:highlight w:val="none"/>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exact"/>
              <w:rPr>
                <w:rFonts w:hint="eastAsia" w:ascii="宋体" w:hAnsi="宋体"/>
                <w:color w:val="auto"/>
                <w:szCs w:val="21"/>
                <w:highlight w:val="none"/>
              </w:rPr>
            </w:pPr>
          </w:p>
          <w:p>
            <w:pPr>
              <w:snapToGrid w:val="0"/>
              <w:spacing w:line="360" w:lineRule="exact"/>
              <w:ind w:firstLine="630" w:firstLineChars="300"/>
              <w:jc w:val="right"/>
              <w:rPr>
                <w:rFonts w:ascii="宋体" w:hAnsi="宋体"/>
                <w:color w:val="auto"/>
                <w:szCs w:val="21"/>
                <w:highlight w:val="none"/>
              </w:rPr>
            </w:pPr>
            <w:r>
              <w:rPr>
                <w:rFonts w:hint="eastAsia" w:ascii="宋体" w:hAnsi="宋体"/>
                <w:color w:val="auto"/>
                <w:szCs w:val="21"/>
                <w:highlight w:val="none"/>
              </w:rPr>
              <w:t xml:space="preserve"> 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乙方（章）</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w:t>
            </w:r>
          </w:p>
          <w:p>
            <w:pPr>
              <w:snapToGrid w:val="0"/>
              <w:spacing w:line="360" w:lineRule="exact"/>
              <w:ind w:firstLine="630" w:firstLineChars="300"/>
              <w:jc w:val="right"/>
              <w:rPr>
                <w:rFonts w:ascii="宋体" w:hAnsi="宋体"/>
                <w:color w:val="auto"/>
                <w:szCs w:val="21"/>
                <w:highlight w:val="none"/>
              </w:rPr>
            </w:pPr>
            <w:r>
              <w:rPr>
                <w:rFonts w:hint="eastAsia" w:ascii="宋体" w:hAnsi="宋体"/>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p>
            <w:pPr>
              <w:snapToGrid w:val="0"/>
              <w:spacing w:line="36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p>
            <w:pPr>
              <w:snapToGrid w:val="0"/>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p>
            <w:pPr>
              <w:snapToGrid w:val="0"/>
              <w:spacing w:line="36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p>
            <w:pPr>
              <w:snapToGrid w:val="0"/>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经办人：</w:t>
            </w: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ascii="宋体" w:hAnsi="宋体"/>
                <w:color w:val="auto"/>
                <w:szCs w:val="21"/>
                <w:highlight w:val="none"/>
              </w:rPr>
            </w:pPr>
            <w:r>
              <w:rPr>
                <w:rFonts w:hint="eastAsia" w:ascii="宋体" w:hAnsi="宋体"/>
                <w:color w:val="auto"/>
                <w:szCs w:val="21"/>
                <w:highlight w:val="none"/>
              </w:rPr>
              <w:t xml:space="preserve">年    月    日 </w:t>
            </w:r>
          </w:p>
        </w:tc>
      </w:tr>
    </w:tbl>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合 同 附 件</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6"/>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1</w:t>
            </w:r>
            <w:r>
              <w:rPr>
                <w:rFonts w:hint="eastAsia" w:hAnsi="宋体"/>
                <w:color w:val="auto"/>
                <w:szCs w:val="21"/>
                <w:highlight w:val="none"/>
              </w:rPr>
              <w:t>、供应商承诺具体事项：</w:t>
            </w:r>
          </w:p>
          <w:p>
            <w:pPr>
              <w:snapToGrid w:val="0"/>
              <w:spacing w:line="360" w:lineRule="exact"/>
              <w:rPr>
                <w:rFonts w:hint="eastAsia" w:hAnsi="宋体"/>
                <w:color w:val="auto"/>
                <w:szCs w:val="21"/>
                <w:highlight w:val="none"/>
              </w:rPr>
            </w:pPr>
          </w:p>
          <w:p>
            <w:pPr>
              <w:snapToGrid w:val="0"/>
              <w:spacing w:line="360" w:lineRule="exact"/>
              <w:rPr>
                <w:rFonts w:hint="eastAsia" w:hAnsi="宋体"/>
                <w:color w:val="auto"/>
                <w:szCs w:val="21"/>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2</w:t>
            </w:r>
            <w:r>
              <w:rPr>
                <w:rFonts w:hint="eastAsia" w:hAnsi="宋体"/>
                <w:color w:val="auto"/>
                <w:szCs w:val="21"/>
                <w:highlight w:val="none"/>
              </w:rPr>
              <w:t>、售后服务具体事项：</w:t>
            </w:r>
          </w:p>
          <w:p>
            <w:pPr>
              <w:snapToGrid w:val="0"/>
              <w:spacing w:line="360" w:lineRule="exact"/>
              <w:rPr>
                <w:rFonts w:hint="eastAsia" w:hAnsi="宋体"/>
                <w:color w:val="auto"/>
                <w:szCs w:val="21"/>
                <w:highlight w:val="none"/>
              </w:rPr>
            </w:pPr>
          </w:p>
          <w:p>
            <w:pPr>
              <w:snapToGrid w:val="0"/>
              <w:spacing w:line="360" w:lineRule="exact"/>
              <w:rPr>
                <w:rFonts w:hint="eastAsia" w:hAnsi="宋体"/>
                <w:color w:val="auto"/>
                <w:szCs w:val="21"/>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3</w:t>
            </w:r>
            <w:r>
              <w:rPr>
                <w:rFonts w:hint="eastAsia" w:hAnsi="宋体"/>
                <w:color w:val="auto"/>
                <w:szCs w:val="21"/>
                <w:highlight w:val="none"/>
              </w:rPr>
              <w:t>、保修期责任：</w:t>
            </w:r>
          </w:p>
          <w:p>
            <w:pPr>
              <w:snapToGrid w:val="0"/>
              <w:spacing w:line="360" w:lineRule="exact"/>
              <w:rPr>
                <w:rFonts w:hint="eastAsia" w:hAnsi="宋体"/>
                <w:color w:val="auto"/>
                <w:szCs w:val="21"/>
                <w:highlight w:val="none"/>
              </w:rPr>
            </w:pPr>
          </w:p>
          <w:p>
            <w:pPr>
              <w:snapToGrid w:val="0"/>
              <w:spacing w:line="360" w:lineRule="exact"/>
              <w:rPr>
                <w:rFonts w:hint="eastAsia" w:hAnsi="宋体"/>
                <w:color w:val="auto"/>
                <w:szCs w:val="21"/>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4</w:t>
            </w:r>
            <w:r>
              <w:rPr>
                <w:rFonts w:hint="eastAsia" w:hAnsi="宋体"/>
                <w:color w:val="auto"/>
                <w:szCs w:val="21"/>
                <w:highlight w:val="none"/>
              </w:rPr>
              <w:t>、其他具体事项：</w:t>
            </w:r>
          </w:p>
          <w:p>
            <w:pPr>
              <w:snapToGrid w:val="0"/>
              <w:spacing w:line="360" w:lineRule="exact"/>
              <w:rPr>
                <w:rFonts w:hint="eastAsia" w:hAnsi="宋体"/>
                <w:color w:val="auto"/>
                <w:szCs w:val="21"/>
                <w:highlight w:val="none"/>
              </w:rPr>
            </w:pPr>
          </w:p>
          <w:p>
            <w:pPr>
              <w:snapToGrid w:val="0"/>
              <w:spacing w:line="360" w:lineRule="exact"/>
              <w:rPr>
                <w:rFonts w:hint="eastAsia" w:hAnsi="宋体"/>
                <w:color w:val="auto"/>
                <w:szCs w:val="21"/>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甲方（章）</w:t>
            </w:r>
          </w:p>
          <w:p>
            <w:pPr>
              <w:wordWrap w:val="0"/>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r>
              <w:rPr>
                <w:rFonts w:hAnsi="宋体"/>
                <w:color w:val="auto"/>
                <w:szCs w:val="21"/>
                <w:highlight w:val="none"/>
              </w:rPr>
              <w:t xml:space="preserve"> </w:t>
            </w:r>
          </w:p>
        </w:tc>
        <w:tc>
          <w:tcPr>
            <w:tcW w:w="233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乙方（章）</w:t>
            </w:r>
          </w:p>
          <w:p>
            <w:pPr>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tc>
      </w:tr>
    </w:tbl>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pPr>
        <w:pStyle w:val="12"/>
        <w:snapToGrid w:val="0"/>
        <w:spacing w:before="120" w:after="120"/>
        <w:jc w:val="center"/>
        <w:outlineLvl w:val="0"/>
        <w:rPr>
          <w:rFonts w:hint="eastAsia" w:ascii="黑体" w:hAnsi="宋体" w:eastAsia="黑体"/>
          <w:b/>
          <w:color w:val="auto"/>
          <w:sz w:val="44"/>
          <w:szCs w:val="44"/>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p>
      <w:pPr>
        <w:pStyle w:val="12"/>
        <w:snapToGrid w:val="0"/>
        <w:spacing w:before="120" w:after="120"/>
        <w:jc w:val="center"/>
        <w:outlineLvl w:val="0"/>
        <w:rPr>
          <w:rFonts w:hint="eastAsia" w:ascii="黑体" w:hAnsi="宋体" w:eastAsia="黑体"/>
          <w:b/>
          <w:color w:val="auto"/>
          <w:sz w:val="44"/>
          <w:szCs w:val="44"/>
          <w:highlight w:val="none"/>
        </w:rPr>
      </w:pPr>
    </w:p>
    <w:p>
      <w:pPr>
        <w:pStyle w:val="3"/>
        <w:jc w:val="center"/>
        <w:rPr>
          <w:rFonts w:hint="eastAsia" w:ascii="黑体" w:eastAsia="黑体"/>
          <w:color w:val="auto"/>
          <w:highlight w:val="none"/>
        </w:rPr>
      </w:pPr>
      <w:bookmarkStart w:id="263" w:name="_Toc40864724"/>
      <w:bookmarkStart w:id="264" w:name="_Toc40865116"/>
      <w:r>
        <w:rPr>
          <w:rFonts w:hint="eastAsia"/>
          <w:color w:val="auto"/>
          <w:highlight w:val="none"/>
        </w:rPr>
        <w:t>第六章　投标文件格式</w:t>
      </w:r>
      <w:bookmarkEnd w:id="263"/>
      <w:bookmarkEnd w:id="264"/>
    </w:p>
    <w:p>
      <w:pPr>
        <w:snapToGrid w:val="0"/>
        <w:spacing w:before="50" w:after="50"/>
        <w:outlineLvl w:val="1"/>
        <w:rPr>
          <w:rFonts w:hint="eastAsia" w:ascii="仿宋_GB2312" w:hAnsi="宋体" w:eastAsia="仿宋_GB2312"/>
          <w:color w:val="auto"/>
          <w:sz w:val="32"/>
          <w:szCs w:val="20"/>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bookmarkStart w:id="265" w:name="_Toc254970697"/>
      <w:bookmarkStart w:id="266" w:name="_Toc254970556"/>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bookmarkEnd w:id="265"/>
    <w:bookmarkEnd w:id="266"/>
    <w:p>
      <w:pPr>
        <w:snapToGrid w:val="0"/>
        <w:spacing w:before="156" w:beforeLines="50" w:after="50" w:line="360" w:lineRule="exact"/>
        <w:jc w:val="center"/>
        <w:outlineLvl w:val="1"/>
        <w:rPr>
          <w:rFonts w:ascii="仿宋_GB2312" w:hAnsi="宋体" w:eastAsia="仿宋_GB2312"/>
          <w:b/>
          <w:bCs/>
          <w:color w:val="auto"/>
          <w:sz w:val="32"/>
          <w:szCs w:val="32"/>
          <w:highlight w:val="none"/>
        </w:rPr>
      </w:pPr>
      <w:r>
        <w:rPr>
          <w:color w:val="auto"/>
          <w:highlight w:val="none"/>
        </w:rPr>
        <w:br w:type="page"/>
      </w:r>
      <w:bookmarkStart w:id="267" w:name="_Toc40865117"/>
      <w:bookmarkStart w:id="268" w:name="_Toc40864725"/>
      <w:bookmarkStart w:id="269" w:name="_Toc40865001"/>
      <w:r>
        <w:rPr>
          <w:rFonts w:hint="eastAsia" w:ascii="仿宋_GB2312" w:hAnsi="宋体" w:eastAsia="仿宋_GB2312"/>
          <w:b/>
          <w:color w:val="auto"/>
          <w:sz w:val="32"/>
          <w:szCs w:val="32"/>
          <w:highlight w:val="none"/>
        </w:rPr>
        <w:t>投标文件格式</w:t>
      </w:r>
      <w:bookmarkEnd w:id="267"/>
      <w:bookmarkEnd w:id="268"/>
      <w:bookmarkEnd w:id="269"/>
    </w:p>
    <w:p>
      <w:pPr>
        <w:snapToGrid w:val="0"/>
        <w:spacing w:before="156" w:beforeLines="50" w:after="50" w:line="360" w:lineRule="exact"/>
        <w:jc w:val="center"/>
        <w:outlineLvl w:val="0"/>
        <w:rPr>
          <w:rFonts w:hint="eastAsia" w:ascii="宋体" w:hAnsi="宋体"/>
          <w:b/>
          <w:bCs/>
          <w:color w:val="auto"/>
          <w:sz w:val="24"/>
          <w:highlight w:val="none"/>
        </w:rPr>
      </w:pPr>
      <w:bookmarkStart w:id="270" w:name="_Toc40865002"/>
      <w:bookmarkStart w:id="271" w:name="_Toc40864726"/>
      <w:bookmarkStart w:id="272" w:name="_Toc40865118"/>
      <w:r>
        <w:rPr>
          <w:rFonts w:hint="eastAsia" w:ascii="黑体" w:hAnsi="宋体" w:eastAsia="黑体"/>
          <w:bCs/>
          <w:color w:val="auto"/>
          <w:sz w:val="24"/>
          <w:highlight w:val="none"/>
        </w:rPr>
        <w:t>一、投标文件封面格式</w:t>
      </w:r>
      <w:bookmarkEnd w:id="270"/>
      <w:bookmarkEnd w:id="271"/>
      <w:bookmarkEnd w:id="272"/>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仿宋_GB2312" w:hAnsi="宋体" w:eastAsia="仿宋_GB2312"/>
          <w:color w:val="auto"/>
          <w:sz w:val="24"/>
          <w:highlight w:val="none"/>
        </w:rPr>
      </w:pPr>
    </w:p>
    <w:p>
      <w:pPr>
        <w:snapToGrid w:val="0"/>
        <w:spacing w:before="156" w:beforeLines="50" w:after="50" w:line="360" w:lineRule="exact"/>
        <w:rPr>
          <w:rFonts w:hint="eastAsia" w:ascii="仿宋_GB2312" w:hAnsi="宋体" w:eastAsia="仿宋_GB2312"/>
          <w:bCs/>
          <w:color w:val="auto"/>
          <w:sz w:val="24"/>
          <w:highlight w:val="none"/>
        </w:rPr>
      </w:pPr>
      <w:r>
        <w:rPr>
          <w:rFonts w:hint="eastAsia" w:ascii="仿宋_GB2312" w:hAnsi="宋体" w:eastAsia="仿宋_GB2312"/>
          <w:color w:val="auto"/>
          <w:sz w:val="24"/>
          <w:highlight w:val="none"/>
        </w:rPr>
        <w:t xml:space="preserve">                                                    </w:t>
      </w:r>
    </w:p>
    <w:p>
      <w:pPr>
        <w:snapToGrid w:val="0"/>
        <w:spacing w:before="156" w:beforeLines="50" w:after="50" w:line="3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360" w:lineRule="exact"/>
        <w:rPr>
          <w:rFonts w:hint="eastAsia" w:ascii="仿宋_GB2312" w:hAnsi="宋体" w:eastAsia="仿宋_GB2312"/>
          <w:bCs/>
          <w:color w:val="auto"/>
          <w:sz w:val="24"/>
          <w:highlight w:val="none"/>
        </w:rPr>
      </w:pP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所投分标：本项目</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投标人地址：</w:t>
      </w:r>
    </w:p>
    <w:p>
      <w:pPr>
        <w:snapToGrid w:val="0"/>
        <w:spacing w:before="156" w:beforeLines="50" w:after="50" w:line="360" w:lineRule="exact"/>
        <w:jc w:val="center"/>
        <w:outlineLvl w:val="1"/>
        <w:rPr>
          <w:rFonts w:hint="eastAsia" w:ascii="宋体" w:hAnsi="宋体"/>
          <w:color w:val="auto"/>
          <w:szCs w:val="21"/>
          <w:highlight w:val="none"/>
        </w:rPr>
      </w:pPr>
      <w:r>
        <w:rPr>
          <w:rFonts w:hint="eastAsia" w:ascii="仿宋_GB2312" w:hAnsi="宋体" w:eastAsia="仿宋_GB2312"/>
          <w:color w:val="auto"/>
          <w:sz w:val="24"/>
          <w:highlight w:val="none"/>
        </w:rPr>
        <w:t xml:space="preserve">                        </w:t>
      </w:r>
      <w:bookmarkStart w:id="273" w:name="_Toc40865121"/>
      <w:bookmarkStart w:id="274" w:name="_Toc40865005"/>
      <w:bookmarkStart w:id="275" w:name="_Toc40864729"/>
      <w:r>
        <w:rPr>
          <w:rFonts w:hint="eastAsia" w:ascii="仿宋_GB2312" w:hAnsi="宋体" w:eastAsia="仿宋_GB2312"/>
          <w:color w:val="auto"/>
          <w:sz w:val="24"/>
          <w:highlight w:val="none"/>
        </w:rPr>
        <w:t>年  月  日</w:t>
      </w:r>
      <w:bookmarkEnd w:id="273"/>
      <w:bookmarkEnd w:id="274"/>
      <w:bookmarkEnd w:id="275"/>
    </w:p>
    <w:p>
      <w:pPr>
        <w:snapToGrid w:val="0"/>
        <w:spacing w:before="156" w:beforeLines="50" w:after="50" w:line="360" w:lineRule="exact"/>
        <w:jc w:val="center"/>
        <w:outlineLvl w:val="1"/>
        <w:rPr>
          <w:rFonts w:hint="eastAsia" w:ascii="宋体" w:hAnsi="宋体"/>
          <w:bCs/>
          <w:color w:val="auto"/>
          <w:szCs w:val="21"/>
          <w:highlight w:val="none"/>
        </w:rPr>
      </w:pPr>
      <w:bookmarkStart w:id="276" w:name="_Toc254970557"/>
      <w:bookmarkStart w:id="277" w:name="_Toc254970698"/>
    </w:p>
    <w:p>
      <w:pPr>
        <w:snapToGrid w:val="0"/>
        <w:spacing w:before="156" w:beforeLines="50" w:after="50" w:line="360" w:lineRule="exact"/>
        <w:jc w:val="left"/>
        <w:outlineLvl w:val="1"/>
        <w:rPr>
          <w:rFonts w:hint="eastAsia" w:ascii="宋体" w:hAnsi="宋体"/>
          <w:bCs/>
          <w:color w:val="auto"/>
          <w:szCs w:val="21"/>
          <w:highlight w:val="none"/>
        </w:rPr>
      </w:pPr>
      <w:bookmarkStart w:id="278" w:name="_Toc40865006"/>
      <w:bookmarkStart w:id="279" w:name="_Toc40865122"/>
      <w:bookmarkStart w:id="280" w:name="_Toc40864730"/>
      <w:r>
        <w:rPr>
          <w:rFonts w:hint="eastAsia" w:ascii="宋体" w:hAnsi="宋体"/>
          <w:bCs/>
          <w:color w:val="auto"/>
          <w:szCs w:val="21"/>
          <w:highlight w:val="none"/>
        </w:rPr>
        <w:t xml:space="preserve">  [注：</w:t>
      </w:r>
      <w:r>
        <w:rPr>
          <w:rFonts w:hint="eastAsia" w:ascii="宋体"/>
          <w:color w:val="auto"/>
          <w:szCs w:val="21"/>
          <w:highlight w:val="none"/>
        </w:rPr>
        <w:t>投标文件由</w:t>
      </w:r>
      <w:r>
        <w:rPr>
          <w:rFonts w:hint="eastAsia" w:ascii="宋体"/>
          <w:b/>
          <w:bCs/>
          <w:color w:val="auto"/>
          <w:szCs w:val="21"/>
          <w:highlight w:val="none"/>
        </w:rPr>
        <w:t>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r>
        <w:rPr>
          <w:rFonts w:hint="eastAsia" w:ascii="宋体" w:hAnsi="宋体"/>
          <w:bCs/>
          <w:color w:val="auto"/>
          <w:szCs w:val="21"/>
          <w:highlight w:val="none"/>
        </w:rPr>
        <w:t>]</w:t>
      </w:r>
      <w:bookmarkEnd w:id="278"/>
      <w:bookmarkEnd w:id="279"/>
      <w:bookmarkEnd w:id="280"/>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pStyle w:val="21"/>
        <w:ind w:firstLine="240"/>
        <w:rPr>
          <w:rFonts w:hint="eastAsia"/>
          <w:color w:val="auto"/>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28"/>
          <w:szCs w:val="28"/>
          <w:highlight w:val="none"/>
        </w:rPr>
      </w:pPr>
      <w:bookmarkStart w:id="281" w:name="_Toc40865123"/>
      <w:bookmarkStart w:id="282" w:name="_Toc40864731"/>
      <w:bookmarkStart w:id="283" w:name="_Toc40865007"/>
      <w:r>
        <w:rPr>
          <w:rFonts w:hint="eastAsia" w:ascii="黑体" w:hAnsi="宋体" w:eastAsia="黑体"/>
          <w:bCs/>
          <w:color w:val="auto"/>
          <w:sz w:val="28"/>
          <w:szCs w:val="28"/>
          <w:highlight w:val="none"/>
        </w:rPr>
        <w:t>二、投标文件目录</w:t>
      </w:r>
      <w:bookmarkEnd w:id="281"/>
      <w:bookmarkEnd w:id="282"/>
      <w:bookmarkEnd w:id="283"/>
    </w:p>
    <w:p>
      <w:pPr>
        <w:snapToGrid w:val="0"/>
        <w:spacing w:before="156" w:beforeLines="50" w:after="50" w:line="360" w:lineRule="exact"/>
        <w:jc w:val="center"/>
        <w:outlineLvl w:val="1"/>
        <w:rPr>
          <w:rFonts w:hint="eastAsia" w:ascii="宋体" w:hAnsi="宋体"/>
          <w:bCs/>
          <w:color w:val="auto"/>
          <w:szCs w:val="21"/>
          <w:highlight w:val="none"/>
        </w:rPr>
      </w:pPr>
    </w:p>
    <w:bookmarkEnd w:id="276"/>
    <w:bookmarkEnd w:id="277"/>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3" w:firstLineChars="196"/>
        <w:jc w:val="left"/>
        <w:rPr>
          <w:rFonts w:hint="eastAsia" w:hAnsi="宋体"/>
          <w:b/>
          <w:color w:val="auto"/>
          <w:highlight w:val="none"/>
        </w:rPr>
      </w:pPr>
      <w:r>
        <w:rPr>
          <w:rFonts w:hint="eastAsia" w:hAnsi="宋体"/>
          <w:b/>
          <w:color w:val="auto"/>
          <w:highlight w:val="none"/>
        </w:rPr>
        <w:t>（3）中小企业声明函（必须提供）</w:t>
      </w:r>
    </w:p>
    <w:p>
      <w:pPr>
        <w:snapToGrid w:val="0"/>
        <w:spacing w:before="156" w:beforeLines="50" w:line="360" w:lineRule="exact"/>
        <w:ind w:left="517"/>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（1）投标保证金的相关证明扫描件或其他电子文件（可单独提交）（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（3）法定代表人授权委托书和委托代理人身份证扫描件或其他电子文件（格式见第六章)（必须提供）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）税务登记证扫描件</w:t>
      </w:r>
      <w:r>
        <w:rPr>
          <w:rFonts w:hint="eastAsia" w:ascii="宋体" w:hAnsi="宋体" w:cs="宋体"/>
          <w:color w:val="auto"/>
          <w:kern w:val="0"/>
          <w:szCs w:val="21"/>
          <w:highlight w:val="none"/>
        </w:rPr>
        <w:t>（如有）；</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18</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315" w:firstLineChars="15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hint="eastAsia" w:ascii="宋体" w:hAnsi="宋体"/>
          <w:b/>
          <w:bCs/>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pStyle w:val="19"/>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w:t>
      </w:r>
      <w:r>
        <w:rPr>
          <w:rFonts w:hint="eastAsia" w:ascii="宋体" w:hAnsi="宋体"/>
          <w:b/>
          <w:bCs/>
          <w:color w:val="auto"/>
          <w:szCs w:val="21"/>
          <w:highlight w:val="none"/>
          <w:lang w:eastAsia="zh-CN"/>
        </w:rPr>
        <w:t>签字或签章</w:t>
      </w:r>
      <w:r>
        <w:rPr>
          <w:rFonts w:hint="eastAsia" w:ascii="宋体" w:hAnsi="宋体"/>
          <w:b/>
          <w:bCs/>
          <w:color w:val="auto"/>
          <w:szCs w:val="21"/>
          <w:highlight w:val="none"/>
        </w:rPr>
        <w:t>和加盖单位公章。</w:t>
      </w:r>
    </w:p>
    <w:p>
      <w:pPr>
        <w:pStyle w:val="19"/>
        <w:spacing w:line="360" w:lineRule="exact"/>
        <w:ind w:firstLine="420" w:firstLineChars="200"/>
        <w:rPr>
          <w:rFonts w:hint="eastAsia" w:ascii="宋体" w:hAnsi="宋体"/>
          <w:color w:val="auto"/>
          <w:szCs w:val="21"/>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pStyle w:val="21"/>
        <w:ind w:firstLine="241"/>
        <w:rPr>
          <w:rFonts w:hint="eastAsia" w:ascii="宋体" w:hAnsi="宋体"/>
          <w:b/>
          <w:color w:val="auto"/>
          <w:highlight w:val="none"/>
        </w:rPr>
      </w:pPr>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bookmarkStart w:id="284" w:name="_Toc40864732"/>
      <w:bookmarkStart w:id="285" w:name="_Toc40865008"/>
      <w:bookmarkStart w:id="286" w:name="_Toc40865124"/>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r>
        <w:rPr>
          <w:rFonts w:hint="eastAsia" w:ascii="宋体" w:hAnsi="宋体"/>
          <w:b/>
          <w:color w:val="auto"/>
          <w:sz w:val="24"/>
          <w:highlight w:val="none"/>
        </w:rPr>
        <w:t>三、投标文件格式</w:t>
      </w:r>
      <w:bookmarkEnd w:id="284"/>
      <w:bookmarkEnd w:id="285"/>
      <w:bookmarkEnd w:id="286"/>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bCs/>
          <w:color w:val="auto"/>
          <w:szCs w:val="21"/>
          <w:highlight w:val="none"/>
        </w:rPr>
      </w:pPr>
      <w:bookmarkStart w:id="287" w:name="_Toc40864733"/>
      <w:bookmarkStart w:id="288" w:name="_Toc40865125"/>
      <w:bookmarkStart w:id="289" w:name="_Toc40865009"/>
      <w:r>
        <w:rPr>
          <w:rFonts w:hint="eastAsia" w:ascii="宋体" w:hAnsi="宋体"/>
          <w:b/>
          <w:color w:val="auto"/>
          <w:szCs w:val="21"/>
          <w:highlight w:val="none"/>
        </w:rPr>
        <w:t>一）</w:t>
      </w:r>
      <w:r>
        <w:rPr>
          <w:rFonts w:hint="eastAsia" w:ascii="宋体" w:hAnsi="宋体"/>
          <w:b/>
          <w:bCs/>
          <w:color w:val="auto"/>
          <w:szCs w:val="21"/>
          <w:highlight w:val="none"/>
        </w:rPr>
        <w:t>资格文件部分（格式）</w:t>
      </w:r>
      <w:bookmarkEnd w:id="287"/>
      <w:bookmarkEnd w:id="288"/>
      <w:bookmarkEnd w:id="289"/>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r>
        <w:rPr>
          <w:rFonts w:hint="eastAsia" w:ascii="宋体" w:hAnsi="宋体"/>
          <w:color w:val="auto"/>
          <w:szCs w:val="21"/>
          <w:highlight w:val="none"/>
          <w:u w:val="single"/>
        </w:rPr>
        <w:t>（请提供，信用记录查询）</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pStyle w:val="21"/>
        <w:numPr>
          <w:ilvl w:val="0"/>
          <w:numId w:val="4"/>
        </w:numPr>
        <w:ind w:firstLineChars="0"/>
        <w:rPr>
          <w:rFonts w:hint="eastAsia" w:ascii="宋体" w:hAnsi="宋体"/>
          <w:b/>
          <w:bCs/>
          <w:color w:val="auto"/>
          <w:sz w:val="21"/>
          <w:szCs w:val="21"/>
          <w:highlight w:val="none"/>
        </w:rPr>
      </w:pPr>
      <w:r>
        <w:rPr>
          <w:rFonts w:hint="eastAsia" w:ascii="宋体" w:hAnsi="宋体"/>
          <w:b/>
          <w:bCs/>
          <w:color w:val="auto"/>
          <w:sz w:val="21"/>
          <w:szCs w:val="21"/>
          <w:highlight w:val="none"/>
        </w:rPr>
        <w:t>中小企业声明函（必须提供）</w:t>
      </w:r>
    </w:p>
    <w:p>
      <w:pPr>
        <w:pStyle w:val="21"/>
        <w:ind w:left="315" w:firstLine="0" w:firstLineChars="0"/>
        <w:rPr>
          <w:rFonts w:hint="eastAsia" w:ascii="宋体" w:hAnsi="宋体"/>
          <w:b/>
          <w:bCs/>
          <w:color w:val="auto"/>
          <w:sz w:val="21"/>
          <w:szCs w:val="21"/>
          <w:highlight w:val="none"/>
        </w:rPr>
      </w:pPr>
    </w:p>
    <w:p>
      <w:pPr>
        <w:snapToGrid w:val="0"/>
        <w:spacing w:line="360" w:lineRule="exact"/>
        <w:ind w:firstLine="3141" w:firstLineChars="1496"/>
        <w:jc w:val="left"/>
        <w:rPr>
          <w:rFonts w:ascii="宋体" w:hAnsi="宋体"/>
          <w:color w:val="auto"/>
          <w:sz w:val="28"/>
          <w:szCs w:val="28"/>
          <w:highlight w:val="none"/>
        </w:rPr>
      </w:pPr>
      <w:r>
        <w:rPr>
          <w:rFonts w:hint="eastAsia" w:ascii="宋体" w:hAnsi="宋体" w:cs="宋体"/>
          <w:color w:val="auto"/>
          <w:kern w:val="0"/>
          <w:szCs w:val="21"/>
          <w:highlight w:val="none"/>
        </w:rPr>
        <w:t xml:space="preserve"> </w:t>
      </w:r>
      <w:r>
        <w:rPr>
          <w:rFonts w:ascii="宋体" w:hAnsi="宋体" w:cs="宋体"/>
          <w:color w:val="auto"/>
          <w:kern w:val="0"/>
          <w:sz w:val="28"/>
          <w:szCs w:val="28"/>
          <w:highlight w:val="none"/>
        </w:rPr>
        <w:t>中小企业声明函</w:t>
      </w:r>
    </w:p>
    <w:p>
      <w:pPr>
        <w:pStyle w:val="34"/>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釆购活动,提供的货物全部由符合政策要求的中小企业制造。相关企业（含联合体中的中小企业、签订分包意向协议的中小企业）的具体情况如下</w:t>
      </w:r>
      <w:bookmarkStart w:id="290" w:name="bookmark1"/>
      <w:bookmarkEnd w:id="290"/>
      <w:r>
        <w:rPr>
          <w:rFonts w:hint="eastAsia"/>
          <w:color w:val="auto"/>
          <w:sz w:val="21"/>
          <w:szCs w:val="21"/>
          <w:highlight w:val="none"/>
        </w:rPr>
        <w:t>：</w:t>
      </w:r>
    </w:p>
    <w:p>
      <w:pPr>
        <w:pStyle w:val="34"/>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34"/>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pPr>
        <w:pStyle w:val="34"/>
        <w:spacing w:line="506" w:lineRule="exact"/>
        <w:ind w:firstLine="640"/>
        <w:jc w:val="both"/>
        <w:rPr>
          <w:color w:val="auto"/>
          <w:sz w:val="21"/>
          <w:szCs w:val="21"/>
          <w:highlight w:val="none"/>
        </w:rPr>
      </w:pPr>
      <w:r>
        <w:rPr>
          <w:rFonts w:hint="eastAsia"/>
          <w:color w:val="auto"/>
          <w:sz w:val="21"/>
          <w:szCs w:val="21"/>
          <w:highlight w:val="none"/>
        </w:rPr>
        <w:t>......</w:t>
      </w:r>
    </w:p>
    <w:p>
      <w:pPr>
        <w:pStyle w:val="34"/>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34"/>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34"/>
        <w:spacing w:after="40" w:line="499" w:lineRule="exact"/>
        <w:ind w:firstLine="640"/>
        <w:jc w:val="both"/>
        <w:rPr>
          <w:color w:val="auto"/>
          <w:sz w:val="21"/>
          <w:szCs w:val="21"/>
          <w:highlight w:val="none"/>
        </w:rPr>
      </w:pPr>
    </w:p>
    <w:p>
      <w:pPr>
        <w:pStyle w:val="34"/>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34"/>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35"/>
        <w:spacing w:after="0"/>
        <w:rPr>
          <w:rFonts w:hint="eastAsia"/>
          <w:color w:val="auto"/>
          <w:sz w:val="21"/>
          <w:szCs w:val="21"/>
          <w:highlight w:val="none"/>
        </w:rPr>
      </w:pPr>
    </w:p>
    <w:p>
      <w:pPr>
        <w:pStyle w:val="35"/>
        <w:spacing w:after="0"/>
        <w:rPr>
          <w:rFonts w:hint="eastAsia"/>
          <w:color w:val="auto"/>
          <w:highlight w:val="none"/>
        </w:rPr>
      </w:pPr>
    </w:p>
    <w:p>
      <w:pPr>
        <w:pStyle w:val="3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备注：</w:t>
      </w:r>
    </w:p>
    <w:p>
      <w:pPr>
        <w:pStyle w:val="3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1、从业人员、营业收入、资产总额填报上一年度数据，无上一年度数据的新成立企业可不填报。</w:t>
      </w:r>
    </w:p>
    <w:p>
      <w:pPr>
        <w:pStyle w:val="3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2、采购文件中明确的所属行业名称是根据《关于印发中小企业划型标准规定的通知》（工信部联企业[2011]300号）规定确定。</w:t>
      </w:r>
    </w:p>
    <w:p>
      <w:pPr>
        <w:pStyle w:val="35"/>
        <w:spacing w:after="0"/>
        <w:rPr>
          <w:rFonts w:hint="eastAsia"/>
          <w:color w:val="auto"/>
          <w:sz w:val="21"/>
          <w:szCs w:val="21"/>
          <w:highlight w:val="none"/>
        </w:rPr>
      </w:pPr>
    </w:p>
    <w:p>
      <w:pPr>
        <w:snapToGrid w:val="0"/>
        <w:spacing w:line="360" w:lineRule="exact"/>
        <w:ind w:firstLine="413" w:firstLineChars="196"/>
        <w:jc w:val="left"/>
        <w:rPr>
          <w:rFonts w:hint="eastAsia" w:ascii="宋体" w:hAnsi="宋体" w:cs="宋体"/>
          <w:b/>
          <w:color w:val="auto"/>
          <w:kern w:val="0"/>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参加政府采购活动前三年内在经营活动中没有</w:t>
      </w:r>
      <w:r>
        <w:rPr>
          <w:rFonts w:hint="eastAsia" w:ascii="宋体" w:hAnsi="宋体" w:cs="宋体"/>
          <w:b/>
          <w:color w:val="auto"/>
          <w:kern w:val="0"/>
          <w:sz w:val="28"/>
          <w:szCs w:val="28"/>
          <w:highlight w:val="none"/>
        </w:rPr>
        <w:t>重大违法记录的书面声明</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（格式自拟，必须提供）</w:t>
      </w:r>
    </w:p>
    <w:p>
      <w:pPr>
        <w:snapToGrid w:val="0"/>
        <w:spacing w:line="360" w:lineRule="exact"/>
        <w:ind w:firstLine="411" w:firstLineChars="196"/>
        <w:jc w:val="center"/>
        <w:rPr>
          <w:rFonts w:hint="eastAsia" w:ascii="宋体" w:hAnsi="宋体"/>
          <w:color w:val="auto"/>
          <w:szCs w:val="21"/>
          <w:highlight w:val="none"/>
        </w:rPr>
      </w:pPr>
    </w:p>
    <w:p>
      <w:pPr>
        <w:pStyle w:val="12"/>
        <w:tabs>
          <w:tab w:val="left" w:pos="5580"/>
        </w:tabs>
        <w:spacing w:line="360" w:lineRule="auto"/>
        <w:ind w:left="1080" w:leftChars="257" w:hanging="540"/>
        <w:rPr>
          <w:rFonts w:hint="eastAsia" w:ascii="仿宋_GB2312" w:hAnsi="宋体" w:eastAsia="仿宋_GB2312"/>
          <w:color w:val="auto"/>
          <w:sz w:val="24"/>
          <w:highlight w:val="none"/>
        </w:rPr>
      </w:pPr>
    </w:p>
    <w:p>
      <w:pPr>
        <w:snapToGrid w:val="0"/>
        <w:spacing w:line="360" w:lineRule="exact"/>
        <w:ind w:firstLine="567" w:firstLineChars="27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说明：1、投标人应按照相关法规规定如实做出声明。</w:t>
      </w:r>
    </w:p>
    <w:p>
      <w:pPr>
        <w:snapToGrid w:val="0"/>
        <w:spacing w:line="360" w:lineRule="exact"/>
        <w:ind w:firstLine="1134" w:firstLineChars="54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2、按照采购文件的规定盖章（自然人投标的无需盖章，需要</w:t>
      </w:r>
      <w:r>
        <w:rPr>
          <w:rFonts w:hint="eastAsia" w:ascii="宋体" w:hAnsi="宋体" w:cs="宋体"/>
          <w:color w:val="auto"/>
          <w:kern w:val="0"/>
          <w:szCs w:val="21"/>
          <w:highlight w:val="none"/>
          <w:lang w:eastAsia="zh-CN"/>
        </w:rPr>
        <w:t>签字或签章</w:t>
      </w:r>
      <w:r>
        <w:rPr>
          <w:rFonts w:hint="eastAsia" w:ascii="宋体" w:hAnsi="宋体" w:cs="宋体"/>
          <w:color w:val="auto"/>
          <w:kern w:val="0"/>
          <w:szCs w:val="21"/>
          <w:highlight w:val="none"/>
        </w:rPr>
        <w:t>）。</w:t>
      </w: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bookmarkStart w:id="291" w:name="_Toc40865127"/>
      <w:bookmarkStart w:id="292" w:name="_Toc40864735"/>
      <w:bookmarkStart w:id="293" w:name="_Toc40865011"/>
    </w:p>
    <w:p>
      <w:pPr>
        <w:snapToGrid w:val="0"/>
        <w:spacing w:before="50" w:after="156" w:afterLines="50" w:line="360" w:lineRule="exact"/>
        <w:jc w:val="left"/>
        <w:outlineLvl w:val="0"/>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bCs/>
          <w:color w:val="auto"/>
          <w:szCs w:val="21"/>
          <w:highlight w:val="none"/>
        </w:rPr>
        <w:t>资信及商务文件部分（格式）</w:t>
      </w:r>
      <w:bookmarkEnd w:id="291"/>
      <w:bookmarkEnd w:id="292"/>
      <w:bookmarkEnd w:id="293"/>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投标保证金的相关证明扫描件（可单独提交）</w:t>
      </w:r>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color w:val="auto"/>
          <w:szCs w:val="21"/>
          <w:highlight w:val="none"/>
        </w:rPr>
        <w:t>（2）投标声明书格式：</w:t>
      </w:r>
    </w:p>
    <w:p>
      <w:pPr>
        <w:snapToGrid w:val="0"/>
        <w:spacing w:before="156" w:beforeLines="50" w:after="50" w:line="36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投标声明书</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致：_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56" w:beforeLines="50" w:after="50" w:line="340" w:lineRule="exact"/>
        <w:ind w:firstLine="645"/>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3.我方此次向贵方提供的产品名称为：</w:t>
      </w:r>
      <w:r>
        <w:rPr>
          <w:rFonts w:hint="eastAsia" w:ascii="宋体" w:hAnsi="宋体"/>
          <w:color w:val="auto"/>
          <w:szCs w:val="21"/>
          <w:highlight w:val="none"/>
          <w:u w:val="single"/>
        </w:rPr>
        <w:t xml:space="preserve">                        </w:t>
      </w:r>
      <w:r>
        <w:rPr>
          <w:rFonts w:hint="eastAsia" w:ascii="宋体" w:hAnsi="宋体"/>
          <w:color w:val="auto"/>
          <w:szCs w:val="21"/>
          <w:highlight w:val="none"/>
        </w:rPr>
        <w:t>；规格型号：</w:t>
      </w:r>
      <w:r>
        <w:rPr>
          <w:rFonts w:hint="eastAsia" w:ascii="宋体" w:hAnsi="宋体"/>
          <w:color w:val="auto"/>
          <w:szCs w:val="21"/>
          <w:highlight w:val="none"/>
          <w:u w:val="single"/>
        </w:rPr>
        <w:t xml:space="preserve">                                     </w:t>
      </w:r>
      <w:r>
        <w:rPr>
          <w:rFonts w:hint="eastAsia" w:ascii="宋体" w:hAnsi="宋体"/>
          <w:color w:val="auto"/>
          <w:szCs w:val="21"/>
          <w:highlight w:val="none"/>
        </w:rPr>
        <w:t>；该型号产品我方有现货可供，并已于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月生产完工或向　</w:t>
      </w:r>
      <w:r>
        <w:rPr>
          <w:rFonts w:hint="eastAsia"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w:t>
      </w:r>
      <w:r>
        <w:rPr>
          <w:rFonts w:hint="eastAsia" w:ascii="宋体" w:hAnsi="宋体"/>
          <w:color w:val="auto"/>
          <w:szCs w:val="21"/>
          <w:highlight w:val="none"/>
          <w:u w:val="single"/>
        </w:rPr>
        <w:t xml:space="preserve">               </w:t>
      </w:r>
      <w:r>
        <w:rPr>
          <w:rFonts w:hint="eastAsia" w:ascii="宋体" w:hAnsi="宋体"/>
          <w:color w:val="auto"/>
          <w:szCs w:val="21"/>
          <w:highlight w:val="none"/>
        </w:rPr>
        <w:t>订购］。</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5. 我方参加政府采购活动前三年内在经营活动中重大违法记录和不良信用记录情况：</w:t>
      </w:r>
    </w:p>
    <w:p>
      <w:pPr>
        <w:snapToGrid w:val="0"/>
        <w:spacing w:before="156" w:beforeLines="50" w:line="340" w:lineRule="exact"/>
        <w:ind w:firstLine="421" w:firstLineChars="200"/>
        <w:rPr>
          <w:rFonts w:hint="eastAsia"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6.以上事项如有虚假或隐瞒，我方愿意承担一切后果。</w:t>
      </w:r>
    </w:p>
    <w:p>
      <w:pPr>
        <w:snapToGrid w:val="0"/>
        <w:spacing w:before="156" w:beforeLines="50" w:line="340" w:lineRule="exact"/>
        <w:ind w:firstLine="3509" w:firstLineChars="1671"/>
        <w:rPr>
          <w:rFonts w:hint="eastAsia" w:ascii="宋体" w:hAnsi="宋体"/>
          <w:color w:val="auto"/>
          <w:szCs w:val="21"/>
          <w:highlight w:val="none"/>
          <w:u w:val="single"/>
        </w:rPr>
      </w:pPr>
      <w:r>
        <w:rPr>
          <w:rFonts w:hint="eastAsia" w:ascii="宋体" w:hAnsi="宋体"/>
          <w:color w:val="auto"/>
          <w:szCs w:val="21"/>
          <w:highlight w:val="none"/>
        </w:rPr>
        <w:t>法定代表人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jc w:val="left"/>
        <w:rPr>
          <w:rFonts w:hint="eastAsia" w:ascii="宋体" w:hAnsi="宋体"/>
          <w:b/>
          <w:color w:val="auto"/>
          <w:szCs w:val="21"/>
          <w:highlight w:val="none"/>
          <w:u w:val="single"/>
        </w:rPr>
      </w:pPr>
      <w:r>
        <w:rPr>
          <w:rFonts w:hint="eastAsia" w:ascii="宋体" w:hAnsi="宋体"/>
          <w:b/>
          <w:color w:val="auto"/>
          <w:szCs w:val="21"/>
          <w:highlight w:val="none"/>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r>
        <w:rPr>
          <w:rFonts w:hint="eastAsia" w:ascii="宋体" w:hAnsi="宋体"/>
          <w:b/>
          <w:color w:val="auto"/>
          <w:szCs w:val="21"/>
          <w:highlight w:val="none"/>
        </w:rPr>
        <w:t>（3）法定代表人授权委托书格式：</w:t>
      </w:r>
    </w:p>
    <w:p>
      <w:pPr>
        <w:snapToGrid w:val="0"/>
        <w:spacing w:before="156" w:beforeLines="50" w:after="50" w:line="340" w:lineRule="exact"/>
        <w:jc w:val="center"/>
        <w:rPr>
          <w:rFonts w:hint="eastAsia" w:ascii="仿宋_GB2312" w:hAnsi="宋体" w:eastAsia="仿宋_GB2312"/>
          <w:b/>
          <w:color w:val="auto"/>
          <w:sz w:val="30"/>
          <w:szCs w:val="30"/>
          <w:highlight w:val="none"/>
        </w:rPr>
      </w:pPr>
    </w:p>
    <w:p>
      <w:pPr>
        <w:snapToGrid w:val="0"/>
        <w:spacing w:before="156" w:beforeLines="50" w:after="50" w:line="34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法定代表人授权委托书</w:t>
      </w:r>
    </w:p>
    <w:p>
      <w:pPr>
        <w:snapToGrid w:val="0"/>
        <w:spacing w:before="156" w:beforeLines="50" w:after="50" w:line="34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w:t>
      </w:r>
      <w:r>
        <w:rPr>
          <w:rFonts w:hint="eastAsia" w:ascii="宋体" w:hAnsi="宋体"/>
          <w:color w:val="auto"/>
          <w:szCs w:val="21"/>
          <w:highlight w:val="none"/>
          <w:lang w:eastAsia="zh-CN"/>
        </w:rPr>
        <w:t>签字或签章</w:t>
      </w:r>
      <w:r>
        <w:rPr>
          <w:rFonts w:hint="eastAsia" w:ascii="宋体" w:hAnsi="宋体"/>
          <w:color w:val="auto"/>
          <w:szCs w:val="21"/>
          <w:highlight w:val="none"/>
        </w:rPr>
        <w:t>相关文件。</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 xml:space="preserve">    我方对被授权人的</w:t>
      </w:r>
      <w:r>
        <w:rPr>
          <w:rFonts w:hint="eastAsia" w:ascii="宋体" w:hAnsi="宋体"/>
          <w:color w:val="auto"/>
          <w:szCs w:val="21"/>
          <w:highlight w:val="none"/>
          <w:lang w:eastAsia="zh-CN"/>
        </w:rPr>
        <w:t>签字或签章</w:t>
      </w:r>
      <w:r>
        <w:rPr>
          <w:rFonts w:hint="eastAsia" w:ascii="宋体" w:hAnsi="宋体"/>
          <w:color w:val="auto"/>
          <w:szCs w:val="21"/>
          <w:highlight w:val="none"/>
        </w:rPr>
        <w:t>事项负全部责任。</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w:t>
      </w:r>
      <w:r>
        <w:rPr>
          <w:rFonts w:hint="eastAsia" w:ascii="宋体" w:hAnsi="宋体"/>
          <w:color w:val="auto"/>
          <w:szCs w:val="21"/>
          <w:highlight w:val="none"/>
          <w:lang w:eastAsia="zh-CN"/>
        </w:rPr>
        <w:t>签字或签章或签章</w:t>
      </w:r>
      <w:r>
        <w:rPr>
          <w:rFonts w:hint="eastAsia" w:ascii="宋体" w:hAnsi="宋体"/>
          <w:color w:val="auto"/>
          <w:szCs w:val="21"/>
          <w:highlight w:val="none"/>
        </w:rPr>
        <w:t>的所有文件不因授权的撤销而失效。</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40" w:lineRule="exact"/>
        <w:rPr>
          <w:rFonts w:hint="eastAsia" w:ascii="宋体" w:hAnsi="宋体"/>
          <w:color w:val="auto"/>
          <w:szCs w:val="21"/>
          <w:highlight w:val="none"/>
          <w:u w:val="single"/>
        </w:rPr>
      </w:pPr>
      <w:r>
        <w:rPr>
          <w:rFonts w:hint="eastAsia" w:ascii="宋体" w:hAnsi="宋体"/>
          <w:color w:val="auto"/>
          <w:szCs w:val="21"/>
          <w:highlight w:val="none"/>
        </w:rPr>
        <w:t>被授权人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贴附“委托代理人身份证扫描件或其他电子文件”（正反两面）</w:t>
      </w:r>
    </w:p>
    <w:p>
      <w:pPr>
        <w:snapToGrid w:val="0"/>
        <w:spacing w:before="156" w:beforeLines="50" w:after="50" w:line="340" w:lineRule="exact"/>
        <w:ind w:firstLine="4620" w:firstLineChars="2200"/>
        <w:rPr>
          <w:rFonts w:hint="eastAsia"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156" w:beforeLines="50" w:after="50" w:line="34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p>
      <w:pPr>
        <w:snapToGrid w:val="0"/>
        <w:spacing w:line="360" w:lineRule="exact"/>
        <w:jc w:val="left"/>
        <w:rPr>
          <w:rFonts w:hint="eastAsia" w:ascii="宋体" w:hAnsi="宋体"/>
          <w:b/>
          <w:color w:val="auto"/>
          <w:szCs w:val="21"/>
          <w:highlight w:val="none"/>
        </w:rPr>
      </w:pPr>
    </w:p>
    <w:p>
      <w:pPr>
        <w:snapToGrid w:val="0"/>
        <w:spacing w:before="50" w:after="156" w:afterLines="50" w:line="360" w:lineRule="exact"/>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cs="宋体"/>
          <w:b/>
          <w:color w:val="auto"/>
          <w:kern w:val="0"/>
          <w:szCs w:val="21"/>
          <w:highlight w:val="none"/>
        </w:rPr>
        <w:t>；</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税务登记证扫描件或其他电子文件（副本）（按要求提供）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（9）</w:t>
      </w:r>
      <w:r>
        <w:rPr>
          <w:rFonts w:hint="eastAsia" w:ascii="宋体" w:hAnsi="宋体"/>
          <w:color w:val="auto"/>
          <w:szCs w:val="21"/>
          <w:highlight w:val="none"/>
        </w:rPr>
        <w:t>产品销售许可证扫描件或其他电子文件（按要求提供）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（10）</w:t>
      </w:r>
      <w:r>
        <w:rPr>
          <w:rFonts w:hint="eastAsia" w:ascii="宋体" w:hAnsi="宋体"/>
          <w:color w:val="auto"/>
          <w:szCs w:val="21"/>
          <w:highlight w:val="none"/>
        </w:rPr>
        <w:t>安全生产许可证扫描件或其他电子文件、产品代理资格证明文件扫描件或其他电子文件；（按要求提供）</w:t>
      </w:r>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50" w:line="360" w:lineRule="exact"/>
        <w:jc w:val="left"/>
        <w:rPr>
          <w:rFonts w:hint="eastAsia" w:ascii="宋体" w:hAnsi="宋体"/>
          <w:b/>
          <w:color w:val="auto"/>
          <w:szCs w:val="21"/>
          <w:highlight w:val="none"/>
        </w:rPr>
      </w:pPr>
    </w:p>
    <w:p>
      <w:pPr>
        <w:snapToGrid w:val="0"/>
        <w:spacing w:before="50" w:line="360" w:lineRule="exact"/>
        <w:jc w:val="left"/>
        <w:rPr>
          <w:rFonts w:hint="eastAsia" w:ascii="宋体" w:hAnsi="宋体"/>
          <w:b/>
          <w:color w:val="auto"/>
          <w:szCs w:val="21"/>
          <w:highlight w:val="none"/>
        </w:rPr>
      </w:pPr>
      <w:r>
        <w:rPr>
          <w:rFonts w:hint="eastAsia" w:ascii="宋体" w:hAnsi="宋体"/>
          <w:b/>
          <w:color w:val="auto"/>
          <w:szCs w:val="21"/>
          <w:highlight w:val="none"/>
        </w:rPr>
        <w:t>（11）商务及其他要求响应表格式：</w:t>
      </w:r>
    </w:p>
    <w:p>
      <w:pPr>
        <w:snapToGrid w:val="0"/>
        <w:spacing w:before="50" w:line="360" w:lineRule="exact"/>
        <w:ind w:firstLine="3786" w:firstLineChars="1796"/>
        <w:jc w:val="left"/>
        <w:rPr>
          <w:rFonts w:hint="eastAsia" w:ascii="宋体" w:hAnsi="宋体"/>
          <w:color w:val="auto"/>
          <w:szCs w:val="21"/>
          <w:highlight w:val="none"/>
          <w:u w:val="single"/>
        </w:rPr>
      </w:pPr>
      <w:r>
        <w:rPr>
          <w:rFonts w:hint="eastAsia" w:ascii="宋体" w:hAnsi="宋体"/>
          <w:b/>
          <w:color w:val="auto"/>
          <w:szCs w:val="21"/>
          <w:highlight w:val="none"/>
        </w:rPr>
        <w:t xml:space="preserve">商务及其他要求响应表 </w:t>
      </w:r>
    </w:p>
    <w:tbl>
      <w:tblPr>
        <w:tblStyle w:val="22"/>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295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2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是否提供并响应</w:t>
            </w: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15" w:firstLineChars="150"/>
              <w:rPr>
                <w:rFonts w:hint="eastAsia"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ind w:firstLine="210" w:firstLineChars="100"/>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hint="eastAsia"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left="840" w:hanging="840" w:hangingChars="400"/>
        <w:jc w:val="left"/>
        <w:rPr>
          <w:rFonts w:hAnsi="宋体"/>
          <w:color w:val="auto"/>
          <w:highlight w:val="none"/>
        </w:rPr>
      </w:pPr>
    </w:p>
    <w:p>
      <w:pPr>
        <w:snapToGrid w:val="0"/>
        <w:spacing w:line="360" w:lineRule="exact"/>
        <w:ind w:left="840" w:hanging="840" w:hangingChars="400"/>
        <w:jc w:val="left"/>
        <w:rPr>
          <w:rFonts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r>
        <w:rPr>
          <w:rFonts w:hint="eastAsia" w:ascii="宋体" w:hAnsi="宋体"/>
          <w:color w:val="auto"/>
          <w:szCs w:val="21"/>
          <w:highlight w:val="none"/>
        </w:rPr>
        <w:t>（招标项目采购需求中要求必须提供的材料，据实提供）</w:t>
      </w:r>
    </w:p>
    <w:p>
      <w:pPr>
        <w:snapToGrid w:val="0"/>
        <w:spacing w:line="360" w:lineRule="exact"/>
        <w:ind w:firstLine="206" w:firstLineChars="98"/>
        <w:jc w:val="left"/>
        <w:rPr>
          <w:rFonts w:hint="eastAsia" w:ascii="宋体" w:hAnsi="宋体"/>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w:t>
      </w:r>
      <w:r>
        <w:rPr>
          <w:rFonts w:hint="eastAsia" w:ascii="宋体" w:hAnsi="宋体"/>
          <w:color w:val="auto"/>
          <w:szCs w:val="21"/>
          <w:highlight w:val="none"/>
        </w:rPr>
        <w:t>（格式自拟）</w:t>
      </w:r>
    </w:p>
    <w:p>
      <w:pPr>
        <w:snapToGrid w:val="0"/>
        <w:spacing w:before="50" w:after="156" w:afterLines="50" w:line="360" w:lineRule="exact"/>
        <w:ind w:firstLine="206" w:firstLineChars="98"/>
        <w:jc w:val="left"/>
        <w:rPr>
          <w:rFonts w:hint="eastAsia" w:ascii="宋体" w:hAnsi="宋体"/>
          <w:b/>
          <w:color w:val="auto"/>
          <w:szCs w:val="21"/>
          <w:highlight w:val="none"/>
        </w:rPr>
      </w:pPr>
      <w:r>
        <w:rPr>
          <w:rFonts w:hint="eastAsia" w:ascii="宋体" w:hAnsi="宋体"/>
          <w:b/>
          <w:color w:val="auto"/>
          <w:szCs w:val="21"/>
          <w:highlight w:val="none"/>
        </w:rPr>
        <w:t>（14）</w:t>
      </w:r>
      <w:r>
        <w:rPr>
          <w:rFonts w:hint="eastAsia" w:ascii="宋体" w:hAnsi="宋体"/>
          <w:color w:val="auto"/>
          <w:szCs w:val="21"/>
          <w:highlight w:val="none"/>
        </w:rPr>
        <w:t>投标人的类似成功案例的业绩证明文件：</w:t>
      </w:r>
    </w:p>
    <w:p>
      <w:pPr>
        <w:pStyle w:val="17"/>
        <w:snapToGrid w:val="0"/>
        <w:spacing w:line="360" w:lineRule="exact"/>
        <w:ind w:left="97" w:leftChars="46"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投标人同类项目实施情况一览表格式：（投标人同类项目合同扫描件、用户验收报告、用户评价意见格式自拟）</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bl>
    <w:p>
      <w:pPr>
        <w:pStyle w:val="7"/>
        <w:snapToGrid w:val="0"/>
        <w:spacing w:line="360" w:lineRule="exact"/>
        <w:rPr>
          <w:rFonts w:hint="eastAsia" w:ascii="宋体" w:hAnsi="宋体" w:eastAsia="宋体"/>
          <w:color w:val="auto"/>
          <w:sz w:val="21"/>
          <w:szCs w:val="21"/>
          <w:highlight w:val="none"/>
        </w:rPr>
      </w:pPr>
    </w:p>
    <w:p>
      <w:pPr>
        <w:pStyle w:val="7"/>
        <w:snapToGrid w:val="0"/>
        <w:spacing w:line="360" w:lineRule="exact"/>
        <w:rPr>
          <w:rFonts w:hint="eastAsia" w:ascii="宋体" w:hAnsi="宋体" w:eastAsia="宋体"/>
          <w:color w:val="auto"/>
          <w:sz w:val="21"/>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w:t>
      </w:r>
    </w:p>
    <w:p>
      <w:pPr>
        <w:snapToGrid w:val="0"/>
        <w:spacing w:before="50" w:line="360" w:lineRule="exact"/>
        <w:jc w:val="left"/>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月  日</w:t>
      </w:r>
    </w:p>
    <w:p>
      <w:pPr>
        <w:snapToGrid w:val="0"/>
        <w:spacing w:before="50" w:line="360" w:lineRule="exact"/>
        <w:ind w:firstLine="516" w:firstLineChars="245"/>
        <w:jc w:val="left"/>
        <w:rPr>
          <w:rFonts w:hint="eastAsia" w:ascii="宋体" w:hAnsi="宋体"/>
          <w:color w:val="auto"/>
          <w:szCs w:val="21"/>
          <w:highlight w:val="none"/>
        </w:rPr>
      </w:pPr>
      <w:r>
        <w:rPr>
          <w:rFonts w:hint="eastAsia" w:ascii="宋体" w:hAnsi="宋体"/>
          <w:b/>
          <w:color w:val="auto"/>
          <w:szCs w:val="21"/>
          <w:highlight w:val="none"/>
        </w:rPr>
        <w:t>（15）</w:t>
      </w:r>
      <w:r>
        <w:rPr>
          <w:rFonts w:hint="eastAsia" w:ascii="宋体" w:hAnsi="宋体"/>
          <w:color w:val="auto"/>
          <w:szCs w:val="21"/>
          <w:highlight w:val="none"/>
        </w:rPr>
        <w:t>其他特殊资质证书（如本地化服务能力等）；（按要求提供）</w:t>
      </w:r>
    </w:p>
    <w:p>
      <w:pPr>
        <w:snapToGrid w:val="0"/>
        <w:spacing w:line="360" w:lineRule="exact"/>
        <w:ind w:firstLine="516" w:firstLineChars="245"/>
        <w:jc w:val="left"/>
        <w:rPr>
          <w:rFonts w:hint="eastAsia" w:ascii="宋体" w:hAnsi="宋体"/>
          <w:b/>
          <w:color w:val="auto"/>
          <w:szCs w:val="21"/>
          <w:highlight w:val="none"/>
        </w:rPr>
      </w:pPr>
      <w:r>
        <w:rPr>
          <w:rFonts w:hint="eastAsia" w:ascii="宋体" w:hAnsi="宋体"/>
          <w:b/>
          <w:color w:val="auto"/>
          <w:szCs w:val="21"/>
          <w:highlight w:val="none"/>
        </w:rPr>
        <w:t>（16）</w:t>
      </w:r>
      <w:r>
        <w:rPr>
          <w:rFonts w:hint="eastAsia" w:ascii="宋体" w:hAnsi="宋体"/>
          <w:color w:val="auto"/>
          <w:szCs w:val="21"/>
          <w:highlight w:val="none"/>
        </w:rPr>
        <w:t>节能环保产品或政府强制采购节能产品清单证书；（按要求提供）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（18）投标人认为可以证明其能力或业绩的其他材料；格式自拟</w:t>
      </w:r>
    </w:p>
    <w:p>
      <w:pPr>
        <w:snapToGrid w:val="0"/>
        <w:spacing w:line="360" w:lineRule="exact"/>
        <w:ind w:left="1042" w:leftChars="246" w:hanging="525" w:hangingChars="250"/>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（20）投标人情况介绍。（主要产品、技术力量、生产规模、经营业绩等，格式自拟）</w:t>
      </w:r>
    </w:p>
    <w:p>
      <w:pPr>
        <w:snapToGrid w:val="0"/>
        <w:spacing w:line="360" w:lineRule="exact"/>
        <w:ind w:firstLine="518" w:firstLineChars="246"/>
        <w:jc w:val="left"/>
        <w:rPr>
          <w:rFonts w:hint="eastAsia" w:ascii="宋体" w:hAnsi="宋体" w:cs="宋体"/>
          <w:color w:val="auto"/>
          <w:kern w:val="0"/>
          <w:szCs w:val="21"/>
          <w:highlight w:val="none"/>
        </w:rPr>
      </w:pPr>
      <w:r>
        <w:rPr>
          <w:rFonts w:hint="eastAsia" w:ascii="宋体" w:hAnsi="宋体"/>
          <w:b/>
          <w:color w:val="auto"/>
          <w:szCs w:val="21"/>
          <w:highlight w:val="none"/>
        </w:rPr>
        <w:t xml:space="preserve"> </w:t>
      </w:r>
      <w:r>
        <w:rPr>
          <w:rFonts w:hint="eastAsia" w:ascii="宋体" w:hAnsi="宋体" w:cs="宋体"/>
          <w:color w:val="auto"/>
          <w:kern w:val="0"/>
          <w:szCs w:val="21"/>
          <w:highlight w:val="non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516" w:firstLineChars="246"/>
        <w:jc w:val="left"/>
        <w:rPr>
          <w:rFonts w:hint="eastAsia" w:ascii="宋体" w:hAnsi="宋体"/>
          <w:color w:val="auto"/>
          <w:szCs w:val="21"/>
          <w:highlight w:val="none"/>
        </w:rPr>
      </w:pPr>
    </w:p>
    <w:p>
      <w:pPr>
        <w:snapToGrid w:val="0"/>
        <w:spacing w:line="360" w:lineRule="exact"/>
        <w:jc w:val="left"/>
        <w:rPr>
          <w:rFonts w:hint="eastAsia" w:ascii="宋体" w:hAnsi="宋体"/>
          <w:b/>
          <w:color w:val="auto"/>
          <w:szCs w:val="21"/>
          <w:highlight w:val="none"/>
        </w:rPr>
      </w:pPr>
      <w:r>
        <w:rPr>
          <w:rFonts w:hint="eastAsia" w:ascii="宋体" w:hAnsi="宋体"/>
          <w:color w:val="auto"/>
          <w:szCs w:val="21"/>
          <w:highlight w:val="none"/>
        </w:rPr>
        <w:br w:type="page"/>
      </w:r>
      <w:r>
        <w:rPr>
          <w:rFonts w:hint="eastAsia" w:ascii="宋体" w:hAnsi="宋体"/>
          <w:b/>
          <w:color w:val="auto"/>
          <w:szCs w:val="21"/>
          <w:highlight w:val="none"/>
        </w:rPr>
        <w:t>三）、技术文件部分（格式）</w:t>
      </w:r>
    </w:p>
    <w:p>
      <w:pPr>
        <w:snapToGrid w:val="0"/>
        <w:spacing w:before="50" w:after="156" w:afterLines="50" w:line="360" w:lineRule="exact"/>
        <w:ind w:firstLine="421" w:firstLineChars="200"/>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ind w:firstLine="421"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技术响应表格式：</w:t>
      </w:r>
      <w:r>
        <w:rPr>
          <w:rFonts w:hint="eastAsia" w:ascii="宋体" w:hAnsi="宋体"/>
          <w:b/>
          <w:color w:val="auto"/>
          <w:szCs w:val="21"/>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jc w:val="center"/>
              <w:rPr>
                <w:rFonts w:hAnsi="宋体"/>
                <w:color w:val="auto"/>
                <w:highlight w:val="none"/>
              </w:rPr>
            </w:pPr>
            <w:r>
              <w:rPr>
                <w:rFonts w:hint="eastAsia" w:hAnsi="宋体"/>
                <w:color w:val="auto"/>
                <w:highlight w:val="none"/>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jc w:val="center"/>
              <w:rPr>
                <w:rFonts w:ascii="Times New Roman" w:hAnsi="Times New Roman"/>
                <w:color w:val="auto"/>
                <w:highlight w:val="none"/>
              </w:rPr>
            </w:pPr>
            <w:r>
              <w:rPr>
                <w:rFonts w:hint="eastAsia" w:ascii="Times New Roman" w:hAnsi="Times New Roman"/>
                <w:color w:val="auto"/>
                <w:highlight w:val="none"/>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jc w:val="center"/>
              <w:rPr>
                <w:rFonts w:ascii="Times New Roman" w:hAnsi="Times New Roman"/>
                <w:color w:val="auto"/>
                <w:highlight w:val="none"/>
              </w:rPr>
            </w:pPr>
            <w:r>
              <w:rPr>
                <w:rFonts w:hint="eastAsia" w:ascii="Times New Roman" w:hAnsi="Times New Roman"/>
                <w:color w:val="auto"/>
                <w:highlight w:val="none"/>
              </w:rPr>
              <w:t>应标情况</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jc w:val="center"/>
              <w:rPr>
                <w:rFonts w:ascii="Times New Roman" w:hAnsi="Times New Roman"/>
                <w:color w:val="auto"/>
                <w:highlight w:val="none"/>
              </w:rPr>
            </w:pPr>
            <w:r>
              <w:rPr>
                <w:rFonts w:hint="eastAsia" w:ascii="Times New Roman" w:hAnsi="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12"/>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12"/>
              <w:spacing w:line="600" w:lineRule="exact"/>
              <w:ind w:left="5250"/>
              <w:jc w:val="center"/>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2"/>
              <w:spacing w:line="600" w:lineRule="exact"/>
              <w:ind w:left="525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12"/>
              <w:spacing w:line="600" w:lineRule="exact"/>
              <w:ind w:left="5250"/>
              <w:rPr>
                <w:rFonts w:ascii="Times New Roman" w:hAnsi="Times New Roman"/>
                <w:color w:val="auto"/>
                <w:highlight w:val="none"/>
              </w:rPr>
            </w:pPr>
          </w:p>
        </w:tc>
      </w:tr>
    </w:tbl>
    <w:p>
      <w:pPr>
        <w:snapToGrid w:val="0"/>
        <w:spacing w:before="50" w:after="156" w:afterLines="50" w:line="360" w:lineRule="exact"/>
        <w:jc w:val="left"/>
        <w:rPr>
          <w:rFonts w:hint="eastAsia" w:ascii="宋体" w:hAnsi="宋体"/>
          <w:color w:val="auto"/>
          <w:szCs w:val="21"/>
          <w:highlight w:val="none"/>
          <w:u w:val="single"/>
        </w:rPr>
      </w:pPr>
    </w:p>
    <w:p>
      <w:pPr>
        <w:pStyle w:val="9"/>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注：投标人应根据投标设备的性能指标、对照招标文件要求在技术响应表中详细列明招标要求及投标设备技术规格的响应情况，并填写“</w:t>
      </w:r>
      <w:r>
        <w:rPr>
          <w:rFonts w:hint="eastAsia"/>
          <w:color w:val="auto"/>
          <w:highlight w:val="none"/>
        </w:rPr>
        <w:t>偏离说明”。</w:t>
      </w:r>
      <w:r>
        <w:rPr>
          <w:rFonts w:hint="eastAsia" w:ascii="宋体" w:hAnsi="宋体"/>
          <w:color w:val="auto"/>
          <w:sz w:val="21"/>
          <w:szCs w:val="21"/>
          <w:highlight w:val="none"/>
        </w:rPr>
        <w:t>“偏离</w:t>
      </w:r>
      <w:r>
        <w:rPr>
          <w:rFonts w:hint="eastAsia"/>
          <w:color w:val="auto"/>
          <w:highlight w:val="none"/>
        </w:rPr>
        <w:t>说明</w:t>
      </w:r>
      <w:r>
        <w:rPr>
          <w:rFonts w:hint="eastAsia" w:ascii="宋体" w:hAnsi="宋体"/>
          <w:color w:val="auto"/>
          <w:sz w:val="21"/>
          <w:szCs w:val="21"/>
          <w:highlight w:val="none"/>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12"/>
        <w:jc w:val="center"/>
        <w:rPr>
          <w:rFonts w:hint="eastAsia"/>
          <w:color w:val="auto"/>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设备配置清单格式：</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性能及指标</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非招标文件必须要求时可附：①原厂出厂配置表及原厂中文使用说明书（格式自拟）</w:t>
      </w:r>
    </w:p>
    <w:p>
      <w:pPr>
        <w:snapToGrid w:val="0"/>
        <w:spacing w:before="50" w:after="156" w:afterLines="50" w:line="360" w:lineRule="exact"/>
        <w:ind w:firstLine="2730" w:firstLineChars="1300"/>
        <w:jc w:val="left"/>
        <w:rPr>
          <w:rFonts w:hint="eastAsia" w:ascii="宋体" w:hAnsi="宋体"/>
          <w:color w:val="auto"/>
          <w:szCs w:val="21"/>
          <w:highlight w:val="none"/>
        </w:rPr>
      </w:pPr>
      <w:r>
        <w:rPr>
          <w:rFonts w:hint="eastAsia" w:ascii="宋体" w:hAnsi="宋体"/>
          <w:color w:val="auto"/>
          <w:szCs w:val="21"/>
          <w:highlight w:val="none"/>
        </w:rPr>
        <w:t>②产品出厂标准、质量检测报告及精度检测报告或数据（格式自拟）</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color w:val="auto"/>
          <w:szCs w:val="21"/>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u w:val="single"/>
        </w:rPr>
        <w:t>(格式自拟,必须提供）</w:t>
      </w:r>
      <w:r>
        <w:rPr>
          <w:rFonts w:hint="eastAsia" w:ascii="宋体" w:hAnsi="宋体"/>
          <w:color w:val="auto"/>
          <w:szCs w:val="21"/>
          <w:highlight w:val="none"/>
        </w:rPr>
        <w:t>；</w:t>
      </w: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投标人拥有主要装备和检测设施的情况和现状（格式自拟）及项目实施人员一览表</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项目实施人员（主要从业人员及其技术资格）一览表</w:t>
      </w:r>
    </w:p>
    <w:tbl>
      <w:tblPr>
        <w:tblStyle w:val="2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参加本单位</w:t>
            </w:r>
          </w:p>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56" w:beforeLines="50" w:after="50" w:line="360" w:lineRule="exact"/>
              <w:ind w:left="5250"/>
              <w:rPr>
                <w:rFonts w:hAnsi="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（6）</w:t>
      </w:r>
      <w:r>
        <w:rPr>
          <w:rFonts w:hint="eastAsia" w:ascii="宋体" w:hAnsi="宋体"/>
          <w:color w:val="auto"/>
          <w:szCs w:val="21"/>
          <w:highlight w:val="none"/>
        </w:rPr>
        <w:t>优惠条件：投标人承诺给予招标人的各种优惠条件，包括备品备件、专用耗材、售后服务等方面的优惠；</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备品备件、专用耗材、售后服务优惠表格式：</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2"/>
              <w:snapToGrid w:val="0"/>
              <w:spacing w:before="295" w:after="295" w:line="360" w:lineRule="exact"/>
              <w:jc w:val="center"/>
              <w:rPr>
                <w:rFonts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line="360" w:lineRule="exact"/>
              <w:jc w:val="center"/>
              <w:rPr>
                <w:rFonts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line="360" w:lineRule="exact"/>
              <w:jc w:val="center"/>
              <w:rPr>
                <w:rFonts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12"/>
              <w:snapToGrid w:val="0"/>
              <w:spacing w:before="295" w:after="295" w:line="360" w:lineRule="exact"/>
              <w:jc w:val="center"/>
              <w:rPr>
                <w:rFonts w:hAnsi="宋体"/>
                <w:color w:val="auto"/>
                <w:highlight w:val="none"/>
              </w:rPr>
            </w:pPr>
            <w:r>
              <w:rPr>
                <w:rFonts w:hint="eastAsia" w:hAnsi="宋体"/>
                <w:color w:val="auto"/>
                <w:highlight w:val="none"/>
              </w:rPr>
              <w:t>单价</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line="360" w:lineRule="exact"/>
              <w:jc w:val="center"/>
              <w:rPr>
                <w:rFonts w:hAnsi="宋体"/>
                <w:color w:val="auto"/>
                <w:highlight w:val="none"/>
              </w:rPr>
            </w:pPr>
            <w:r>
              <w:rPr>
                <w:rFonts w:hint="eastAsia" w:hAnsi="宋体"/>
                <w:color w:val="auto"/>
                <w:highlight w:val="none"/>
              </w:rPr>
              <w:t>比投标报价优惠率</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line="360" w:lineRule="exact"/>
              <w:jc w:val="center"/>
              <w:rPr>
                <w:rFonts w:hAnsi="宋体"/>
                <w:color w:val="auto"/>
                <w:highlight w:val="none"/>
              </w:rPr>
            </w:pPr>
            <w:r>
              <w:rPr>
                <w:rFonts w:hint="eastAsia" w:hAnsi="宋体"/>
                <w:color w:val="auto"/>
                <w:highlight w:val="none"/>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line="360" w:lineRule="exact"/>
              <w:jc w:val="center"/>
              <w:rPr>
                <w:rFonts w:hAnsi="宋体"/>
                <w:color w:val="auto"/>
                <w:highlight w:val="none"/>
              </w:rPr>
            </w:pP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12"/>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12"/>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line="360" w:lineRule="exact"/>
              <w:jc w:val="center"/>
              <w:rPr>
                <w:rFonts w:hAnsi="宋体"/>
                <w:color w:val="auto"/>
                <w:highlight w:val="none"/>
              </w:rPr>
            </w:pP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12"/>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12"/>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2"/>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2"/>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2"/>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2"/>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line="360" w:lineRule="exact"/>
              <w:jc w:val="center"/>
              <w:rPr>
                <w:rFonts w:hAnsi="宋体"/>
                <w:color w:val="auto"/>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（7）投标人对本项目的合理化建议和改进措施（格式自拟）</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投标人需要说明的其他文件和说明（格式自拟）</w:t>
      </w:r>
    </w:p>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▲（9）招标项目采购需求中要求必须提供的材料。（招标项目采购需求中要求必须提供的材料，据实提供）</w:t>
      </w:r>
    </w:p>
    <w:p>
      <w:pPr>
        <w:snapToGrid w:val="0"/>
        <w:spacing w:before="50" w:line="360" w:lineRule="exact"/>
        <w:jc w:val="left"/>
        <w:rPr>
          <w:rFonts w:hint="eastAsia" w:ascii="宋体" w:hAnsi="宋体"/>
          <w:b/>
          <w:color w:val="auto"/>
          <w:szCs w:val="21"/>
          <w:highlight w:val="none"/>
        </w:rPr>
      </w:pPr>
    </w:p>
    <w:p>
      <w:pPr>
        <w:snapToGrid w:val="0"/>
        <w:spacing w:before="156" w:beforeLines="50" w:after="50" w:line="360" w:lineRule="exact"/>
        <w:outlineLvl w:val="0"/>
        <w:rPr>
          <w:rFonts w:hint="eastAsia" w:ascii="宋体" w:hAnsi="宋体"/>
          <w:b/>
          <w:color w:val="auto"/>
          <w:szCs w:val="21"/>
          <w:highlight w:val="none"/>
        </w:rPr>
      </w:pPr>
      <w:bookmarkStart w:id="294" w:name="_Toc40865128"/>
      <w:bookmarkStart w:id="295" w:name="_Toc40864736"/>
      <w:bookmarkStart w:id="296" w:name="_Toc40865012"/>
      <w:r>
        <w:rPr>
          <w:rFonts w:hint="eastAsia" w:ascii="宋体" w:hAnsi="宋体"/>
          <w:b/>
          <w:color w:val="auto"/>
          <w:szCs w:val="21"/>
          <w:highlight w:val="none"/>
        </w:rPr>
        <w:t>四）报价文件部分 （格式）</w:t>
      </w:r>
      <w:bookmarkEnd w:id="294"/>
      <w:bookmarkEnd w:id="295"/>
      <w:bookmarkEnd w:id="296"/>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（1）投标函格式：</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投 标 函</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line="360" w:lineRule="exact"/>
        <w:ind w:firstLine="480"/>
        <w:rPr>
          <w:rFonts w:hint="eastAsia"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（投标人名称）上传并提交加密的电子投标文件一份。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rPr>
        <w:t>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投标人代表姓名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日期:_____年___月___日</w:t>
      </w:r>
    </w:p>
    <w:p>
      <w:pPr>
        <w:pStyle w:val="12"/>
        <w:snapToGrid w:val="0"/>
        <w:spacing w:before="295" w:after="295" w:line="360" w:lineRule="exact"/>
        <w:ind w:firstLine="5670" w:firstLineChars="2700"/>
        <w:rPr>
          <w:rFonts w:hint="eastAsia" w:hAnsi="宋体"/>
          <w:color w:val="auto"/>
          <w:highlight w:val="none"/>
        </w:rPr>
      </w:pPr>
    </w:p>
    <w:p>
      <w:pPr>
        <w:pStyle w:val="12"/>
        <w:snapToGrid w:val="0"/>
        <w:spacing w:before="295" w:after="295" w:line="360" w:lineRule="exact"/>
        <w:ind w:firstLine="5670" w:firstLineChars="2700"/>
        <w:rPr>
          <w:rFonts w:hint="eastAsia" w:hAnsi="宋体"/>
          <w:color w:val="auto"/>
          <w:highlight w:val="none"/>
        </w:rPr>
      </w:pPr>
      <w:r>
        <w:rPr>
          <w:rFonts w:hint="eastAsia" w:hAnsi="宋体"/>
          <w:color w:val="auto"/>
          <w:highlight w:val="none"/>
        </w:rPr>
        <w:t>(公章)</w:t>
      </w:r>
    </w:p>
    <w:p>
      <w:pPr>
        <w:pStyle w:val="12"/>
        <w:snapToGrid w:val="0"/>
        <w:spacing w:before="295" w:after="295" w:line="360" w:lineRule="exact"/>
        <w:ind w:firstLine="5565" w:firstLineChars="2650"/>
        <w:rPr>
          <w:rFonts w:hint="eastAsia" w:hAnsi="宋体"/>
          <w:color w:val="auto"/>
          <w:highlight w:val="none"/>
        </w:rPr>
      </w:pPr>
      <w:r>
        <w:rPr>
          <w:rFonts w:hint="eastAsia" w:hAnsi="宋体"/>
          <w:color w:val="auto"/>
          <w:highlight w:val="none"/>
        </w:rPr>
        <w:t>年___月___日</w:t>
      </w: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（2）投标报价明细表格式</w:t>
      </w:r>
    </w:p>
    <w:p>
      <w:pPr>
        <w:pStyle w:val="12"/>
        <w:snapToGrid w:val="0"/>
        <w:spacing w:before="295" w:after="295" w:line="360" w:lineRule="exact"/>
        <w:ind w:firstLine="105" w:firstLineChars="50"/>
        <w:rPr>
          <w:rFonts w:hint="eastAsia" w:hAnsi="宋体"/>
          <w:color w:val="auto"/>
          <w:highlight w:val="none"/>
        </w:rPr>
      </w:pPr>
      <w:r>
        <w:rPr>
          <w:rFonts w:hint="eastAsia" w:hAnsi="宋体"/>
          <w:color w:val="auto"/>
          <w:highlight w:val="none"/>
        </w:rPr>
        <w:t xml:space="preserve">                                                金额单位：人民币（元）</w:t>
      </w:r>
    </w:p>
    <w:tbl>
      <w:tblPr>
        <w:tblStyle w:val="22"/>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992"/>
        <w:gridCol w:w="1276"/>
        <w:gridCol w:w="2551"/>
        <w:gridCol w:w="993"/>
        <w:gridCol w:w="992"/>
        <w:gridCol w:w="850"/>
        <w:gridCol w:w="14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500" w:lineRule="exact"/>
              <w:jc w:val="center"/>
              <w:rPr>
                <w:rFonts w:hint="eastAsia" w:ascii="宋体" w:hAnsi="宋体"/>
                <w:color w:val="auto"/>
                <w:szCs w:val="21"/>
                <w:highlight w:val="none"/>
              </w:rPr>
            </w:pPr>
            <w:r>
              <w:rPr>
                <w:rFonts w:hint="eastAsia" w:ascii="宋体" w:hAnsi="宋体"/>
                <w:color w:val="auto"/>
                <w:szCs w:val="21"/>
                <w:highlight w:val="none"/>
              </w:rPr>
              <w:t>技术参数及性能配置</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要求（材质工艺要求说明）</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b/>
                <w:color w:val="auto"/>
                <w:szCs w:val="21"/>
                <w:highlight w:val="none"/>
              </w:rPr>
              <w:t>本项目</w:t>
            </w:r>
            <w:r>
              <w:rPr>
                <w:rFonts w:hint="eastAsia" w:ascii="宋体" w:hAnsi="宋体"/>
                <w:color w:val="auto"/>
                <w:szCs w:val="21"/>
                <w:highlight w:val="none"/>
              </w:rPr>
              <w:t>合计金额大写：</w:t>
            </w:r>
            <w:r>
              <w:rPr>
                <w:rFonts w:hint="eastAsia" w:ascii="宋体" w:hAnsi="宋体"/>
                <w:color w:val="auto"/>
                <w:szCs w:val="21"/>
                <w:highlight w:val="none"/>
                <w:u w:val="single"/>
              </w:rPr>
              <w:t xml:space="preserve">                                             </w:t>
            </w: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p>
        </w:tc>
      </w:tr>
    </w:tbl>
    <w:p>
      <w:pPr>
        <w:tabs>
          <w:tab w:val="left" w:pos="1418"/>
        </w:tabs>
        <w:snapToGrid w:val="0"/>
        <w:spacing w:before="50" w:after="50" w:line="360" w:lineRule="exact"/>
        <w:ind w:left="1418" w:hanging="567"/>
        <w:jc w:val="center"/>
        <w:rPr>
          <w:rFonts w:hint="eastAsia" w:ascii="宋体" w:hAnsi="宋体"/>
          <w:color w:val="auto"/>
          <w:spacing w:val="20"/>
          <w:szCs w:val="21"/>
          <w:highlight w:val="none"/>
          <w:u w:val="singl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 xml:space="preserve">投标人盖章：                               日  期：         </w:t>
      </w:r>
    </w:p>
    <w:p>
      <w:pPr>
        <w:snapToGrid w:val="0"/>
        <w:spacing w:before="156" w:beforeLines="50" w:after="50" w:line="360" w:lineRule="exac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投标人针对报价需要说明的其他文件和说明（格式自拟）</w:t>
      </w:r>
    </w:p>
    <w:p>
      <w:pPr>
        <w:snapToGrid w:val="0"/>
        <w:spacing w:before="50" w:after="50" w:line="360" w:lineRule="exact"/>
        <w:rPr>
          <w:rFonts w:hint="eastAsia"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（4）开标一览表</w:t>
      </w:r>
    </w:p>
    <w:p>
      <w:pPr>
        <w:snapToGrid w:val="0"/>
        <w:spacing w:before="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开标一览表</w:t>
      </w:r>
    </w:p>
    <w:p>
      <w:pPr>
        <w:snapToGrid w:val="0"/>
        <w:spacing w:before="50" w:after="156" w:afterLines="50" w:line="360" w:lineRule="exact"/>
        <w:jc w:val="left"/>
        <w:rPr>
          <w:rFonts w:hint="eastAsia"/>
          <w:color w:val="auto"/>
          <w:highlight w:val="none"/>
        </w:rPr>
      </w:pPr>
      <w:r>
        <w:rPr>
          <w:rFonts w:hint="eastAsia" w:hAnsi="宋体"/>
          <w:color w:val="auto"/>
          <w:highlight w:val="none"/>
        </w:rPr>
        <w:t>项目名称：</w:t>
      </w:r>
    </w:p>
    <w:p>
      <w:pPr>
        <w:snapToGrid w:val="0"/>
        <w:spacing w:before="50" w:after="156" w:afterLines="50" w:line="360" w:lineRule="exact"/>
        <w:jc w:val="left"/>
        <w:rPr>
          <w:rFonts w:hint="eastAsia" w:ascii="宋体" w:hAnsi="宋体"/>
          <w:b/>
          <w:color w:val="auto"/>
          <w:szCs w:val="21"/>
          <w:highlight w:val="none"/>
        </w:rPr>
      </w:pPr>
      <w:r>
        <w:rPr>
          <w:rFonts w:hint="eastAsia"/>
          <w:color w:val="auto"/>
          <w:highlight w:val="none"/>
        </w:rPr>
        <w:t>项目编号：</w:t>
      </w:r>
      <w:r>
        <w:rPr>
          <w:color w:val="auto"/>
          <w:highlight w:val="none"/>
        </w:rPr>
        <w:t xml:space="preserve">                                        </w:t>
      </w:r>
    </w:p>
    <w:p>
      <w:pPr>
        <w:snapToGrid w:val="0"/>
        <w:spacing w:before="50" w:after="156" w:afterLines="50" w:line="360" w:lineRule="exact"/>
        <w:ind w:firstLine="102" w:firstLineChars="49"/>
        <w:jc w:val="left"/>
        <w:rPr>
          <w:rFonts w:hint="eastAsia" w:ascii="宋体" w:hAnsi="宋体"/>
          <w:b/>
          <w:color w:val="auto"/>
          <w:szCs w:val="21"/>
          <w:highlight w:val="none"/>
        </w:rPr>
      </w:pPr>
      <w:r>
        <w:rPr>
          <w:rFonts w:hint="eastAsia"/>
          <w:color w:val="auto"/>
          <w:highlight w:val="none"/>
        </w:rPr>
        <w:t xml:space="preserve">                                                      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品牌及厂家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u w:val="single"/>
              </w:rPr>
            </w:pPr>
            <w:r>
              <w:rPr>
                <w:rFonts w:hint="eastAsia" w:ascii="宋体" w:hAnsi="宋体"/>
                <w:b/>
                <w:color w:val="auto"/>
                <w:szCs w:val="21"/>
                <w:highlight w:val="none"/>
              </w:rPr>
              <w:t xml:space="preserve"> 本项目</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pPr>
        <w:snapToGrid w:val="0"/>
        <w:spacing w:before="50" w:after="50" w:line="360" w:lineRule="exact"/>
        <w:jc w:val="left"/>
        <w:rPr>
          <w:rFonts w:hint="eastAsia"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w:t>
      </w:r>
      <w:r>
        <w:rPr>
          <w:rFonts w:hint="default" w:ascii="宋体" w:hAnsi="宋体"/>
          <w:color w:val="auto"/>
          <w:szCs w:val="21"/>
          <w:highlight w:val="none"/>
          <w:lang w:val="en"/>
        </w:rPr>
        <w:t>签字或签章</w:t>
      </w:r>
      <w:r>
        <w:rPr>
          <w:rFonts w:hint="eastAsia" w:ascii="宋体" w:hAnsi="宋体"/>
          <w:color w:val="auto"/>
          <w:szCs w:val="21"/>
          <w:highlight w:val="none"/>
        </w:rPr>
        <w:t>，否则其投标作无效标处理。</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2、凡需用专用耗材的专用设备类采购项目，应按招标文件规定的耗材量或按耗材的常规试用量提供报价。</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3、投标费用包括项目实施所需的人工费、运输费、安装调试费、制作投标文件费、税费及其他一切费用。</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4、以上报价应与“投标设备报价明细表”中的“投标总价”相一致。</w:t>
      </w:r>
    </w:p>
    <w:p>
      <w:pPr>
        <w:snapToGrid w:val="0"/>
        <w:spacing w:before="50" w:after="50" w:line="360" w:lineRule="exact"/>
        <w:ind w:left="-2" w:leftChars="-1"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法定代表人或委托代理人签字：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投标人名称（盖章）：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日期：    年   月   日</w:t>
      </w:r>
    </w:p>
    <w:p>
      <w:pPr>
        <w:spacing w:line="280" w:lineRule="exact"/>
        <w:ind w:left="7770" w:hanging="7770" w:hangingChars="3700"/>
        <w:rPr>
          <w:rFonts w:hint="eastAsia"/>
          <w:color w:val="auto"/>
          <w:highlight w:val="none"/>
        </w:rPr>
      </w:pPr>
    </w:p>
    <w:p>
      <w:pPr>
        <w:rPr>
          <w:color w:val="auto"/>
          <w:highlight w:val="none"/>
        </w:rPr>
      </w:pPr>
    </w:p>
    <w:sectPr>
      <w:type w:val="evenPage"/>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中秀体简">
    <w:altName w:val="仿宋"/>
    <w:panose1 w:val="00000000000000000000"/>
    <w:charset w:val="00"/>
    <w:family w:val="auto"/>
    <w:pitch w:val="default"/>
    <w:sig w:usb0="00000000" w:usb1="00000000" w:usb2="00000000" w:usb3="00000000" w:csb0="00040001" w:csb1="00000000"/>
  </w:font>
  <w:font w:name="Segoe UI Symbol">
    <w:altName w:val="Noto Sans"/>
    <w:panose1 w:val="020B0502040204020203"/>
    <w:charset w:val="00"/>
    <w:family w:val="swiss"/>
    <w:pitch w:val="default"/>
    <w:sig w:usb0="00000000" w:usb1="00000000" w:usb2="00040000" w:usb3="04000000" w:csb0="00000001" w:csb1="40000000"/>
  </w:font>
  <w:font w:name="汉仪书宋二S">
    <w:altName w:val="宋体"/>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00000000" w:usb2="00000000" w:usb3="00000000" w:csb0="2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35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center"/>
    </w:pPr>
    <w:r>
      <w:rPr>
        <w:rFonts w:hint="eastAsia"/>
        <w:lang w:val="en-US" w:eastAsia="zh-CN"/>
      </w:rPr>
      <w:t xml:space="preserve">                                                     </w:t>
    </w:r>
    <w:r>
      <w:rPr>
        <w:rFonts w:hint="eastAsia"/>
      </w:rPr>
      <w:t>广西艺术学院课桌椅采购（GXZC2025-G1-002438-CGZX）</w:t>
    </w:r>
  </w:p>
  <w:p>
    <w:pPr>
      <w:jc w:val="righ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F2518"/>
    <w:multiLevelType w:val="singleLevel"/>
    <w:tmpl w:val="C6FF2518"/>
    <w:lvl w:ilvl="0" w:tentative="0">
      <w:start w:val="3"/>
      <w:numFmt w:val="chineseCounting"/>
      <w:suff w:val="space"/>
      <w:lvlText w:val="第%1章"/>
      <w:lvlJc w:val="left"/>
      <w:rPr>
        <w:rFonts w:hint="eastAsia"/>
      </w:rPr>
    </w:lvl>
  </w:abstractNum>
  <w:abstractNum w:abstractNumId="1">
    <w:nsid w:val="F7FF6F20"/>
    <w:multiLevelType w:val="singleLevel"/>
    <w:tmpl w:val="F7FF6F20"/>
    <w:lvl w:ilvl="0" w:tentative="0">
      <w:start w:val="3"/>
      <w:numFmt w:val="decimal"/>
      <w:lvlText w:val="(%1)"/>
      <w:lvlJc w:val="left"/>
      <w:pPr>
        <w:tabs>
          <w:tab w:val="left" w:pos="312"/>
        </w:tabs>
        <w:ind w:left="315" w:firstLine="0"/>
      </w:pPr>
    </w:lvl>
  </w:abstractNum>
  <w:abstractNum w:abstractNumId="2">
    <w:nsid w:val="FFCA2827"/>
    <w:multiLevelType w:val="singleLevel"/>
    <w:tmpl w:val="FFCA2827"/>
    <w:lvl w:ilvl="0" w:tentative="0">
      <w:start w:val="2"/>
      <w:numFmt w:val="decimal"/>
      <w:suff w:val="nothing"/>
      <w:lvlText w:val="%1、"/>
      <w:lvlJc w:val="left"/>
    </w:lvl>
  </w:abstractNum>
  <w:abstractNum w:abstractNumId="3">
    <w:nsid w:val="1EAA22F8"/>
    <w:multiLevelType w:val="singleLevel"/>
    <w:tmpl w:val="1EAA22F8"/>
    <w:lvl w:ilvl="0" w:tentative="0">
      <w:start w:val="1"/>
      <w:numFmt w:val="decimal"/>
      <w:pStyle w:val="5"/>
      <w:lvlText w:val="%1."/>
      <w:lvlJc w:val="left"/>
      <w:pPr>
        <w:tabs>
          <w:tab w:val="left"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E191F"/>
    <w:rsid w:val="00161D0C"/>
    <w:rsid w:val="004C0A1D"/>
    <w:rsid w:val="011A0586"/>
    <w:rsid w:val="011F5C53"/>
    <w:rsid w:val="01263983"/>
    <w:rsid w:val="01CF7782"/>
    <w:rsid w:val="01EA0118"/>
    <w:rsid w:val="02047A52"/>
    <w:rsid w:val="033B50CF"/>
    <w:rsid w:val="036A7762"/>
    <w:rsid w:val="03887BE8"/>
    <w:rsid w:val="042F62B6"/>
    <w:rsid w:val="0450137F"/>
    <w:rsid w:val="04AD3DAA"/>
    <w:rsid w:val="04C57FF4"/>
    <w:rsid w:val="04CC1D57"/>
    <w:rsid w:val="072916E2"/>
    <w:rsid w:val="078801B7"/>
    <w:rsid w:val="08752E31"/>
    <w:rsid w:val="0950148F"/>
    <w:rsid w:val="098E7095"/>
    <w:rsid w:val="09F7F66F"/>
    <w:rsid w:val="0A237B7E"/>
    <w:rsid w:val="0A3665F0"/>
    <w:rsid w:val="0A7B4003"/>
    <w:rsid w:val="0AF142C5"/>
    <w:rsid w:val="0B2B5A29"/>
    <w:rsid w:val="0C006EB6"/>
    <w:rsid w:val="0DBD4932"/>
    <w:rsid w:val="0E4B1283"/>
    <w:rsid w:val="10215D6D"/>
    <w:rsid w:val="10455B4B"/>
    <w:rsid w:val="11005262"/>
    <w:rsid w:val="11140D0D"/>
    <w:rsid w:val="11427629"/>
    <w:rsid w:val="11EB7CC0"/>
    <w:rsid w:val="13F33FA9"/>
    <w:rsid w:val="142E4FF2"/>
    <w:rsid w:val="158879DE"/>
    <w:rsid w:val="166E3FBD"/>
    <w:rsid w:val="16B5089D"/>
    <w:rsid w:val="17712A16"/>
    <w:rsid w:val="17BC44EA"/>
    <w:rsid w:val="17E56F60"/>
    <w:rsid w:val="183A374F"/>
    <w:rsid w:val="193E2DCB"/>
    <w:rsid w:val="196F11D7"/>
    <w:rsid w:val="19C37774"/>
    <w:rsid w:val="1A0062D3"/>
    <w:rsid w:val="1A0F29BA"/>
    <w:rsid w:val="1B0B3181"/>
    <w:rsid w:val="1B652214"/>
    <w:rsid w:val="1B723200"/>
    <w:rsid w:val="1BC31CAE"/>
    <w:rsid w:val="1BC7354C"/>
    <w:rsid w:val="1C662D65"/>
    <w:rsid w:val="1D7F5BDC"/>
    <w:rsid w:val="1D903E12"/>
    <w:rsid w:val="1DD7559C"/>
    <w:rsid w:val="1E360515"/>
    <w:rsid w:val="1E764DB5"/>
    <w:rsid w:val="1EAE09F3"/>
    <w:rsid w:val="1EC73863"/>
    <w:rsid w:val="1FEA1DBC"/>
    <w:rsid w:val="206770AC"/>
    <w:rsid w:val="20A200E4"/>
    <w:rsid w:val="20B31431"/>
    <w:rsid w:val="20CA763A"/>
    <w:rsid w:val="210D7169"/>
    <w:rsid w:val="211F7986"/>
    <w:rsid w:val="22F17100"/>
    <w:rsid w:val="235E191F"/>
    <w:rsid w:val="23A27EA5"/>
    <w:rsid w:val="23C66F3E"/>
    <w:rsid w:val="244D63F9"/>
    <w:rsid w:val="246075FB"/>
    <w:rsid w:val="2480073C"/>
    <w:rsid w:val="24F81B46"/>
    <w:rsid w:val="25AE752B"/>
    <w:rsid w:val="261518AE"/>
    <w:rsid w:val="27932534"/>
    <w:rsid w:val="281444A5"/>
    <w:rsid w:val="291678C1"/>
    <w:rsid w:val="2AE65071"/>
    <w:rsid w:val="2B481888"/>
    <w:rsid w:val="2B876854"/>
    <w:rsid w:val="2BE2267D"/>
    <w:rsid w:val="2C11436F"/>
    <w:rsid w:val="2D60110A"/>
    <w:rsid w:val="2D990AC0"/>
    <w:rsid w:val="2DC86CB0"/>
    <w:rsid w:val="2E00644A"/>
    <w:rsid w:val="2E8B2CFA"/>
    <w:rsid w:val="2E990003"/>
    <w:rsid w:val="2F4D5775"/>
    <w:rsid w:val="2F5051AF"/>
    <w:rsid w:val="2F9652B7"/>
    <w:rsid w:val="2FB83480"/>
    <w:rsid w:val="30823A8E"/>
    <w:rsid w:val="312A215B"/>
    <w:rsid w:val="312E32CE"/>
    <w:rsid w:val="31F50356"/>
    <w:rsid w:val="32801FA5"/>
    <w:rsid w:val="32DF7947"/>
    <w:rsid w:val="33170FFD"/>
    <w:rsid w:val="3321758E"/>
    <w:rsid w:val="335B56B8"/>
    <w:rsid w:val="337F6063"/>
    <w:rsid w:val="33AD2BD0"/>
    <w:rsid w:val="349D18E0"/>
    <w:rsid w:val="34B1073D"/>
    <w:rsid w:val="36174C78"/>
    <w:rsid w:val="370E607B"/>
    <w:rsid w:val="384C6E5B"/>
    <w:rsid w:val="38C420A7"/>
    <w:rsid w:val="39DF524E"/>
    <w:rsid w:val="3A1025DF"/>
    <w:rsid w:val="3A2924B0"/>
    <w:rsid w:val="3A591F05"/>
    <w:rsid w:val="3AED27B6"/>
    <w:rsid w:val="3BDF9DD3"/>
    <w:rsid w:val="3C033CD5"/>
    <w:rsid w:val="3C683B38"/>
    <w:rsid w:val="3C993738"/>
    <w:rsid w:val="3CFC5956"/>
    <w:rsid w:val="3DA81B6D"/>
    <w:rsid w:val="3DB26115"/>
    <w:rsid w:val="3DD67EBE"/>
    <w:rsid w:val="3F5B3E28"/>
    <w:rsid w:val="3F6F1681"/>
    <w:rsid w:val="3F743FC9"/>
    <w:rsid w:val="3FEFECEC"/>
    <w:rsid w:val="3FF878C8"/>
    <w:rsid w:val="41166258"/>
    <w:rsid w:val="41320BB8"/>
    <w:rsid w:val="413B5CBF"/>
    <w:rsid w:val="42644DA1"/>
    <w:rsid w:val="43503578"/>
    <w:rsid w:val="43A833B4"/>
    <w:rsid w:val="444A7FC7"/>
    <w:rsid w:val="44A8366B"/>
    <w:rsid w:val="44E16B7D"/>
    <w:rsid w:val="44E96F5F"/>
    <w:rsid w:val="44F7014F"/>
    <w:rsid w:val="451A208F"/>
    <w:rsid w:val="45660E30"/>
    <w:rsid w:val="458C006D"/>
    <w:rsid w:val="45E71F71"/>
    <w:rsid w:val="46805F22"/>
    <w:rsid w:val="468C0D6B"/>
    <w:rsid w:val="46BC1650"/>
    <w:rsid w:val="4723347D"/>
    <w:rsid w:val="479E48B1"/>
    <w:rsid w:val="47A3011A"/>
    <w:rsid w:val="47C02A7A"/>
    <w:rsid w:val="47F8441E"/>
    <w:rsid w:val="487F17BC"/>
    <w:rsid w:val="493C4382"/>
    <w:rsid w:val="496025C5"/>
    <w:rsid w:val="496B110B"/>
    <w:rsid w:val="49817FAE"/>
    <w:rsid w:val="49B52386"/>
    <w:rsid w:val="4AD359CF"/>
    <w:rsid w:val="4B237456"/>
    <w:rsid w:val="4BDB06A3"/>
    <w:rsid w:val="4CC96874"/>
    <w:rsid w:val="4CF17B79"/>
    <w:rsid w:val="4CFB09F8"/>
    <w:rsid w:val="4D3006A2"/>
    <w:rsid w:val="4D3F33AD"/>
    <w:rsid w:val="4D61085B"/>
    <w:rsid w:val="4DA656C9"/>
    <w:rsid w:val="4EBB043F"/>
    <w:rsid w:val="4F815CC2"/>
    <w:rsid w:val="4F9A2E83"/>
    <w:rsid w:val="5019541D"/>
    <w:rsid w:val="50487AB0"/>
    <w:rsid w:val="507408A5"/>
    <w:rsid w:val="510936E3"/>
    <w:rsid w:val="51BE5928"/>
    <w:rsid w:val="51C4760A"/>
    <w:rsid w:val="529C40E3"/>
    <w:rsid w:val="52C13B4A"/>
    <w:rsid w:val="52E1760A"/>
    <w:rsid w:val="53937294"/>
    <w:rsid w:val="53BC78AB"/>
    <w:rsid w:val="54737B2D"/>
    <w:rsid w:val="553FED88"/>
    <w:rsid w:val="55944FC0"/>
    <w:rsid w:val="55992B5C"/>
    <w:rsid w:val="55D87B28"/>
    <w:rsid w:val="55E62245"/>
    <w:rsid w:val="55F83D27"/>
    <w:rsid w:val="56554CD5"/>
    <w:rsid w:val="565868A3"/>
    <w:rsid w:val="56633896"/>
    <w:rsid w:val="56CB0850"/>
    <w:rsid w:val="575E6194"/>
    <w:rsid w:val="57D956A8"/>
    <w:rsid w:val="57ED7101"/>
    <w:rsid w:val="594E5D11"/>
    <w:rsid w:val="59F14D15"/>
    <w:rsid w:val="5A5D3EE4"/>
    <w:rsid w:val="5A913874"/>
    <w:rsid w:val="5ADC1C8B"/>
    <w:rsid w:val="5BA773B0"/>
    <w:rsid w:val="5CA97B29"/>
    <w:rsid w:val="5D1C654D"/>
    <w:rsid w:val="5D206399"/>
    <w:rsid w:val="5D417D61"/>
    <w:rsid w:val="5DC79C4E"/>
    <w:rsid w:val="5DDF65E9"/>
    <w:rsid w:val="5EED37F9"/>
    <w:rsid w:val="5F1C6CD8"/>
    <w:rsid w:val="5F7C1524"/>
    <w:rsid w:val="5F9BCA88"/>
    <w:rsid w:val="602045A6"/>
    <w:rsid w:val="60E708D2"/>
    <w:rsid w:val="610417D1"/>
    <w:rsid w:val="61A42FB4"/>
    <w:rsid w:val="62944DD7"/>
    <w:rsid w:val="64AE7490"/>
    <w:rsid w:val="66230413"/>
    <w:rsid w:val="66D67BD4"/>
    <w:rsid w:val="66D8069E"/>
    <w:rsid w:val="66F9345B"/>
    <w:rsid w:val="672F4094"/>
    <w:rsid w:val="67530DBD"/>
    <w:rsid w:val="68672E24"/>
    <w:rsid w:val="69192872"/>
    <w:rsid w:val="6A445335"/>
    <w:rsid w:val="6B465590"/>
    <w:rsid w:val="6B712159"/>
    <w:rsid w:val="6CFC3CA5"/>
    <w:rsid w:val="6D2B234D"/>
    <w:rsid w:val="6D6D4BA2"/>
    <w:rsid w:val="6D9739CD"/>
    <w:rsid w:val="6DCE5641"/>
    <w:rsid w:val="6E7F0074"/>
    <w:rsid w:val="6EEB2223"/>
    <w:rsid w:val="6F7758EA"/>
    <w:rsid w:val="6F77EE26"/>
    <w:rsid w:val="713A694F"/>
    <w:rsid w:val="71510177"/>
    <w:rsid w:val="71662034"/>
    <w:rsid w:val="73667774"/>
    <w:rsid w:val="73DFED04"/>
    <w:rsid w:val="74956EB9"/>
    <w:rsid w:val="749F32A1"/>
    <w:rsid w:val="74D06143"/>
    <w:rsid w:val="755B514E"/>
    <w:rsid w:val="7592164A"/>
    <w:rsid w:val="75952EE8"/>
    <w:rsid w:val="75FE9B5E"/>
    <w:rsid w:val="76187555"/>
    <w:rsid w:val="762F50EB"/>
    <w:rsid w:val="764566BC"/>
    <w:rsid w:val="769D02A6"/>
    <w:rsid w:val="76B949B4"/>
    <w:rsid w:val="77766E58"/>
    <w:rsid w:val="777B08CE"/>
    <w:rsid w:val="77A52051"/>
    <w:rsid w:val="78F10F8D"/>
    <w:rsid w:val="78F59287"/>
    <w:rsid w:val="79181E66"/>
    <w:rsid w:val="79803D13"/>
    <w:rsid w:val="798C015E"/>
    <w:rsid w:val="7A6251A3"/>
    <w:rsid w:val="7A97B4A6"/>
    <w:rsid w:val="7AED7906"/>
    <w:rsid w:val="7BFB2C60"/>
    <w:rsid w:val="7C262AEC"/>
    <w:rsid w:val="7CD51E1C"/>
    <w:rsid w:val="7D787377"/>
    <w:rsid w:val="7D7D763C"/>
    <w:rsid w:val="7D7F5FD2"/>
    <w:rsid w:val="7DA3073C"/>
    <w:rsid w:val="7DD86068"/>
    <w:rsid w:val="7E355268"/>
    <w:rsid w:val="7EBB90C7"/>
    <w:rsid w:val="7F17671C"/>
    <w:rsid w:val="7F4376DC"/>
    <w:rsid w:val="7F5EF156"/>
    <w:rsid w:val="7F7E9C75"/>
    <w:rsid w:val="7FB36445"/>
    <w:rsid w:val="7FBB22E6"/>
    <w:rsid w:val="7FBB6374"/>
    <w:rsid w:val="7FBF3FDE"/>
    <w:rsid w:val="7FCF6DC9"/>
    <w:rsid w:val="7FDF9882"/>
    <w:rsid w:val="7FE2D79F"/>
    <w:rsid w:val="7FE5BDA8"/>
    <w:rsid w:val="7FFEE0E2"/>
    <w:rsid w:val="7FFF868C"/>
    <w:rsid w:val="98FFAEE2"/>
    <w:rsid w:val="9AFF53C7"/>
    <w:rsid w:val="B1FAABDE"/>
    <w:rsid w:val="B9FEB06E"/>
    <w:rsid w:val="BDFE5EB5"/>
    <w:rsid w:val="BEBFB11F"/>
    <w:rsid w:val="BFC9E1E6"/>
    <w:rsid w:val="C47B8961"/>
    <w:rsid w:val="CFFF666C"/>
    <w:rsid w:val="DF2F95D9"/>
    <w:rsid w:val="DF6BE240"/>
    <w:rsid w:val="DFEF22F1"/>
    <w:rsid w:val="E1B61E69"/>
    <w:rsid w:val="E1ECB979"/>
    <w:rsid w:val="E67DE126"/>
    <w:rsid w:val="E95FDA12"/>
    <w:rsid w:val="EF9A8B63"/>
    <w:rsid w:val="F1BFF01B"/>
    <w:rsid w:val="F5EF894A"/>
    <w:rsid w:val="F6E721E1"/>
    <w:rsid w:val="F6F9C1DA"/>
    <w:rsid w:val="FB795BFE"/>
    <w:rsid w:val="FBBD2EFB"/>
    <w:rsid w:val="FDA76A66"/>
    <w:rsid w:val="FDFF75DA"/>
    <w:rsid w:val="FEF81C90"/>
    <w:rsid w:val="FEFF3C70"/>
    <w:rsid w:val="FF3E9EA4"/>
    <w:rsid w:val="FF7BC11C"/>
    <w:rsid w:val="FF852924"/>
    <w:rsid w:val="FFDF513B"/>
    <w:rsid w:val="FFF9F906"/>
    <w:rsid w:val="FFFB88A2"/>
    <w:rsid w:val="FFFF2011"/>
    <w:rsid w:val="FFFF9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beforeLines="0" w:after="330" w:afterLines="0" w:line="578" w:lineRule="auto"/>
      <w:outlineLvl w:val="0"/>
    </w:pPr>
    <w:rPr>
      <w:b/>
      <w:bCs/>
      <w:kern w:val="44"/>
      <w:sz w:val="44"/>
      <w:szCs w:val="44"/>
    </w:rPr>
  </w:style>
  <w:style w:type="paragraph" w:styleId="2">
    <w:name w:val="heading 3"/>
    <w:basedOn w:val="1"/>
    <w:next w:val="1"/>
    <w:qFormat/>
    <w:uiPriority w:val="0"/>
    <w:pPr>
      <w:keepNext/>
      <w:keepLines/>
      <w:spacing w:before="260" w:beforeLines="0" w:after="260" w:afterLines="0" w:line="416" w:lineRule="auto"/>
      <w:outlineLvl w:val="2"/>
    </w:pPr>
    <w:rPr>
      <w:b/>
      <w:bCs/>
      <w:kern w:val="0"/>
      <w:sz w:val="32"/>
      <w:szCs w:val="32"/>
    </w:rPr>
  </w:style>
  <w:style w:type="paragraph" w:styleId="4">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beforeLines="0" w:after="160" w:afterLines="0"/>
    </w:pPr>
    <w:rPr>
      <w:rFonts w:ascii="Arial" w:hAnsi="Arial" w:eastAsia="黑体" w:cs="Arial"/>
      <w:sz w:val="20"/>
      <w:szCs w:val="20"/>
    </w:rPr>
  </w:style>
  <w:style w:type="paragraph" w:styleId="8">
    <w:name w:val="annotation text"/>
    <w:basedOn w:val="1"/>
    <w:qFormat/>
    <w:uiPriority w:val="0"/>
    <w:pPr>
      <w:adjustRightInd w:val="0"/>
      <w:spacing w:line="360" w:lineRule="atLeast"/>
      <w:jc w:val="left"/>
      <w:textAlignment w:val="baseline"/>
    </w:pPr>
    <w:rPr>
      <w:kern w:val="0"/>
      <w:sz w:val="24"/>
      <w:szCs w:val="20"/>
    </w:rPr>
  </w:style>
  <w:style w:type="paragraph" w:styleId="9">
    <w:name w:val="Body Text 3"/>
    <w:basedOn w:val="1"/>
    <w:qFormat/>
    <w:uiPriority w:val="0"/>
    <w:pPr>
      <w:spacing w:line="500" w:lineRule="exact"/>
    </w:pPr>
    <w:rPr>
      <w:b/>
      <w:bCs/>
      <w:sz w:val="24"/>
    </w:rPr>
  </w:style>
  <w:style w:type="paragraph" w:styleId="10">
    <w:name w:val="Body Text"/>
    <w:basedOn w:val="1"/>
    <w:qFormat/>
    <w:uiPriority w:val="0"/>
    <w:pPr>
      <w:spacing w:line="380" w:lineRule="exact"/>
    </w:pPr>
    <w:rPr>
      <w:sz w:val="24"/>
    </w:rPr>
  </w:style>
  <w:style w:type="paragraph" w:styleId="11">
    <w:name w:val="Body Text Indent"/>
    <w:basedOn w:val="1"/>
    <w:qFormat/>
    <w:uiPriority w:val="0"/>
    <w:pPr>
      <w:ind w:firstLine="830" w:firstLineChars="352"/>
    </w:pPr>
    <w:rPr>
      <w:rFonts w:ascii="仿宋_GB2312" w:eastAsia="仿宋_GB2312"/>
      <w:sz w:val="32"/>
      <w:szCs w:val="20"/>
    </w:rPr>
  </w:style>
  <w:style w:type="paragraph" w:styleId="12">
    <w:name w:val="Plain Text"/>
    <w:basedOn w:val="1"/>
    <w:next w:val="3"/>
    <w:qFormat/>
    <w:uiPriority w:val="0"/>
    <w:rPr>
      <w:rFonts w:ascii="宋体" w:hAnsi="Courier New" w:cs="Courier New"/>
      <w:szCs w:val="21"/>
    </w:rPr>
  </w:style>
  <w:style w:type="paragraph" w:styleId="13">
    <w:name w:val="Date"/>
    <w:basedOn w:val="1"/>
    <w:next w:val="1"/>
    <w:qFormat/>
    <w:uiPriority w:val="0"/>
    <w:pPr>
      <w:ind w:left="100" w:leftChars="2500"/>
    </w:pPr>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17">
    <w:name w:val="List"/>
    <w:basedOn w:val="1"/>
    <w:qFormat/>
    <w:uiPriority w:val="0"/>
    <w:pPr>
      <w:ind w:left="200" w:hanging="200" w:hangingChars="200"/>
    </w:pPr>
    <w:rPr>
      <w:sz w:val="28"/>
    </w:rPr>
  </w:style>
  <w:style w:type="paragraph" w:styleId="18">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19">
    <w:name w:val="Body Text 2"/>
    <w:basedOn w:val="1"/>
    <w:qFormat/>
    <w:uiPriority w:val="0"/>
    <w:pPr>
      <w:spacing w:after="120" w:afterLines="0" w:line="480" w:lineRule="auto"/>
    </w:pPr>
  </w:style>
  <w:style w:type="paragraph" w:styleId="20">
    <w:name w:val="index 1"/>
    <w:basedOn w:val="1"/>
    <w:next w:val="1"/>
    <w:semiHidden/>
    <w:qFormat/>
    <w:uiPriority w:val="0"/>
    <w:pPr>
      <w:spacing w:line="400" w:lineRule="exact"/>
      <w:ind w:firstLine="420" w:firstLineChars="200"/>
    </w:pPr>
    <w:rPr>
      <w:rFonts w:ascii="宋体" w:hAnsi="Courier New"/>
      <w:b/>
      <w:szCs w:val="20"/>
    </w:rPr>
  </w:style>
  <w:style w:type="paragraph" w:styleId="21">
    <w:name w:val="Body Text First Indent"/>
    <w:basedOn w:val="10"/>
    <w:qFormat/>
    <w:uiPriority w:val="0"/>
    <w:pPr>
      <w:ind w:firstLine="420" w:firstLineChars="100"/>
    </w:p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semiHidden/>
    <w:qFormat/>
    <w:uiPriority w:val="99"/>
    <w:rPr>
      <w:sz w:val="21"/>
      <w:szCs w:val="21"/>
    </w:rPr>
  </w:style>
  <w:style w:type="paragraph" w:customStyle="1" w:styleId="27">
    <w:name w:val="正文段"/>
    <w:basedOn w:val="1"/>
    <w:qFormat/>
    <w:uiPriority w:val="0"/>
    <w:pPr>
      <w:widowControl/>
      <w:snapToGrid w:val="0"/>
      <w:spacing w:after="156" w:afterLines="50"/>
      <w:ind w:firstLine="200" w:firstLineChars="200"/>
    </w:pPr>
    <w:rPr>
      <w:kern w:val="0"/>
      <w:sz w:val="24"/>
      <w:szCs w:val="20"/>
    </w:rPr>
  </w:style>
  <w:style w:type="character" w:customStyle="1" w:styleId="28">
    <w:name w:val="bookmark-item uuid-1595940713919 code-am01400046 editdisable single-line-text-input-box-cls readonly"/>
    <w:qFormat/>
    <w:uiPriority w:val="0"/>
  </w:style>
  <w:style w:type="paragraph" w:customStyle="1" w:styleId="29">
    <w:name w:val="正文缩进1"/>
    <w:basedOn w:val="1"/>
    <w:qFormat/>
    <w:uiPriority w:val="0"/>
    <w:pPr>
      <w:widowControl/>
      <w:ind w:firstLine="420"/>
      <w:jc w:val="left"/>
    </w:p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标题 1 字符"/>
    <w:link w:val="3"/>
    <w:qFormat/>
    <w:uiPriority w:val="0"/>
    <w:rPr>
      <w:b/>
      <w:bCs/>
      <w:kern w:val="44"/>
      <w:sz w:val="44"/>
      <w:szCs w:val="44"/>
    </w:rPr>
  </w:style>
  <w:style w:type="paragraph" w:customStyle="1" w:styleId="32">
    <w:name w:val="p15"/>
    <w:basedOn w:val="1"/>
    <w:qFormat/>
    <w:uiPriority w:val="0"/>
    <w:pPr>
      <w:widowControl/>
    </w:pPr>
    <w:rPr>
      <w:rFonts w:ascii="宋体" w:hAnsi="宋体" w:cs="宋体"/>
      <w:kern w:val="0"/>
      <w:szCs w:val="21"/>
    </w:rPr>
  </w:style>
  <w:style w:type="paragraph" w:customStyle="1" w:styleId="33">
    <w:name w:val="正文格式"/>
    <w:qFormat/>
    <w:uiPriority w:val="0"/>
    <w:pPr>
      <w:adjustRightInd w:val="0"/>
      <w:snapToGrid w:val="0"/>
      <w:spacing w:line="400" w:lineRule="atLeast"/>
      <w:ind w:firstLine="482"/>
      <w:jc w:val="both"/>
      <w:textAlignment w:val="baseline"/>
    </w:pPr>
    <w:rPr>
      <w:rFonts w:ascii="Times New Roman" w:hAnsi="Times New Roman" w:eastAsia="宋体" w:cs="Times New Roman"/>
      <w:sz w:val="24"/>
      <w:szCs w:val="24"/>
      <w:lang w:val="en-US" w:eastAsia="zh-CN" w:bidi="ar-SA"/>
    </w:rPr>
  </w:style>
  <w:style w:type="paragraph" w:customStyle="1" w:styleId="34">
    <w:name w:val="Body text|1"/>
    <w:basedOn w:val="1"/>
    <w:qFormat/>
    <w:uiPriority w:val="0"/>
    <w:pPr>
      <w:spacing w:line="353" w:lineRule="auto"/>
      <w:ind w:firstLine="400"/>
      <w:jc w:val="left"/>
    </w:pPr>
    <w:rPr>
      <w:rFonts w:ascii="宋体" w:hAnsi="宋体" w:eastAsia="宋体" w:cs="宋体"/>
      <w:kern w:val="0"/>
      <w:sz w:val="30"/>
      <w:szCs w:val="30"/>
    </w:rPr>
  </w:style>
  <w:style w:type="paragraph" w:customStyle="1" w:styleId="35">
    <w:name w:val="Body text|3"/>
    <w:basedOn w:val="1"/>
    <w:qFormat/>
    <w:uiPriority w:val="0"/>
    <w:pPr>
      <w:spacing w:after="460"/>
      <w:jc w:val="center"/>
    </w:pPr>
    <w:rPr>
      <w:rFonts w:ascii="宋体" w:hAnsi="宋体" w:eastAsia="宋体" w:cs="宋体"/>
      <w:kern w:val="0"/>
      <w:sz w:val="34"/>
      <w:szCs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24620</Words>
  <Characters>26852</Characters>
  <Lines>0</Lines>
  <Paragraphs>0</Paragraphs>
  <TotalTime>112</TotalTime>
  <ScaleCrop>false</ScaleCrop>
  <LinksUpToDate>false</LinksUpToDate>
  <CharactersWithSpaces>27506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2025-07-06T04:10:00Z</dcterms:created>
  <dc:creator>nnnd</dc:creator>
  <cp:lastModifiedBy>gxxc</cp:lastModifiedBy>
  <dcterms:modified xsi:type="dcterms:W3CDTF">2025-09-05T14:47:31Z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8644F7FF74084009868485B3F1F9B99B_13</vt:lpwstr>
  </property>
  <property fmtid="{D5CDD505-2E9C-101B-9397-08002B2CF9AE}" pid="4" name="KSOTemplateDocerSaveRecord">
    <vt:lpwstr>eyJoZGlkIjoiNGE2ODViZjAwZjc2MmNmMjQ0ZWI2MDEwNTgzODAwMzQifQ==</vt:lpwstr>
  </property>
</Properties>
</file>