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7"/>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hint="eastAsia" w:ascii="仿宋_GB2312" w:hAnsi="宋体" w:eastAsia="仿宋_GB2312"/>
          <w:b/>
          <w:bCs/>
          <w:color w:val="auto"/>
          <w:sz w:val="30"/>
          <w:szCs w:val="30"/>
          <w:highlight w:val="none"/>
        </w:rPr>
      </w:pPr>
    </w:p>
    <w:p>
      <w:pPr>
        <w:pStyle w:val="2"/>
        <w:rPr>
          <w:rFonts w:hint="eastAsia"/>
          <w:color w:val="auto"/>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w:t>
      </w:r>
      <w:r>
        <w:rPr>
          <w:rFonts w:hint="default" w:ascii="仿宋_GB2312" w:hAnsi="宋体" w:eastAsia="仿宋_GB2312"/>
          <w:b/>
          <w:bCs/>
          <w:color w:val="auto"/>
          <w:sz w:val="30"/>
          <w:szCs w:val="30"/>
          <w:highlight w:val="none"/>
          <w:lang w:val="en"/>
        </w:rPr>
        <w:t>GXZC2025-G1-002582-CGZX</w:t>
      </w: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eastAsia" w:ascii="仿宋_GB2312" w:hAnsi="宋体" w:eastAsia="仿宋_GB2312"/>
          <w:color w:val="auto"/>
          <w:sz w:val="30"/>
          <w:szCs w:val="72"/>
          <w:highlight w:val="none"/>
        </w:rPr>
      </w:pPr>
      <w:r>
        <w:rPr>
          <w:rFonts w:hint="eastAsia" w:ascii="仿宋_GB2312" w:hAnsi="宋体" w:eastAsia="仿宋_GB2312"/>
          <w:b/>
          <w:color w:val="auto"/>
          <w:sz w:val="30"/>
          <w:szCs w:val="72"/>
          <w:highlight w:val="none"/>
        </w:rPr>
        <w:t xml:space="preserve">项目名称： </w:t>
      </w:r>
      <w:r>
        <w:rPr>
          <w:rFonts w:hint="eastAsia" w:ascii="仿宋_GB2312" w:hAnsi="宋体" w:eastAsia="仿宋_GB2312"/>
          <w:b/>
          <w:color w:val="auto"/>
          <w:sz w:val="30"/>
          <w:szCs w:val="72"/>
          <w:highlight w:val="none"/>
          <w:lang w:eastAsia="zh-CN"/>
        </w:rPr>
        <w:t>相思湖校区、</w:t>
      </w:r>
      <w:r>
        <w:rPr>
          <w:rFonts w:hint="eastAsia" w:ascii="仿宋_GB2312" w:hAnsi="宋体" w:eastAsia="仿宋_GB2312"/>
          <w:b/>
          <w:color w:val="auto"/>
          <w:sz w:val="30"/>
          <w:szCs w:val="72"/>
          <w:highlight w:val="none"/>
        </w:rPr>
        <w:t>南湖校区学生公寓组合床</w:t>
      </w:r>
      <w:r>
        <w:rPr>
          <w:rFonts w:hint="eastAsia" w:ascii="仿宋_GB2312" w:hAnsi="宋体" w:eastAsia="仿宋_GB2312"/>
          <w:b/>
          <w:color w:val="auto"/>
          <w:sz w:val="30"/>
          <w:szCs w:val="72"/>
          <w:highlight w:val="none"/>
          <w:lang w:eastAsia="zh-CN"/>
        </w:rPr>
        <w:t>采购</w:t>
      </w:r>
      <w:r>
        <w:rPr>
          <w:rFonts w:hint="eastAsia" w:ascii="仿宋_GB2312" w:hAnsi="宋体" w:eastAsia="仿宋_GB2312"/>
          <w:color w:val="auto"/>
          <w:sz w:val="30"/>
          <w:szCs w:val="72"/>
          <w:highlight w:val="none"/>
        </w:rPr>
        <w:t xml:space="preserve"> </w:t>
      </w:r>
    </w:p>
    <w:p>
      <w:pPr>
        <w:snapToGrid w:val="0"/>
        <w:spacing w:before="156" w:beforeLines="50" w:line="360" w:lineRule="auto"/>
        <w:ind w:firstLine="1656" w:firstLineChars="550"/>
        <w:rPr>
          <w:rFonts w:hint="default" w:ascii="仿宋_GB2312" w:hAnsi="宋体" w:eastAsia="仿宋_GB2312"/>
          <w:b/>
          <w:color w:val="auto"/>
          <w:sz w:val="30"/>
          <w:szCs w:val="72"/>
          <w:highlight w:val="none"/>
          <w:lang w:val="en-US" w:eastAsia="zh-CN"/>
        </w:rPr>
      </w:pPr>
      <w:r>
        <w:rPr>
          <w:rFonts w:hint="eastAsia" w:ascii="仿宋_GB2312" w:hAnsi="宋体" w:eastAsia="仿宋_GB2312"/>
          <w:b/>
          <w:color w:val="auto"/>
          <w:sz w:val="30"/>
          <w:szCs w:val="72"/>
          <w:highlight w:val="none"/>
        </w:rPr>
        <w:t xml:space="preserve">采购单位： </w:t>
      </w:r>
      <w:r>
        <w:rPr>
          <w:rFonts w:hint="eastAsia" w:ascii="仿宋_GB2312" w:hAnsi="宋体" w:eastAsia="仿宋_GB2312"/>
          <w:b/>
          <w:color w:val="auto"/>
          <w:sz w:val="30"/>
          <w:szCs w:val="72"/>
          <w:highlight w:val="none"/>
          <w:lang w:val="en-US" w:eastAsia="zh-CN"/>
        </w:rPr>
        <w:t>广西艺术学院</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pStyle w:val="50"/>
        <w:ind w:firstLine="300"/>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2025年</w:t>
      </w:r>
      <w:r>
        <w:rPr>
          <w:rFonts w:hint="eastAsia" w:ascii="仿宋_GB2312" w:hAnsi="宋体" w:eastAsia="仿宋_GB2312"/>
          <w:color w:val="auto"/>
          <w:sz w:val="30"/>
          <w:szCs w:val="72"/>
          <w:highlight w:val="none"/>
          <w:lang w:val="en-US" w:eastAsia="zh-CN"/>
        </w:rPr>
        <w:t>9</w:t>
      </w:r>
      <w:r>
        <w:rPr>
          <w:rFonts w:hint="eastAsia" w:ascii="仿宋_GB2312" w:hAnsi="宋体" w:eastAsia="仿宋_GB2312"/>
          <w:color w:val="auto"/>
          <w:sz w:val="30"/>
          <w:szCs w:val="72"/>
          <w:highlight w:val="none"/>
        </w:rPr>
        <w:t>月</w:t>
      </w:r>
    </w:p>
    <w:p>
      <w:pPr>
        <w:pStyle w:val="27"/>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"_Toc40865015" </w:instrText>
      </w:r>
      <w:r>
        <w:rPr>
          <w:color w:val="auto"/>
          <w:highlight w:val="none"/>
        </w:rPr>
        <w:fldChar w:fldCharType="separate"/>
      </w:r>
      <w:r>
        <w:rPr>
          <w:rStyle w:val="58"/>
          <w:rFonts w:hint="eastAsia"/>
          <w:color w:val="auto"/>
          <w:sz w:val="28"/>
          <w:szCs w:val="28"/>
          <w:highlight w:val="none"/>
          <w:lang w:val="en-US" w:eastAsia="zh-CN"/>
        </w:rPr>
        <w:t>第一章</w:t>
      </w:r>
      <w:r>
        <w:rPr>
          <w:rStyle w:val="58"/>
          <w:color w:val="auto"/>
          <w:sz w:val="28"/>
          <w:szCs w:val="28"/>
          <w:highlight w:val="none"/>
          <w:lang w:val="en-US" w:eastAsia="zh-CN"/>
        </w:rPr>
        <w:t xml:space="preserve">  </w:t>
      </w:r>
      <w:r>
        <w:rPr>
          <w:rStyle w:val="58"/>
          <w:rFonts w:hint="eastAsia"/>
          <w:color w:val="auto"/>
          <w:sz w:val="28"/>
          <w:szCs w:val="28"/>
          <w:highlight w:val="none"/>
          <w:lang w:val="en-US" w:eastAsia="zh-CN"/>
        </w:rPr>
        <w:t>公开招标公告</w:t>
      </w:r>
      <w:r>
        <w:rPr>
          <w:color w:val="auto"/>
          <w:sz w:val="28"/>
          <w:szCs w:val="28"/>
          <w:highlight w:val="none"/>
          <w:lang w:val="en-US" w:eastAsia="zh-CN"/>
        </w:rPr>
        <w:tab/>
      </w:r>
      <w:r>
        <w:rPr>
          <w:color w:val="auto"/>
          <w:sz w:val="28"/>
          <w:szCs w:val="28"/>
          <w:highlight w:val="none"/>
          <w:lang w:val="en-US" w:eastAsia="zh-CN"/>
        </w:rPr>
        <w:fldChar w:fldCharType="begin"/>
      </w:r>
      <w:r>
        <w:rPr>
          <w:color w:val="auto"/>
          <w:sz w:val="28"/>
          <w:szCs w:val="28"/>
          <w:highlight w:val="none"/>
          <w:lang w:val="en-US" w:eastAsia="zh-CN"/>
        </w:rPr>
        <w:instrText xml:space="preserve"> PAGEREF _Toc40865015 \h </w:instrText>
      </w:r>
      <w:r>
        <w:rPr>
          <w:color w:val="auto"/>
          <w:sz w:val="28"/>
          <w:szCs w:val="28"/>
          <w:highlight w:val="none"/>
          <w:lang w:val="en-US" w:eastAsia="zh-CN"/>
        </w:rPr>
        <w:fldChar w:fldCharType="separate"/>
      </w:r>
      <w:r>
        <w:rPr>
          <w:color w:val="auto"/>
          <w:sz w:val="28"/>
          <w:szCs w:val="28"/>
          <w:highlight w:val="none"/>
          <w:lang w:val="en-US" w:eastAsia="zh-CN"/>
        </w:rPr>
        <w:t>2</w:t>
      </w:r>
      <w:r>
        <w:rPr>
          <w:color w:val="auto"/>
          <w:sz w:val="28"/>
          <w:szCs w:val="28"/>
          <w:highlight w:val="none"/>
          <w:lang w:val="en-US" w:eastAsia="zh-CN"/>
        </w:rPr>
        <w:fldChar w:fldCharType="end"/>
      </w:r>
      <w:r>
        <w:rPr>
          <w:color w:val="auto"/>
          <w:sz w:val="28"/>
          <w:szCs w:val="28"/>
          <w:highlight w:val="none"/>
          <w:lang w:val="en-US" w:eastAsia="zh-CN"/>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"_Toc40865016" </w:instrText>
      </w:r>
      <w:r>
        <w:rPr>
          <w:color w:val="auto"/>
          <w:highlight w:val="none"/>
        </w:rPr>
        <w:fldChar w:fldCharType="separate"/>
      </w:r>
      <w:r>
        <w:rPr>
          <w:rStyle w:val="58"/>
          <w:rFonts w:hint="eastAsia"/>
          <w:color w:val="auto"/>
          <w:sz w:val="28"/>
          <w:szCs w:val="28"/>
          <w:highlight w:val="none"/>
          <w:lang w:val="en-US" w:eastAsia="zh-CN"/>
        </w:rPr>
        <w:t>第二章</w:t>
      </w:r>
      <w:r>
        <w:rPr>
          <w:rStyle w:val="58"/>
          <w:color w:val="auto"/>
          <w:sz w:val="28"/>
          <w:szCs w:val="28"/>
          <w:highlight w:val="none"/>
          <w:lang w:val="en-US" w:eastAsia="zh-CN"/>
        </w:rPr>
        <w:t xml:space="preserve">  </w:t>
      </w:r>
      <w:r>
        <w:rPr>
          <w:rStyle w:val="58"/>
          <w:rFonts w:hint="eastAsia"/>
          <w:color w:val="auto"/>
          <w:sz w:val="28"/>
          <w:szCs w:val="28"/>
          <w:highlight w:val="none"/>
          <w:lang w:val="en-US" w:eastAsia="zh-CN"/>
        </w:rPr>
        <w:t>招标项</w:t>
      </w:r>
      <w:bookmarkStart w:id="0" w:name="_Hlt106980027"/>
      <w:bookmarkEnd w:id="0"/>
      <w:bookmarkStart w:id="1" w:name="_Hlt106980028"/>
      <w:bookmarkEnd w:id="1"/>
      <w:r>
        <w:rPr>
          <w:rStyle w:val="58"/>
          <w:rFonts w:hint="eastAsia"/>
          <w:color w:val="auto"/>
          <w:sz w:val="28"/>
          <w:szCs w:val="28"/>
          <w:highlight w:val="none"/>
          <w:lang w:val="en-US" w:eastAsia="zh-CN"/>
        </w:rPr>
        <w:t>目采购需求</w:t>
      </w:r>
      <w:r>
        <w:rPr>
          <w:color w:val="auto"/>
          <w:sz w:val="28"/>
          <w:szCs w:val="28"/>
          <w:highlight w:val="none"/>
          <w:lang w:val="en-US" w:eastAsia="zh-CN"/>
        </w:rPr>
        <w:tab/>
      </w:r>
      <w:r>
        <w:rPr>
          <w:color w:val="auto"/>
          <w:sz w:val="28"/>
          <w:szCs w:val="28"/>
          <w:highlight w:val="none"/>
          <w:lang w:val="en-US" w:eastAsia="zh-CN"/>
        </w:rPr>
        <w:fldChar w:fldCharType="begin"/>
      </w:r>
      <w:r>
        <w:rPr>
          <w:color w:val="auto"/>
          <w:sz w:val="28"/>
          <w:szCs w:val="28"/>
          <w:highlight w:val="none"/>
          <w:lang w:val="en-US" w:eastAsia="zh-CN"/>
        </w:rPr>
        <w:instrText xml:space="preserve"> PAGEREF _Toc40865016 \h </w:instrText>
      </w:r>
      <w:r>
        <w:rPr>
          <w:color w:val="auto"/>
          <w:sz w:val="28"/>
          <w:szCs w:val="28"/>
          <w:highlight w:val="none"/>
          <w:lang w:val="en-US" w:eastAsia="zh-CN"/>
        </w:rPr>
        <w:fldChar w:fldCharType="separate"/>
      </w:r>
      <w:r>
        <w:rPr>
          <w:color w:val="auto"/>
          <w:sz w:val="28"/>
          <w:szCs w:val="28"/>
          <w:highlight w:val="none"/>
          <w:lang w:val="en-US" w:eastAsia="zh-CN"/>
        </w:rPr>
        <w:t>6</w:t>
      </w:r>
      <w:r>
        <w:rPr>
          <w:color w:val="auto"/>
          <w:sz w:val="28"/>
          <w:szCs w:val="28"/>
          <w:highlight w:val="none"/>
          <w:lang w:val="en-US" w:eastAsia="zh-CN"/>
        </w:rPr>
        <w:fldChar w:fldCharType="end"/>
      </w:r>
      <w:r>
        <w:rPr>
          <w:color w:val="auto"/>
          <w:sz w:val="28"/>
          <w:szCs w:val="28"/>
          <w:highlight w:val="none"/>
          <w:lang w:val="en-US" w:eastAsia="zh-CN"/>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default" w:ascii="Calibri" w:hAnsi="Calibri"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"_Toc40865022" </w:instrText>
      </w:r>
      <w:r>
        <w:rPr>
          <w:color w:val="auto"/>
          <w:highlight w:val="none"/>
        </w:rPr>
        <w:fldChar w:fldCharType="separate"/>
      </w:r>
      <w:r>
        <w:rPr>
          <w:rStyle w:val="58"/>
          <w:rFonts w:hint="eastAsia"/>
          <w:color w:val="auto"/>
          <w:sz w:val="28"/>
          <w:szCs w:val="28"/>
          <w:highlight w:val="none"/>
          <w:lang w:val="en-US" w:eastAsia="zh-CN"/>
        </w:rPr>
        <w:t>第三章</w:t>
      </w:r>
      <w:r>
        <w:rPr>
          <w:rStyle w:val="58"/>
          <w:color w:val="auto"/>
          <w:sz w:val="28"/>
          <w:szCs w:val="28"/>
          <w:highlight w:val="none"/>
          <w:lang w:val="en-US" w:eastAsia="zh-CN"/>
        </w:rPr>
        <w:t xml:space="preserve">  </w:t>
      </w:r>
      <w:r>
        <w:rPr>
          <w:rStyle w:val="58"/>
          <w:rFonts w:hint="eastAsia"/>
          <w:color w:val="auto"/>
          <w:sz w:val="28"/>
          <w:szCs w:val="28"/>
          <w:highlight w:val="none"/>
          <w:lang w:val="en-US" w:eastAsia="zh-CN"/>
        </w:rPr>
        <w:t>投标人须知</w:t>
      </w:r>
      <w:r>
        <w:rPr>
          <w:color w:val="auto"/>
          <w:sz w:val="28"/>
          <w:szCs w:val="28"/>
          <w:highlight w:val="none"/>
          <w:lang w:val="en-US" w:eastAsia="zh-CN"/>
        </w:rPr>
        <w:tab/>
      </w:r>
      <w:r>
        <w:rPr>
          <w:rFonts w:hint="eastAsia"/>
          <w:color w:val="auto"/>
          <w:sz w:val="28"/>
          <w:szCs w:val="28"/>
          <w:highlight w:val="none"/>
          <w:lang w:val="en-US" w:eastAsia="zh-CN"/>
        </w:rPr>
        <w:t>2</w:t>
      </w:r>
      <w:r>
        <w:rPr>
          <w:color w:val="auto"/>
          <w:sz w:val="28"/>
          <w:szCs w:val="28"/>
          <w:highlight w:val="none"/>
          <w:lang w:val="en-US" w:eastAsia="zh-CN"/>
        </w:rPr>
        <w:fldChar w:fldCharType="end"/>
      </w:r>
      <w:r>
        <w:rPr>
          <w:rFonts w:hint="eastAsia"/>
          <w:color w:val="auto"/>
          <w:sz w:val="28"/>
          <w:szCs w:val="28"/>
          <w:highlight w:val="none"/>
          <w:lang w:val="en-US" w:eastAsia="zh-CN"/>
        </w:rPr>
        <w:t>2</w:t>
      </w:r>
    </w:p>
    <w:p>
      <w:pPr>
        <w:pStyle w:val="35"/>
        <w:tabs>
          <w:tab w:val="right" w:leader="dot" w:pos="9356"/>
          <w:tab w:val="right" w:leader="dot" w:pos="9498"/>
          <w:tab w:val="clear" w:pos="8296"/>
          <w:tab w:val="clear" w:pos="8398"/>
        </w:tabs>
        <w:spacing w:line="500" w:lineRule="exact"/>
        <w:ind w:right="-510" w:rightChars="-243" w:firstLine="0" w:firstLineChars="0"/>
        <w:rPr>
          <w:rFonts w:hint="default" w:ascii="Calibri" w:hAnsi="Calibri"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"_Toc40865097" </w:instrText>
      </w:r>
      <w:r>
        <w:rPr>
          <w:color w:val="auto"/>
          <w:highlight w:val="none"/>
        </w:rPr>
        <w:fldChar w:fldCharType="separate"/>
      </w:r>
      <w:r>
        <w:rPr>
          <w:rStyle w:val="58"/>
          <w:rFonts w:hint="eastAsia"/>
          <w:color w:val="auto"/>
          <w:kern w:val="44"/>
          <w:sz w:val="28"/>
          <w:szCs w:val="28"/>
          <w:highlight w:val="none"/>
          <w:lang w:val="en-US" w:eastAsia="zh-CN"/>
        </w:rPr>
        <w:t>第四章</w:t>
      </w:r>
      <w:r>
        <w:rPr>
          <w:rStyle w:val="58"/>
          <w:color w:val="auto"/>
          <w:kern w:val="44"/>
          <w:sz w:val="28"/>
          <w:szCs w:val="28"/>
          <w:highlight w:val="none"/>
          <w:lang w:val="en-US" w:eastAsia="zh-CN"/>
        </w:rPr>
        <w:t xml:space="preserve">  </w:t>
      </w:r>
      <w:r>
        <w:rPr>
          <w:rStyle w:val="58"/>
          <w:rFonts w:hint="eastAsia"/>
          <w:color w:val="auto"/>
          <w:sz w:val="28"/>
          <w:szCs w:val="28"/>
          <w:highlight w:val="none"/>
          <w:lang w:val="en-US" w:eastAsia="zh-CN"/>
        </w:rPr>
        <w:t>评标方法</w:t>
      </w:r>
      <w:bookmarkStart w:id="2" w:name="_Hlt106981225"/>
      <w:bookmarkEnd w:id="2"/>
      <w:bookmarkStart w:id="3" w:name="_Hlt106981224"/>
      <w:bookmarkEnd w:id="3"/>
      <w:r>
        <w:rPr>
          <w:rStyle w:val="58"/>
          <w:rFonts w:hint="eastAsia"/>
          <w:color w:val="auto"/>
          <w:sz w:val="28"/>
          <w:szCs w:val="28"/>
          <w:highlight w:val="none"/>
          <w:lang w:val="en-US" w:eastAsia="zh-CN"/>
        </w:rPr>
        <w:t>及评定标准</w:t>
      </w:r>
      <w:r>
        <w:rPr>
          <w:color w:val="auto"/>
          <w:sz w:val="28"/>
          <w:szCs w:val="28"/>
          <w:highlight w:val="none"/>
          <w:lang w:val="en-US" w:eastAsia="zh-CN"/>
        </w:rPr>
        <w:tab/>
      </w:r>
      <w:r>
        <w:rPr>
          <w:rFonts w:hint="eastAsia"/>
          <w:color w:val="auto"/>
          <w:sz w:val="28"/>
          <w:szCs w:val="28"/>
          <w:highlight w:val="none"/>
          <w:lang w:val="en-US" w:eastAsia="zh-CN"/>
        </w:rPr>
        <w:t>3</w:t>
      </w:r>
      <w:r>
        <w:rPr>
          <w:color w:val="auto"/>
          <w:sz w:val="28"/>
          <w:szCs w:val="28"/>
          <w:highlight w:val="none"/>
          <w:lang w:val="en-US" w:eastAsia="zh-CN"/>
        </w:rPr>
        <w:fldChar w:fldCharType="end"/>
      </w:r>
      <w:r>
        <w:rPr>
          <w:rFonts w:hint="eastAsia"/>
          <w:color w:val="auto"/>
          <w:sz w:val="28"/>
          <w:szCs w:val="28"/>
          <w:highlight w:val="none"/>
          <w:lang w:val="en-US" w:eastAsia="zh-CN"/>
        </w:rPr>
        <w:t>5</w:t>
      </w:r>
    </w:p>
    <w:p>
      <w:pPr>
        <w:pStyle w:val="35"/>
        <w:tabs>
          <w:tab w:val="right" w:leader="dot" w:pos="9356"/>
          <w:tab w:val="right" w:leader="dot" w:pos="9498"/>
          <w:tab w:val="clear" w:pos="8296"/>
          <w:tab w:val="clear" w:pos="8398"/>
        </w:tabs>
        <w:spacing w:line="500" w:lineRule="exact"/>
        <w:ind w:right="-510" w:rightChars="-243" w:firstLine="0" w:firstLineChars="0"/>
        <w:rPr>
          <w:rFonts w:hint="default" w:ascii="Calibri" w:hAnsi="Calibri"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"_Toc40865115" </w:instrText>
      </w:r>
      <w:r>
        <w:rPr>
          <w:color w:val="auto"/>
          <w:highlight w:val="none"/>
        </w:rPr>
        <w:fldChar w:fldCharType="separate"/>
      </w:r>
      <w:r>
        <w:rPr>
          <w:rStyle w:val="58"/>
          <w:rFonts w:hint="eastAsia"/>
          <w:color w:val="auto"/>
          <w:sz w:val="28"/>
          <w:szCs w:val="28"/>
          <w:highlight w:val="none"/>
          <w:lang w:val="en-US" w:eastAsia="zh-CN"/>
        </w:rPr>
        <w:t>第五章</w:t>
      </w:r>
      <w:r>
        <w:rPr>
          <w:rStyle w:val="58"/>
          <w:color w:val="auto"/>
          <w:sz w:val="28"/>
          <w:szCs w:val="28"/>
          <w:highlight w:val="none"/>
          <w:lang w:val="en-US" w:eastAsia="zh-CN"/>
        </w:rPr>
        <w:t xml:space="preserve">  </w:t>
      </w:r>
      <w:r>
        <w:rPr>
          <w:rStyle w:val="58"/>
          <w:rFonts w:hint="eastAsia"/>
          <w:color w:val="auto"/>
          <w:sz w:val="28"/>
          <w:szCs w:val="28"/>
          <w:highlight w:val="none"/>
          <w:lang w:val="en-US" w:eastAsia="zh-CN"/>
        </w:rPr>
        <w:t>政府采购合同</w:t>
      </w:r>
      <w:bookmarkStart w:id="4" w:name="_Hlt40865341"/>
      <w:bookmarkStart w:id="5" w:name="_Hlt40865342"/>
      <w:r>
        <w:rPr>
          <w:rStyle w:val="58"/>
          <w:rFonts w:hint="eastAsia"/>
          <w:color w:val="auto"/>
          <w:sz w:val="28"/>
          <w:szCs w:val="28"/>
          <w:highlight w:val="none"/>
          <w:lang w:val="en-US" w:eastAsia="zh-CN"/>
        </w:rPr>
        <w:t>主</w:t>
      </w:r>
      <w:bookmarkEnd w:id="4"/>
      <w:bookmarkEnd w:id="5"/>
      <w:r>
        <w:rPr>
          <w:rStyle w:val="58"/>
          <w:rFonts w:hint="eastAsia"/>
          <w:color w:val="auto"/>
          <w:sz w:val="28"/>
          <w:szCs w:val="28"/>
          <w:highlight w:val="none"/>
          <w:lang w:val="en-US" w:eastAsia="zh-CN"/>
        </w:rPr>
        <w:t>要条款</w:t>
      </w:r>
      <w:r>
        <w:rPr>
          <w:color w:val="auto"/>
          <w:sz w:val="28"/>
          <w:szCs w:val="28"/>
          <w:highlight w:val="none"/>
          <w:lang w:val="en-US" w:eastAsia="zh-CN"/>
        </w:rPr>
        <w:tab/>
      </w:r>
      <w:r>
        <w:rPr>
          <w:rFonts w:hint="eastAsia"/>
          <w:color w:val="auto"/>
          <w:sz w:val="28"/>
          <w:szCs w:val="28"/>
          <w:highlight w:val="none"/>
          <w:lang w:val="en-US" w:eastAsia="zh-CN"/>
        </w:rPr>
        <w:t>4</w:t>
      </w:r>
      <w:r>
        <w:rPr>
          <w:color w:val="auto"/>
          <w:sz w:val="28"/>
          <w:szCs w:val="28"/>
          <w:highlight w:val="none"/>
          <w:lang w:val="en-US" w:eastAsia="zh-CN"/>
        </w:rPr>
        <w:fldChar w:fldCharType="end"/>
      </w:r>
      <w:r>
        <w:rPr>
          <w:rFonts w:hint="eastAsia"/>
          <w:color w:val="auto"/>
          <w:sz w:val="28"/>
          <w:szCs w:val="28"/>
          <w:highlight w:val="none"/>
          <w:lang w:val="en-US" w:eastAsia="zh-CN"/>
        </w:rPr>
        <w:t>1</w:t>
      </w:r>
    </w:p>
    <w:p>
      <w:pPr>
        <w:pStyle w:val="35"/>
        <w:tabs>
          <w:tab w:val="right" w:leader="dot" w:pos="9356"/>
          <w:tab w:val="right" w:leader="dot" w:pos="9498"/>
          <w:tab w:val="clear" w:pos="8296"/>
          <w:tab w:val="clear" w:pos="8398"/>
        </w:tabs>
        <w:spacing w:line="500" w:lineRule="exact"/>
        <w:ind w:right="-510" w:rightChars="-243" w:firstLine="0" w:firstLineChars="0"/>
        <w:rPr>
          <w:rFonts w:hint="default" w:ascii="Calibri" w:hAnsi="Calibri"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"_Toc40865116" </w:instrText>
      </w:r>
      <w:r>
        <w:rPr>
          <w:color w:val="auto"/>
          <w:highlight w:val="none"/>
        </w:rPr>
        <w:fldChar w:fldCharType="separate"/>
      </w:r>
      <w:r>
        <w:rPr>
          <w:rStyle w:val="58"/>
          <w:rFonts w:hint="eastAsia"/>
          <w:color w:val="auto"/>
          <w:sz w:val="28"/>
          <w:szCs w:val="28"/>
          <w:highlight w:val="none"/>
          <w:lang w:val="en-US" w:eastAsia="zh-CN"/>
        </w:rPr>
        <w:t>第六章　投标文件格式</w:t>
      </w:r>
      <w:r>
        <w:rPr>
          <w:color w:val="auto"/>
          <w:sz w:val="28"/>
          <w:szCs w:val="28"/>
          <w:highlight w:val="none"/>
          <w:lang w:val="en-US" w:eastAsia="zh-CN"/>
        </w:rPr>
        <w:tab/>
      </w:r>
      <w:r>
        <w:rPr>
          <w:rFonts w:hint="eastAsia"/>
          <w:color w:val="auto"/>
          <w:sz w:val="28"/>
          <w:szCs w:val="28"/>
          <w:highlight w:val="none"/>
          <w:lang w:val="en-US" w:eastAsia="zh-CN"/>
        </w:rPr>
        <w:t>4</w:t>
      </w:r>
      <w:r>
        <w:rPr>
          <w:color w:val="auto"/>
          <w:sz w:val="28"/>
          <w:szCs w:val="28"/>
          <w:highlight w:val="none"/>
          <w:lang w:val="en-US" w:eastAsia="zh-CN"/>
        </w:rPr>
        <w:fldChar w:fldCharType="end"/>
      </w:r>
      <w:r>
        <w:rPr>
          <w:rFonts w:hint="eastAsia"/>
          <w:color w:val="auto"/>
          <w:sz w:val="28"/>
          <w:szCs w:val="28"/>
          <w:highlight w:val="none"/>
          <w:lang w:val="en-US" w:eastAsia="zh-CN"/>
        </w:rPr>
        <w:t>7</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27"/>
        <w:jc w:val="center"/>
        <w:rPr>
          <w:rFonts w:hint="eastAsia" w:ascii="隶书" w:eastAsia="隶书"/>
          <w:color w:val="auto"/>
          <w:sz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153"/>
        <w:widowControl w:val="0"/>
        <w:ind w:firstLine="880"/>
        <w:jc w:val="center"/>
        <w:rPr>
          <w:rFonts w:hint="eastAsia" w:ascii="仿宋_GB2312" w:hAnsi="宋体" w:eastAsia="仿宋_GB2312"/>
          <w:b/>
          <w:color w:val="auto"/>
          <w:sz w:val="44"/>
          <w:szCs w:val="44"/>
          <w:highlight w:val="none"/>
        </w:rPr>
      </w:pPr>
    </w:p>
    <w:p>
      <w:pPr>
        <w:pStyle w:val="3"/>
        <w:jc w:val="center"/>
        <w:rPr>
          <w:rFonts w:hint="eastAsia"/>
          <w:b/>
          <w:bCs/>
          <w:color w:val="auto"/>
          <w:sz w:val="32"/>
          <w:szCs w:val="32"/>
          <w:highlight w:val="none"/>
        </w:rPr>
      </w:pPr>
      <w:bookmarkStart w:id="6" w:name="_Toc40865015"/>
      <w:r>
        <w:rPr>
          <w:rFonts w:hint="eastAsia"/>
          <w:b/>
          <w:bCs/>
          <w:color w:val="auto"/>
          <w:highlight w:val="none"/>
        </w:rPr>
        <w:t>第一章  公开招标公告</w:t>
      </w:r>
      <w:bookmarkEnd w:id="6"/>
    </w:p>
    <w:p>
      <w:pPr>
        <w:pStyle w:val="153"/>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rFonts w:hint="eastAsia"/>
          <w:color w:val="auto"/>
          <w:highlight w:val="none"/>
        </w:rPr>
      </w:pPr>
      <w:r>
        <w:rPr>
          <w:rFonts w:hint="default"/>
          <w:b/>
          <w:bCs/>
          <w:color w:val="auto"/>
          <w:highlight w:val="none"/>
          <w:lang w:val="en"/>
        </w:rPr>
        <w:t>相思湖校区、南湖校区学生公寓组合床采购</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广西政府采购云平台（网址：https://www.gcy.zfcg.gxzf.gov.cn）获取</w:t>
      </w:r>
      <w:r>
        <w:rPr>
          <w:rFonts w:hint="eastAsia"/>
          <w:color w:val="auto"/>
          <w:highlight w:val="none"/>
        </w:rPr>
        <w:t>招标文件，并于</w:t>
      </w:r>
      <w:r>
        <w:rPr>
          <w:rFonts w:hint="eastAsia"/>
          <w:color w:val="auto"/>
          <w:highlight w:val="none"/>
          <w:u w:val="single"/>
        </w:rPr>
        <w:t xml:space="preserve"> 2025年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29</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7"/>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default" w:hAnsi="宋体" w:cs="宋体"/>
          <w:b w:val="0"/>
          <w:color w:val="auto"/>
          <w:kern w:val="0"/>
          <w:szCs w:val="21"/>
          <w:highlight w:val="none"/>
          <w:lang w:val="en"/>
        </w:rPr>
        <w:t>GXZC2025-G1-002582-CGZX</w:t>
      </w:r>
      <w:r>
        <w:rPr>
          <w:rFonts w:hAnsi="宋体" w:cs="宋体"/>
          <w:b w:val="0"/>
          <w:color w:val="auto"/>
          <w:kern w:val="0"/>
          <w:szCs w:val="21"/>
          <w:highlight w:val="none"/>
        </w:rPr>
        <w:t> </w:t>
      </w:r>
    </w:p>
    <w:p>
      <w:pPr>
        <w:pStyle w:val="47"/>
        <w:rPr>
          <w:rFonts w:hAnsi="宋体" w:cs="宋体"/>
          <w:b w:val="0"/>
          <w:color w:val="auto"/>
          <w:kern w:val="0"/>
          <w:szCs w:val="21"/>
          <w:highlight w:val="none"/>
        </w:rPr>
      </w:pPr>
      <w:r>
        <w:rPr>
          <w:rFonts w:hAnsi="宋体" w:cs="宋体"/>
          <w:b w:val="0"/>
          <w:color w:val="auto"/>
          <w:kern w:val="0"/>
          <w:szCs w:val="21"/>
          <w:highlight w:val="none"/>
        </w:rPr>
        <w:t>项目名称：</w:t>
      </w:r>
      <w:r>
        <w:rPr>
          <w:rFonts w:hint="default"/>
          <w:color w:val="auto"/>
          <w:highlight w:val="none"/>
          <w:lang w:val="en"/>
        </w:rPr>
        <w:t>相思湖校区、南湖校区学生公寓组合床采购</w:t>
      </w:r>
      <w:r>
        <w:rPr>
          <w:rFonts w:hint="eastAsia"/>
          <w:b w:val="0"/>
          <w:bCs/>
          <w:color w:val="auto"/>
          <w:highlight w:val="none"/>
        </w:rPr>
        <w:t xml:space="preserve"> </w:t>
      </w:r>
      <w:r>
        <w:rPr>
          <w:rFonts w:hint="eastAsia" w:hAnsi="宋体" w:cs="宋体"/>
          <w:b w:val="0"/>
          <w:bCs/>
          <w:color w:val="auto"/>
          <w:kern w:val="0"/>
          <w:szCs w:val="21"/>
          <w:highlight w:val="none"/>
        </w:rPr>
        <w:t xml:space="preserve"> </w:t>
      </w:r>
    </w:p>
    <w:p>
      <w:pPr>
        <w:pStyle w:val="47"/>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17422573.00</w:t>
      </w:r>
    </w:p>
    <w:p>
      <w:pPr>
        <w:pStyle w:val="47"/>
        <w:rPr>
          <w:rFonts w:hAnsi="宋体" w:cs="宋体"/>
          <w:b w:val="0"/>
          <w:color w:val="auto"/>
          <w:kern w:val="0"/>
          <w:szCs w:val="21"/>
          <w:highlight w:val="none"/>
        </w:rPr>
      </w:pPr>
      <w:r>
        <w:rPr>
          <w:rFonts w:hAnsi="宋体" w:cs="宋体"/>
          <w:b w:val="0"/>
          <w:color w:val="auto"/>
          <w:kern w:val="0"/>
          <w:szCs w:val="21"/>
          <w:highlight w:val="none"/>
        </w:rPr>
        <w:t>采购需求</w:t>
      </w:r>
    </w:p>
    <w:p>
      <w:pPr>
        <w:pStyle w:val="47"/>
        <w:rPr>
          <w:rFonts w:hint="eastAsia" w:hAnsi="宋体" w:cs="宋体"/>
          <w:b w:val="0"/>
          <w:color w:val="auto"/>
          <w:kern w:val="0"/>
          <w:szCs w:val="21"/>
          <w:highlight w:val="none"/>
        </w:rPr>
      </w:pPr>
      <w:r>
        <w:rPr>
          <w:rFonts w:hAnsi="宋体" w:cs="宋体"/>
          <w:b w:val="0"/>
          <w:color w:val="auto"/>
          <w:kern w:val="0"/>
          <w:szCs w:val="21"/>
          <w:highlight w:val="none"/>
        </w:rPr>
        <w:t>标项</w:t>
      </w:r>
      <w:r>
        <w:rPr>
          <w:rFonts w:hint="eastAsia" w:hAnsi="宋体" w:cs="宋体"/>
          <w:b w:val="0"/>
          <w:color w:val="auto"/>
          <w:kern w:val="0"/>
          <w:szCs w:val="21"/>
          <w:highlight w:val="none"/>
          <w:lang w:eastAsia="zh-CN"/>
        </w:rPr>
        <w:t>一</w:t>
      </w:r>
      <w:r>
        <w:rPr>
          <w:rFonts w:hAnsi="宋体" w:cs="宋体"/>
          <w:b w:val="0"/>
          <w:color w:val="auto"/>
          <w:kern w:val="0"/>
          <w:szCs w:val="21"/>
          <w:highlight w:val="none"/>
        </w:rPr>
        <w:t>名称:</w:t>
      </w:r>
      <w:r>
        <w:rPr>
          <w:rFonts w:hint="eastAsia"/>
          <w:color w:val="auto"/>
          <w:highlight w:val="none"/>
        </w:rPr>
        <w:t xml:space="preserve"> </w:t>
      </w:r>
      <w:r>
        <w:rPr>
          <w:rFonts w:hint="default"/>
          <w:color w:val="auto"/>
          <w:highlight w:val="none"/>
          <w:lang w:val="en"/>
        </w:rPr>
        <w:t>相思湖校区学生公寓组合床采购</w:t>
      </w:r>
      <w:r>
        <w:rPr>
          <w:rFonts w:hint="eastAsia"/>
          <w:b w:val="0"/>
          <w:bCs/>
          <w:color w:val="auto"/>
          <w:highlight w:val="none"/>
        </w:rPr>
        <w:t xml:space="preserve"> </w:t>
      </w:r>
    </w:p>
    <w:p>
      <w:pPr>
        <w:pStyle w:val="47"/>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数量:</w:t>
      </w:r>
      <w:r>
        <w:rPr>
          <w:rFonts w:hint="eastAsia" w:hAnsi="宋体" w:cs="宋体"/>
          <w:b w:val="0"/>
          <w:color w:val="auto"/>
          <w:kern w:val="0"/>
          <w:szCs w:val="21"/>
          <w:highlight w:val="none"/>
          <w:lang w:val="en-US" w:eastAsia="zh-CN"/>
        </w:rPr>
        <w:t>1</w:t>
      </w:r>
    </w:p>
    <w:p>
      <w:pPr>
        <w:pStyle w:val="47"/>
        <w:rPr>
          <w:rFonts w:hint="eastAsia" w:hAnsi="宋体" w:cs="宋体"/>
          <w:b w:val="0"/>
          <w:color w:val="auto"/>
          <w:kern w:val="0"/>
          <w:szCs w:val="21"/>
          <w:highlight w:val="none"/>
          <w:u w:val="none"/>
        </w:rPr>
      </w:pPr>
      <w:r>
        <w:rPr>
          <w:rFonts w:hAnsi="宋体" w:cs="宋体"/>
          <w:b w:val="0"/>
          <w:color w:val="auto"/>
          <w:kern w:val="0"/>
          <w:szCs w:val="21"/>
          <w:highlight w:val="none"/>
        </w:rPr>
        <w:t>预算金额（元）:</w:t>
      </w:r>
      <w:r>
        <w:rPr>
          <w:rFonts w:hint="eastAsia" w:hAnsi="宋体" w:cs="宋体"/>
          <w:b/>
          <w:bCs w:val="0"/>
          <w:color w:val="auto"/>
          <w:kern w:val="0"/>
          <w:szCs w:val="21"/>
          <w:highlight w:val="none"/>
          <w:u w:val="none"/>
          <w:lang w:val="en-US" w:eastAsia="zh-CN"/>
        </w:rPr>
        <w:t>12604</w:t>
      </w:r>
      <w:r>
        <w:rPr>
          <w:rFonts w:hint="default" w:hAnsi="宋体" w:cs="宋体"/>
          <w:b/>
          <w:bCs w:val="0"/>
          <w:color w:val="auto"/>
          <w:kern w:val="0"/>
          <w:szCs w:val="21"/>
          <w:highlight w:val="none"/>
          <w:u w:val="none"/>
          <w:lang w:val="en" w:eastAsia="zh-CN"/>
        </w:rPr>
        <w:t>000.00</w:t>
      </w:r>
      <w:r>
        <w:rPr>
          <w:rFonts w:hint="eastAsia" w:hAnsi="宋体" w:cs="宋体"/>
          <w:b/>
          <w:bCs w:val="0"/>
          <w:color w:val="auto"/>
          <w:kern w:val="0"/>
          <w:szCs w:val="21"/>
          <w:highlight w:val="none"/>
          <w:u w:val="none"/>
        </w:rPr>
        <w:t xml:space="preserve"> </w:t>
      </w:r>
    </w:p>
    <w:p>
      <w:pPr>
        <w:pStyle w:val="47"/>
        <w:rPr>
          <w:rFonts w:hAnsi="宋体" w:cs="宋体"/>
          <w:b w:val="0"/>
          <w:color w:val="auto"/>
          <w:kern w:val="0"/>
          <w:szCs w:val="21"/>
          <w:highlight w:val="none"/>
        </w:rPr>
      </w:pPr>
      <w:r>
        <w:rPr>
          <w:rFonts w:hAnsi="宋体" w:cs="宋体"/>
          <w:b w:val="0"/>
          <w:color w:val="auto"/>
          <w:kern w:val="0"/>
          <w:szCs w:val="21"/>
          <w:highlight w:val="none"/>
        </w:rPr>
        <w:t>简要规格描述或项目基本概况介绍、用途：</w:t>
      </w:r>
      <w:r>
        <w:rPr>
          <w:rFonts w:hint="eastAsia" w:hAnsi="宋体" w:cs="宋体"/>
          <w:b/>
          <w:bCs/>
          <w:color w:val="auto"/>
          <w:kern w:val="0"/>
          <w:szCs w:val="21"/>
          <w:highlight w:val="none"/>
        </w:rPr>
        <w:t>组合式公寓床</w:t>
      </w:r>
      <w:r>
        <w:rPr>
          <w:rFonts w:hint="eastAsia" w:hAnsi="宋体" w:cs="宋体"/>
          <w:b/>
          <w:bCs/>
          <w:color w:val="auto"/>
          <w:kern w:val="0"/>
          <w:szCs w:val="21"/>
          <w:highlight w:val="none"/>
          <w:lang w:val="en-US" w:eastAsia="zh-CN"/>
        </w:rPr>
        <w:t>7230套</w:t>
      </w:r>
      <w:r>
        <w:rPr>
          <w:rFonts w:hAnsi="宋体" w:cs="宋体"/>
          <w:b w:val="0"/>
          <w:color w:val="auto"/>
          <w:kern w:val="0"/>
          <w:szCs w:val="21"/>
          <w:highlight w:val="none"/>
        </w:rPr>
        <w:t>。详见招标项目采购需求。</w:t>
      </w:r>
    </w:p>
    <w:p>
      <w:pPr>
        <w:pStyle w:val="47"/>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7"/>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47"/>
        <w:rPr>
          <w:rFonts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7"/>
        <w:rPr>
          <w:rFonts w:hint="eastAsia" w:hAnsi="宋体" w:cs="宋体"/>
          <w:b w:val="0"/>
          <w:color w:val="auto"/>
          <w:kern w:val="0"/>
          <w:szCs w:val="21"/>
          <w:highlight w:val="none"/>
        </w:rPr>
      </w:pPr>
      <w:r>
        <w:rPr>
          <w:rFonts w:hAnsi="宋体" w:cs="宋体"/>
          <w:b w:val="0"/>
          <w:color w:val="auto"/>
          <w:kern w:val="0"/>
          <w:szCs w:val="21"/>
          <w:highlight w:val="none"/>
        </w:rPr>
        <w:t>标项</w:t>
      </w:r>
      <w:r>
        <w:rPr>
          <w:rFonts w:hint="eastAsia" w:hAnsi="宋体" w:cs="宋体"/>
          <w:b w:val="0"/>
          <w:color w:val="auto"/>
          <w:kern w:val="0"/>
          <w:szCs w:val="21"/>
          <w:highlight w:val="none"/>
          <w:lang w:eastAsia="zh-CN"/>
        </w:rPr>
        <w:t>二</w:t>
      </w:r>
      <w:r>
        <w:rPr>
          <w:rFonts w:hAnsi="宋体" w:cs="宋体"/>
          <w:b w:val="0"/>
          <w:color w:val="auto"/>
          <w:kern w:val="0"/>
          <w:szCs w:val="21"/>
          <w:highlight w:val="none"/>
        </w:rPr>
        <w:t>名称:</w:t>
      </w:r>
      <w:r>
        <w:rPr>
          <w:rFonts w:hint="eastAsia"/>
          <w:color w:val="auto"/>
          <w:highlight w:val="none"/>
        </w:rPr>
        <w:t xml:space="preserve"> </w:t>
      </w:r>
      <w:r>
        <w:rPr>
          <w:rFonts w:hint="default"/>
          <w:color w:val="auto"/>
          <w:highlight w:val="none"/>
          <w:lang w:val="en"/>
        </w:rPr>
        <w:t>南湖校区学生公寓组合床采购</w:t>
      </w:r>
    </w:p>
    <w:p>
      <w:pPr>
        <w:pStyle w:val="47"/>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数量:</w:t>
      </w:r>
      <w:r>
        <w:rPr>
          <w:rFonts w:hint="eastAsia" w:hAnsi="宋体" w:cs="宋体"/>
          <w:b w:val="0"/>
          <w:color w:val="auto"/>
          <w:kern w:val="0"/>
          <w:szCs w:val="21"/>
          <w:highlight w:val="none"/>
          <w:lang w:val="en-US" w:eastAsia="zh-CN"/>
        </w:rPr>
        <w:t>1</w:t>
      </w:r>
    </w:p>
    <w:p>
      <w:pPr>
        <w:pStyle w:val="47"/>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 xml:space="preserve">4818573.00 </w:t>
      </w:r>
    </w:p>
    <w:p>
      <w:pPr>
        <w:pStyle w:val="47"/>
        <w:rPr>
          <w:rFonts w:hAnsi="宋体" w:cs="宋体"/>
          <w:b w:val="0"/>
          <w:color w:val="auto"/>
          <w:kern w:val="0"/>
          <w:szCs w:val="21"/>
          <w:highlight w:val="none"/>
        </w:rPr>
      </w:pPr>
      <w:r>
        <w:rPr>
          <w:rFonts w:hAnsi="宋体" w:cs="宋体"/>
          <w:b w:val="0"/>
          <w:color w:val="auto"/>
          <w:kern w:val="0"/>
          <w:szCs w:val="21"/>
          <w:highlight w:val="none"/>
        </w:rPr>
        <w:t>简要规格描述或项目基本概况介绍、用途：</w:t>
      </w:r>
      <w:r>
        <w:rPr>
          <w:rFonts w:hint="eastAsia" w:hAnsi="宋体" w:cs="宋体"/>
          <w:b/>
          <w:bCs/>
          <w:color w:val="auto"/>
          <w:kern w:val="0"/>
          <w:szCs w:val="21"/>
          <w:highlight w:val="none"/>
        </w:rPr>
        <w:t>组合式公寓床2764</w:t>
      </w:r>
      <w:r>
        <w:rPr>
          <w:rFonts w:hint="eastAsia" w:hAnsi="宋体" w:cs="宋体"/>
          <w:b/>
          <w:bCs/>
          <w:color w:val="auto"/>
          <w:kern w:val="0"/>
          <w:szCs w:val="21"/>
          <w:highlight w:val="none"/>
          <w:lang w:val="en-US" w:eastAsia="zh-CN"/>
        </w:rPr>
        <w:t>套</w:t>
      </w:r>
      <w:r>
        <w:rPr>
          <w:rFonts w:hAnsi="宋体" w:cs="宋体"/>
          <w:b w:val="0"/>
          <w:color w:val="auto"/>
          <w:kern w:val="0"/>
          <w:szCs w:val="21"/>
          <w:highlight w:val="none"/>
        </w:rPr>
        <w:t>。详见招标项目采购需求。</w:t>
      </w:r>
    </w:p>
    <w:p>
      <w:pPr>
        <w:pStyle w:val="47"/>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7"/>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47"/>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7"/>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7"/>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7"/>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bCs/>
          <w:color w:val="auto"/>
          <w:kern w:val="0"/>
          <w:szCs w:val="21"/>
          <w:highlight w:val="none"/>
        </w:rPr>
        <w:t>分标1</w:t>
      </w:r>
      <w:r>
        <w:rPr>
          <w:rFonts w:hint="default" w:hAnsi="宋体" w:cs="宋体"/>
          <w:b/>
          <w:bCs/>
          <w:color w:val="auto"/>
          <w:kern w:val="0"/>
          <w:szCs w:val="21"/>
          <w:highlight w:val="none"/>
          <w:lang w:val="en"/>
        </w:rPr>
        <w:t>、分标2</w:t>
      </w:r>
      <w:r>
        <w:rPr>
          <w:rFonts w:hint="eastAsia" w:hAnsi="宋体" w:cs="宋体"/>
          <w:b/>
          <w:bCs/>
          <w:color w:val="auto"/>
          <w:kern w:val="0"/>
          <w:szCs w:val="21"/>
          <w:highlight w:val="none"/>
        </w:rPr>
        <w:t>：</w:t>
      </w:r>
      <w:r>
        <w:rPr>
          <w:rFonts w:hint="eastAsia" w:ascii="Times New Roman" w:hAnsi="Times New Roman" w:cs="Times New Roman"/>
          <w:b/>
          <w:bCs/>
          <w:color w:val="auto"/>
          <w:highlight w:val="none"/>
        </w:rPr>
        <w:t>本</w:t>
      </w:r>
      <w:r>
        <w:rPr>
          <w:rFonts w:hint="eastAsia" w:ascii="Times New Roman" w:hAnsi="Times New Roman" w:cs="Times New Roman"/>
          <w:b/>
          <w:bCs/>
          <w:color w:val="auto"/>
          <w:highlight w:val="none"/>
          <w:lang w:eastAsia="zh-CN"/>
        </w:rPr>
        <w:t>分标</w:t>
      </w:r>
      <w:r>
        <w:rPr>
          <w:rFonts w:hint="eastAsia" w:ascii="Times New Roman" w:hAnsi="Times New Roman" w:cs="Times New Roman"/>
          <w:b/>
          <w:bCs/>
          <w:color w:val="auto"/>
          <w:highlight w:val="none"/>
        </w:rPr>
        <w:t>采购标的专门面向</w:t>
      </w:r>
      <w:r>
        <w:rPr>
          <w:rFonts w:hint="eastAsia"/>
          <w:b/>
          <w:bCs/>
          <w:color w:val="auto"/>
          <w:highlight w:val="none"/>
          <w:lang w:val="en"/>
        </w:rPr>
        <w:t>小微企业</w:t>
      </w:r>
      <w:r>
        <w:rPr>
          <w:rFonts w:hint="eastAsia" w:hAnsi="宋体" w:cs="宋体"/>
          <w:b w:val="0"/>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7"/>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9</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5</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9</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12</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w:t>
      </w:r>
      <w:r>
        <w:rPr>
          <w:rFonts w:hAnsi="宋体" w:cs="宋体"/>
          <w:bCs/>
          <w:color w:val="auto"/>
          <w:kern w:val="0"/>
          <w:szCs w:val="21"/>
          <w:highlight w:val="none"/>
        </w:rPr>
        <w:t>:</w:t>
      </w:r>
      <w:r>
        <w:rPr>
          <w:rFonts w:hAnsi="宋体" w:cs="宋体"/>
          <w:bCs/>
          <w:color w:val="auto"/>
          <w:kern w:val="0"/>
          <w:szCs w:val="21"/>
          <w:highlight w:val="none"/>
          <w:lang w:val="en"/>
        </w:rPr>
        <w:t>59</w:t>
      </w:r>
      <w:r>
        <w:rPr>
          <w:rFonts w:hAnsi="宋体" w:cs="宋体"/>
          <w:b w:val="0"/>
          <w:color w:val="auto"/>
          <w:kern w:val="0"/>
          <w:szCs w:val="21"/>
          <w:highlight w:val="none"/>
        </w:rPr>
        <w:t>（北京时间，法定节假日除外）</w:t>
      </w:r>
    </w:p>
    <w:p>
      <w:pPr>
        <w:pStyle w:val="47"/>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272"/>
          <w:rFonts w:hint="eastAsia" w:cs="宋体"/>
          <w:bCs/>
          <w:color w:val="auto"/>
          <w:szCs w:val="21"/>
          <w:highlight w:val="none"/>
        </w:rPr>
        <w:t>（网址：https://www.gcy.zfcg.gxzf.gov.cn）</w:t>
      </w:r>
      <w:r>
        <w:rPr>
          <w:rFonts w:hAnsi="宋体" w:cs="宋体"/>
          <w:b w:val="0"/>
          <w:color w:val="auto"/>
          <w:kern w:val="0"/>
          <w:szCs w:val="21"/>
          <w:highlight w:val="none"/>
        </w:rPr>
        <w:t> </w:t>
      </w:r>
    </w:p>
    <w:p>
      <w:pPr>
        <w:pStyle w:val="47"/>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72"/>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47"/>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7"/>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7"/>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9</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29</w:t>
      </w:r>
      <w:r>
        <w:rPr>
          <w:rFonts w:hint="eastAsia" w:hAnsi="宋体" w:cs="宋体"/>
          <w:bCs/>
          <w:color w:val="auto"/>
          <w:kern w:val="0"/>
          <w:szCs w:val="21"/>
          <w:highlight w:val="none"/>
        </w:rPr>
        <w:t>日</w:t>
      </w:r>
      <w:r>
        <w:rPr>
          <w:rFonts w:hAnsi="宋体" w:cs="宋体"/>
          <w:bCs/>
          <w:color w:val="auto"/>
          <w:kern w:val="0"/>
          <w:szCs w:val="21"/>
          <w:highlight w:val="none"/>
        </w:rPr>
        <w:t>10:00（北京时间）</w:t>
      </w:r>
    </w:p>
    <w:p>
      <w:pPr>
        <w:pStyle w:val="47"/>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7"/>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9</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29</w:t>
      </w:r>
      <w:r>
        <w:rPr>
          <w:rFonts w:hint="eastAsia" w:hAnsi="宋体" w:cs="宋体"/>
          <w:bCs/>
          <w:color w:val="auto"/>
          <w:kern w:val="0"/>
          <w:szCs w:val="21"/>
          <w:highlight w:val="none"/>
        </w:rPr>
        <w:t>日</w:t>
      </w:r>
      <w:r>
        <w:rPr>
          <w:rFonts w:hAnsi="宋体" w:cs="宋体"/>
          <w:bCs/>
          <w:color w:val="auto"/>
          <w:kern w:val="0"/>
          <w:szCs w:val="21"/>
          <w:highlight w:val="none"/>
        </w:rPr>
        <w:t>10:00</w:t>
      </w:r>
    </w:p>
    <w:p>
      <w:pPr>
        <w:pStyle w:val="47"/>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7"/>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Ansi="宋体" w:cs="宋体"/>
          <w:b/>
          <w:bCs/>
          <w:color w:val="auto"/>
          <w:kern w:val="0"/>
          <w:szCs w:val="21"/>
          <w:highlight w:val="none"/>
          <w:lang w:val="en"/>
        </w:rPr>
        <w:t>分标</w:t>
      </w:r>
      <w:r>
        <w:rPr>
          <w:rFonts w:hint="default" w:hAnsi="宋体" w:cs="宋体"/>
          <w:b/>
          <w:bCs/>
          <w:color w:val="auto"/>
          <w:kern w:val="0"/>
          <w:szCs w:val="21"/>
          <w:highlight w:val="none"/>
          <w:lang w:val="en"/>
        </w:rPr>
        <w:t>1：</w:t>
      </w:r>
      <w:r>
        <w:rPr>
          <w:rFonts w:hint="eastAsia" w:hAnsi="宋体" w:cs="宋体"/>
          <w:b/>
          <w:bCs/>
          <w:color w:val="auto"/>
          <w:kern w:val="0"/>
          <w:szCs w:val="21"/>
          <w:highlight w:val="none"/>
          <w:u w:val="single"/>
        </w:rPr>
        <w:t xml:space="preserve">   </w:t>
      </w:r>
      <w:r>
        <w:rPr>
          <w:rFonts w:hint="default" w:hAnsi="宋体" w:cs="宋体"/>
          <w:b/>
          <w:bCs/>
          <w:color w:val="auto"/>
          <w:kern w:val="0"/>
          <w:szCs w:val="21"/>
          <w:highlight w:val="none"/>
          <w:u w:val="single"/>
          <w:lang w:val="en" w:eastAsia="zh-CN"/>
        </w:rPr>
        <w:t>12</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万元</w:t>
      </w:r>
      <w:r>
        <w:rPr>
          <w:rFonts w:hAnsi="宋体" w:cs="宋体"/>
          <w:b/>
          <w:bCs/>
          <w:color w:val="auto"/>
          <w:kern w:val="0"/>
          <w:szCs w:val="21"/>
          <w:highlight w:val="none"/>
          <w:lang w:val="en"/>
        </w:rPr>
        <w:t>；分标</w:t>
      </w:r>
      <w:r>
        <w:rPr>
          <w:rFonts w:hint="default" w:hAnsi="宋体" w:cs="宋体"/>
          <w:b/>
          <w:bCs/>
          <w:color w:val="auto"/>
          <w:kern w:val="0"/>
          <w:szCs w:val="21"/>
          <w:highlight w:val="none"/>
          <w:lang w:val="en"/>
        </w:rPr>
        <w:t>2：</w:t>
      </w:r>
      <w:r>
        <w:rPr>
          <w:rFonts w:hint="eastAsia" w:hAnsi="宋体" w:cs="宋体"/>
          <w:b/>
          <w:bCs/>
          <w:color w:val="auto"/>
          <w:kern w:val="0"/>
          <w:szCs w:val="21"/>
          <w:highlight w:val="none"/>
          <w:u w:val="single"/>
        </w:rPr>
        <w:t xml:space="preserve">  </w:t>
      </w:r>
      <w:r>
        <w:rPr>
          <w:rFonts w:hint="eastAsia" w:hAnsi="宋体" w:cs="宋体"/>
          <w:b/>
          <w:bCs/>
          <w:color w:val="auto"/>
          <w:kern w:val="0"/>
          <w:szCs w:val="21"/>
          <w:highlight w:val="none"/>
          <w:u w:val="single"/>
          <w:lang w:val="en-US" w:eastAsia="zh-CN"/>
        </w:rPr>
        <w:t>4</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万元</w:t>
      </w:r>
      <w:r>
        <w:rPr>
          <w:rFonts w:hAnsi="宋体" w:cs="宋体"/>
          <w:bCs/>
          <w:color w:val="auto"/>
          <w:kern w:val="0"/>
          <w:szCs w:val="21"/>
          <w:highlight w:val="none"/>
        </w:rPr>
        <w:t xml:space="preserve">。(必须足额交纳) </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47"/>
        <w:ind w:firstLine="422"/>
        <w:rPr>
          <w:rFonts w:hint="eastAsia"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47"/>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47"/>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47"/>
        <w:ind w:firstLine="422"/>
        <w:rPr>
          <w:rFonts w:hint="eastAsia"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47"/>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47"/>
        <w:ind w:firstLine="422"/>
        <w:rPr>
          <w:rFonts w:hint="eastAsia"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47"/>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7"/>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7"/>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47"/>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7"/>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7"/>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7"/>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7"/>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rFonts w:hint="eastAsia"/>
          <w:color w:val="auto"/>
          <w:highlight w:val="none"/>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rFonts w:hint="eastAsia"/>
          <w:color w:val="auto"/>
          <w:highlight w:val="none"/>
        </w:rPr>
      </w:pPr>
      <w:r>
        <w:rPr>
          <w:color w:val="auto"/>
          <w:highlight w:val="none"/>
        </w:rPr>
        <w:t>1）提交</w:t>
      </w:r>
      <w:r>
        <w:rPr>
          <w:rFonts w:hint="eastAsia"/>
          <w:color w:val="auto"/>
          <w:highlight w:val="none"/>
        </w:rPr>
        <w:t>小样的</w:t>
      </w:r>
      <w:r>
        <w:rPr>
          <w:color w:val="auto"/>
          <w:highlight w:val="none"/>
        </w:rPr>
        <w:t>时间为</w:t>
      </w:r>
      <w:r>
        <w:rPr>
          <w:b/>
          <w:bCs/>
          <w:color w:val="auto"/>
          <w:highlight w:val="none"/>
        </w:rPr>
        <w:t>开标当天提交投标文件截止时间</w:t>
      </w:r>
      <w:r>
        <w:rPr>
          <w:rFonts w:hint="eastAsia"/>
          <w:b/>
          <w:bCs/>
          <w:color w:val="auto"/>
          <w:highlight w:val="none"/>
        </w:rPr>
        <w:t>（9：30-10：00）</w:t>
      </w:r>
      <w:r>
        <w:rPr>
          <w:b/>
          <w:bCs/>
          <w:color w:val="auto"/>
          <w:highlight w:val="none"/>
        </w:rPr>
        <w:t>前</w:t>
      </w:r>
      <w:r>
        <w:rPr>
          <w:color w:val="auto"/>
          <w:highlight w:val="none"/>
        </w:rPr>
        <w:t>。</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b/>
          <w:bCs/>
          <w:color w:val="auto"/>
          <w:szCs w:val="21"/>
          <w:highlight w:val="none"/>
        </w:rPr>
        <w:t>南宁市星湖路22号评标楼（4号楼）三楼303室</w:t>
      </w:r>
      <w:r>
        <w:rPr>
          <w:color w:val="auto"/>
          <w:highlight w:val="none"/>
        </w:rPr>
        <w:t>。</w:t>
      </w:r>
    </w:p>
    <w:p>
      <w:pPr>
        <w:ind w:firstLine="420" w:firstLineChars="200"/>
        <w:rPr>
          <w:rFonts w:hint="eastAsia"/>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rFonts w:hint="eastAsia"/>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7"/>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1.采购人信息</w:t>
      </w:r>
    </w:p>
    <w:p>
      <w:pPr>
        <w:pStyle w:val="47"/>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名   称：</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广西艺术学院</w:t>
      </w:r>
    </w:p>
    <w:p>
      <w:pPr>
        <w:pStyle w:val="47"/>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地   址：</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广西南宁市教育路7号</w:t>
      </w:r>
    </w:p>
    <w:p>
      <w:pPr>
        <w:pStyle w:val="47"/>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项目联系人：</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吴老师</w:t>
      </w:r>
    </w:p>
    <w:p>
      <w:pPr>
        <w:pStyle w:val="47"/>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 项目联系方式：</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0771-5317987</w:t>
      </w:r>
    </w:p>
    <w:p>
      <w:pPr>
        <w:pStyle w:val="47"/>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7"/>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7"/>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 </w:t>
      </w:r>
    </w:p>
    <w:p>
      <w:pPr>
        <w:pStyle w:val="47"/>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7"/>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25年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7" w:name="_Toc40865016"/>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ind w:firstLine="2409" w:firstLineChars="500"/>
        <w:rPr>
          <w:rFonts w:hint="eastAsia"/>
          <w:b/>
          <w:bCs/>
          <w:color w:val="auto"/>
          <w:highlight w:val="none"/>
        </w:rPr>
      </w:pPr>
      <w:r>
        <w:rPr>
          <w:rFonts w:hint="eastAsia"/>
          <w:b/>
          <w:bCs/>
          <w:color w:val="auto"/>
          <w:highlight w:val="none"/>
        </w:rPr>
        <w:t>第二章  招标项目采购需求</w:t>
      </w:r>
      <w:bookmarkEnd w:id="7"/>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”的条款为本次采购的实质性(关键性)的商务、技术或服务要求，投标人须满足或优于，否则，将会被认定为无效投标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ascii="宋体" w:hAnsi="宋体"/>
          <w:b/>
          <w:bCs/>
          <w:color w:val="auto"/>
          <w:kern w:val="0"/>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lang w:val="en" w:eastAsia="zh-CN"/>
        </w:rPr>
        <w:t>：分标</w:t>
      </w:r>
      <w:r>
        <w:rPr>
          <w:rFonts w:hint="eastAsia" w:ascii="宋体" w:hAnsi="宋体"/>
          <w:b/>
          <w:bCs/>
          <w:color w:val="auto"/>
          <w:kern w:val="0"/>
          <w:szCs w:val="21"/>
          <w:highlight w:val="none"/>
          <w:lang w:val="en-US" w:eastAsia="zh-CN"/>
        </w:rPr>
        <w:t>1：</w:t>
      </w:r>
      <w:r>
        <w:rPr>
          <w:rFonts w:hint="eastAsia" w:hAnsi="宋体" w:cs="宋体"/>
          <w:b/>
          <w:color w:val="auto"/>
          <w:kern w:val="0"/>
          <w:szCs w:val="21"/>
          <w:highlight w:val="none"/>
          <w:u w:val="single"/>
        </w:rPr>
        <w:t xml:space="preserve"> </w:t>
      </w:r>
      <w:r>
        <w:rPr>
          <w:rFonts w:hint="eastAsia" w:hAnsi="宋体" w:cs="宋体"/>
          <w:b/>
          <w:bCs w:val="0"/>
          <w:color w:val="auto"/>
          <w:kern w:val="0"/>
          <w:szCs w:val="21"/>
          <w:highlight w:val="none"/>
          <w:u w:val="single"/>
          <w:lang w:val="en-US" w:eastAsia="zh-CN"/>
        </w:rPr>
        <w:t>12604</w:t>
      </w:r>
      <w:r>
        <w:rPr>
          <w:rFonts w:hint="default" w:hAnsi="宋体" w:cs="宋体"/>
          <w:b/>
          <w:bCs w:val="0"/>
          <w:color w:val="auto"/>
          <w:kern w:val="0"/>
          <w:szCs w:val="21"/>
          <w:highlight w:val="none"/>
          <w:u w:val="single"/>
          <w:lang w:val="en" w:eastAsia="zh-CN"/>
        </w:rPr>
        <w:t>000.00</w:t>
      </w:r>
      <w:r>
        <w:rPr>
          <w:rFonts w:hint="eastAsia" w:hAnsi="宋体" w:cs="宋体"/>
          <w:b/>
          <w:color w:val="auto"/>
          <w:kern w:val="0"/>
          <w:szCs w:val="21"/>
          <w:highlight w:val="none"/>
          <w:u w:val="single"/>
        </w:rPr>
        <w:t xml:space="preserve"> </w:t>
      </w:r>
      <w:r>
        <w:rPr>
          <w:rFonts w:hint="eastAsia" w:ascii="宋体" w:hAnsi="宋体"/>
          <w:b/>
          <w:bCs/>
          <w:color w:val="auto"/>
          <w:kern w:val="0"/>
          <w:szCs w:val="21"/>
          <w:highlight w:val="none"/>
        </w:rPr>
        <w:t>元</w:t>
      </w: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lang w:val="en" w:eastAsia="zh-CN"/>
        </w:rPr>
        <w:t>分标</w:t>
      </w:r>
      <w:r>
        <w:rPr>
          <w:rFonts w:hint="eastAsia" w:ascii="宋体" w:hAnsi="宋体"/>
          <w:b/>
          <w:bCs/>
          <w:color w:val="auto"/>
          <w:kern w:val="0"/>
          <w:szCs w:val="21"/>
          <w:highlight w:val="none"/>
          <w:lang w:val="en-US" w:eastAsia="zh-CN"/>
        </w:rPr>
        <w:t>2：</w:t>
      </w:r>
      <w:r>
        <w:rPr>
          <w:rFonts w:hint="eastAsia" w:hAnsi="宋体" w:cs="宋体"/>
          <w:b/>
          <w:color w:val="auto"/>
          <w:kern w:val="0"/>
          <w:szCs w:val="21"/>
          <w:highlight w:val="none"/>
          <w:u w:val="single"/>
        </w:rPr>
        <w:t xml:space="preserve"> 4818573</w:t>
      </w:r>
      <w:r>
        <w:rPr>
          <w:rFonts w:hint="eastAsia" w:hAnsi="宋体" w:cs="宋体"/>
          <w:b/>
          <w:color w:val="auto"/>
          <w:kern w:val="0"/>
          <w:szCs w:val="21"/>
          <w:highlight w:val="none"/>
          <w:u w:val="single"/>
          <w:lang w:val="en-US" w:eastAsia="zh-CN"/>
        </w:rPr>
        <w:t>.00</w:t>
      </w:r>
      <w:r>
        <w:rPr>
          <w:rFonts w:hint="eastAsia" w:hAnsi="宋体" w:cs="宋体"/>
          <w:b/>
          <w:color w:val="auto"/>
          <w:kern w:val="0"/>
          <w:szCs w:val="21"/>
          <w:highlight w:val="none"/>
          <w:u w:val="single"/>
        </w:rPr>
        <w:t xml:space="preserve"> </w:t>
      </w:r>
      <w:r>
        <w:rPr>
          <w:rFonts w:hint="eastAsia" w:ascii="宋体" w:hAnsi="宋体"/>
          <w:b/>
          <w:bCs/>
          <w:color w:val="auto"/>
          <w:kern w:val="0"/>
          <w:szCs w:val="21"/>
          <w:highlight w:val="none"/>
        </w:rPr>
        <w:t>元。</w:t>
      </w:r>
    </w:p>
    <w:p>
      <w:pPr>
        <w:pStyle w:val="50"/>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 xml:space="preserve"> 7、</w:t>
      </w:r>
      <w:r>
        <w:rPr>
          <w:rFonts w:hint="eastAsia" w:ascii="Times New Roman" w:hAnsi="宋体" w:eastAsia="宋体"/>
          <w:b/>
          <w:bCs/>
          <w:color w:val="auto"/>
          <w:kern w:val="0"/>
          <w:sz w:val="21"/>
          <w:szCs w:val="21"/>
          <w:highlight w:val="none"/>
        </w:rPr>
        <w:t>如投标人投</w:t>
      </w:r>
      <w:r>
        <w:rPr>
          <w:rFonts w:hint="eastAsia" w:hAnsi="宋体"/>
          <w:b/>
          <w:bCs/>
          <w:color w:val="auto"/>
          <w:kern w:val="0"/>
          <w:sz w:val="21"/>
          <w:szCs w:val="21"/>
          <w:highlight w:val="none"/>
          <w:lang w:eastAsia="zh-CN"/>
        </w:rPr>
        <w:t>两个</w:t>
      </w:r>
      <w:r>
        <w:rPr>
          <w:rFonts w:hint="eastAsia" w:ascii="Times New Roman" w:hAnsi="宋体" w:eastAsia="宋体"/>
          <w:b/>
          <w:bCs/>
          <w:color w:val="auto"/>
          <w:kern w:val="0"/>
          <w:sz w:val="21"/>
          <w:szCs w:val="21"/>
          <w:highlight w:val="none"/>
        </w:rPr>
        <w:t>分标的，所提供小样相同的，只需提供一份小样即可。</w:t>
      </w:r>
    </w:p>
    <w:p>
      <w:pPr>
        <w:pStyle w:val="50"/>
        <w:rPr>
          <w:rFonts w:hint="eastAsia" w:ascii="宋体" w:hAnsi="宋体" w:eastAsia="宋体" w:cs="Times New Roman"/>
          <w:b/>
          <w:bCs/>
          <w:color w:val="auto"/>
          <w:kern w:val="0"/>
          <w:sz w:val="21"/>
          <w:szCs w:val="21"/>
          <w:highlight w:val="none"/>
          <w:lang w:val="en-US" w:eastAsia="zh-CN" w:bidi="ar-SA"/>
        </w:rPr>
      </w:pPr>
      <w:r>
        <w:rPr>
          <w:rFonts w:hint="eastAsia" w:ascii="宋体" w:hAnsi="宋体" w:cs="Times New Roman"/>
          <w:b/>
          <w:bCs/>
          <w:color w:val="auto"/>
          <w:kern w:val="0"/>
          <w:sz w:val="21"/>
          <w:szCs w:val="21"/>
          <w:highlight w:val="none"/>
          <w:lang w:val="en-US" w:eastAsia="zh-CN" w:bidi="ar-SA"/>
        </w:rPr>
        <w:t xml:space="preserve"> </w:t>
      </w:r>
      <w:r>
        <w:rPr>
          <w:rFonts w:hint="eastAsia" w:ascii="宋体" w:hAnsi="宋体" w:eastAsia="宋体" w:cs="Times New Roman"/>
          <w:b/>
          <w:bCs/>
          <w:color w:val="auto"/>
          <w:kern w:val="0"/>
          <w:sz w:val="21"/>
          <w:szCs w:val="21"/>
          <w:highlight w:val="none"/>
          <w:lang w:val="en-US" w:eastAsia="zh-CN" w:bidi="ar-SA"/>
        </w:rPr>
        <w:t>分标1</w:t>
      </w:r>
      <w:r>
        <w:rPr>
          <w:rFonts w:hint="eastAsia" w:ascii="宋体" w:hAnsi="宋体" w:cs="Times New Roman"/>
          <w:b/>
          <w:bCs/>
          <w:color w:val="auto"/>
          <w:kern w:val="0"/>
          <w:sz w:val="21"/>
          <w:szCs w:val="21"/>
          <w:highlight w:val="none"/>
          <w:lang w:val="en-US" w:eastAsia="zh-CN" w:bidi="ar-SA"/>
        </w:rPr>
        <w:t>：</w:t>
      </w:r>
    </w:p>
    <w:tbl>
      <w:tblPr>
        <w:tblStyle w:val="52"/>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6"/>
        <w:gridCol w:w="215"/>
        <w:gridCol w:w="574"/>
        <w:gridCol w:w="911"/>
        <w:gridCol w:w="65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项号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highlight w:val="none"/>
              </w:rPr>
            </w:pPr>
            <w:r>
              <w:rPr>
                <w:rFonts w:hint="eastAsia" w:ascii="宋体" w:hAnsi="宋体"/>
                <w:b/>
                <w:color w:val="auto"/>
                <w:szCs w:val="21"/>
                <w:highlight w:val="none"/>
              </w:rPr>
              <w:t>货物</w:t>
            </w:r>
          </w:p>
          <w:p>
            <w:pPr>
              <w:jc w:val="center"/>
              <w:rPr>
                <w:rFonts w:ascii="宋体" w:hAnsi="宋体"/>
                <w:b/>
                <w:color w:val="auto"/>
                <w:szCs w:val="21"/>
                <w:highlight w:val="none"/>
              </w:rPr>
            </w:pPr>
            <w:r>
              <w:rPr>
                <w:rFonts w:hint="eastAsia" w:ascii="宋体" w:hAnsi="宋体"/>
                <w:b/>
                <w:color w:val="auto"/>
                <w:szCs w:val="21"/>
                <w:highlight w:val="none"/>
              </w:rPr>
              <w:t>名称</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lang w:val="en"/>
              </w:rPr>
            </w:pPr>
            <w:r>
              <w:rPr>
                <w:rFonts w:hint="eastAsia" w:ascii="宋体" w:hAnsi="宋体"/>
                <w:b/>
                <w:color w:val="auto"/>
                <w:szCs w:val="21"/>
                <w:highlight w:val="none"/>
              </w:rPr>
              <w:t>数 量</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65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技术参数及性能（配置）要求</w:t>
            </w:r>
          </w:p>
          <w:p>
            <w:pPr>
              <w:jc w:val="center"/>
              <w:rPr>
                <w:rFonts w:ascii="宋体" w:hAnsi="宋体"/>
                <w:b/>
                <w:bCs/>
                <w:color w:val="auto"/>
                <w:szCs w:val="21"/>
                <w:highlight w:val="none"/>
              </w:rPr>
            </w:pPr>
            <w:r>
              <w:rPr>
                <w:rFonts w:hint="eastAsia" w:ascii="宋体" w:hAnsi="宋体"/>
                <w:b/>
                <w:color w:val="auto"/>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1" w:hRule="atLeast"/>
        </w:trPr>
        <w:tc>
          <w:tcPr>
            <w:tcW w:w="426"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olor w:val="auto"/>
                <w:szCs w:val="21"/>
                <w:highlight w:val="none"/>
              </w:rPr>
            </w:pPr>
            <w:r>
              <w:rPr>
                <w:rFonts w:hint="eastAsia" w:ascii="宋体" w:hAnsi="宋体"/>
                <w:color w:val="auto"/>
                <w:szCs w:val="21"/>
                <w:highlight w:val="none"/>
              </w:rPr>
              <w:t>1</w:t>
            </w:r>
          </w:p>
        </w:tc>
        <w:tc>
          <w:tcPr>
            <w:tcW w:w="1276" w:type="dxa"/>
            <w:tcBorders>
              <w:top w:val="single" w:color="auto" w:sz="4" w:space="0"/>
              <w:left w:val="single" w:color="auto" w:sz="4" w:space="0"/>
              <w:right w:val="single" w:color="auto" w:sz="4" w:space="0"/>
            </w:tcBorders>
            <w:vAlign w:val="center"/>
          </w:tcPr>
          <w:p>
            <w:pPr>
              <w:widowControl/>
              <w:jc w:val="center"/>
              <w:textAlignment w:val="center"/>
              <w:rPr>
                <w:rFonts w:hAnsi="宋体"/>
                <w:color w:val="auto"/>
                <w:szCs w:val="21"/>
                <w:highlight w:val="none"/>
              </w:rPr>
            </w:pPr>
            <w:r>
              <w:rPr>
                <w:rFonts w:hint="eastAsia" w:hAnsi="宋体"/>
                <w:color w:val="auto"/>
                <w:szCs w:val="21"/>
                <w:highlight w:val="none"/>
              </w:rPr>
              <w:t>组合式</w:t>
            </w:r>
          </w:p>
          <w:p>
            <w:pPr>
              <w:widowControl/>
              <w:jc w:val="center"/>
              <w:textAlignment w:val="center"/>
              <w:rPr>
                <w:rFonts w:ascii="宋体" w:hAnsi="宋体"/>
                <w:color w:val="auto"/>
                <w:szCs w:val="21"/>
                <w:highlight w:val="none"/>
              </w:rPr>
            </w:pPr>
            <w:r>
              <w:rPr>
                <w:rFonts w:hint="eastAsia" w:hAnsi="宋体"/>
                <w:color w:val="auto"/>
                <w:szCs w:val="21"/>
                <w:highlight w:val="none"/>
              </w:rPr>
              <w:t>公寓床</w:t>
            </w:r>
          </w:p>
        </w:tc>
        <w:tc>
          <w:tcPr>
            <w:tcW w:w="789" w:type="dxa"/>
            <w:gridSpan w:val="2"/>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hAnsi="宋体"/>
                <w:color w:val="auto"/>
                <w:szCs w:val="21"/>
                <w:highlight w:val="none"/>
                <w:lang w:val="en-US" w:eastAsia="zh-CN"/>
              </w:rPr>
              <w:t>7230</w:t>
            </w:r>
          </w:p>
        </w:tc>
        <w:tc>
          <w:tcPr>
            <w:tcW w:w="91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套</w:t>
            </w:r>
          </w:p>
        </w:tc>
        <w:tc>
          <w:tcPr>
            <w:tcW w:w="6542" w:type="dxa"/>
            <w:tcBorders>
              <w:top w:val="single" w:color="auto" w:sz="4" w:space="0"/>
              <w:left w:val="single" w:color="auto" w:sz="4" w:space="0"/>
              <w:right w:val="single" w:color="auto" w:sz="4" w:space="0"/>
            </w:tcBorders>
            <w:vAlign w:val="center"/>
          </w:tcPr>
          <w:p>
            <w:pPr>
              <w:widowControl/>
              <w:jc w:val="left"/>
              <w:textAlignment w:val="center"/>
              <w:rPr>
                <w:b/>
                <w:bCs/>
                <w:color w:val="auto"/>
                <w:highlight w:val="none"/>
              </w:rPr>
            </w:pPr>
            <w:r>
              <w:rPr>
                <w:rFonts w:hint="eastAsia"/>
                <w:b/>
                <w:bCs/>
                <w:color w:val="auto"/>
                <w:highlight w:val="none"/>
              </w:rPr>
              <w:t>一、产品参数及要求</w:t>
            </w:r>
          </w:p>
          <w:p>
            <w:pPr>
              <w:widowControl/>
              <w:jc w:val="left"/>
              <w:textAlignment w:val="center"/>
              <w:rPr>
                <w:b/>
                <w:bCs/>
                <w:color w:val="auto"/>
                <w:highlight w:val="none"/>
              </w:rPr>
            </w:pPr>
            <w:r>
              <w:rPr>
                <w:rFonts w:hint="eastAsia"/>
                <w:b/>
                <w:bCs/>
                <w:color w:val="auto"/>
                <w:highlight w:val="none"/>
              </w:rPr>
              <w:t>（一）床架（含床板）</w:t>
            </w:r>
          </w:p>
          <w:p>
            <w:pPr>
              <w:widowControl/>
              <w:jc w:val="left"/>
              <w:textAlignment w:val="center"/>
              <w:rPr>
                <w:color w:val="auto"/>
                <w:highlight w:val="none"/>
              </w:rPr>
            </w:pPr>
            <w:r>
              <w:rPr>
                <w:rFonts w:hint="eastAsia"/>
                <w:color w:val="auto"/>
                <w:highlight w:val="none"/>
              </w:rPr>
              <w:t>1、规格（约）：2000mm（长）×1000mm（宽）×2000mm（高）；床架（除床板外）材质要求：选用Q235（或优于Q235）的钢材，</w:t>
            </w:r>
            <w:r>
              <w:rPr>
                <w:color w:val="auto"/>
                <w:highlight w:val="none"/>
              </w:rPr>
              <w:t>床体焊接采用二氧化碳气体保护焊，焊痕打磨光滑平整；表面经除油、酸洗、磷化、除锈处理，表面静电喷塑处理，钢管材质符合国家行业标准，无虚焊、无焊渣，焊点光滑，结实稳固，漆面不脱落，表面光滑无毛刺</w:t>
            </w:r>
            <w:r>
              <w:rPr>
                <w:rFonts w:hint="eastAsia"/>
                <w:color w:val="auto"/>
                <w:highlight w:val="none"/>
              </w:rPr>
              <w:t>。左梯数量为</w:t>
            </w:r>
            <w:r>
              <w:rPr>
                <w:rFonts w:hint="eastAsia"/>
                <w:color w:val="auto"/>
                <w:highlight w:val="none"/>
                <w:lang w:val="en-US" w:eastAsia="zh-CN"/>
              </w:rPr>
              <w:t>2308</w:t>
            </w:r>
            <w:r>
              <w:rPr>
                <w:rFonts w:hint="eastAsia"/>
                <w:color w:val="auto"/>
                <w:highlight w:val="none"/>
              </w:rPr>
              <w:t xml:space="preserve">张，右梯数量为 </w:t>
            </w:r>
            <w:r>
              <w:rPr>
                <w:rFonts w:hint="eastAsia"/>
                <w:color w:val="auto"/>
                <w:highlight w:val="none"/>
                <w:lang w:val="en-US" w:eastAsia="zh-CN"/>
              </w:rPr>
              <w:t>4922</w:t>
            </w:r>
            <w:r>
              <w:rPr>
                <w:rFonts w:hint="eastAsia"/>
                <w:color w:val="auto"/>
                <w:highlight w:val="none"/>
              </w:rPr>
              <w:t>张。</w:t>
            </w:r>
          </w:p>
          <w:p>
            <w:pPr>
              <w:widowControl/>
              <w:jc w:val="left"/>
              <w:textAlignment w:val="center"/>
              <w:rPr>
                <w:color w:val="auto"/>
                <w:highlight w:val="none"/>
              </w:rPr>
            </w:pPr>
            <w:r>
              <w:rPr>
                <w:rFonts w:hint="eastAsia"/>
                <w:color w:val="auto"/>
                <w:highlight w:val="none"/>
              </w:rPr>
              <w:t>▲2、立柱：采用≥60mm×60mm×1.5mm钢管，</w:t>
            </w:r>
            <w:r>
              <w:rPr>
                <w:color w:val="auto"/>
                <w:highlight w:val="none"/>
              </w:rPr>
              <w:t>高频焊接成闭口型材管，管材外侧安全倒角。</w:t>
            </w:r>
          </w:p>
          <w:p>
            <w:pPr>
              <w:widowControl/>
              <w:jc w:val="left"/>
              <w:textAlignment w:val="center"/>
              <w:rPr>
                <w:color w:val="auto"/>
                <w:highlight w:val="none"/>
              </w:rPr>
            </w:pPr>
            <w:r>
              <w:rPr>
                <w:rFonts w:hint="eastAsia"/>
                <w:color w:val="auto"/>
                <w:highlight w:val="none"/>
              </w:rPr>
              <w:t>3、圆弧胶套：采用原材料聚丙烯（PP）一次磨具注塑成型，外圆弧胶套规格：≥80mm（长）×68.5mm（宽）×68mm（高）；厚度≥4mm，表面光滑防水防锈，环保无味。(不允许3D打印)。</w:t>
            </w:r>
          </w:p>
          <w:p>
            <w:pPr>
              <w:widowControl/>
              <w:jc w:val="left"/>
              <w:textAlignment w:val="center"/>
              <w:rPr>
                <w:color w:val="auto"/>
                <w:highlight w:val="none"/>
              </w:rPr>
            </w:pPr>
            <w:r>
              <w:rPr>
                <w:rFonts w:hint="eastAsia"/>
                <w:color w:val="auto"/>
                <w:highlight w:val="none"/>
              </w:rPr>
              <w:t>▲4、床母：采用≥30mm×70mm×1.5mm 钢管，</w:t>
            </w:r>
            <w:r>
              <w:rPr>
                <w:color w:val="auto"/>
                <w:highlight w:val="none"/>
              </w:rPr>
              <w:t>高频焊接成闭口型材管，下部可带圆弧，防止碰头。</w:t>
            </w:r>
          </w:p>
          <w:p>
            <w:pPr>
              <w:widowControl/>
              <w:jc w:val="left"/>
              <w:textAlignment w:val="center"/>
              <w:rPr>
                <w:color w:val="auto"/>
                <w:highlight w:val="none"/>
              </w:rPr>
            </w:pPr>
            <w:r>
              <w:rPr>
                <w:rFonts w:hint="eastAsia"/>
                <w:color w:val="auto"/>
                <w:highlight w:val="none"/>
              </w:rPr>
              <w:t>▲5、横 担：采用≥30mm×30mm×1.5mm三角型管材，</w:t>
            </w:r>
            <w:r>
              <w:rPr>
                <w:color w:val="auto"/>
                <w:highlight w:val="none"/>
              </w:rPr>
              <w:t>高频焊接成闭口型材管，横担不少于5根。</w:t>
            </w:r>
          </w:p>
          <w:p>
            <w:pPr>
              <w:widowControl/>
              <w:jc w:val="left"/>
              <w:textAlignment w:val="center"/>
              <w:rPr>
                <w:color w:val="auto"/>
                <w:highlight w:val="none"/>
              </w:rPr>
            </w:pPr>
            <w:r>
              <w:rPr>
                <w:rFonts w:hint="eastAsia"/>
                <w:color w:val="auto"/>
                <w:highlight w:val="none"/>
              </w:rPr>
              <w:t>6、护 栏：规格为≥1250mm×300mm×20mm，采用≥20mm×20mm×1.5mm壁厚方钢管，护拦与左边立柱距离≤100mm，右立柱开口距离≤530mm，护栏里面有一条长竖管高度参考280mm，内空宽度参考300mm，三条短竖管高度参考50mm，内空中间参考200 mm，中间参考410 mm，护栏横杆参考900 mm，从中间均分，确保护栏强度和刚性且无刃口。</w:t>
            </w:r>
          </w:p>
          <w:p>
            <w:pPr>
              <w:widowControl/>
              <w:jc w:val="left"/>
              <w:textAlignment w:val="center"/>
              <w:rPr>
                <w:color w:val="auto"/>
                <w:highlight w:val="none"/>
              </w:rPr>
            </w:pPr>
            <w:r>
              <w:rPr>
                <w:rFonts w:hint="eastAsia"/>
                <w:color w:val="auto"/>
                <w:highlight w:val="none"/>
              </w:rPr>
              <w:t>7、后拉杆：采用≥27mm×87mm×1.5mm</w:t>
            </w:r>
            <w:r>
              <w:rPr>
                <w:color w:val="auto"/>
                <w:highlight w:val="none"/>
              </w:rPr>
              <w:t>采用优质带钢，经轧压线辊压成型，为保证强度，与挂件正面焊接处需连续满焊不能留缺口及缝隙</w:t>
            </w:r>
            <w:r>
              <w:rPr>
                <w:rFonts w:hint="eastAsia"/>
                <w:color w:val="auto"/>
                <w:highlight w:val="none"/>
              </w:rPr>
              <w:t>。</w:t>
            </w:r>
          </w:p>
          <w:p>
            <w:pPr>
              <w:widowControl/>
              <w:jc w:val="left"/>
              <w:textAlignment w:val="center"/>
              <w:rPr>
                <w:color w:val="auto"/>
                <w:highlight w:val="none"/>
              </w:rPr>
            </w:pPr>
            <w:r>
              <w:rPr>
                <w:rFonts w:hint="eastAsia"/>
                <w:color w:val="auto"/>
                <w:highlight w:val="none"/>
              </w:rPr>
              <w:t>8、“门”型蚊帐架：≥φ16mm×1.5 mm圆钢管。</w:t>
            </w:r>
          </w:p>
          <w:p>
            <w:pPr>
              <w:widowControl/>
              <w:jc w:val="left"/>
              <w:textAlignment w:val="center"/>
              <w:rPr>
                <w:color w:val="auto"/>
                <w:highlight w:val="none"/>
              </w:rPr>
            </w:pPr>
            <w:r>
              <w:rPr>
                <w:rFonts w:hint="eastAsia"/>
                <w:color w:val="auto"/>
                <w:highlight w:val="none"/>
              </w:rPr>
              <w:t>9、床 梯：采用≥25mm×25mm×1.5mm方钢管，梯宽460mm，共5级，每级都需加装防滑钢板，即每张床配≥5块防滑踏板（使用钢板，参考450mm（长）、参考135mm（宽）、厚≥1.2mm，采用模具一次冲压成型），采用气压焊接方式安装在爬梯上并做防锈处理；梯底下部与书柜连接加固，爬梯立柱连接处采用一次冲压成型。</w:t>
            </w:r>
          </w:p>
          <w:p>
            <w:pPr>
              <w:widowControl/>
              <w:jc w:val="left"/>
              <w:textAlignment w:val="center"/>
              <w:rPr>
                <w:color w:val="auto"/>
                <w:highlight w:val="none"/>
              </w:rPr>
            </w:pPr>
            <w:r>
              <w:rPr>
                <w:rFonts w:hint="eastAsia"/>
                <w:color w:val="auto"/>
                <w:highlight w:val="none"/>
              </w:rPr>
              <w:t>▲10、整体结构：（1）整张床架除床梯为螺丝插入式连接外，其余采用卡扣式连接，不得采用螺丝连接；（2）连接扣件经冲床冲压而成，连接卡口不少于三个，成型后卡梢部位钢材厚度为≥2.0mm,卡梢进深不少于15mm，床梃（床母）扣件规格≥220 mm×30mm×30mm。</w:t>
            </w:r>
          </w:p>
          <w:p>
            <w:pPr>
              <w:widowControl/>
              <w:jc w:val="left"/>
              <w:textAlignment w:val="center"/>
              <w:rPr>
                <w:color w:val="auto"/>
                <w:highlight w:val="none"/>
              </w:rPr>
            </w:pPr>
            <w:r>
              <w:rPr>
                <w:rFonts w:hint="eastAsia"/>
                <w:color w:val="auto"/>
                <w:highlight w:val="none"/>
              </w:rPr>
              <w:t>11、床头竖管：采用≥37mm×28mm×1.2mm</w:t>
            </w:r>
            <w:r>
              <w:rPr>
                <w:color w:val="auto"/>
                <w:highlight w:val="none"/>
              </w:rPr>
              <w:t>高频焊接成闭口型材管</w:t>
            </w:r>
            <w:r>
              <w:rPr>
                <w:rFonts w:hint="eastAsia"/>
                <w:color w:val="auto"/>
                <w:highlight w:val="none"/>
              </w:rPr>
              <w:t>。</w:t>
            </w:r>
          </w:p>
          <w:p>
            <w:pPr>
              <w:widowControl/>
              <w:jc w:val="left"/>
              <w:textAlignment w:val="center"/>
              <w:rPr>
                <w:color w:val="auto"/>
                <w:highlight w:val="none"/>
              </w:rPr>
            </w:pPr>
            <w:r>
              <w:rPr>
                <w:rFonts w:hint="eastAsia"/>
                <w:color w:val="auto"/>
                <w:highlight w:val="none"/>
              </w:rPr>
              <w:t>12、立柱下横梁：采用≥55mm×55mm×1.2mm</w:t>
            </w:r>
            <w:r>
              <w:rPr>
                <w:color w:val="auto"/>
                <w:highlight w:val="none"/>
              </w:rPr>
              <w:t>高频焊接成闭口型材管</w:t>
            </w:r>
            <w:r>
              <w:rPr>
                <w:rFonts w:hint="eastAsia"/>
                <w:color w:val="auto"/>
                <w:highlight w:val="none"/>
              </w:rPr>
              <w:t>。</w:t>
            </w:r>
          </w:p>
          <w:p>
            <w:pPr>
              <w:widowControl/>
              <w:jc w:val="left"/>
              <w:textAlignment w:val="center"/>
              <w:rPr>
                <w:color w:val="auto"/>
                <w:highlight w:val="none"/>
              </w:rPr>
            </w:pPr>
            <w:r>
              <w:rPr>
                <w:rFonts w:hint="eastAsia"/>
                <w:color w:val="auto"/>
                <w:highlight w:val="none"/>
              </w:rPr>
              <w:t>13、床 板：▲(1）床板树种为杉木，床板规格:厚≥20mm、长、宽按设计制作以≤7块木板拼接成一幅床板，床板双面刨光。</w:t>
            </w:r>
          </w:p>
          <w:p>
            <w:pPr>
              <w:widowControl/>
              <w:jc w:val="left"/>
              <w:textAlignment w:val="center"/>
              <w:rPr>
                <w:color w:val="auto"/>
                <w:highlight w:val="none"/>
              </w:rPr>
            </w:pPr>
            <w:r>
              <w:rPr>
                <w:rFonts w:hint="eastAsia"/>
                <w:color w:val="auto"/>
                <w:highlight w:val="none"/>
              </w:rPr>
              <w:t>（2）杉木床板要求：外观无腐朽，床板表面无贯通裂纹，无死节，活节宽度不超过10mm，单块板≤1个，无漏节和脱落节子，固定横条不少于3条，规格为30mm×20mm实木方料。</w:t>
            </w:r>
          </w:p>
          <w:p>
            <w:pPr>
              <w:widowControl/>
              <w:jc w:val="left"/>
              <w:textAlignment w:val="center"/>
              <w:rPr>
                <w:color w:val="auto"/>
                <w:highlight w:val="none"/>
              </w:rPr>
            </w:pPr>
            <w:r>
              <w:rPr>
                <w:rFonts w:hint="eastAsia"/>
                <w:color w:val="auto"/>
                <w:highlight w:val="none"/>
              </w:rPr>
              <w:t>14、组合床各部分均需进行钢性连接，确保床的稳定性。整铺组合床除电脑桌面外均为钢制结构，钢件表面经酸洗.磷化处理，环保型静电喷涂（喷塑），钢管材质符合国家行业标准，无虚焊、无焊渣，焊点光滑、美观，结实稳固，漆面不脱落。立柱及床梯底部加装胶套。床架颜色为灰白色。</w:t>
            </w:r>
          </w:p>
          <w:p>
            <w:pPr>
              <w:widowControl/>
              <w:jc w:val="left"/>
              <w:textAlignment w:val="center"/>
              <w:rPr>
                <w:b/>
                <w:bCs/>
                <w:color w:val="auto"/>
                <w:highlight w:val="none"/>
              </w:rPr>
            </w:pPr>
            <w:r>
              <w:rPr>
                <w:rFonts w:hint="eastAsia"/>
                <w:b/>
                <w:bCs/>
                <w:color w:val="auto"/>
                <w:highlight w:val="none"/>
              </w:rPr>
              <w:t>（二）衣柜</w:t>
            </w:r>
          </w:p>
          <w:p>
            <w:pPr>
              <w:widowControl/>
              <w:jc w:val="left"/>
              <w:textAlignment w:val="center"/>
              <w:rPr>
                <w:color w:val="auto"/>
                <w:highlight w:val="none"/>
              </w:rPr>
            </w:pPr>
            <w:r>
              <w:rPr>
                <w:rFonts w:hint="eastAsia"/>
                <w:color w:val="auto"/>
                <w:highlight w:val="none"/>
              </w:rPr>
              <w:t>1、规格（约）：1700mm（高）×720mm（宽）×600mm（深），柜体分为上下2门，每门下部均需有风窗，上下柜门均配置明锁扣及拉手，上下柜门板外部上方应设置信息卡框并固定，上柜内部设置挂衣杆1根，柜体为≥0.8（厚）mm钢板；衣柜顶底腰表面做压型处理用以增加使用强度，压型尺寸为内圆外方，压型图案四角做圆弧处理，压型高度不大于2mm。</w:t>
            </w:r>
          </w:p>
          <w:p>
            <w:pPr>
              <w:widowControl/>
              <w:jc w:val="left"/>
              <w:textAlignment w:val="center"/>
              <w:rPr>
                <w:color w:val="auto"/>
                <w:highlight w:val="none"/>
              </w:rPr>
            </w:pPr>
            <w:r>
              <w:rPr>
                <w:rFonts w:hint="eastAsia"/>
                <w:color w:val="auto"/>
                <w:highlight w:val="none"/>
              </w:rPr>
              <w:t>2、衣柜锁具：尺寸不小于104 mm</w:t>
            </w:r>
            <w:r>
              <w:rPr>
                <w:color w:val="auto"/>
                <w:highlight w:val="none"/>
              </w:rPr>
              <w:t>(</w:t>
            </w:r>
            <w:r>
              <w:rPr>
                <w:rFonts w:hint="eastAsia"/>
                <w:color w:val="auto"/>
                <w:highlight w:val="none"/>
              </w:rPr>
              <w:t>长</w:t>
            </w:r>
            <w:r>
              <w:rPr>
                <w:color w:val="auto"/>
                <w:highlight w:val="none"/>
              </w:rPr>
              <w:t>)</w:t>
            </w:r>
            <w:r>
              <w:rPr>
                <w:rFonts w:hint="eastAsia"/>
                <w:color w:val="auto"/>
                <w:highlight w:val="none"/>
              </w:rPr>
              <w:t>×70mm</w:t>
            </w:r>
            <w:r>
              <w:rPr>
                <w:color w:val="auto"/>
                <w:highlight w:val="none"/>
              </w:rPr>
              <w:t>(</w:t>
            </w:r>
            <w:r>
              <w:rPr>
                <w:rFonts w:hint="eastAsia"/>
                <w:color w:val="auto"/>
                <w:highlight w:val="none"/>
              </w:rPr>
              <w:t>宽</w:t>
            </w:r>
            <w:r>
              <w:rPr>
                <w:color w:val="auto"/>
                <w:highlight w:val="none"/>
              </w:rPr>
              <w:t>)</w:t>
            </w:r>
            <w:r>
              <w:rPr>
                <w:rFonts w:hint="eastAsia"/>
                <w:color w:val="auto"/>
                <w:highlight w:val="none"/>
              </w:rPr>
              <w:t>×15 mm，门板配防护凹型槽，凹型槽内置明挂暗锁，锁件采用304不锈钢(原色)，锁件焊接部位不能外漏；成型的凹型槽整片钢板压型不能拼接，凸出柜门表面部分≤2mm；锁具采用双锁锁具。（防止划伤、割伤人体），外观圆滑有光泽，有效的防止开门状态下损伤人体。</w:t>
            </w:r>
          </w:p>
          <w:p>
            <w:pPr>
              <w:widowControl/>
              <w:jc w:val="left"/>
              <w:textAlignment w:val="center"/>
              <w:rPr>
                <w:color w:val="auto"/>
                <w:highlight w:val="none"/>
              </w:rPr>
            </w:pPr>
            <w:r>
              <w:rPr>
                <w:rFonts w:hint="eastAsia"/>
                <w:color w:val="auto"/>
                <w:highlight w:val="none"/>
              </w:rPr>
              <w:t>3、风窗：采用304不绣钢板≥1.0mm压型式，风窗要具备存放防霉、防虫药剂盒功能，风窗四角做圆边处理，风窗周边做压型设计，使风窗安装后与门板内部保持平整；</w:t>
            </w:r>
          </w:p>
          <w:p>
            <w:pPr>
              <w:widowControl/>
              <w:jc w:val="left"/>
              <w:textAlignment w:val="center"/>
              <w:rPr>
                <w:color w:val="auto"/>
                <w:highlight w:val="none"/>
              </w:rPr>
            </w:pPr>
            <w:r>
              <w:rPr>
                <w:rFonts w:hint="eastAsia"/>
                <w:color w:val="auto"/>
                <w:highlight w:val="none"/>
              </w:rPr>
              <w:t>4、柜门扣手须与门平齐，采用PVC材料注塑一次成型，耐磨光滑。(不允许3D打印)。</w:t>
            </w:r>
          </w:p>
          <w:p>
            <w:pPr>
              <w:widowControl/>
              <w:jc w:val="left"/>
              <w:textAlignment w:val="center"/>
              <w:rPr>
                <w:color w:val="auto"/>
                <w:highlight w:val="none"/>
              </w:rPr>
            </w:pPr>
            <w:r>
              <w:rPr>
                <w:rFonts w:hint="eastAsia"/>
                <w:color w:val="auto"/>
                <w:highlight w:val="none"/>
              </w:rPr>
              <w:t>5、防潮胶套：用≥60mm（长）×60mm（宽）×70mm（高）不锈钢胶套，保证柜体镶嵌于胶套内部，得到有效的防锈，防水、防潮。</w:t>
            </w:r>
          </w:p>
          <w:p>
            <w:pPr>
              <w:widowControl/>
              <w:jc w:val="left"/>
              <w:textAlignment w:val="center"/>
              <w:rPr>
                <w:color w:val="auto"/>
                <w:highlight w:val="none"/>
              </w:rPr>
            </w:pPr>
            <w:r>
              <w:rPr>
                <w:rFonts w:hint="eastAsia"/>
                <w:color w:val="auto"/>
                <w:highlight w:val="none"/>
              </w:rPr>
              <w:t>6、颜色：柜体为灰白色，门为米黄色。</w:t>
            </w:r>
          </w:p>
          <w:p>
            <w:pPr>
              <w:widowControl/>
              <w:jc w:val="left"/>
              <w:textAlignment w:val="center"/>
              <w:rPr>
                <w:b/>
                <w:bCs/>
                <w:color w:val="auto"/>
                <w:highlight w:val="none"/>
              </w:rPr>
            </w:pPr>
            <w:r>
              <w:rPr>
                <w:rFonts w:hint="eastAsia"/>
                <w:b/>
                <w:bCs/>
                <w:color w:val="auto"/>
                <w:highlight w:val="none"/>
              </w:rPr>
              <w:t>（三）电脑桌及书架</w:t>
            </w:r>
          </w:p>
          <w:p>
            <w:pPr>
              <w:widowControl/>
              <w:jc w:val="left"/>
              <w:textAlignment w:val="center"/>
              <w:rPr>
                <w:color w:val="auto"/>
                <w:highlight w:val="none"/>
              </w:rPr>
            </w:pPr>
            <w:r>
              <w:rPr>
                <w:rFonts w:hint="eastAsia"/>
                <w:color w:val="auto"/>
                <w:highlight w:val="none"/>
              </w:rPr>
              <w:t>1、电脑桌规格参考：1170mm（长）×900mm（宽）×1700mm（高）；书架规格参考：1170mm（长）×300mm（宽）×950mm（高）；桌下柜规格参考：400mm（长）×900mm（宽）×750mm（高）；厚度≥0.8mm钢板。</w:t>
            </w:r>
          </w:p>
          <w:p>
            <w:pPr>
              <w:widowControl/>
              <w:jc w:val="left"/>
              <w:textAlignment w:val="center"/>
              <w:rPr>
                <w:color w:val="auto"/>
                <w:highlight w:val="none"/>
              </w:rPr>
            </w:pPr>
            <w:r>
              <w:rPr>
                <w:rFonts w:hint="eastAsia"/>
                <w:color w:val="auto"/>
                <w:highlight w:val="none"/>
              </w:rPr>
              <w:t>2、桌面采用E1</w:t>
            </w:r>
            <w:r>
              <w:rPr>
                <w:rFonts w:hint="eastAsia"/>
                <w:color w:val="auto"/>
                <w:szCs w:val="21"/>
                <w:highlight w:val="none"/>
              </w:rPr>
              <w:t>高密度纤维板</w:t>
            </w:r>
            <w:r>
              <w:rPr>
                <w:rFonts w:hint="eastAsia"/>
                <w:color w:val="auto"/>
                <w:highlight w:val="none"/>
              </w:rPr>
              <w:t>；桌面厚度为≥25mm；面贴防火板饰面；四周注塑封边一次成型；桌面上部离地高度参考760mm；桌面为L形设计，桌面规格：1170*600/900mm；除桌面为密度板材外其余均为钢制结构。</w:t>
            </w:r>
          </w:p>
          <w:p>
            <w:pPr>
              <w:widowControl/>
              <w:jc w:val="left"/>
              <w:textAlignment w:val="center"/>
              <w:rPr>
                <w:rFonts w:hint="eastAsia"/>
                <w:b/>
                <w:bCs/>
                <w:color w:val="auto"/>
                <w:highlight w:val="none"/>
              </w:rPr>
            </w:pPr>
            <w:r>
              <w:rPr>
                <w:rFonts w:hint="eastAsia"/>
                <w:b/>
                <w:bCs/>
                <w:color w:val="auto"/>
                <w:highlight w:val="none"/>
              </w:rPr>
              <w:t>（四）实木靠背椅（</w:t>
            </w:r>
            <w:r>
              <w:rPr>
                <w:rFonts w:hint="eastAsia"/>
                <w:color w:val="auto"/>
                <w:szCs w:val="21"/>
                <w:highlight w:val="none"/>
              </w:rPr>
              <w:t>公寓椅</w:t>
            </w:r>
            <w:r>
              <w:rPr>
                <w:rFonts w:hint="eastAsia"/>
                <w:b/>
                <w:bCs/>
                <w:color w:val="auto"/>
                <w:highlight w:val="none"/>
              </w:rPr>
              <w:t>）</w:t>
            </w:r>
          </w:p>
          <w:p>
            <w:pPr>
              <w:widowControl/>
              <w:jc w:val="left"/>
              <w:textAlignment w:val="center"/>
              <w:rPr>
                <w:color w:val="auto"/>
                <w:highlight w:val="none"/>
              </w:rPr>
            </w:pPr>
            <w:r>
              <w:rPr>
                <w:rFonts w:hint="eastAsia"/>
                <w:color w:val="auto"/>
                <w:highlight w:val="none"/>
              </w:rPr>
              <w:t>规格（约）：430mm（宽）×435mm（深）×830mm（高）；座板距地面高参考450</w:t>
            </w:r>
            <w:r>
              <w:rPr>
                <w:color w:val="auto"/>
                <w:highlight w:val="none"/>
              </w:rPr>
              <w:t xml:space="preserve"> mm</w:t>
            </w:r>
            <w:r>
              <w:rPr>
                <w:rFonts w:hint="eastAsia"/>
                <w:color w:val="auto"/>
                <w:highlight w:val="none"/>
              </w:rPr>
              <w:t>；采用红橡木制作，所有材料经干燥、除虫处理；采用环保</w:t>
            </w:r>
            <w:r>
              <w:rPr>
                <w:rFonts w:hint="eastAsia"/>
                <w:color w:val="auto"/>
                <w:szCs w:val="21"/>
                <w:highlight w:val="none"/>
              </w:rPr>
              <w:t>聚氨酯油漆</w:t>
            </w:r>
            <w:r>
              <w:rPr>
                <w:rFonts w:hint="eastAsia"/>
                <w:color w:val="auto"/>
                <w:highlight w:val="none"/>
              </w:rPr>
              <w:t>喷涂；椅子颜色与衣柜门颜色一致。</w:t>
            </w:r>
          </w:p>
          <w:p>
            <w:pPr>
              <w:widowControl/>
              <w:jc w:val="left"/>
              <w:textAlignment w:val="center"/>
              <w:rPr>
                <w:rFonts w:ascii="宋体" w:hAnsi="宋体"/>
                <w:color w:val="auto"/>
                <w:szCs w:val="21"/>
                <w:highlight w:val="none"/>
              </w:rPr>
            </w:pPr>
            <w:r>
              <w:rPr>
                <w:rFonts w:hint="eastAsia"/>
                <w:b/>
                <w:bCs/>
                <w:color w:val="auto"/>
                <w:highlight w:val="none"/>
              </w:rPr>
              <w:t>二、组合式公寓床成品：设计合理，同种颜色应无明显色差，各项技术指标均应符合QB/T2741-2013《学生公寓多功能家具》标准要求。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hAnsi="宋体" w:cs="宋体"/>
                <w:b/>
                <w:bCs/>
                <w:color w:val="auto"/>
                <w:highlight w:val="none"/>
              </w:rPr>
            </w:pPr>
            <w:r>
              <w:rPr>
                <w:rFonts w:hint="eastAsia" w:hAnsi="宋体" w:cs="宋体"/>
                <w:b/>
                <w:bCs/>
                <w:color w:val="auto"/>
                <w:highlight w:val="none"/>
              </w:rPr>
              <w:t>备注：</w:t>
            </w:r>
          </w:p>
          <w:p>
            <w:pPr>
              <w:widowControl/>
              <w:numPr>
                <w:ilvl w:val="0"/>
                <w:numId w:val="1"/>
              </w:numPr>
              <w:jc w:val="left"/>
              <w:textAlignment w:val="center"/>
              <w:rPr>
                <w:rFonts w:ascii="宋体" w:hAnsi="宋体"/>
                <w:b/>
                <w:bCs/>
                <w:color w:val="auto"/>
                <w:szCs w:val="21"/>
                <w:highlight w:val="none"/>
              </w:rPr>
            </w:pPr>
            <w:r>
              <w:rPr>
                <w:rFonts w:hint="eastAsia" w:hAnsi="宋体" w:cs="宋体"/>
                <w:b/>
                <w:bCs/>
                <w:color w:val="auto"/>
                <w:highlight w:val="none"/>
              </w:rPr>
              <w:t>材质的要求及材质的厚度须满足或优于采购需求；产品性能须满足或优于用户要求。</w:t>
            </w:r>
          </w:p>
          <w:p>
            <w:pPr>
              <w:widowControl/>
              <w:numPr>
                <w:ilvl w:val="0"/>
                <w:numId w:val="1"/>
              </w:numPr>
              <w:jc w:val="left"/>
              <w:textAlignment w:val="center"/>
              <w:rPr>
                <w:rFonts w:ascii="宋体" w:hAnsi="宋体"/>
                <w:color w:val="auto"/>
                <w:szCs w:val="21"/>
                <w:highlight w:val="none"/>
              </w:rPr>
            </w:pPr>
            <w:r>
              <w:rPr>
                <w:rFonts w:hint="eastAsia" w:ascii="宋体" w:hAnsi="宋体" w:cs="宋体"/>
                <w:b/>
                <w:bCs/>
                <w:color w:val="auto"/>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auto"/>
                <w:szCs w:val="21"/>
                <w:highlight w:val="none"/>
              </w:rPr>
            </w:pPr>
            <w:r>
              <w:rPr>
                <w:rFonts w:hint="eastAsia" w:ascii="宋体" w:hAnsi="宋体"/>
                <w:b/>
                <w:color w:val="auto"/>
                <w:szCs w:val="21"/>
                <w:highlight w:val="none"/>
              </w:rPr>
              <w:t>商务及其他要求表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▲售后服务及其他</w:t>
            </w:r>
          </w:p>
          <w:p>
            <w:pPr>
              <w:jc w:val="center"/>
              <w:rPr>
                <w:rFonts w:ascii="宋体" w:hAnsi="宋体"/>
                <w:color w:val="auto"/>
                <w:szCs w:val="21"/>
                <w:highlight w:val="none"/>
              </w:rPr>
            </w:pPr>
            <w:r>
              <w:rPr>
                <w:rFonts w:hint="eastAsia" w:ascii="宋体" w:hAnsi="宋体"/>
                <w:color w:val="auto"/>
                <w:szCs w:val="21"/>
                <w:highlight w:val="none"/>
              </w:rPr>
              <w:t>要求</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1、合同签订期：自中标通知书发出之日起 10日历日内。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2、交付使用时间：自合同签订之日起</w:t>
            </w:r>
            <w:r>
              <w:rPr>
                <w:rFonts w:hint="eastAsia" w:ascii="宋体" w:hAnsi="宋体"/>
                <w:color w:val="auto"/>
                <w:szCs w:val="21"/>
                <w:highlight w:val="none"/>
                <w:lang w:val="en-US" w:eastAsia="zh-CN"/>
              </w:rPr>
              <w:t>50</w:t>
            </w:r>
            <w:r>
              <w:rPr>
                <w:rFonts w:hint="eastAsia" w:ascii="宋体" w:hAnsi="宋体"/>
                <w:color w:val="auto"/>
                <w:szCs w:val="21"/>
                <w:highlight w:val="none"/>
              </w:rPr>
              <w:t xml:space="preserve"> 日内交付到指定地点存放，在接到甲方的安装通知后，</w:t>
            </w:r>
            <w:r>
              <w:rPr>
                <w:rFonts w:hint="eastAsia" w:ascii="宋体" w:hAnsi="宋体"/>
                <w:color w:val="auto"/>
                <w:szCs w:val="21"/>
                <w:highlight w:val="none"/>
                <w:lang w:val="en-US" w:eastAsia="zh-CN"/>
              </w:rPr>
              <w:t>20</w:t>
            </w:r>
            <w:r>
              <w:rPr>
                <w:rFonts w:hint="eastAsia" w:ascii="宋体" w:hAnsi="宋体"/>
                <w:color w:val="auto"/>
                <w:szCs w:val="21"/>
                <w:highlight w:val="none"/>
              </w:rPr>
              <w:t>天内安装验收完毕。</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3、交货地点</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相思湖校区</w:t>
            </w:r>
            <w:r>
              <w:rPr>
                <w:rFonts w:hint="eastAsia" w:ascii="宋体" w:hAnsi="宋体"/>
                <w:color w:val="auto"/>
                <w:szCs w:val="21"/>
                <w:highlight w:val="none"/>
              </w:rPr>
              <w:t>（采购人指定地点）。</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4、交货方式：现场交货。</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5、售后服务要求：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（1）送货上门，按现场条件全程免费安装调试，直至最终验收合格前产生的所有费用由中标供应商承担；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（2）免费保修期：对所售货物提供五年的上门全免费保修期，保修期内非人为因素发生的故障均由中标供应商免费维修或更换，质保期外维修的零配件需优惠（折扣率20%）；</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（3）质量保证期：所有家具的质量保证期不少于五年，在此保证期内，如在正常使用过程中出现的质量问题，供应商须负责免费维修或调换；</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（4）故障响应时间：货物发生故障时，在接到采购人通知后24小时内到达现场处理，一般故障处理时限不超过12小时，12小时内不能修复的，提供替代品；</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（5）验收所需工具、器材由中标供应商自理；各项性能指标达到技术要求的，由供需双方共同签字认可，现场验收；</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▲验收标准</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1、所供产品的规格、数量符合招标文件、供应商投标承诺及采购合同约定的要求。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2、所供产品的材质、颜色符合招标文件、供应商投标承诺及采购合同约定的要求。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3、所供产品的外观完好，无严重碰撞、表皮脱落、五金件生锈等明显瑕疵。</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4、所供产品结构牢固，无安全隐患。</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5、如有抽检要求的，检测结果符合招标文件、供应商投标承诺及采购合同约定的要求。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6、所有产品均已运输至指定地点，并安装调试完毕。</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7、招标文件、供应商投标承诺及采购合同约定的附件、工具、技术资料等齐全；提供产品使用说明书、合格证明材料。</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8、为保证产品品质，批量供货前需提供符合竞标文件要求的产品一套进行验收，验收通过后方可批量供货，不合格采购人有权上报相关部门处理。</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9、验收时采购人对家具进行对照技术参数逐项检测，由采购人委托第三方根据项目内容进行检测，检验结果不合格的或不符合技术参数的不予验收并做退货处理，由此产生的一切后果由供应商承担。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10、如中标供应商不能按约定时间交货，将上报政府采购监管部门处理。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▲投标报价</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投标报价为采购人指定地点的现场交货价，包括：</w:t>
            </w:r>
          </w:p>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（1）货物的价格：包括货款、零配件、安装调试费、验收费；</w:t>
            </w:r>
          </w:p>
          <w:p>
            <w:pPr>
              <w:pStyle w:val="27"/>
              <w:snapToGrid w:val="0"/>
              <w:spacing w:line="400" w:lineRule="exact"/>
              <w:outlineLvl w:val="0"/>
              <w:rPr>
                <w:rFonts w:hint="eastAsia" w:hAnsi="宋体" w:cs="Times New Roman"/>
                <w:color w:val="auto"/>
                <w:highlight w:val="none"/>
                <w:lang w:val="en"/>
              </w:rPr>
            </w:pPr>
            <w:r>
              <w:rPr>
                <w:rFonts w:hint="eastAsia" w:hAnsi="宋体" w:cs="Times New Roman"/>
                <w:color w:val="auto"/>
                <w:highlight w:val="none"/>
              </w:rPr>
              <w:t>（2）货物的标准附件、备品备件、专用工具的价格</w:t>
            </w:r>
            <w:r>
              <w:rPr>
                <w:rFonts w:hint="eastAsia" w:hAnsi="宋体" w:cs="Times New Roman"/>
                <w:color w:val="auto"/>
                <w:highlight w:val="none"/>
                <w:lang w:val="en"/>
              </w:rPr>
              <w:t>；</w:t>
            </w:r>
          </w:p>
          <w:p>
            <w:pPr>
              <w:pStyle w:val="27"/>
              <w:snapToGrid w:val="0"/>
              <w:spacing w:line="400" w:lineRule="exact"/>
              <w:outlineLvl w:val="0"/>
              <w:rPr>
                <w:rFonts w:hint="eastAsia" w:hAnsi="宋体" w:cs="Times New Roman"/>
                <w:color w:val="auto"/>
                <w:highlight w:val="none"/>
              </w:rPr>
            </w:pPr>
            <w:r>
              <w:rPr>
                <w:rFonts w:hint="eastAsia" w:hAnsi="宋体" w:cs="Times New Roman"/>
                <w:color w:val="auto"/>
                <w:highlight w:val="none"/>
              </w:rPr>
              <w:t>（3）运输、装卸、调试、培训、技术支持、售后服务费；</w:t>
            </w:r>
          </w:p>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（4）货物的二次搬运产生的相关费用，按采购人要求进行摆放的费用。</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注：投标人自行考虑完成项目所需的辅材、零配件等数量</w:t>
            </w:r>
            <w:r>
              <w:rPr>
                <w:rFonts w:hint="eastAsia" w:ascii="宋体" w:hAnsi="宋体"/>
                <w:color w:val="auto"/>
                <w:szCs w:val="21"/>
                <w:highlight w:val="none"/>
                <w:lang w:val="en-US" w:eastAsia="zh-CN"/>
              </w:rPr>
              <w:t>及从存放点运至安装点所需通过小车、人力或其他方式进行第二次或多次转运所产生的费用</w:t>
            </w:r>
            <w:r>
              <w:rPr>
                <w:rFonts w:hint="eastAsia" w:ascii="宋体" w:hAnsi="宋体"/>
                <w:color w:val="auto"/>
                <w:szCs w:val="21"/>
                <w:highlight w:val="none"/>
              </w:rPr>
              <w:t>，投标报价中应包含全部内容，中标后采购人不再另行支付额外费用。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▲付款方式</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合同签订后并向中标供应商发出订货通知10个工作日内，乙方开具合同总价款的 30%的等额价值保函(保函有效期</w:t>
            </w:r>
            <w:r>
              <w:rPr>
                <w:rFonts w:hint="eastAsia" w:ascii="宋体" w:hAnsi="宋体"/>
                <w:color w:val="auto"/>
                <w:szCs w:val="21"/>
                <w:highlight w:val="none"/>
                <w:lang w:eastAsia="zh-CN"/>
              </w:rPr>
              <w:t>为自签订合同起</w:t>
            </w:r>
            <w:r>
              <w:rPr>
                <w:rFonts w:hint="eastAsia" w:ascii="宋体" w:hAnsi="宋体"/>
                <w:color w:val="auto"/>
                <w:szCs w:val="21"/>
                <w:highlight w:val="none"/>
                <w:lang w:val="en-US" w:eastAsia="zh-CN"/>
              </w:rPr>
              <w:t>6个月内</w:t>
            </w:r>
            <w:r>
              <w:rPr>
                <w:rFonts w:hint="eastAsia"/>
                <w:color w:val="auto"/>
                <w:highlight w:val="none"/>
              </w:rPr>
              <w:t>，保函到期前，若项目未完成，</w:t>
            </w:r>
            <w:r>
              <w:rPr>
                <w:rFonts w:hint="eastAsia"/>
                <w:color w:val="auto"/>
                <w:highlight w:val="none"/>
                <w:lang w:eastAsia="zh-CN"/>
              </w:rPr>
              <w:t>中标供应商</w:t>
            </w:r>
            <w:r>
              <w:rPr>
                <w:rFonts w:hint="eastAsia"/>
                <w:color w:val="auto"/>
                <w:highlight w:val="none"/>
              </w:rPr>
              <w:t>须在保函到期前提前1个月提交新一期保函</w:t>
            </w:r>
            <w:r>
              <w:rPr>
                <w:rFonts w:hint="eastAsia" w:ascii="宋体" w:hAnsi="宋体"/>
                <w:color w:val="auto"/>
                <w:szCs w:val="21"/>
                <w:highlight w:val="none"/>
              </w:rPr>
              <w:t>)给甲方后，甲方向中标供应商支付合同价款30%预付款（中标供应商须先提供相应合法发票），交货验收合格后，中标供应商开具合法发票给采购人，采购人收到发票后在20个工作日内一次性付清尾款（合同价款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hAnsi="宋体"/>
                <w:color w:val="auto"/>
                <w:szCs w:val="21"/>
                <w:highlight w:val="none"/>
              </w:rPr>
            </w:pPr>
            <w:r>
              <w:rPr>
                <w:rFonts w:hint="eastAsia" w:hAnsi="宋体"/>
                <w:color w:val="auto"/>
                <w:szCs w:val="21"/>
                <w:highlight w:val="none"/>
              </w:rPr>
              <w:t>1、履约保证金金额：中标金额的 5 %</w:t>
            </w:r>
            <w:r>
              <w:rPr>
                <w:rFonts w:hint="eastAsia" w:ascii="宋体" w:hAnsi="宋体" w:cs="宋体"/>
                <w:color w:val="auto"/>
                <w:szCs w:val="21"/>
                <w:highlight w:val="none"/>
              </w:rPr>
              <w:t>（如中标供应商为中小企业的，按本项目中标总金额的2%）收取</w:t>
            </w:r>
            <w:r>
              <w:rPr>
                <w:rFonts w:hint="eastAsia" w:hAnsi="宋体"/>
                <w:color w:val="auto"/>
                <w:szCs w:val="21"/>
                <w:highlight w:val="none"/>
              </w:rPr>
              <w:t>。</w:t>
            </w:r>
          </w:p>
          <w:p>
            <w:pPr>
              <w:spacing w:line="360" w:lineRule="exact"/>
              <w:jc w:val="left"/>
              <w:rPr>
                <w:rFonts w:hint="eastAsia" w:hAnsi="宋体"/>
                <w:color w:val="auto"/>
                <w:szCs w:val="21"/>
                <w:highlight w:val="none"/>
              </w:rPr>
            </w:pPr>
            <w:r>
              <w:rPr>
                <w:rFonts w:hint="eastAsia" w:hAnsi="宋体"/>
                <w:color w:val="auto"/>
                <w:szCs w:val="21"/>
                <w:highlight w:val="none"/>
              </w:rPr>
              <w:t>2、履约保证金递交方式：支票、汇票、本票、网上银行等非现金形式。</w:t>
            </w:r>
          </w:p>
          <w:p>
            <w:pPr>
              <w:spacing w:line="360" w:lineRule="exact"/>
              <w:jc w:val="left"/>
              <w:rPr>
                <w:rFonts w:hint="eastAsia" w:hAnsi="宋体"/>
                <w:color w:val="auto"/>
                <w:szCs w:val="21"/>
                <w:highlight w:val="none"/>
              </w:rPr>
            </w:pPr>
            <w:r>
              <w:rPr>
                <w:rFonts w:hint="eastAsia" w:hAnsi="宋体"/>
                <w:color w:val="auto"/>
                <w:szCs w:val="21"/>
                <w:highlight w:val="none"/>
              </w:rPr>
              <w:t>3、履约保证金递交时间：签订合同后5个工作日内由成交方转入采购人指定保证金账户。</w:t>
            </w:r>
          </w:p>
          <w:p>
            <w:pPr>
              <w:spacing w:line="360" w:lineRule="exact"/>
              <w:jc w:val="left"/>
              <w:rPr>
                <w:rFonts w:hint="eastAsia" w:hAnsi="宋体"/>
                <w:color w:val="auto"/>
                <w:szCs w:val="21"/>
                <w:highlight w:val="none"/>
              </w:rPr>
            </w:pPr>
            <w:r>
              <w:rPr>
                <w:rFonts w:hint="eastAsia" w:hAnsi="宋体"/>
                <w:color w:val="auto"/>
                <w:szCs w:val="21"/>
                <w:highlight w:val="none"/>
              </w:rPr>
              <w:t>4、履约保证金退还：验收合格后无质量问题，</w:t>
            </w:r>
            <w:r>
              <w:rPr>
                <w:rFonts w:hint="eastAsia" w:ascii="宋体" w:hAnsi="宋体" w:cs="宋体"/>
                <w:color w:val="auto"/>
                <w:szCs w:val="21"/>
                <w:highlight w:val="none"/>
              </w:rPr>
              <w:t>中标供应</w:t>
            </w:r>
            <w:r>
              <w:rPr>
                <w:rFonts w:hint="eastAsia" w:hAnsi="宋体"/>
                <w:color w:val="auto"/>
                <w:szCs w:val="21"/>
                <w:highlight w:val="none"/>
              </w:rPr>
              <w:t>提供《政府采购项目履约保证金退付意见书》及《政府采购项目合同验收报告》，向采购人提出书面申请退还，采购人在收到申请后二十个工作日内以银行转账方式无息退还。</w:t>
            </w:r>
          </w:p>
          <w:p>
            <w:pPr>
              <w:spacing w:line="360" w:lineRule="exact"/>
              <w:jc w:val="left"/>
              <w:rPr>
                <w:rFonts w:hint="eastAsia" w:hAnsi="宋体"/>
                <w:color w:val="auto"/>
                <w:szCs w:val="21"/>
                <w:highlight w:val="none"/>
              </w:rPr>
            </w:pPr>
            <w:r>
              <w:rPr>
                <w:rFonts w:hint="eastAsia" w:hAnsi="宋体"/>
                <w:color w:val="auto"/>
                <w:szCs w:val="21"/>
                <w:highlight w:val="none"/>
              </w:rPr>
              <w:t xml:space="preserve">保证金指定账户： </w:t>
            </w:r>
          </w:p>
          <w:p>
            <w:pPr>
              <w:spacing w:line="360" w:lineRule="exact"/>
              <w:jc w:val="left"/>
              <w:rPr>
                <w:rFonts w:hint="eastAsia" w:hAnsi="宋体"/>
                <w:color w:val="auto"/>
                <w:szCs w:val="21"/>
                <w:highlight w:val="none"/>
              </w:rPr>
            </w:pPr>
            <w:r>
              <w:rPr>
                <w:rFonts w:hint="eastAsia" w:hAnsi="宋体"/>
                <w:color w:val="auto"/>
                <w:szCs w:val="21"/>
                <w:highlight w:val="none"/>
              </w:rPr>
              <w:t>开户名：广西艺术学院</w:t>
            </w:r>
          </w:p>
          <w:p>
            <w:pPr>
              <w:spacing w:line="360" w:lineRule="exact"/>
              <w:jc w:val="left"/>
              <w:rPr>
                <w:rFonts w:hint="eastAsia" w:hAnsi="宋体"/>
                <w:color w:val="auto"/>
                <w:szCs w:val="21"/>
                <w:highlight w:val="none"/>
              </w:rPr>
            </w:pPr>
            <w:r>
              <w:rPr>
                <w:rFonts w:hint="eastAsia" w:hAnsi="宋体"/>
                <w:color w:val="auto"/>
                <w:szCs w:val="21"/>
                <w:highlight w:val="none"/>
              </w:rPr>
              <w:t>开户行：建行南宁市桃源支行</w:t>
            </w:r>
          </w:p>
          <w:p>
            <w:pPr>
              <w:spacing w:line="360" w:lineRule="exact"/>
              <w:jc w:val="left"/>
              <w:rPr>
                <w:rFonts w:hint="eastAsia" w:ascii="宋体" w:hAnsi="宋体"/>
                <w:color w:val="auto"/>
                <w:szCs w:val="21"/>
                <w:highlight w:val="none"/>
              </w:rPr>
            </w:pPr>
            <w:r>
              <w:rPr>
                <w:rFonts w:hint="eastAsia" w:hAnsi="宋体"/>
                <w:color w:val="auto"/>
                <w:szCs w:val="21"/>
                <w:highlight w:val="none"/>
              </w:rPr>
              <w:t>账 号：45001604559050500909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olor w:val="auto"/>
                <w:szCs w:val="21"/>
                <w:highlight w:val="none"/>
              </w:rPr>
            </w:pPr>
            <w:r>
              <w:rPr>
                <w:rFonts w:hint="eastAsia" w:ascii="宋体" w:hAnsi="宋体"/>
                <w:color w:val="auto"/>
                <w:szCs w:val="21"/>
                <w:highlight w:val="none"/>
              </w:rPr>
              <w:t>▲本项目核心产品</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组合式公寓床  </w:t>
            </w:r>
            <w:r>
              <w:rPr>
                <w:rFonts w:hint="eastAsia" w:ascii="宋体" w:hAnsi="宋体"/>
                <w:color w:val="auto"/>
                <w:szCs w:val="21"/>
                <w:highlight w:val="none"/>
              </w:rPr>
              <w:t>（核心产品品牌相同的，视为提供同品牌产品）</w:t>
            </w:r>
          </w:p>
          <w:p>
            <w:pPr>
              <w:adjustRightInd w:val="0"/>
              <w:snapToGrid w:val="0"/>
              <w:rPr>
                <w:rFonts w:ascii="宋体" w:hAnsi="宋体"/>
                <w:color w:val="auto"/>
                <w:szCs w:val="21"/>
                <w:highlight w:val="none"/>
              </w:rPr>
            </w:pPr>
            <w:r>
              <w:rPr>
                <w:rFonts w:hint="eastAsia" w:ascii="宋体" w:hAnsi="宋体"/>
                <w:color w:val="auto"/>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投标样品（小样）要求</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olor w:val="auto"/>
                <w:highlight w:val="none"/>
              </w:rPr>
            </w:pPr>
            <w:r>
              <w:rPr>
                <w:rFonts w:hint="eastAsia" w:hAnsi="宋体"/>
                <w:color w:val="auto"/>
                <w:szCs w:val="21"/>
                <w:highlight w:val="none"/>
              </w:rPr>
              <w:t>投标时请提供小样：</w:t>
            </w:r>
            <w:r>
              <w:rPr>
                <w:rFonts w:hint="eastAsia"/>
                <w:color w:val="auto"/>
                <w:highlight w:val="none"/>
              </w:rPr>
              <w:t xml:space="preserve"> </w:t>
            </w:r>
          </w:p>
          <w:tbl>
            <w:tblPr>
              <w:tblStyle w:val="52"/>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95"/>
              <w:gridCol w:w="709"/>
              <w:gridCol w:w="24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序号</w:t>
                  </w:r>
                </w:p>
              </w:tc>
              <w:tc>
                <w:tcPr>
                  <w:tcW w:w="1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小样名称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规格</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床架-立柱管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p>
                <w:p>
                  <w:pPr>
                    <w:jc w:val="center"/>
                    <w:rPr>
                      <w:rFonts w:hAnsi="宋体" w:cs="宋体"/>
                      <w:color w:val="auto"/>
                      <w:szCs w:val="21"/>
                      <w:highlight w:val="none"/>
                    </w:rPr>
                  </w:pPr>
                  <w:r>
                    <w:rPr>
                      <w:rFonts w:hint="eastAsia" w:hAnsi="宋体" w:cs="宋体"/>
                      <w:color w:val="auto"/>
                      <w:szCs w:val="21"/>
                      <w:highlight w:val="none"/>
                    </w:rPr>
                    <w:t>床架-横梁</w:t>
                  </w:r>
                </w:p>
                <w:p>
                  <w:pPr>
                    <w:jc w:val="center"/>
                    <w:rPr>
                      <w:rFonts w:hint="eastAsia"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w:t>
                  </w:r>
                </w:p>
              </w:tc>
              <w:tc>
                <w:tcPr>
                  <w:tcW w:w="179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hint="eastAsia" w:hAnsi="宋体"/>
                      <w:color w:val="auto"/>
                      <w:szCs w:val="21"/>
                      <w:highlight w:val="none"/>
                    </w:rPr>
                  </w:pPr>
                  <w:r>
                    <w:rPr>
                      <w:rFonts w:hint="eastAsia" w:hAnsi="宋体" w:cs="宋体"/>
                      <w:color w:val="auto"/>
                      <w:szCs w:val="21"/>
                      <w:highlight w:val="none"/>
                    </w:rPr>
                    <w:t xml:space="preserve"> 床架-横担</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4</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 xml:space="preserve">   床架- 后拉杆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5</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床架-立柱下横梁</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p>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6</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床架-床头竖管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7</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学习桌面</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≥300*200*25mm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8</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 xml:space="preserve">     床板</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≥300*300mm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9</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防滑踏板</w:t>
                  </w:r>
                </w:p>
              </w:tc>
              <w:tc>
                <w:tcPr>
                  <w:tcW w:w="709" w:type="dxa"/>
                  <w:tcBorders>
                    <w:top w:val="single" w:color="auto" w:sz="4" w:space="0"/>
                    <w:left w:val="single" w:color="auto" w:sz="4" w:space="0"/>
                    <w:bottom w:val="single" w:color="auto" w:sz="4" w:space="0"/>
                    <w:right w:val="single" w:color="auto" w:sz="4" w:space="0"/>
                  </w:tcBorders>
                  <w:vAlign w:val="center"/>
                </w:tcPr>
                <w:p>
                  <w:pPr>
                    <w:jc w:val="both"/>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10</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衣柜-</w:t>
                  </w:r>
                  <w:r>
                    <w:rPr>
                      <w:rFonts w:hint="eastAsia" w:hAnsi="宋体" w:cs="宋体"/>
                      <w:color w:val="auto"/>
                      <w:szCs w:val="21"/>
                      <w:highlight w:val="none"/>
                    </w:rPr>
                    <w:t>拉手</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735" w:firstLineChars="350"/>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11</w:t>
                  </w:r>
                </w:p>
              </w:tc>
              <w:tc>
                <w:tcPr>
                  <w:tcW w:w="1795" w:type="dxa"/>
                  <w:tcBorders>
                    <w:top w:val="single" w:color="auto" w:sz="4" w:space="0"/>
                    <w:left w:val="single" w:color="auto" w:sz="4" w:space="0"/>
                    <w:bottom w:val="single" w:color="auto" w:sz="4" w:space="0"/>
                    <w:right w:val="single" w:color="auto" w:sz="4" w:space="0"/>
                  </w:tcBorders>
                  <w:vAlign w:val="center"/>
                </w:tcPr>
                <w:p>
                  <w:pPr>
                    <w:jc w:val="both"/>
                    <w:rPr>
                      <w:rFonts w:hint="eastAsia" w:hAnsi="宋体"/>
                      <w:color w:val="auto"/>
                      <w:szCs w:val="21"/>
                      <w:highlight w:val="none"/>
                    </w:rPr>
                  </w:pPr>
                  <w:r>
                    <w:rPr>
                      <w:rFonts w:hint="eastAsia" w:hAnsi="宋体" w:cs="宋体"/>
                      <w:color w:val="auto"/>
                      <w:szCs w:val="21"/>
                      <w:highlight w:val="none"/>
                    </w:rPr>
                    <w:t>衣柜</w:t>
                  </w:r>
                  <w:r>
                    <w:rPr>
                      <w:rFonts w:hint="eastAsia"/>
                      <w:color w:val="auto"/>
                      <w:highlight w:val="none"/>
                    </w:rPr>
                    <w:t>—</w:t>
                  </w:r>
                  <w:r>
                    <w:rPr>
                      <w:rFonts w:hint="eastAsia" w:hAnsi="宋体" w:cs="宋体"/>
                      <w:color w:val="auto"/>
                      <w:szCs w:val="21"/>
                      <w:highlight w:val="none"/>
                    </w:rPr>
                    <w:t>防潮胶套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12</w:t>
                  </w:r>
                </w:p>
              </w:tc>
              <w:tc>
                <w:tcPr>
                  <w:tcW w:w="179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hAnsi="宋体"/>
                      <w:color w:val="auto"/>
                      <w:szCs w:val="21"/>
                      <w:highlight w:val="none"/>
                    </w:rPr>
                  </w:pPr>
                  <w:r>
                    <w:rPr>
                      <w:rFonts w:hint="eastAsia"/>
                      <w:color w:val="auto"/>
                      <w:highlight w:val="none"/>
                    </w:rPr>
                    <w:t>衣柜-门板（配锁具）</w:t>
                  </w:r>
                  <w:r>
                    <w:rPr>
                      <w:rFonts w:hint="eastAsia" w:hAnsi="宋体" w:cs="宋体"/>
                      <w:color w:val="auto"/>
                      <w:szCs w:val="21"/>
                      <w:highlight w:val="none"/>
                    </w:rPr>
                    <w:t>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≥500*500mm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13</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连接扣件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一块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bl>
          <w:p>
            <w:pPr>
              <w:adjustRightInd w:val="0"/>
              <w:snapToGrid w:val="0"/>
              <w:rPr>
                <w:rFonts w:hint="eastAsia" w:ascii="宋体" w:hAnsi="宋体"/>
                <w:color w:val="auto"/>
                <w:szCs w:val="21"/>
                <w:highlight w:val="none"/>
              </w:rPr>
            </w:pPr>
          </w:p>
          <w:p>
            <w:pPr>
              <w:widowControl/>
              <w:jc w:val="left"/>
              <w:rPr>
                <w:rFonts w:hint="eastAsia" w:ascii="宋体" w:hAnsi="宋体"/>
                <w:b/>
                <w:color w:val="auto"/>
                <w:szCs w:val="21"/>
                <w:highlight w:val="none"/>
              </w:rPr>
            </w:pPr>
            <w:r>
              <w:rPr>
                <w:rFonts w:hint="eastAsia" w:ascii="宋体" w:hAnsi="宋体"/>
                <w:b/>
                <w:color w:val="auto"/>
                <w:szCs w:val="21"/>
                <w:highlight w:val="none"/>
              </w:rPr>
              <w:t>备注：</w:t>
            </w:r>
          </w:p>
          <w:p>
            <w:pPr>
              <w:widowControl/>
              <w:ind w:firstLine="105" w:firstLineChars="50"/>
              <w:jc w:val="left"/>
              <w:rPr>
                <w:rFonts w:hint="eastAsia" w:ascii="宋体" w:hAnsi="宋体"/>
                <w:color w:val="auto"/>
                <w:szCs w:val="21"/>
                <w:highlight w:val="none"/>
              </w:rPr>
            </w:pPr>
            <w:r>
              <w:rPr>
                <w:rFonts w:hint="eastAsia" w:ascii="宋体" w:hAnsi="宋体"/>
                <w:color w:val="auto"/>
                <w:szCs w:val="21"/>
                <w:highlight w:val="none"/>
              </w:rPr>
              <w:t>(1) 小样只是作为加分项，不作为投标的必须要求；小样的规格尺寸不作为评定要求。</w:t>
            </w:r>
          </w:p>
          <w:p>
            <w:pPr>
              <w:rPr>
                <w:rFonts w:hint="eastAsia" w:ascii="宋体" w:hAnsi="宋体"/>
                <w:color w:val="auto"/>
                <w:szCs w:val="21"/>
                <w:highlight w:val="none"/>
              </w:rPr>
            </w:pPr>
            <w:r>
              <w:rPr>
                <w:rFonts w:hint="eastAsia" w:ascii="宋体" w:hAnsi="宋体"/>
                <w:color w:val="auto"/>
                <w:szCs w:val="21"/>
                <w:highlight w:val="none"/>
              </w:rPr>
              <w:t>（2）小样递交时间：</w:t>
            </w:r>
            <w:r>
              <w:rPr>
                <w:rFonts w:hint="eastAsia" w:ascii="宋体" w:hAnsi="宋体"/>
                <w:b/>
                <w:bCs/>
                <w:color w:val="auto"/>
                <w:szCs w:val="21"/>
                <w:highlight w:val="none"/>
              </w:rPr>
              <w:t>为开标当天提交</w:t>
            </w:r>
            <w:r>
              <w:rPr>
                <w:rFonts w:hint="eastAsia"/>
                <w:b/>
                <w:bCs/>
                <w:color w:val="auto"/>
                <w:highlight w:val="none"/>
              </w:rPr>
              <w:t>投标文件截止时间前</w:t>
            </w:r>
            <w:r>
              <w:rPr>
                <w:rFonts w:hint="eastAsia"/>
                <w:b/>
                <w:color w:val="auto"/>
                <w:highlight w:val="none"/>
              </w:rPr>
              <w:t>；</w:t>
            </w:r>
            <w:r>
              <w:rPr>
                <w:rFonts w:hint="eastAsia" w:ascii="宋体" w:hAnsi="宋体"/>
                <w:color w:val="auto"/>
                <w:szCs w:val="21"/>
                <w:highlight w:val="none"/>
              </w:rPr>
              <w:t>提交小样的地点：</w:t>
            </w:r>
            <w:r>
              <w:rPr>
                <w:b/>
                <w:bCs/>
                <w:color w:val="auto"/>
                <w:highlight w:val="none"/>
              </w:rPr>
              <w:t>为</w:t>
            </w:r>
            <w:r>
              <w:rPr>
                <w:rFonts w:hint="eastAsia" w:ascii="宋体" w:hAnsi="宋体"/>
                <w:b/>
                <w:bCs/>
                <w:color w:val="auto"/>
                <w:szCs w:val="21"/>
                <w:highlight w:val="none"/>
              </w:rPr>
              <w:t>南宁市星湖路22号评标楼（4号楼）三楼303室</w:t>
            </w:r>
            <w:r>
              <w:rPr>
                <w:rFonts w:hint="eastAsia" w:ascii="宋体" w:hAnsi="宋体"/>
                <w:color w:val="auto"/>
                <w:szCs w:val="21"/>
                <w:highlight w:val="none"/>
              </w:rPr>
              <w:t>。</w:t>
            </w:r>
          </w:p>
          <w:p>
            <w:pPr>
              <w:pStyle w:val="33"/>
              <w:rPr>
                <w:rFonts w:hint="eastAsia" w:ascii="宋体" w:hAnsi="宋体"/>
                <w:color w:val="auto"/>
                <w:sz w:val="21"/>
                <w:szCs w:val="21"/>
                <w:highlight w:val="none"/>
              </w:rPr>
            </w:pPr>
            <w:r>
              <w:rPr>
                <w:rFonts w:hint="eastAsia" w:ascii="宋体" w:hAnsi="宋体"/>
                <w:color w:val="auto"/>
                <w:sz w:val="21"/>
                <w:szCs w:val="21"/>
                <w:highlight w:val="none"/>
              </w:rPr>
              <w:t>（3）小样递交要求：</w:t>
            </w:r>
          </w:p>
          <w:p>
            <w:pPr>
              <w:pStyle w:val="33"/>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33"/>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33"/>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pStyle w:val="33"/>
              <w:rPr>
                <w:rFonts w:hint="eastAsia" w:ascii="宋体" w:hAnsi="宋体"/>
                <w:color w:val="auto"/>
                <w:szCs w:val="21"/>
                <w:highlight w:val="none"/>
              </w:rPr>
            </w:pPr>
            <w:r>
              <w:rPr>
                <w:rFonts w:hint="eastAsia" w:ascii="宋体" w:hAnsi="宋体"/>
                <w:color w:val="auto"/>
                <w:sz w:val="21"/>
                <w:szCs w:val="21"/>
                <w:highlight w:val="none"/>
              </w:rPr>
              <w:t>（4）采购结果公告后，中标人小样不退，作为验收依据之一。</w:t>
            </w:r>
            <w:r>
              <w:rPr>
                <w:rFonts w:hint="eastAsia" w:ascii="宋体" w:hAnsi="宋体"/>
                <w:b/>
                <w:bCs/>
                <w:color w:val="auto"/>
                <w:sz w:val="21"/>
                <w:szCs w:val="21"/>
                <w:highlight w:val="none"/>
              </w:rPr>
              <w:t>未中标的，在本项目评审结果（中标公告）发出（或接到广西壮族自治区政府采购中心电话通知）后五个工作日内，原路径领回样品，逾期未办理样品领取的，样品处置权交由广西壮族自治区政府采购中心。所造成的损失，由本公司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其它要求及说明</w:t>
            </w:r>
          </w:p>
        </w:tc>
        <w:tc>
          <w:tcPr>
            <w:tcW w:w="8027" w:type="dxa"/>
            <w:gridSpan w:val="3"/>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1、中标人保证向采购人提供的货物是全新、完整、未使用过的。</w:t>
            </w:r>
          </w:p>
          <w:p>
            <w:pPr>
              <w:widowControl/>
              <w:shd w:val="clear" w:color="auto" w:fill="FFFFFF"/>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ascii="宋体" w:hAnsi="宋体" w:cs="宋体"/>
                <w:color w:val="auto"/>
                <w:szCs w:val="21"/>
                <w:highlight w:val="none"/>
                <w:lang w:val="zh-CN"/>
              </w:rPr>
              <w:t>本项目不接受进口产品（即通过中国海关报关验放进入中国境内且产自关境外的产品）参与投标，如有此类产品参与投标的做投标无效处理。</w:t>
            </w:r>
          </w:p>
          <w:p>
            <w:pPr>
              <w:spacing w:line="360" w:lineRule="auto"/>
              <w:rPr>
                <w:rFonts w:ascii="宋体" w:hAnsi="宋体" w:cs="宋体"/>
                <w:color w:val="auto"/>
                <w:szCs w:val="21"/>
                <w:highlight w:val="none"/>
                <w:lang w:val="zh-CN"/>
              </w:rPr>
            </w:pPr>
            <w:r>
              <w:rPr>
                <w:rFonts w:hint="eastAsia"/>
                <w:color w:val="auto"/>
                <w:highlight w:val="none"/>
              </w:rPr>
              <w:t>3、</w:t>
            </w:r>
            <w:r>
              <w:rPr>
                <w:color w:val="auto"/>
                <w:highlight w:val="none"/>
              </w:rPr>
              <w:t>家具的最终外形尺寸须根据实际布置进行调整，对</w:t>
            </w:r>
            <w:r>
              <w:rPr>
                <w:rFonts w:hint="eastAsia"/>
                <w:color w:val="auto"/>
                <w:highlight w:val="none"/>
              </w:rPr>
              <w:t>有</w:t>
            </w:r>
            <w:r>
              <w:rPr>
                <w:color w:val="auto"/>
                <w:highlight w:val="none"/>
              </w:rPr>
              <w:t>特殊的定制家具及修改的尺寸均包含在投标报价中，投标人在报价时应自行考虑，承诺不因定制或修改家具尺寸的因素而改变投标报价</w:t>
            </w:r>
            <w:r>
              <w:rPr>
                <w:rFonts w:hint="eastAsia" w:ascii="宋体" w:hAnsi="宋体" w:cs="宋体"/>
                <w:color w:val="auto"/>
                <w:szCs w:val="21"/>
                <w:highlight w:val="none"/>
                <w:lang w:val="zh-CN"/>
              </w:rPr>
              <w:t>。</w:t>
            </w:r>
          </w:p>
          <w:p>
            <w:pPr>
              <w:pStyle w:val="166"/>
              <w:rPr>
                <w:rFonts w:hint="eastAsia" w:hAnsi="宋体"/>
                <w:color w:val="auto"/>
                <w:sz w:val="21"/>
                <w:szCs w:val="21"/>
                <w:highlight w:val="none"/>
              </w:rPr>
            </w:pPr>
            <w:r>
              <w:rPr>
                <w:rFonts w:hint="eastAsia" w:hAnsi="宋体"/>
                <w:color w:val="auto"/>
                <w:kern w:val="2"/>
                <w:sz w:val="21"/>
                <w:szCs w:val="21"/>
                <w:highlight w:val="none"/>
                <w:lang w:val="zh-CN"/>
              </w:rPr>
              <w:t>▲</w:t>
            </w:r>
            <w:r>
              <w:rPr>
                <w:rFonts w:hint="eastAsia" w:hAnsi="宋体"/>
                <w:color w:val="auto"/>
                <w:sz w:val="21"/>
                <w:szCs w:val="21"/>
                <w:highlight w:val="none"/>
                <w:lang w:val="en-US" w:eastAsia="zh-CN"/>
              </w:rPr>
              <w:t>4</w:t>
            </w:r>
            <w:r>
              <w:rPr>
                <w:rFonts w:hint="eastAsia" w:hAnsi="宋体"/>
                <w:color w:val="auto"/>
                <w:sz w:val="21"/>
                <w:szCs w:val="21"/>
                <w:highlight w:val="none"/>
              </w:rPr>
              <w:t>、验收：</w:t>
            </w:r>
          </w:p>
          <w:p>
            <w:pPr>
              <w:pStyle w:val="166"/>
              <w:rPr>
                <w:rFonts w:hint="eastAsia" w:hAnsi="宋体"/>
                <w:color w:val="auto"/>
                <w:sz w:val="21"/>
                <w:szCs w:val="21"/>
                <w:highlight w:val="none"/>
              </w:rPr>
            </w:pPr>
            <w:r>
              <w:rPr>
                <w:rFonts w:hint="eastAsia" w:hAnsi="宋体"/>
                <w:color w:val="auto"/>
                <w:sz w:val="21"/>
                <w:szCs w:val="21"/>
                <w:highlight w:val="none"/>
              </w:rPr>
              <w:t>（1）中标人在签订合同后，先提供（</w:t>
            </w:r>
            <w:r>
              <w:rPr>
                <w:rFonts w:hint="eastAsia" w:hAnsi="宋体"/>
                <w:b/>
                <w:bCs/>
                <w:color w:val="auto"/>
                <w:sz w:val="21"/>
                <w:szCs w:val="21"/>
                <w:highlight w:val="none"/>
                <w:u w:val="single"/>
              </w:rPr>
              <w:t>一套完整的所投产品</w:t>
            </w:r>
            <w:r>
              <w:rPr>
                <w:rFonts w:hint="eastAsia" w:hAnsi="宋体"/>
                <w:color w:val="auto"/>
                <w:sz w:val="21"/>
                <w:szCs w:val="21"/>
                <w:highlight w:val="none"/>
              </w:rPr>
              <w:t>）至采购单位处进行检测，采购单位可聘请具有验收资质的检测部门进行检测，检测合格的产品作为验收产品的依据，费用由中标人负责。</w:t>
            </w:r>
          </w:p>
          <w:p>
            <w:pPr>
              <w:adjustRightInd w:val="0"/>
              <w:snapToGrid w:val="0"/>
              <w:spacing w:before="152" w:after="160"/>
              <w:rPr>
                <w:rFonts w:hint="eastAsia" w:hAnsi="宋体" w:cs="Segoe UI Symbol"/>
                <w:color w:val="auto"/>
                <w:szCs w:val="21"/>
                <w:highlight w:val="none"/>
              </w:rPr>
            </w:pPr>
            <w:r>
              <w:rPr>
                <w:rFonts w:hint="eastAsia" w:hAnsi="宋体"/>
                <w:color w:val="auto"/>
                <w:szCs w:val="21"/>
                <w:highlight w:val="none"/>
              </w:rPr>
              <w:t>（2）中标人须按规定时间交货安装完毕，采购单位可聘请具有验收能力的检测部门进行验收，验收不合格按照政府采购法及相关规定执行</w:t>
            </w:r>
            <w:r>
              <w:rPr>
                <w:rFonts w:hint="eastAsia" w:hAnsi="宋体" w:cs="Segoe UI Symbol"/>
                <w:color w:val="auto"/>
                <w:szCs w:val="21"/>
                <w:highlight w:val="none"/>
              </w:rPr>
              <w:t>。</w:t>
            </w:r>
          </w:p>
          <w:p>
            <w:pPr>
              <w:widowControl/>
              <w:shd w:val="clear" w:color="auto" w:fill="FFFFFF"/>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、政策功能</w:t>
            </w:r>
          </w:p>
          <w:p>
            <w:pPr>
              <w:widowControl/>
              <w:shd w:val="clear" w:color="auto" w:fill="FFFFFF"/>
              <w:jc w:val="left"/>
              <w:rPr>
                <w:rFonts w:hint="eastAsia" w:ascii="宋体" w:hAnsi="宋体"/>
                <w:color w:val="auto"/>
                <w:szCs w:val="21"/>
                <w:highlight w:val="none"/>
              </w:rPr>
            </w:pPr>
            <w:r>
              <w:rPr>
                <w:rFonts w:hint="eastAsia" w:ascii="宋体" w:hAnsi="宋体" w:cs="宋体"/>
                <w:color w:val="auto"/>
                <w:szCs w:val="21"/>
                <w:highlight w:val="none"/>
                <w:lang w:val="zh-CN"/>
              </w:rPr>
              <w:t>▲</w:t>
            </w:r>
            <w:r>
              <w:rPr>
                <w:rFonts w:hint="eastAsia" w:ascii="宋体" w:hAnsi="宋体"/>
                <w:color w:val="auto"/>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ascii="宋体" w:hAnsi="宋体"/>
                <w:b/>
                <w:color w:val="auto"/>
                <w:szCs w:val="21"/>
                <w:highlight w:val="none"/>
              </w:rPr>
            </w:pPr>
            <w:r>
              <w:rPr>
                <w:rFonts w:hint="eastAsia" w:ascii="宋体" w:hAnsi="宋体"/>
                <w:color w:val="auto"/>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Ansi="宋体"/>
                <w:color w:val="auto"/>
                <w:szCs w:val="21"/>
                <w:highlight w:val="none"/>
              </w:rPr>
              <w:t>注意事项及参考样式</w:t>
            </w:r>
            <w:r>
              <w:rPr>
                <w:rFonts w:hint="eastAsia" w:hAnsi="宋体"/>
                <w:color w:val="auto"/>
                <w:szCs w:val="21"/>
                <w:highlight w:val="none"/>
              </w:rPr>
              <w:t>和基本结构参数</w:t>
            </w:r>
          </w:p>
        </w:tc>
        <w:tc>
          <w:tcPr>
            <w:tcW w:w="8027"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Ansi="宋体"/>
                <w:color w:val="auto"/>
                <w:szCs w:val="21"/>
                <w:highlight w:val="none"/>
              </w:rPr>
            </w:pPr>
            <w:r>
              <w:rPr>
                <w:rFonts w:hAnsi="宋体"/>
                <w:color w:val="auto"/>
                <w:szCs w:val="21"/>
                <w:highlight w:val="none"/>
              </w:rPr>
              <w:t>1、产品样式以提供</w:t>
            </w:r>
            <w:r>
              <w:rPr>
                <w:rFonts w:hint="eastAsia" w:hAnsi="宋体"/>
                <w:color w:val="auto"/>
                <w:szCs w:val="21"/>
                <w:highlight w:val="none"/>
              </w:rPr>
              <w:t>以下</w:t>
            </w:r>
            <w:r>
              <w:rPr>
                <w:rFonts w:hAnsi="宋体"/>
                <w:color w:val="auto"/>
                <w:szCs w:val="21"/>
                <w:highlight w:val="none"/>
              </w:rPr>
              <w:t>的样式</w:t>
            </w:r>
            <w:r>
              <w:rPr>
                <w:rFonts w:hint="eastAsia" w:hAnsi="宋体"/>
                <w:color w:val="auto"/>
                <w:szCs w:val="21"/>
                <w:highlight w:val="none"/>
              </w:rPr>
              <w:t>参考</w:t>
            </w:r>
            <w:r>
              <w:rPr>
                <w:rFonts w:hAnsi="宋体"/>
                <w:color w:val="auto"/>
                <w:szCs w:val="21"/>
                <w:highlight w:val="none"/>
              </w:rPr>
              <w:t>图为准。</w:t>
            </w:r>
          </w:p>
          <w:p>
            <w:pPr>
              <w:widowControl/>
              <w:snapToGrid w:val="0"/>
              <w:spacing w:line="360" w:lineRule="exact"/>
              <w:jc w:val="left"/>
              <w:rPr>
                <w:rFonts w:hint="eastAsia" w:ascii="宋体" w:hAnsi="宋体"/>
                <w:color w:val="auto"/>
                <w:szCs w:val="21"/>
                <w:highlight w:val="none"/>
              </w:rPr>
            </w:pPr>
            <w:r>
              <w:rPr>
                <w:rFonts w:hAnsi="宋体"/>
                <w:color w:val="auto"/>
                <w:szCs w:val="21"/>
                <w:highlight w:val="none"/>
              </w:rPr>
              <w:t>2、提供的组合床参数如未能表述详尽的，以提供的以下样式</w:t>
            </w:r>
            <w:r>
              <w:rPr>
                <w:rFonts w:hint="eastAsia" w:hAnsi="宋体" w:cs="宋体"/>
                <w:b/>
                <w:bCs/>
                <w:color w:val="auto"/>
                <w:szCs w:val="21"/>
                <w:highlight w:val="none"/>
              </w:rPr>
              <w:t>参考图</w:t>
            </w:r>
            <w:r>
              <w:rPr>
                <w:rFonts w:hAnsi="宋体"/>
                <w:color w:val="auto"/>
                <w:szCs w:val="21"/>
                <w:highlight w:val="none"/>
              </w:rPr>
              <w:t>为准。</w:t>
            </w:r>
          </w:p>
        </w:tc>
      </w:tr>
    </w:tbl>
    <w:p>
      <w:pPr>
        <w:spacing w:line="360" w:lineRule="exact"/>
        <w:ind w:left="6" w:firstLine="431"/>
        <w:rPr>
          <w:rFonts w:hint="eastAsia" w:ascii="宋体" w:hAnsi="宋体"/>
          <w:b/>
          <w:bCs/>
          <w:color w:val="auto"/>
          <w:szCs w:val="21"/>
          <w:highlight w:val="none"/>
        </w:rPr>
      </w:pPr>
    </w:p>
    <w:p>
      <w:pPr>
        <w:rPr>
          <w:rFonts w:hint="eastAsia"/>
          <w:color w:val="auto"/>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rPr>
          <w:rFonts w:hint="eastAsia" w:hAnsi="宋体" w:cs="宋体"/>
          <w:b/>
          <w:bCs/>
          <w:color w:val="auto"/>
          <w:szCs w:val="21"/>
          <w:highlight w:val="none"/>
        </w:rPr>
      </w:pPr>
      <w:r>
        <w:rPr>
          <w:rFonts w:hint="eastAsia" w:hAnsi="宋体" w:cs="宋体"/>
          <w:b/>
          <w:bCs/>
          <w:color w:val="auto"/>
          <w:szCs w:val="21"/>
          <w:highlight w:val="none"/>
        </w:rPr>
        <w:br w:type="page"/>
      </w:r>
    </w:p>
    <w:p>
      <w:pPr>
        <w:pStyle w:val="50"/>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分标2</w:t>
      </w:r>
    </w:p>
    <w:tbl>
      <w:tblPr>
        <w:tblStyle w:val="52"/>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6"/>
        <w:gridCol w:w="215"/>
        <w:gridCol w:w="574"/>
        <w:gridCol w:w="911"/>
        <w:gridCol w:w="65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项号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highlight w:val="none"/>
              </w:rPr>
            </w:pPr>
            <w:r>
              <w:rPr>
                <w:rFonts w:hint="eastAsia" w:ascii="宋体" w:hAnsi="宋体"/>
                <w:b/>
                <w:color w:val="auto"/>
                <w:szCs w:val="21"/>
                <w:highlight w:val="none"/>
              </w:rPr>
              <w:t>货物</w:t>
            </w:r>
          </w:p>
          <w:p>
            <w:pPr>
              <w:jc w:val="center"/>
              <w:rPr>
                <w:rFonts w:ascii="宋体" w:hAnsi="宋体"/>
                <w:b/>
                <w:color w:val="auto"/>
                <w:szCs w:val="21"/>
                <w:highlight w:val="none"/>
              </w:rPr>
            </w:pPr>
            <w:r>
              <w:rPr>
                <w:rFonts w:hint="eastAsia" w:ascii="宋体" w:hAnsi="宋体"/>
                <w:b/>
                <w:color w:val="auto"/>
                <w:szCs w:val="21"/>
                <w:highlight w:val="none"/>
              </w:rPr>
              <w:t>名称</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lang w:val="en"/>
              </w:rPr>
            </w:pPr>
            <w:r>
              <w:rPr>
                <w:rFonts w:hint="eastAsia" w:ascii="宋体" w:hAnsi="宋体"/>
                <w:b/>
                <w:color w:val="auto"/>
                <w:szCs w:val="21"/>
                <w:highlight w:val="none"/>
              </w:rPr>
              <w:t>数 量</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65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技术参数及性能（配置）要求</w:t>
            </w:r>
          </w:p>
          <w:p>
            <w:pPr>
              <w:jc w:val="center"/>
              <w:rPr>
                <w:rFonts w:ascii="宋体" w:hAnsi="宋体"/>
                <w:b/>
                <w:bCs/>
                <w:color w:val="auto"/>
                <w:szCs w:val="21"/>
                <w:highlight w:val="none"/>
              </w:rPr>
            </w:pPr>
            <w:r>
              <w:rPr>
                <w:rFonts w:hint="eastAsia" w:ascii="宋体" w:hAnsi="宋体"/>
                <w:b/>
                <w:color w:val="auto"/>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26"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olor w:val="auto"/>
                <w:szCs w:val="21"/>
                <w:highlight w:val="none"/>
              </w:rPr>
            </w:pPr>
            <w:r>
              <w:rPr>
                <w:rFonts w:hint="eastAsia" w:ascii="宋体" w:hAnsi="宋体"/>
                <w:color w:val="auto"/>
                <w:szCs w:val="21"/>
                <w:highlight w:val="none"/>
              </w:rPr>
              <w:t>1</w:t>
            </w:r>
          </w:p>
        </w:tc>
        <w:tc>
          <w:tcPr>
            <w:tcW w:w="1276" w:type="dxa"/>
            <w:tcBorders>
              <w:top w:val="single" w:color="auto" w:sz="4" w:space="0"/>
              <w:left w:val="single" w:color="auto" w:sz="4" w:space="0"/>
              <w:right w:val="single" w:color="auto" w:sz="4" w:space="0"/>
            </w:tcBorders>
            <w:vAlign w:val="center"/>
          </w:tcPr>
          <w:p>
            <w:pPr>
              <w:widowControl/>
              <w:jc w:val="center"/>
              <w:textAlignment w:val="center"/>
              <w:rPr>
                <w:rFonts w:hAnsi="宋体"/>
                <w:color w:val="auto"/>
                <w:szCs w:val="21"/>
                <w:highlight w:val="none"/>
              </w:rPr>
            </w:pPr>
            <w:r>
              <w:rPr>
                <w:rFonts w:hint="eastAsia" w:hAnsi="宋体"/>
                <w:color w:val="auto"/>
                <w:szCs w:val="21"/>
                <w:highlight w:val="none"/>
              </w:rPr>
              <w:t>组合式</w:t>
            </w:r>
          </w:p>
          <w:p>
            <w:pPr>
              <w:widowControl/>
              <w:jc w:val="center"/>
              <w:textAlignment w:val="center"/>
              <w:rPr>
                <w:rFonts w:ascii="宋体" w:hAnsi="宋体"/>
                <w:color w:val="auto"/>
                <w:szCs w:val="21"/>
                <w:highlight w:val="none"/>
              </w:rPr>
            </w:pPr>
            <w:r>
              <w:rPr>
                <w:rFonts w:hint="eastAsia" w:hAnsi="宋体"/>
                <w:color w:val="auto"/>
                <w:szCs w:val="21"/>
                <w:highlight w:val="none"/>
              </w:rPr>
              <w:t>公寓床</w:t>
            </w:r>
          </w:p>
        </w:tc>
        <w:tc>
          <w:tcPr>
            <w:tcW w:w="789" w:type="dxa"/>
            <w:gridSpan w:val="2"/>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hAnsi="宋体"/>
                <w:color w:val="auto"/>
                <w:szCs w:val="21"/>
                <w:highlight w:val="none"/>
              </w:rPr>
              <w:t>2764</w:t>
            </w:r>
          </w:p>
        </w:tc>
        <w:tc>
          <w:tcPr>
            <w:tcW w:w="91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套</w:t>
            </w:r>
          </w:p>
        </w:tc>
        <w:tc>
          <w:tcPr>
            <w:tcW w:w="6542" w:type="dxa"/>
            <w:tcBorders>
              <w:top w:val="single" w:color="auto" w:sz="4" w:space="0"/>
              <w:left w:val="single" w:color="auto" w:sz="4" w:space="0"/>
              <w:right w:val="single" w:color="auto" w:sz="4" w:space="0"/>
            </w:tcBorders>
            <w:vAlign w:val="center"/>
          </w:tcPr>
          <w:p>
            <w:pPr>
              <w:widowControl/>
              <w:jc w:val="left"/>
              <w:textAlignment w:val="center"/>
              <w:rPr>
                <w:b/>
                <w:bCs/>
                <w:color w:val="auto"/>
                <w:highlight w:val="none"/>
              </w:rPr>
            </w:pPr>
            <w:r>
              <w:rPr>
                <w:rFonts w:hint="eastAsia"/>
                <w:b/>
                <w:bCs/>
                <w:color w:val="auto"/>
                <w:highlight w:val="none"/>
              </w:rPr>
              <w:t>一、产品参数及要求</w:t>
            </w:r>
          </w:p>
          <w:p>
            <w:pPr>
              <w:widowControl/>
              <w:jc w:val="left"/>
              <w:textAlignment w:val="center"/>
              <w:rPr>
                <w:b/>
                <w:bCs/>
                <w:color w:val="auto"/>
                <w:highlight w:val="none"/>
              </w:rPr>
            </w:pPr>
            <w:r>
              <w:rPr>
                <w:rFonts w:hint="eastAsia"/>
                <w:b/>
                <w:bCs/>
                <w:color w:val="auto"/>
                <w:highlight w:val="none"/>
              </w:rPr>
              <w:t>（一）床架（含床板）</w:t>
            </w:r>
          </w:p>
          <w:p>
            <w:pPr>
              <w:widowControl/>
              <w:jc w:val="left"/>
              <w:textAlignment w:val="center"/>
              <w:rPr>
                <w:color w:val="auto"/>
                <w:highlight w:val="none"/>
              </w:rPr>
            </w:pPr>
            <w:r>
              <w:rPr>
                <w:rFonts w:hint="eastAsia"/>
                <w:color w:val="auto"/>
                <w:highlight w:val="none"/>
              </w:rPr>
              <w:t>1、规格（约）：2000mm（长）×1000mm（宽）×2000mm（高）；床架（除床板外）材质要求：选用Q235（或优于Q235）的钢材，</w:t>
            </w:r>
            <w:r>
              <w:rPr>
                <w:color w:val="auto"/>
                <w:highlight w:val="none"/>
              </w:rPr>
              <w:t>床体焊接采用二氧化碳气体保护焊，焊痕打磨光滑平整；表面经除油、酸洗、磷化、除锈处理，表面静电喷塑处理，钢管材质符合国家行业标准，无虚焊、无焊渣，焊点光滑，结实稳固，漆面不脱落，表面光滑无毛刺</w:t>
            </w:r>
            <w:r>
              <w:rPr>
                <w:rFonts w:hint="eastAsia"/>
                <w:color w:val="auto"/>
                <w:highlight w:val="none"/>
              </w:rPr>
              <w:t>。左梯数量为487张，右梯数量为 2277张。</w:t>
            </w:r>
          </w:p>
          <w:p>
            <w:pPr>
              <w:widowControl/>
              <w:jc w:val="left"/>
              <w:textAlignment w:val="center"/>
              <w:rPr>
                <w:color w:val="auto"/>
                <w:highlight w:val="none"/>
              </w:rPr>
            </w:pPr>
            <w:r>
              <w:rPr>
                <w:rFonts w:hint="eastAsia"/>
                <w:color w:val="auto"/>
                <w:highlight w:val="none"/>
              </w:rPr>
              <w:t>▲2、立柱：采用≥60mm×60mm×1.5mm钢管，</w:t>
            </w:r>
            <w:r>
              <w:rPr>
                <w:color w:val="auto"/>
                <w:highlight w:val="none"/>
              </w:rPr>
              <w:t>高频焊接成闭口型材管，管材外侧安全倒角。</w:t>
            </w:r>
          </w:p>
          <w:p>
            <w:pPr>
              <w:widowControl/>
              <w:jc w:val="left"/>
              <w:textAlignment w:val="center"/>
              <w:rPr>
                <w:color w:val="auto"/>
                <w:highlight w:val="none"/>
              </w:rPr>
            </w:pPr>
            <w:r>
              <w:rPr>
                <w:rFonts w:hint="eastAsia"/>
                <w:color w:val="auto"/>
                <w:highlight w:val="none"/>
              </w:rPr>
              <w:t>3、圆弧胶套：采用原材料聚丙烯（PP）一次磨具注塑成型，外圆弧胶套规格：≥80mm（长）×68.5mm（宽）×68mm（高）；厚度≥4mm，表面光滑防水防锈，环保无味。(不允许3D打印)。</w:t>
            </w:r>
          </w:p>
          <w:p>
            <w:pPr>
              <w:widowControl/>
              <w:jc w:val="left"/>
              <w:textAlignment w:val="center"/>
              <w:rPr>
                <w:color w:val="auto"/>
                <w:highlight w:val="none"/>
              </w:rPr>
            </w:pPr>
            <w:r>
              <w:rPr>
                <w:rFonts w:hint="eastAsia"/>
                <w:color w:val="auto"/>
                <w:highlight w:val="none"/>
              </w:rPr>
              <w:t>▲4、床母：采用≥30mm×70mm×1.5mm 钢管，</w:t>
            </w:r>
            <w:r>
              <w:rPr>
                <w:color w:val="auto"/>
                <w:highlight w:val="none"/>
              </w:rPr>
              <w:t>高频焊接成闭口型材管，下部可带圆弧，防止碰头。</w:t>
            </w:r>
          </w:p>
          <w:p>
            <w:pPr>
              <w:widowControl/>
              <w:jc w:val="left"/>
              <w:textAlignment w:val="center"/>
              <w:rPr>
                <w:color w:val="auto"/>
                <w:highlight w:val="none"/>
              </w:rPr>
            </w:pPr>
            <w:r>
              <w:rPr>
                <w:rFonts w:hint="eastAsia"/>
                <w:color w:val="auto"/>
                <w:highlight w:val="none"/>
              </w:rPr>
              <w:t>▲5、横 担：采用≥30mm×30mm×1.5mm三角型管材，</w:t>
            </w:r>
            <w:r>
              <w:rPr>
                <w:color w:val="auto"/>
                <w:highlight w:val="none"/>
              </w:rPr>
              <w:t>高频焊接成闭口型材管，横担不少于5根。</w:t>
            </w:r>
          </w:p>
          <w:p>
            <w:pPr>
              <w:widowControl/>
              <w:jc w:val="left"/>
              <w:textAlignment w:val="center"/>
              <w:rPr>
                <w:color w:val="auto"/>
                <w:highlight w:val="none"/>
              </w:rPr>
            </w:pPr>
            <w:r>
              <w:rPr>
                <w:rFonts w:hint="eastAsia"/>
                <w:color w:val="auto"/>
                <w:highlight w:val="none"/>
              </w:rPr>
              <w:t>6、护 栏：规格为≥1250mm×300mm×20mm，采用≥20mm×20mm×1.5mm壁厚方钢管，护拦与左边立柱距离≤100mm，右立柱开口距离≤530mm，护栏里面有一条长竖管高度参考280mm，内空宽度参考300mm，三条短竖管高度参考50mm，内空中间参考200 mm，中间参考410 mm，护栏横杆参考900 mm，从中间均分，确保护栏强度和刚性且无刃口。</w:t>
            </w:r>
          </w:p>
          <w:p>
            <w:pPr>
              <w:widowControl/>
              <w:jc w:val="left"/>
              <w:textAlignment w:val="center"/>
              <w:rPr>
                <w:color w:val="auto"/>
                <w:highlight w:val="none"/>
              </w:rPr>
            </w:pPr>
            <w:r>
              <w:rPr>
                <w:rFonts w:hint="eastAsia"/>
                <w:color w:val="auto"/>
                <w:highlight w:val="none"/>
              </w:rPr>
              <w:t>7、后拉杆：采用≥27mm×87mm×1.5mm</w:t>
            </w:r>
            <w:r>
              <w:rPr>
                <w:color w:val="auto"/>
                <w:highlight w:val="none"/>
              </w:rPr>
              <w:t>采用优质带钢，经轧压线辊压成型，为保证强度，与挂件正面焊接处需连续满焊不能留缺口及缝隙</w:t>
            </w:r>
            <w:r>
              <w:rPr>
                <w:rFonts w:hint="eastAsia"/>
                <w:color w:val="auto"/>
                <w:highlight w:val="none"/>
              </w:rPr>
              <w:t>。</w:t>
            </w:r>
          </w:p>
          <w:p>
            <w:pPr>
              <w:widowControl/>
              <w:jc w:val="left"/>
              <w:textAlignment w:val="center"/>
              <w:rPr>
                <w:color w:val="auto"/>
                <w:highlight w:val="none"/>
              </w:rPr>
            </w:pPr>
            <w:r>
              <w:rPr>
                <w:rFonts w:hint="eastAsia"/>
                <w:color w:val="auto"/>
                <w:highlight w:val="none"/>
              </w:rPr>
              <w:t>8、“门”型蚊帐架：≥φ16mm×1.5 mm圆钢管。</w:t>
            </w:r>
          </w:p>
          <w:p>
            <w:pPr>
              <w:widowControl/>
              <w:jc w:val="left"/>
              <w:textAlignment w:val="center"/>
              <w:rPr>
                <w:color w:val="auto"/>
                <w:highlight w:val="none"/>
              </w:rPr>
            </w:pPr>
            <w:r>
              <w:rPr>
                <w:rFonts w:hint="eastAsia"/>
                <w:color w:val="auto"/>
                <w:highlight w:val="none"/>
              </w:rPr>
              <w:t>9、床 梯：采用≥25mm×25mm×1.5mm方钢管，梯宽460mm，共5级，每级都需加装防滑钢板，即每张床配≥5块防滑踏板（使用钢板，参考450mm（长）、参考135mm（宽）、厚≥1.2mm，采用模具一次冲压成型），采用气压焊接方式安装在爬梯上并做防锈处理；梯底下部与书柜连接加固，爬梯立柱连接处采用一次冲压成型。</w:t>
            </w:r>
          </w:p>
          <w:p>
            <w:pPr>
              <w:widowControl/>
              <w:jc w:val="left"/>
              <w:textAlignment w:val="center"/>
              <w:rPr>
                <w:color w:val="auto"/>
                <w:highlight w:val="none"/>
              </w:rPr>
            </w:pPr>
            <w:r>
              <w:rPr>
                <w:rFonts w:hint="eastAsia"/>
                <w:color w:val="auto"/>
                <w:highlight w:val="none"/>
              </w:rPr>
              <w:t>▲10、整体结构：（1）整张床架除床梯为螺丝插入式连接外，其余采用卡扣式连接，不得采用螺丝连接；（2）连接扣件经冲床冲压而成，连接卡口不少于三个，成型后卡梢部位钢材厚度为≥2.0mm,卡梢进深不少于15mm，床梃（床母）扣件规格≥220 mm×30mm×30mm。</w:t>
            </w:r>
          </w:p>
          <w:p>
            <w:pPr>
              <w:widowControl/>
              <w:jc w:val="left"/>
              <w:textAlignment w:val="center"/>
              <w:rPr>
                <w:color w:val="auto"/>
                <w:highlight w:val="none"/>
              </w:rPr>
            </w:pPr>
            <w:r>
              <w:rPr>
                <w:rFonts w:hint="eastAsia"/>
                <w:color w:val="auto"/>
                <w:highlight w:val="none"/>
              </w:rPr>
              <w:t>11、床头竖管：采用≥37mm×28mm×1.2mm</w:t>
            </w:r>
            <w:r>
              <w:rPr>
                <w:color w:val="auto"/>
                <w:highlight w:val="none"/>
              </w:rPr>
              <w:t>高频焊接成闭口型材管</w:t>
            </w:r>
            <w:r>
              <w:rPr>
                <w:rFonts w:hint="eastAsia"/>
                <w:color w:val="auto"/>
                <w:highlight w:val="none"/>
              </w:rPr>
              <w:t>。</w:t>
            </w:r>
          </w:p>
          <w:p>
            <w:pPr>
              <w:widowControl/>
              <w:jc w:val="left"/>
              <w:textAlignment w:val="center"/>
              <w:rPr>
                <w:color w:val="auto"/>
                <w:highlight w:val="none"/>
              </w:rPr>
            </w:pPr>
            <w:r>
              <w:rPr>
                <w:rFonts w:hint="eastAsia"/>
                <w:color w:val="auto"/>
                <w:highlight w:val="none"/>
              </w:rPr>
              <w:t>12、立柱下横梁：采用≥55mm×55mm×1.2mm</w:t>
            </w:r>
            <w:r>
              <w:rPr>
                <w:color w:val="auto"/>
                <w:highlight w:val="none"/>
              </w:rPr>
              <w:t>高频焊接成闭口型材管</w:t>
            </w:r>
            <w:r>
              <w:rPr>
                <w:rFonts w:hint="eastAsia"/>
                <w:color w:val="auto"/>
                <w:highlight w:val="none"/>
              </w:rPr>
              <w:t>。</w:t>
            </w:r>
          </w:p>
          <w:p>
            <w:pPr>
              <w:widowControl/>
              <w:jc w:val="left"/>
              <w:textAlignment w:val="center"/>
              <w:rPr>
                <w:color w:val="auto"/>
                <w:highlight w:val="none"/>
              </w:rPr>
            </w:pPr>
            <w:r>
              <w:rPr>
                <w:rFonts w:hint="eastAsia"/>
                <w:color w:val="auto"/>
                <w:highlight w:val="none"/>
              </w:rPr>
              <w:t>13、床 板：▲(1）床板树种为杉木，床板规格:厚≥20mm、长、宽按设计制作以≤7块木板拼接成一幅床板，床板双面刨光。</w:t>
            </w:r>
          </w:p>
          <w:p>
            <w:pPr>
              <w:widowControl/>
              <w:jc w:val="left"/>
              <w:textAlignment w:val="center"/>
              <w:rPr>
                <w:color w:val="auto"/>
                <w:highlight w:val="none"/>
              </w:rPr>
            </w:pPr>
            <w:r>
              <w:rPr>
                <w:rFonts w:hint="eastAsia"/>
                <w:color w:val="auto"/>
                <w:highlight w:val="none"/>
              </w:rPr>
              <w:t>（2）杉木床板要求：外观无腐朽，床板表面无贯通裂纹，无死节，活节宽度不超过10mm，单块板≤1个，无漏节和脱落节子，固定横条不少于3条，规格为30mm×20mm实木方料。</w:t>
            </w:r>
          </w:p>
          <w:p>
            <w:pPr>
              <w:widowControl/>
              <w:jc w:val="left"/>
              <w:textAlignment w:val="center"/>
              <w:rPr>
                <w:color w:val="auto"/>
                <w:highlight w:val="none"/>
              </w:rPr>
            </w:pPr>
            <w:r>
              <w:rPr>
                <w:rFonts w:hint="eastAsia"/>
                <w:color w:val="auto"/>
                <w:highlight w:val="none"/>
              </w:rPr>
              <w:t>14、组合床各部分均需进行钢性连接，确保床的稳定性。整铺组合床除电脑桌面外均为钢制结构，钢件表面经酸洗.磷化处理，环保型静电喷涂（喷塑），钢管材质符合国家行业标准，无虚焊、无焊渣，焊点光滑、美观，结实稳固，漆面不脱落。立柱及床梯底部加装胶套。床架颜色为灰白色。</w:t>
            </w:r>
          </w:p>
          <w:p>
            <w:pPr>
              <w:widowControl/>
              <w:jc w:val="left"/>
              <w:textAlignment w:val="center"/>
              <w:rPr>
                <w:b/>
                <w:bCs/>
                <w:color w:val="auto"/>
                <w:highlight w:val="none"/>
              </w:rPr>
            </w:pPr>
            <w:r>
              <w:rPr>
                <w:rFonts w:hint="eastAsia"/>
                <w:b/>
                <w:bCs/>
                <w:color w:val="auto"/>
                <w:highlight w:val="none"/>
              </w:rPr>
              <w:t>（二）衣柜</w:t>
            </w:r>
          </w:p>
          <w:p>
            <w:pPr>
              <w:widowControl/>
              <w:jc w:val="left"/>
              <w:textAlignment w:val="center"/>
              <w:rPr>
                <w:color w:val="auto"/>
                <w:highlight w:val="none"/>
              </w:rPr>
            </w:pPr>
            <w:r>
              <w:rPr>
                <w:rFonts w:hint="eastAsia"/>
                <w:color w:val="auto"/>
                <w:highlight w:val="none"/>
              </w:rPr>
              <w:t>1、规格（约）：1700mm（高）×720mm（宽）×600mm（深），柜体分为上下2门，每门下部均需有风窗，上下柜门均配置明锁扣及拉手，上下柜门板外部上方应设置信息卡框并固定，上柜内部设置挂衣杆1根，柜体为≥0.8（厚）mm钢板；衣柜顶底腰表面做压型处理用以增加使用强度，压型尺寸为内圆外方，压型图案四角做圆弧处理，压型高度不大于2mm。</w:t>
            </w:r>
          </w:p>
          <w:p>
            <w:pPr>
              <w:widowControl/>
              <w:jc w:val="left"/>
              <w:textAlignment w:val="center"/>
              <w:rPr>
                <w:color w:val="auto"/>
                <w:highlight w:val="none"/>
              </w:rPr>
            </w:pPr>
            <w:r>
              <w:rPr>
                <w:rFonts w:hint="eastAsia"/>
                <w:color w:val="auto"/>
                <w:highlight w:val="none"/>
              </w:rPr>
              <w:t>2、衣柜锁具：尺寸不小于104 mm</w:t>
            </w:r>
            <w:r>
              <w:rPr>
                <w:color w:val="auto"/>
                <w:highlight w:val="none"/>
              </w:rPr>
              <w:t>(</w:t>
            </w:r>
            <w:r>
              <w:rPr>
                <w:rFonts w:hint="eastAsia"/>
                <w:color w:val="auto"/>
                <w:highlight w:val="none"/>
              </w:rPr>
              <w:t>长</w:t>
            </w:r>
            <w:r>
              <w:rPr>
                <w:color w:val="auto"/>
                <w:highlight w:val="none"/>
              </w:rPr>
              <w:t>)</w:t>
            </w:r>
            <w:r>
              <w:rPr>
                <w:rFonts w:hint="eastAsia"/>
                <w:color w:val="auto"/>
                <w:highlight w:val="none"/>
              </w:rPr>
              <w:t>×70mm</w:t>
            </w:r>
            <w:r>
              <w:rPr>
                <w:color w:val="auto"/>
                <w:highlight w:val="none"/>
              </w:rPr>
              <w:t>(</w:t>
            </w:r>
            <w:r>
              <w:rPr>
                <w:rFonts w:hint="eastAsia"/>
                <w:color w:val="auto"/>
                <w:highlight w:val="none"/>
              </w:rPr>
              <w:t>宽</w:t>
            </w:r>
            <w:r>
              <w:rPr>
                <w:color w:val="auto"/>
                <w:highlight w:val="none"/>
              </w:rPr>
              <w:t>)</w:t>
            </w:r>
            <w:r>
              <w:rPr>
                <w:rFonts w:hint="eastAsia"/>
                <w:color w:val="auto"/>
                <w:highlight w:val="none"/>
              </w:rPr>
              <w:t>×15 mm，门板配防护凹型槽，凹型槽内置明挂暗锁，锁件采用304不锈钢(原色)，锁件焊接部位不能外漏；成型的凹型槽整片钢板压型不能拼接，凸出柜门表面部分≤2mm；锁具采用双锁锁具。（防止划伤、割伤人体），外观圆滑有光泽，有效的防止开门状态下损伤人体。</w:t>
            </w:r>
          </w:p>
          <w:p>
            <w:pPr>
              <w:widowControl/>
              <w:jc w:val="left"/>
              <w:textAlignment w:val="center"/>
              <w:rPr>
                <w:rFonts w:hint="eastAsia" w:eastAsia="宋体"/>
                <w:color w:val="auto"/>
                <w:highlight w:val="none"/>
                <w:lang w:eastAsia="zh-CN"/>
              </w:rPr>
            </w:pPr>
            <w:r>
              <w:rPr>
                <w:rFonts w:hint="eastAsia"/>
                <w:color w:val="auto"/>
                <w:highlight w:val="none"/>
              </w:rPr>
              <w:t>3、风窗：采用304不绣钢板≥1.0mm压型式，风窗要具备存放防霉、防虫药剂盒功能，风窗四角做圆边处理，风窗周边做压型设计，使风窗安装后与门板内部保持平整</w:t>
            </w:r>
            <w:r>
              <w:rPr>
                <w:rFonts w:hint="eastAsia"/>
                <w:color w:val="auto"/>
                <w:highlight w:val="none"/>
                <w:lang w:eastAsia="zh-CN"/>
              </w:rPr>
              <w:t>。</w:t>
            </w:r>
          </w:p>
          <w:p>
            <w:pPr>
              <w:widowControl/>
              <w:jc w:val="left"/>
              <w:textAlignment w:val="center"/>
              <w:rPr>
                <w:color w:val="auto"/>
                <w:highlight w:val="none"/>
              </w:rPr>
            </w:pPr>
            <w:r>
              <w:rPr>
                <w:rFonts w:hint="eastAsia"/>
                <w:color w:val="auto"/>
                <w:highlight w:val="none"/>
              </w:rPr>
              <w:t>4、柜门扣手须与门平齐，采用PVC材料注塑一次成型，耐磨光滑。(不允许3D打印)。</w:t>
            </w:r>
          </w:p>
          <w:p>
            <w:pPr>
              <w:widowControl/>
              <w:jc w:val="left"/>
              <w:textAlignment w:val="center"/>
              <w:rPr>
                <w:color w:val="auto"/>
                <w:highlight w:val="none"/>
              </w:rPr>
            </w:pPr>
            <w:r>
              <w:rPr>
                <w:rFonts w:hint="eastAsia"/>
                <w:color w:val="auto"/>
                <w:highlight w:val="none"/>
              </w:rPr>
              <w:t>5、防潮胶套：用≥60mm（长）×60mm（宽）×70mm（高）不锈钢胶套，保证柜体镶嵌于胶套内部，得到有效的防锈，防水、防潮。</w:t>
            </w:r>
          </w:p>
          <w:p>
            <w:pPr>
              <w:widowControl/>
              <w:jc w:val="left"/>
              <w:textAlignment w:val="center"/>
              <w:rPr>
                <w:color w:val="auto"/>
                <w:highlight w:val="none"/>
              </w:rPr>
            </w:pPr>
            <w:r>
              <w:rPr>
                <w:rFonts w:hint="eastAsia"/>
                <w:color w:val="auto"/>
                <w:highlight w:val="none"/>
              </w:rPr>
              <w:t>6、颜色：柜体为灰白色，门为米黄色。</w:t>
            </w:r>
          </w:p>
          <w:p>
            <w:pPr>
              <w:widowControl/>
              <w:jc w:val="left"/>
              <w:textAlignment w:val="center"/>
              <w:rPr>
                <w:b/>
                <w:bCs/>
                <w:color w:val="auto"/>
                <w:highlight w:val="none"/>
              </w:rPr>
            </w:pPr>
            <w:r>
              <w:rPr>
                <w:rFonts w:hint="eastAsia"/>
                <w:b/>
                <w:bCs/>
                <w:color w:val="auto"/>
                <w:highlight w:val="none"/>
              </w:rPr>
              <w:t>（三）电脑桌及书架</w:t>
            </w:r>
          </w:p>
          <w:p>
            <w:pPr>
              <w:widowControl/>
              <w:jc w:val="left"/>
              <w:textAlignment w:val="center"/>
              <w:rPr>
                <w:color w:val="auto"/>
                <w:highlight w:val="none"/>
              </w:rPr>
            </w:pPr>
            <w:r>
              <w:rPr>
                <w:rFonts w:hint="eastAsia"/>
                <w:color w:val="auto"/>
                <w:highlight w:val="none"/>
              </w:rPr>
              <w:t>1、电脑桌规格参考：1170mm（长）×900mm（宽）×1700mm（高）；书架规格参考：1170mm（长）×300mm（宽）×950mm（高）；桌下柜规格参考：400mm（长）×900mm（宽）×750mm（高）；厚度≥0.8mm钢板。</w:t>
            </w:r>
          </w:p>
          <w:p>
            <w:pPr>
              <w:widowControl/>
              <w:jc w:val="left"/>
              <w:textAlignment w:val="center"/>
              <w:rPr>
                <w:color w:val="auto"/>
                <w:highlight w:val="none"/>
              </w:rPr>
            </w:pPr>
            <w:r>
              <w:rPr>
                <w:rFonts w:hint="eastAsia"/>
                <w:color w:val="auto"/>
                <w:highlight w:val="none"/>
              </w:rPr>
              <w:t>2、桌面采用E1</w:t>
            </w:r>
            <w:r>
              <w:rPr>
                <w:rFonts w:hint="eastAsia"/>
                <w:color w:val="auto"/>
                <w:szCs w:val="21"/>
                <w:highlight w:val="none"/>
              </w:rPr>
              <w:t>高密度纤维板</w:t>
            </w:r>
            <w:r>
              <w:rPr>
                <w:rFonts w:hint="eastAsia"/>
                <w:color w:val="auto"/>
                <w:highlight w:val="none"/>
              </w:rPr>
              <w:t>；桌面厚度为≥25mm；面贴防火板饰面；四周注塑封边一次成型；桌面上部离地高度参考760mm；桌面为L形设计，桌面规格：1170*600/900mm；除桌面为密度板材外其余均为钢制结构。</w:t>
            </w:r>
          </w:p>
          <w:p>
            <w:pPr>
              <w:widowControl/>
              <w:jc w:val="left"/>
              <w:textAlignment w:val="center"/>
              <w:rPr>
                <w:rFonts w:hint="eastAsia"/>
                <w:b/>
                <w:bCs/>
                <w:color w:val="auto"/>
                <w:highlight w:val="none"/>
              </w:rPr>
            </w:pPr>
            <w:r>
              <w:rPr>
                <w:rFonts w:hint="eastAsia"/>
                <w:b/>
                <w:bCs/>
                <w:color w:val="auto"/>
                <w:highlight w:val="none"/>
              </w:rPr>
              <w:t>（四）实木靠背椅（</w:t>
            </w:r>
            <w:r>
              <w:rPr>
                <w:rFonts w:hint="eastAsia"/>
                <w:color w:val="auto"/>
                <w:szCs w:val="21"/>
                <w:highlight w:val="none"/>
              </w:rPr>
              <w:t>公寓椅</w:t>
            </w:r>
            <w:r>
              <w:rPr>
                <w:rFonts w:hint="eastAsia"/>
                <w:b/>
                <w:bCs/>
                <w:color w:val="auto"/>
                <w:highlight w:val="none"/>
              </w:rPr>
              <w:t>）</w:t>
            </w:r>
          </w:p>
          <w:p>
            <w:pPr>
              <w:widowControl/>
              <w:jc w:val="left"/>
              <w:textAlignment w:val="center"/>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规格（约）：430mm（宽）×435mm（深）×830mm（高）</w:t>
            </w:r>
            <w:r>
              <w:rPr>
                <w:rFonts w:hint="eastAsia"/>
                <w:color w:val="auto"/>
                <w:highlight w:val="none"/>
                <w:lang w:eastAsia="zh-CN"/>
              </w:rPr>
              <w:t>。</w:t>
            </w:r>
          </w:p>
          <w:p>
            <w:pPr>
              <w:widowControl/>
              <w:jc w:val="left"/>
              <w:textAlignment w:val="center"/>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座板距地面高参考450</w:t>
            </w:r>
            <w:r>
              <w:rPr>
                <w:color w:val="auto"/>
                <w:highlight w:val="none"/>
              </w:rPr>
              <w:t xml:space="preserve"> mm</w:t>
            </w:r>
            <w:r>
              <w:rPr>
                <w:rFonts w:hint="eastAsia"/>
                <w:color w:val="auto"/>
                <w:highlight w:val="none"/>
              </w:rPr>
              <w:t>；采用红橡木制作，所有材料经干燥、除虫处理</w:t>
            </w:r>
            <w:r>
              <w:rPr>
                <w:rFonts w:hint="eastAsia"/>
                <w:color w:val="auto"/>
                <w:highlight w:val="none"/>
                <w:lang w:eastAsia="zh-CN"/>
              </w:rPr>
              <w:t>。</w:t>
            </w:r>
          </w:p>
          <w:p>
            <w:pPr>
              <w:widowControl/>
              <w:jc w:val="left"/>
              <w:textAlignment w:val="center"/>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采用环保</w:t>
            </w:r>
            <w:r>
              <w:rPr>
                <w:rFonts w:hint="eastAsia"/>
                <w:color w:val="auto"/>
                <w:szCs w:val="21"/>
                <w:highlight w:val="none"/>
              </w:rPr>
              <w:t>聚氨酯油漆</w:t>
            </w:r>
            <w:r>
              <w:rPr>
                <w:rFonts w:hint="eastAsia"/>
                <w:color w:val="auto"/>
                <w:highlight w:val="none"/>
              </w:rPr>
              <w:t>喷涂</w:t>
            </w:r>
            <w:r>
              <w:rPr>
                <w:rFonts w:hint="eastAsia"/>
                <w:color w:val="auto"/>
                <w:highlight w:val="none"/>
                <w:lang w:eastAsia="zh-CN"/>
              </w:rPr>
              <w:t>。</w:t>
            </w:r>
          </w:p>
          <w:p>
            <w:pPr>
              <w:widowControl/>
              <w:jc w:val="left"/>
              <w:textAlignment w:val="center"/>
              <w:rPr>
                <w:color w:val="auto"/>
                <w:highlight w:val="none"/>
              </w:rPr>
            </w:pPr>
            <w:r>
              <w:rPr>
                <w:rFonts w:hint="eastAsia"/>
                <w:color w:val="auto"/>
                <w:highlight w:val="none"/>
                <w:lang w:val="en-US" w:eastAsia="zh-CN"/>
              </w:rPr>
              <w:t>4、</w:t>
            </w:r>
            <w:r>
              <w:rPr>
                <w:rFonts w:hint="eastAsia"/>
                <w:color w:val="auto"/>
                <w:highlight w:val="none"/>
              </w:rPr>
              <w:t>椅子颜色与衣柜门颜色一致。</w:t>
            </w:r>
          </w:p>
          <w:p>
            <w:pPr>
              <w:widowControl/>
              <w:jc w:val="left"/>
              <w:textAlignment w:val="center"/>
              <w:rPr>
                <w:rFonts w:ascii="宋体" w:hAnsi="宋体"/>
                <w:color w:val="auto"/>
                <w:szCs w:val="21"/>
                <w:highlight w:val="none"/>
              </w:rPr>
            </w:pPr>
            <w:r>
              <w:rPr>
                <w:rFonts w:hint="eastAsia"/>
                <w:b/>
                <w:bCs/>
                <w:color w:val="auto"/>
                <w:highlight w:val="none"/>
              </w:rPr>
              <w:t>二、组合式公寓床成品：设计合理，同种颜色应无明显色差，各项技术指标均应符合QB/T2741-2013《学生公寓多功能家具》标准要求。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hAnsi="宋体" w:cs="宋体"/>
                <w:b/>
                <w:bCs/>
                <w:color w:val="auto"/>
                <w:highlight w:val="none"/>
              </w:rPr>
            </w:pPr>
            <w:r>
              <w:rPr>
                <w:rFonts w:hint="eastAsia" w:hAnsi="宋体" w:cs="宋体"/>
                <w:b/>
                <w:bCs/>
                <w:color w:val="auto"/>
                <w:highlight w:val="none"/>
              </w:rPr>
              <w:t>备注：</w:t>
            </w:r>
          </w:p>
          <w:p>
            <w:pPr>
              <w:widowControl/>
              <w:numPr>
                <w:ilvl w:val="0"/>
                <w:numId w:val="0"/>
              </w:numPr>
              <w:jc w:val="left"/>
              <w:textAlignment w:val="center"/>
              <w:rPr>
                <w:rFonts w:ascii="宋体" w:hAnsi="宋体"/>
                <w:b/>
                <w:bCs/>
                <w:color w:val="auto"/>
                <w:szCs w:val="21"/>
                <w:highlight w:val="none"/>
              </w:rPr>
            </w:pPr>
            <w:r>
              <w:rPr>
                <w:rFonts w:hint="default" w:hAnsi="宋体" w:cs="宋体"/>
                <w:b/>
                <w:bCs/>
                <w:color w:val="auto"/>
                <w:highlight w:val="none"/>
                <w:lang w:val="en"/>
              </w:rPr>
              <w:t>1、</w:t>
            </w:r>
            <w:r>
              <w:rPr>
                <w:rFonts w:hint="eastAsia" w:hAnsi="宋体" w:cs="宋体"/>
                <w:b/>
                <w:bCs/>
                <w:color w:val="auto"/>
                <w:highlight w:val="none"/>
              </w:rPr>
              <w:t>材质的要求及材质的厚度须满足或优于采购需求；产品性能须满足或优于用户要求。</w:t>
            </w:r>
          </w:p>
          <w:p>
            <w:pPr>
              <w:widowControl/>
              <w:numPr>
                <w:ilvl w:val="0"/>
                <w:numId w:val="0"/>
              </w:numPr>
              <w:jc w:val="left"/>
              <w:textAlignment w:val="center"/>
              <w:rPr>
                <w:rFonts w:ascii="宋体" w:hAnsi="宋体"/>
                <w:color w:val="auto"/>
                <w:szCs w:val="21"/>
                <w:highlight w:val="none"/>
              </w:rPr>
            </w:pPr>
            <w:r>
              <w:rPr>
                <w:rFonts w:hint="default" w:ascii="宋体" w:hAnsi="宋体" w:cs="宋体"/>
                <w:b/>
                <w:bCs/>
                <w:color w:val="auto"/>
                <w:highlight w:val="none"/>
                <w:lang w:val="en"/>
              </w:rPr>
              <w:t>2、</w:t>
            </w:r>
            <w:r>
              <w:rPr>
                <w:rFonts w:hint="eastAsia" w:ascii="宋体" w:hAnsi="宋体" w:cs="宋体"/>
                <w:b/>
                <w:bCs/>
                <w:color w:val="auto"/>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auto"/>
                <w:szCs w:val="21"/>
                <w:highlight w:val="none"/>
              </w:rPr>
            </w:pPr>
            <w:r>
              <w:rPr>
                <w:rFonts w:hint="eastAsia" w:ascii="宋体" w:hAnsi="宋体"/>
                <w:b/>
                <w:color w:val="auto"/>
                <w:szCs w:val="21"/>
                <w:highlight w:val="none"/>
              </w:rPr>
              <w:t>商务及其他要求表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▲售后服务及其他</w:t>
            </w:r>
          </w:p>
          <w:p>
            <w:pPr>
              <w:jc w:val="center"/>
              <w:rPr>
                <w:rFonts w:ascii="宋体" w:hAnsi="宋体"/>
                <w:color w:val="auto"/>
                <w:szCs w:val="21"/>
                <w:highlight w:val="none"/>
              </w:rPr>
            </w:pPr>
            <w:r>
              <w:rPr>
                <w:rFonts w:hint="eastAsia" w:ascii="宋体" w:hAnsi="宋体"/>
                <w:color w:val="auto"/>
                <w:szCs w:val="21"/>
                <w:highlight w:val="none"/>
              </w:rPr>
              <w:t>要求</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1、合同签订期：自中标通知书发出之日起 10日历日内。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2、交付使用时间：自合同签订之日起20 日内交付到指定地点存放，在接到甲方的安装通知后，20天内安装验收完毕。</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3、交货地点：（采购人指定地点）。</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4、交货方式：现场交货。</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5、售后服务要求：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（1）送货上门，按现场条件全程免费安装调试，直至最终验收合格前产生的所有费用由中标供应商承担；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（2）免费保修期：对所售货物提供五年的上门全免费保修期，保修期内非人为因素发生的故障均由中标供应商免费维修或更换，质保期外维修的零配件需优惠（折扣率20%）；</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（3）质量保证期：所有家具的质量保证期不少于五年，在此保证期内，如在正常使用过程中出现的质量问题，供应商须负责免费维修或调换；</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（4）故障响应时间：货物发生故障时，在接到采购人通知后24小时内到达现场处理，一般故障处理时限不超过12小时，12小时内不能修复的，提供替代品；</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（5）验收所需工具、器材由中标供应商自理；各项性能指标达到技术要求的，由供需双方共同签字认可，现场验收；</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▲验收标准</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1、所供产品的规格、数量符合招标文件、供应商投标承诺及采购合同约定的要求。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2、所供产品的材质、颜色符合招标文件、供应商投标承诺及采购合同约定的要求。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3、所供产品的外观完好，无严重碰撞、表皮脱落、五金件生锈等明显瑕疵。</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4、所供产品结构牢固，无安全隐患。</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5、如有抽检要求的，检测结果符合招标文件、供应商投标承诺及采购合同约定的要求。</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6、所有产品均已运输至指定地点，并安装调试完毕。</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7、招标文件、供应商投标承诺及采购合同约定的附件、工具、技术资料等齐全；提供产品使用说明书、合格证明材料。</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8、为保证产品品质，批量供货前需提供符合竞标文件要求的产品一套进行验收，验收通过后方可批量供货，不合格采购人有权上报相关部门处理。</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9、验收时采购人对家具进行对照技术参数逐项检测，由采购人委托第三方根据项目内容进行检测，检验结果不合格的或不符合技术参数的不予验收并做退货处理，由此产生的一切后果由供应商承担。</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10、如中标供应商不能按约定时间交货，将上报政府采购监管部门处理。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▲投标报价</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投标报价为采购人指定地点的现场交货价，包括：</w:t>
            </w:r>
          </w:p>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（1）货物的价格：包括货款、零配件、安装调试费、验收费；</w:t>
            </w:r>
          </w:p>
          <w:p>
            <w:pPr>
              <w:pStyle w:val="27"/>
              <w:snapToGrid w:val="0"/>
              <w:spacing w:line="400" w:lineRule="exact"/>
              <w:outlineLvl w:val="0"/>
              <w:rPr>
                <w:rFonts w:hint="eastAsia" w:hAnsi="宋体" w:cs="Times New Roman"/>
                <w:color w:val="auto"/>
                <w:highlight w:val="none"/>
                <w:lang w:val="en"/>
              </w:rPr>
            </w:pPr>
            <w:r>
              <w:rPr>
                <w:rFonts w:hint="eastAsia" w:hAnsi="宋体" w:cs="Times New Roman"/>
                <w:color w:val="auto"/>
                <w:highlight w:val="none"/>
              </w:rPr>
              <w:t>（2）货物的标准附件、备品备件、专用工具的价格</w:t>
            </w:r>
            <w:r>
              <w:rPr>
                <w:rFonts w:hint="eastAsia" w:hAnsi="宋体" w:cs="Times New Roman"/>
                <w:color w:val="auto"/>
                <w:highlight w:val="none"/>
                <w:lang w:val="en"/>
              </w:rPr>
              <w:t>；</w:t>
            </w:r>
          </w:p>
          <w:p>
            <w:pPr>
              <w:pStyle w:val="27"/>
              <w:snapToGrid w:val="0"/>
              <w:spacing w:line="400" w:lineRule="exact"/>
              <w:outlineLvl w:val="0"/>
              <w:rPr>
                <w:rFonts w:hint="eastAsia" w:hAnsi="宋体" w:cs="Times New Roman"/>
                <w:color w:val="auto"/>
                <w:highlight w:val="none"/>
              </w:rPr>
            </w:pPr>
            <w:r>
              <w:rPr>
                <w:rFonts w:hint="eastAsia" w:hAnsi="宋体" w:cs="Times New Roman"/>
                <w:color w:val="auto"/>
                <w:highlight w:val="none"/>
              </w:rPr>
              <w:t>（3）运输、装卸、调试、培训、技术支持、售后服务费；</w:t>
            </w:r>
          </w:p>
          <w:p>
            <w:pPr>
              <w:pStyle w:val="27"/>
              <w:snapToGrid w:val="0"/>
              <w:spacing w:line="400" w:lineRule="exact"/>
              <w:outlineLvl w:val="0"/>
              <w:rPr>
                <w:rFonts w:hAnsi="宋体" w:cs="Times New Roman"/>
                <w:color w:val="auto"/>
                <w:highlight w:val="none"/>
              </w:rPr>
            </w:pPr>
            <w:r>
              <w:rPr>
                <w:rFonts w:hint="eastAsia" w:hAnsi="宋体" w:cs="Times New Roman"/>
                <w:color w:val="auto"/>
                <w:highlight w:val="none"/>
              </w:rPr>
              <w:t>（4）货物的二次搬运产生的相关费用，按采购人要求进行摆放的费用。</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注：投标人自行考虑完成项目所需的辅材、零配件等数量</w:t>
            </w:r>
            <w:r>
              <w:rPr>
                <w:rFonts w:hint="eastAsia" w:ascii="宋体" w:hAnsi="宋体"/>
                <w:color w:val="auto"/>
                <w:szCs w:val="21"/>
                <w:highlight w:val="none"/>
                <w:lang w:val="en-US" w:eastAsia="zh-CN"/>
              </w:rPr>
              <w:t>及从存放点运至安装点所需通过小车、人力或其他方式进行第二次或多次转运所产生的费用</w:t>
            </w:r>
            <w:r>
              <w:rPr>
                <w:rFonts w:hint="eastAsia" w:ascii="宋体" w:hAnsi="宋体"/>
                <w:color w:val="auto"/>
                <w:szCs w:val="21"/>
                <w:highlight w:val="none"/>
              </w:rPr>
              <w:t>，投标报价中应包含全部内容，中标后采购人不再另行支付额外费用。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▲付款方式</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合同签订后并向中标供应商发出订货通知10个工作日内，乙方开具合同总价款的 30%的等额价值保函(保函有效期</w:t>
            </w:r>
            <w:r>
              <w:rPr>
                <w:rFonts w:hint="eastAsia" w:ascii="宋体" w:hAnsi="宋体"/>
                <w:color w:val="auto"/>
                <w:szCs w:val="21"/>
                <w:highlight w:val="none"/>
                <w:lang w:eastAsia="zh-CN"/>
              </w:rPr>
              <w:t>为自签订合同起</w:t>
            </w:r>
            <w:r>
              <w:rPr>
                <w:rFonts w:hint="eastAsia" w:ascii="宋体" w:hAnsi="宋体"/>
                <w:color w:val="auto"/>
                <w:szCs w:val="21"/>
                <w:highlight w:val="none"/>
                <w:lang w:val="en-US" w:eastAsia="zh-CN"/>
              </w:rPr>
              <w:t>6个月内</w:t>
            </w:r>
            <w:r>
              <w:rPr>
                <w:rFonts w:hint="eastAsia"/>
                <w:color w:val="auto"/>
                <w:highlight w:val="none"/>
              </w:rPr>
              <w:t>，保函到期前，若项目未完成，</w:t>
            </w:r>
            <w:r>
              <w:rPr>
                <w:rFonts w:hint="eastAsia"/>
                <w:color w:val="auto"/>
                <w:highlight w:val="none"/>
                <w:lang w:eastAsia="zh-CN"/>
              </w:rPr>
              <w:t>中标供应商</w:t>
            </w:r>
            <w:r>
              <w:rPr>
                <w:rFonts w:hint="eastAsia"/>
                <w:color w:val="auto"/>
                <w:highlight w:val="none"/>
              </w:rPr>
              <w:t>须在保函到期前提前1个月提交新一期保函</w:t>
            </w:r>
            <w:r>
              <w:rPr>
                <w:rFonts w:hint="eastAsia" w:ascii="宋体" w:hAnsi="宋体"/>
                <w:color w:val="auto"/>
                <w:szCs w:val="21"/>
                <w:highlight w:val="none"/>
              </w:rPr>
              <w:t>)给甲方后，甲方向中标供应商支付合同价款30%预付款（中标供应商须先提供相应合法发票），交货验收合格后，中标供应商开具合法发票给采购人，采购人收到发票后在20个工作日内一次性付清尾款（合同价款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hAnsi="宋体"/>
                <w:color w:val="auto"/>
                <w:szCs w:val="21"/>
                <w:highlight w:val="none"/>
              </w:rPr>
            </w:pPr>
            <w:r>
              <w:rPr>
                <w:rFonts w:hint="eastAsia" w:hAnsi="宋体"/>
                <w:color w:val="auto"/>
                <w:szCs w:val="21"/>
                <w:highlight w:val="none"/>
              </w:rPr>
              <w:t>1、履约保证金金额：中标金额的 5 %</w:t>
            </w:r>
            <w:r>
              <w:rPr>
                <w:rFonts w:hint="eastAsia" w:ascii="宋体" w:hAnsi="宋体" w:cs="宋体"/>
                <w:color w:val="auto"/>
                <w:szCs w:val="21"/>
                <w:highlight w:val="none"/>
              </w:rPr>
              <w:t>（如中标供应商为中小企业的，按本项目中标总金额的2%）收取</w:t>
            </w:r>
            <w:r>
              <w:rPr>
                <w:rFonts w:hint="eastAsia" w:hAnsi="宋体"/>
                <w:color w:val="auto"/>
                <w:szCs w:val="21"/>
                <w:highlight w:val="none"/>
              </w:rPr>
              <w:t>。</w:t>
            </w:r>
          </w:p>
          <w:p>
            <w:pPr>
              <w:spacing w:line="360" w:lineRule="exact"/>
              <w:jc w:val="left"/>
              <w:rPr>
                <w:rFonts w:hint="eastAsia" w:hAnsi="宋体"/>
                <w:color w:val="auto"/>
                <w:szCs w:val="21"/>
                <w:highlight w:val="none"/>
              </w:rPr>
            </w:pPr>
            <w:r>
              <w:rPr>
                <w:rFonts w:hint="eastAsia" w:hAnsi="宋体"/>
                <w:color w:val="auto"/>
                <w:szCs w:val="21"/>
                <w:highlight w:val="none"/>
              </w:rPr>
              <w:t>2、履约保证金递交方式：支票、汇票、本票、网上银行等非现金形式。</w:t>
            </w:r>
          </w:p>
          <w:p>
            <w:pPr>
              <w:spacing w:line="360" w:lineRule="exact"/>
              <w:jc w:val="left"/>
              <w:rPr>
                <w:rFonts w:hint="eastAsia" w:hAnsi="宋体"/>
                <w:color w:val="auto"/>
                <w:szCs w:val="21"/>
                <w:highlight w:val="none"/>
              </w:rPr>
            </w:pPr>
            <w:r>
              <w:rPr>
                <w:rFonts w:hint="eastAsia" w:hAnsi="宋体"/>
                <w:color w:val="auto"/>
                <w:szCs w:val="21"/>
                <w:highlight w:val="none"/>
              </w:rPr>
              <w:t>3、履约保证金递交时间：签订合同后5个工作日内由成交方转入采购人指定保证金账户。</w:t>
            </w:r>
          </w:p>
          <w:p>
            <w:pPr>
              <w:spacing w:line="360" w:lineRule="exact"/>
              <w:jc w:val="left"/>
              <w:rPr>
                <w:rFonts w:hint="eastAsia" w:hAnsi="宋体"/>
                <w:color w:val="auto"/>
                <w:szCs w:val="21"/>
                <w:highlight w:val="none"/>
              </w:rPr>
            </w:pPr>
            <w:r>
              <w:rPr>
                <w:rFonts w:hint="eastAsia" w:hAnsi="宋体"/>
                <w:color w:val="auto"/>
                <w:szCs w:val="21"/>
                <w:highlight w:val="none"/>
              </w:rPr>
              <w:t>4、履约保证金退还：验收合格后无质量问题，</w:t>
            </w:r>
            <w:r>
              <w:rPr>
                <w:rFonts w:hint="eastAsia" w:ascii="宋体" w:hAnsi="宋体" w:cs="宋体"/>
                <w:color w:val="auto"/>
                <w:szCs w:val="21"/>
                <w:highlight w:val="none"/>
              </w:rPr>
              <w:t>中标供应商</w:t>
            </w:r>
            <w:r>
              <w:rPr>
                <w:rFonts w:hint="eastAsia" w:hAnsi="宋体"/>
                <w:color w:val="auto"/>
                <w:szCs w:val="21"/>
                <w:highlight w:val="none"/>
              </w:rPr>
              <w:t>提供《政府采购项目履约保证金退付意见书》及《政府采购项目合同验收报告》，向采购人提出书面申请退还，采购人在收到申请后二十个工作日内以银行转账方式无息退还。</w:t>
            </w:r>
          </w:p>
          <w:p>
            <w:pPr>
              <w:spacing w:line="360" w:lineRule="exact"/>
              <w:jc w:val="left"/>
              <w:rPr>
                <w:rFonts w:hint="eastAsia" w:hAnsi="宋体"/>
                <w:color w:val="auto"/>
                <w:szCs w:val="21"/>
                <w:highlight w:val="none"/>
              </w:rPr>
            </w:pPr>
            <w:r>
              <w:rPr>
                <w:rFonts w:hint="eastAsia" w:hAnsi="宋体"/>
                <w:color w:val="auto"/>
                <w:szCs w:val="21"/>
                <w:highlight w:val="none"/>
              </w:rPr>
              <w:t xml:space="preserve">保证金指定账户： </w:t>
            </w:r>
          </w:p>
          <w:p>
            <w:pPr>
              <w:spacing w:line="360" w:lineRule="exact"/>
              <w:jc w:val="left"/>
              <w:rPr>
                <w:rFonts w:hint="eastAsia" w:hAnsi="宋体"/>
                <w:color w:val="auto"/>
                <w:szCs w:val="21"/>
                <w:highlight w:val="none"/>
              </w:rPr>
            </w:pPr>
            <w:r>
              <w:rPr>
                <w:rFonts w:hint="eastAsia" w:hAnsi="宋体"/>
                <w:color w:val="auto"/>
                <w:szCs w:val="21"/>
                <w:highlight w:val="none"/>
              </w:rPr>
              <w:t>开户名：广西艺术学院</w:t>
            </w:r>
          </w:p>
          <w:p>
            <w:pPr>
              <w:spacing w:line="360" w:lineRule="exact"/>
              <w:jc w:val="left"/>
              <w:rPr>
                <w:rFonts w:hint="eastAsia" w:hAnsi="宋体"/>
                <w:color w:val="auto"/>
                <w:szCs w:val="21"/>
                <w:highlight w:val="none"/>
              </w:rPr>
            </w:pPr>
            <w:r>
              <w:rPr>
                <w:rFonts w:hint="eastAsia" w:hAnsi="宋体"/>
                <w:color w:val="auto"/>
                <w:szCs w:val="21"/>
                <w:highlight w:val="none"/>
              </w:rPr>
              <w:t>开户行：建行南宁市桃源支行</w:t>
            </w:r>
          </w:p>
          <w:p>
            <w:pPr>
              <w:spacing w:line="360" w:lineRule="exact"/>
              <w:jc w:val="left"/>
              <w:rPr>
                <w:rFonts w:hint="eastAsia" w:ascii="宋体" w:hAnsi="宋体"/>
                <w:color w:val="auto"/>
                <w:szCs w:val="21"/>
                <w:highlight w:val="none"/>
              </w:rPr>
            </w:pPr>
            <w:r>
              <w:rPr>
                <w:rFonts w:hint="eastAsia" w:hAnsi="宋体"/>
                <w:color w:val="auto"/>
                <w:szCs w:val="21"/>
                <w:highlight w:val="none"/>
              </w:rPr>
              <w:t>账 号：45001604559050500909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▲本项目</w:t>
            </w:r>
          </w:p>
          <w:p>
            <w:pPr>
              <w:ind w:firstLine="210" w:firstLineChars="100"/>
              <w:jc w:val="center"/>
              <w:rPr>
                <w:rFonts w:ascii="宋体" w:hAnsi="宋体"/>
                <w:color w:val="auto"/>
                <w:szCs w:val="21"/>
                <w:highlight w:val="none"/>
              </w:rPr>
            </w:pPr>
            <w:r>
              <w:rPr>
                <w:rFonts w:hint="eastAsia" w:ascii="宋体" w:hAnsi="宋体"/>
                <w:color w:val="auto"/>
                <w:szCs w:val="21"/>
                <w:highlight w:val="none"/>
              </w:rPr>
              <w:t>核心产品</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组合式公寓床  </w:t>
            </w:r>
            <w:r>
              <w:rPr>
                <w:rFonts w:hint="eastAsia" w:ascii="宋体" w:hAnsi="宋体"/>
                <w:color w:val="auto"/>
                <w:szCs w:val="21"/>
                <w:highlight w:val="none"/>
              </w:rPr>
              <w:t>（核心产品品牌相同的，视为提供同品牌产品）</w:t>
            </w:r>
          </w:p>
          <w:p>
            <w:pPr>
              <w:adjustRightInd w:val="0"/>
              <w:snapToGrid w:val="0"/>
              <w:rPr>
                <w:rFonts w:ascii="宋体" w:hAnsi="宋体"/>
                <w:color w:val="auto"/>
                <w:szCs w:val="21"/>
                <w:highlight w:val="none"/>
              </w:rPr>
            </w:pPr>
            <w:r>
              <w:rPr>
                <w:rFonts w:hint="eastAsia" w:ascii="宋体" w:hAnsi="宋体"/>
                <w:color w:val="auto"/>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投标样品（小样）要求</w:t>
            </w:r>
          </w:p>
        </w:tc>
        <w:tc>
          <w:tcPr>
            <w:tcW w:w="80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olor w:val="auto"/>
                <w:highlight w:val="none"/>
              </w:rPr>
            </w:pPr>
            <w:r>
              <w:rPr>
                <w:rFonts w:hint="eastAsia" w:hAnsi="宋体"/>
                <w:color w:val="auto"/>
                <w:szCs w:val="21"/>
                <w:highlight w:val="none"/>
              </w:rPr>
              <w:t>投标时请提供小样：</w:t>
            </w:r>
            <w:r>
              <w:rPr>
                <w:rFonts w:hint="eastAsia"/>
                <w:color w:val="auto"/>
                <w:highlight w:val="none"/>
              </w:rPr>
              <w:t xml:space="preserve"> </w:t>
            </w:r>
          </w:p>
          <w:tbl>
            <w:tblPr>
              <w:tblStyle w:val="52"/>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95"/>
              <w:gridCol w:w="709"/>
              <w:gridCol w:w="24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b/>
                      <w:bCs/>
                      <w:color w:val="auto"/>
                      <w:szCs w:val="21"/>
                      <w:highlight w:val="none"/>
                    </w:rPr>
                  </w:pPr>
                  <w:r>
                    <w:rPr>
                      <w:rFonts w:hint="eastAsia" w:hAnsi="宋体"/>
                      <w:b/>
                      <w:bCs/>
                      <w:color w:val="auto"/>
                      <w:szCs w:val="21"/>
                      <w:highlight w:val="none"/>
                    </w:rPr>
                    <w:t>序号</w:t>
                  </w:r>
                </w:p>
              </w:tc>
              <w:tc>
                <w:tcPr>
                  <w:tcW w:w="1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b/>
                      <w:bCs/>
                      <w:color w:val="auto"/>
                      <w:szCs w:val="21"/>
                      <w:highlight w:val="none"/>
                    </w:rPr>
                  </w:pPr>
                  <w:r>
                    <w:rPr>
                      <w:rFonts w:hint="eastAsia" w:hAnsi="宋体"/>
                      <w:b/>
                      <w:bCs/>
                      <w:color w:val="auto"/>
                      <w:szCs w:val="21"/>
                      <w:highlight w:val="none"/>
                    </w:rPr>
                    <w:t>小样名称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b/>
                      <w:bCs/>
                      <w:color w:val="auto"/>
                      <w:szCs w:val="21"/>
                      <w:highlight w:val="none"/>
                    </w:rPr>
                  </w:pPr>
                  <w:r>
                    <w:rPr>
                      <w:rFonts w:hint="eastAsia" w:hAnsi="宋体"/>
                      <w:b/>
                      <w:bCs/>
                      <w:color w:val="auto"/>
                      <w:szCs w:val="21"/>
                      <w:highlight w:val="none"/>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b/>
                      <w:bCs/>
                      <w:color w:val="auto"/>
                      <w:szCs w:val="21"/>
                      <w:highlight w:val="none"/>
                    </w:rPr>
                  </w:pPr>
                  <w:r>
                    <w:rPr>
                      <w:rFonts w:hint="eastAsia" w:hAnsi="宋体"/>
                      <w:b/>
                      <w:bCs/>
                      <w:color w:val="auto"/>
                      <w:szCs w:val="21"/>
                      <w:highlight w:val="none"/>
                    </w:rPr>
                    <w:t>规格</w:t>
                  </w:r>
                </w:p>
              </w:tc>
              <w:tc>
                <w:tcPr>
                  <w:tcW w:w="1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Ansi="宋体"/>
                      <w:b/>
                      <w:bCs/>
                      <w:color w:val="auto"/>
                      <w:szCs w:val="21"/>
                      <w:highlight w:val="none"/>
                    </w:rPr>
                  </w:pPr>
                  <w:r>
                    <w:rPr>
                      <w:rFonts w:hint="eastAsia" w:hAnsi="宋体"/>
                      <w:b/>
                      <w:bCs/>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w:t>
                  </w:r>
                </w:p>
              </w:tc>
              <w:tc>
                <w:tcPr>
                  <w:tcW w:w="1795" w:type="dxa"/>
                  <w:tcBorders>
                    <w:top w:val="single" w:color="auto" w:sz="4" w:space="0"/>
                    <w:left w:val="single" w:color="auto" w:sz="4" w:space="0"/>
                    <w:bottom w:val="single" w:color="auto" w:sz="4" w:space="0"/>
                    <w:right w:val="single" w:color="auto" w:sz="4" w:space="0"/>
                  </w:tcBorders>
                  <w:vAlign w:val="center"/>
                </w:tcPr>
                <w:p>
                  <w:pPr>
                    <w:jc w:val="both"/>
                    <w:rPr>
                      <w:rFonts w:hint="eastAsia" w:hAnsi="宋体"/>
                      <w:color w:val="auto"/>
                      <w:szCs w:val="21"/>
                      <w:highlight w:val="none"/>
                    </w:rPr>
                  </w:pPr>
                  <w:r>
                    <w:rPr>
                      <w:rFonts w:hint="eastAsia" w:hAnsi="宋体" w:cs="宋体"/>
                      <w:color w:val="auto"/>
                      <w:szCs w:val="21"/>
                      <w:highlight w:val="none"/>
                      <w:lang w:val="en-US" w:eastAsia="zh-CN"/>
                    </w:rPr>
                    <w:t xml:space="preserve">  </w:t>
                  </w:r>
                  <w:r>
                    <w:rPr>
                      <w:rFonts w:hint="eastAsia" w:hAnsi="宋体" w:cs="宋体"/>
                      <w:color w:val="auto"/>
                      <w:szCs w:val="21"/>
                      <w:highlight w:val="none"/>
                    </w:rPr>
                    <w:t>床架-立柱管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p>
                <w:p>
                  <w:pPr>
                    <w:jc w:val="center"/>
                    <w:rPr>
                      <w:rFonts w:hAnsi="宋体" w:cs="宋体"/>
                      <w:color w:val="auto"/>
                      <w:szCs w:val="21"/>
                      <w:highlight w:val="none"/>
                    </w:rPr>
                  </w:pPr>
                  <w:r>
                    <w:rPr>
                      <w:rFonts w:hint="eastAsia" w:hAnsi="宋体" w:cs="宋体"/>
                      <w:color w:val="auto"/>
                      <w:szCs w:val="21"/>
                      <w:highlight w:val="none"/>
                    </w:rPr>
                    <w:t>床架-横梁</w:t>
                  </w:r>
                </w:p>
                <w:p>
                  <w:pPr>
                    <w:jc w:val="center"/>
                    <w:rPr>
                      <w:rFonts w:hint="eastAsia"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w:t>
                  </w:r>
                </w:p>
              </w:tc>
              <w:tc>
                <w:tcPr>
                  <w:tcW w:w="179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hint="eastAsia" w:hAnsi="宋体"/>
                      <w:color w:val="auto"/>
                      <w:szCs w:val="21"/>
                      <w:highlight w:val="none"/>
                    </w:rPr>
                  </w:pPr>
                  <w:r>
                    <w:rPr>
                      <w:rFonts w:hint="eastAsia" w:hAnsi="宋体" w:cs="宋体"/>
                      <w:color w:val="auto"/>
                      <w:szCs w:val="21"/>
                      <w:highlight w:val="none"/>
                    </w:rPr>
                    <w:t xml:space="preserve"> 床架-横担</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4</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 xml:space="preserve">   床架- 后拉杆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r>
                    <w:rPr>
                      <w:rFonts w:hint="eastAsia" w:hAnsi="宋体" w:cs="宋体"/>
                      <w:color w:val="auto"/>
                      <w:szCs w:val="21"/>
                      <w:highlight w:val="none"/>
                    </w:rPr>
                    <w:t>一根裸管</w:t>
                  </w:r>
                </w:p>
                <w:p>
                  <w:pPr>
                    <w:jc w:val="center"/>
                    <w:rPr>
                      <w:rFonts w:hint="eastAsia" w:hAnsi="宋体"/>
                      <w:color w:val="auto"/>
                      <w:szCs w:val="21"/>
                      <w:highlight w:val="none"/>
                    </w:rPr>
                  </w:pPr>
                  <w:r>
                    <w:rPr>
                      <w:rFonts w:hint="eastAsia" w:hAnsi="宋体" w:cs="宋体"/>
                      <w:color w:val="auto"/>
                      <w:szCs w:val="21"/>
                      <w:highlight w:val="none"/>
                    </w:rPr>
                    <w:t>一根喷涂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5</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床架-立柱下横梁</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highlight w:val="none"/>
                    </w:rPr>
                  </w:pPr>
                </w:p>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6</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床架-床头竖管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2根</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hint="eastAsia" w:hAnsi="宋体"/>
                      <w:color w:val="auto"/>
                      <w:szCs w:val="21"/>
                      <w:highlight w:val="none"/>
                    </w:rPr>
                  </w:pPr>
                  <w:r>
                    <w:rPr>
                      <w:rFonts w:hint="eastAsia" w:hAnsi="宋体" w:cs="宋体"/>
                      <w:color w:val="auto"/>
                      <w:szCs w:val="21"/>
                      <w:highlight w:val="none"/>
                    </w:rPr>
                    <w:t>≥长度500mm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7</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学习桌面</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≥300*200*25mm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8</w:t>
                  </w:r>
                </w:p>
              </w:tc>
              <w:tc>
                <w:tcPr>
                  <w:tcW w:w="1795"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1"/>
                      <w:highlight w:val="none"/>
                    </w:rPr>
                  </w:pPr>
                  <w:r>
                    <w:rPr>
                      <w:rFonts w:hint="eastAsia" w:hAnsi="宋体" w:cs="宋体"/>
                      <w:color w:val="auto"/>
                      <w:szCs w:val="21"/>
                      <w:highlight w:val="none"/>
                    </w:rPr>
                    <w:t xml:space="preserve">     床板</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≥300*300mm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9</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防滑踏板</w:t>
                  </w:r>
                </w:p>
              </w:tc>
              <w:tc>
                <w:tcPr>
                  <w:tcW w:w="709"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hint="eastAsia" w:hAnsi="宋体"/>
                      <w:color w:val="auto"/>
                      <w:szCs w:val="21"/>
                      <w:highlight w:val="none"/>
                    </w:rPr>
                  </w:pPr>
                  <w:r>
                    <w:rPr>
                      <w:rFonts w:hint="eastAsia" w:hAnsi="宋体" w:cs="宋体"/>
                      <w:color w:val="auto"/>
                      <w:szCs w:val="21"/>
                      <w:highlight w:val="none"/>
                    </w:rPr>
                    <w:t>1块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10</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衣柜-</w:t>
                  </w:r>
                  <w:r>
                    <w:rPr>
                      <w:rFonts w:hint="eastAsia" w:hAnsi="宋体" w:cs="宋体"/>
                      <w:color w:val="auto"/>
                      <w:szCs w:val="21"/>
                      <w:highlight w:val="none"/>
                    </w:rPr>
                    <w:t>拉手</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735" w:firstLineChars="350"/>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11</w:t>
                  </w:r>
                </w:p>
              </w:tc>
              <w:tc>
                <w:tcPr>
                  <w:tcW w:w="1795" w:type="dxa"/>
                  <w:tcBorders>
                    <w:top w:val="single" w:color="auto" w:sz="4" w:space="0"/>
                    <w:left w:val="single" w:color="auto" w:sz="4" w:space="0"/>
                    <w:bottom w:val="single" w:color="auto" w:sz="4" w:space="0"/>
                    <w:right w:val="single" w:color="auto" w:sz="4" w:space="0"/>
                  </w:tcBorders>
                  <w:vAlign w:val="center"/>
                </w:tcPr>
                <w:p>
                  <w:pPr>
                    <w:jc w:val="both"/>
                    <w:rPr>
                      <w:rFonts w:hint="eastAsia" w:hAnsi="宋体"/>
                      <w:color w:val="auto"/>
                      <w:szCs w:val="21"/>
                      <w:highlight w:val="none"/>
                    </w:rPr>
                  </w:pPr>
                  <w:r>
                    <w:rPr>
                      <w:rFonts w:hint="eastAsia" w:hAnsi="宋体" w:cs="宋体"/>
                      <w:color w:val="auto"/>
                      <w:szCs w:val="21"/>
                      <w:highlight w:val="none"/>
                    </w:rPr>
                    <w:t>衣柜</w:t>
                  </w:r>
                  <w:r>
                    <w:rPr>
                      <w:rFonts w:hint="eastAsia"/>
                      <w:color w:val="auto"/>
                      <w:highlight w:val="none"/>
                    </w:rPr>
                    <w:t>—</w:t>
                  </w:r>
                  <w:r>
                    <w:rPr>
                      <w:rFonts w:hint="eastAsia" w:hAnsi="宋体" w:cs="宋体"/>
                      <w:color w:val="auto"/>
                      <w:szCs w:val="21"/>
                      <w:highlight w:val="none"/>
                    </w:rPr>
                    <w:t>防潮胶套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12</w:t>
                  </w:r>
                </w:p>
              </w:tc>
              <w:tc>
                <w:tcPr>
                  <w:tcW w:w="179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hAnsi="宋体"/>
                      <w:color w:val="auto"/>
                      <w:szCs w:val="21"/>
                      <w:highlight w:val="none"/>
                    </w:rPr>
                  </w:pPr>
                  <w:r>
                    <w:rPr>
                      <w:rFonts w:hint="eastAsia"/>
                      <w:color w:val="auto"/>
                      <w:highlight w:val="none"/>
                    </w:rPr>
                    <w:t>衣柜-门板（配锁具）</w:t>
                  </w:r>
                  <w:r>
                    <w:rPr>
                      <w:rFonts w:hint="eastAsia" w:hAnsi="宋体" w:cs="宋体"/>
                      <w:color w:val="auto"/>
                      <w:szCs w:val="21"/>
                      <w:highlight w:val="none"/>
                    </w:rPr>
                    <w:t>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1个</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≥500*500mm</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13</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color w:val="auto"/>
                      <w:highlight w:val="none"/>
                    </w:rPr>
                    <w:t>连接扣件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r>
                    <w:rPr>
                      <w:rFonts w:hint="eastAsia" w:hAnsi="宋体" w:cs="宋体"/>
                      <w:color w:val="auto"/>
                      <w:szCs w:val="21"/>
                      <w:highlight w:val="none"/>
                    </w:rPr>
                    <w:t>一块</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Cs w:val="21"/>
                      <w:highlight w:val="none"/>
                    </w:rPr>
                  </w:pPr>
                </w:p>
              </w:tc>
            </w:tr>
          </w:tbl>
          <w:p>
            <w:pPr>
              <w:adjustRightInd w:val="0"/>
              <w:snapToGrid w:val="0"/>
              <w:rPr>
                <w:rFonts w:hint="eastAsia" w:ascii="宋体" w:hAnsi="宋体"/>
                <w:color w:val="auto"/>
                <w:szCs w:val="21"/>
                <w:highlight w:val="none"/>
              </w:rPr>
            </w:pPr>
          </w:p>
          <w:p>
            <w:pPr>
              <w:widowControl/>
              <w:jc w:val="left"/>
              <w:rPr>
                <w:rFonts w:hint="eastAsia" w:ascii="宋体" w:hAnsi="宋体"/>
                <w:b/>
                <w:color w:val="auto"/>
                <w:szCs w:val="21"/>
                <w:highlight w:val="none"/>
              </w:rPr>
            </w:pPr>
            <w:r>
              <w:rPr>
                <w:rFonts w:hint="eastAsia" w:ascii="宋体" w:hAnsi="宋体"/>
                <w:b/>
                <w:color w:val="auto"/>
                <w:szCs w:val="21"/>
                <w:highlight w:val="none"/>
              </w:rPr>
              <w:t>备注：</w:t>
            </w:r>
          </w:p>
          <w:p>
            <w:pPr>
              <w:widowControl/>
              <w:ind w:firstLine="105" w:firstLineChars="50"/>
              <w:jc w:val="left"/>
              <w:rPr>
                <w:rFonts w:hint="eastAsia" w:ascii="宋体" w:hAnsi="宋体"/>
                <w:color w:val="auto"/>
                <w:szCs w:val="21"/>
                <w:highlight w:val="none"/>
              </w:rPr>
            </w:pPr>
            <w:r>
              <w:rPr>
                <w:rFonts w:hint="eastAsia" w:ascii="宋体" w:hAnsi="宋体"/>
                <w:color w:val="auto"/>
                <w:szCs w:val="21"/>
                <w:highlight w:val="none"/>
              </w:rPr>
              <w:t>(1) 小样只是作为加分项，不作为投标的必须要求；小样的规格尺寸不作为评定要求。</w:t>
            </w:r>
          </w:p>
          <w:p>
            <w:pPr>
              <w:rPr>
                <w:rFonts w:hint="eastAsia" w:ascii="宋体" w:hAnsi="宋体"/>
                <w:color w:val="auto"/>
                <w:szCs w:val="21"/>
                <w:highlight w:val="none"/>
              </w:rPr>
            </w:pPr>
            <w:r>
              <w:rPr>
                <w:rFonts w:hint="eastAsia" w:ascii="宋体" w:hAnsi="宋体"/>
                <w:color w:val="auto"/>
                <w:szCs w:val="21"/>
                <w:highlight w:val="none"/>
              </w:rPr>
              <w:t>（2）小样递交时间：</w:t>
            </w:r>
            <w:r>
              <w:rPr>
                <w:rFonts w:hint="eastAsia" w:ascii="宋体" w:hAnsi="宋体"/>
                <w:b/>
                <w:bCs/>
                <w:color w:val="auto"/>
                <w:szCs w:val="21"/>
                <w:highlight w:val="none"/>
              </w:rPr>
              <w:t>为开标当天提交</w:t>
            </w:r>
            <w:r>
              <w:rPr>
                <w:rFonts w:hint="eastAsia"/>
                <w:b/>
                <w:bCs/>
                <w:color w:val="auto"/>
                <w:highlight w:val="none"/>
              </w:rPr>
              <w:t>投标文件截止时间前</w:t>
            </w:r>
            <w:r>
              <w:rPr>
                <w:rFonts w:hint="eastAsia"/>
                <w:b/>
                <w:color w:val="auto"/>
                <w:highlight w:val="none"/>
              </w:rPr>
              <w:t>；</w:t>
            </w:r>
            <w:r>
              <w:rPr>
                <w:rFonts w:hint="eastAsia" w:ascii="宋体" w:hAnsi="宋体"/>
                <w:color w:val="auto"/>
                <w:szCs w:val="21"/>
                <w:highlight w:val="none"/>
              </w:rPr>
              <w:t>提交小样的地点：</w:t>
            </w:r>
            <w:r>
              <w:rPr>
                <w:b/>
                <w:bCs/>
                <w:color w:val="auto"/>
                <w:highlight w:val="none"/>
              </w:rPr>
              <w:t>为</w:t>
            </w:r>
            <w:r>
              <w:rPr>
                <w:rFonts w:hint="eastAsia" w:ascii="宋体" w:hAnsi="宋体"/>
                <w:b/>
                <w:bCs/>
                <w:color w:val="auto"/>
                <w:szCs w:val="21"/>
                <w:highlight w:val="none"/>
              </w:rPr>
              <w:t>南宁市星湖路22号评标楼（4号楼）三楼303室</w:t>
            </w:r>
            <w:r>
              <w:rPr>
                <w:rFonts w:hint="eastAsia" w:ascii="宋体" w:hAnsi="宋体"/>
                <w:color w:val="auto"/>
                <w:szCs w:val="21"/>
                <w:highlight w:val="none"/>
              </w:rPr>
              <w:t>。</w:t>
            </w:r>
          </w:p>
          <w:p>
            <w:pPr>
              <w:pStyle w:val="33"/>
              <w:rPr>
                <w:rFonts w:hint="eastAsia" w:ascii="宋体" w:hAnsi="宋体"/>
                <w:color w:val="auto"/>
                <w:sz w:val="21"/>
                <w:szCs w:val="21"/>
                <w:highlight w:val="none"/>
              </w:rPr>
            </w:pPr>
            <w:r>
              <w:rPr>
                <w:rFonts w:hint="eastAsia" w:ascii="宋体" w:hAnsi="宋体"/>
                <w:color w:val="auto"/>
                <w:sz w:val="21"/>
                <w:szCs w:val="21"/>
                <w:highlight w:val="none"/>
              </w:rPr>
              <w:t>（3）小样递交要求：</w:t>
            </w:r>
          </w:p>
          <w:p>
            <w:pPr>
              <w:pStyle w:val="33"/>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33"/>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33"/>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pStyle w:val="33"/>
              <w:rPr>
                <w:rFonts w:hint="eastAsia" w:ascii="宋体" w:hAnsi="宋体"/>
                <w:color w:val="auto"/>
                <w:szCs w:val="21"/>
                <w:highlight w:val="none"/>
              </w:rPr>
            </w:pPr>
            <w:r>
              <w:rPr>
                <w:rFonts w:hint="eastAsia" w:ascii="宋体" w:hAnsi="宋体"/>
                <w:color w:val="auto"/>
                <w:sz w:val="21"/>
                <w:szCs w:val="21"/>
                <w:highlight w:val="none"/>
              </w:rPr>
              <w:t>（4）采购结果公告后，中标人小样不退，作为验收依据之一。</w:t>
            </w:r>
            <w:r>
              <w:rPr>
                <w:rFonts w:hint="eastAsia" w:ascii="宋体" w:hAnsi="宋体"/>
                <w:b/>
                <w:bCs/>
                <w:color w:val="auto"/>
                <w:sz w:val="21"/>
                <w:szCs w:val="21"/>
                <w:highlight w:val="none"/>
              </w:rPr>
              <w:t>未中标的，在本项目评审结果（中标公告）发出（或接到广西壮族自治区政府采购中心电话通知）后五个工作日内，原路径领回样品，逾期未办理样品领取的，样品处置权交由广西壮族自治区政府采购中心。所造成的损失，由本公司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其它要求及说明</w:t>
            </w:r>
          </w:p>
        </w:tc>
        <w:tc>
          <w:tcPr>
            <w:tcW w:w="8027" w:type="dxa"/>
            <w:gridSpan w:val="3"/>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1、中标人保证向采购人提供的货物是全新、完整、未使用过的。</w:t>
            </w:r>
          </w:p>
          <w:p>
            <w:pPr>
              <w:widowControl/>
              <w:shd w:val="clear" w:color="auto" w:fill="FFFFFF"/>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ascii="宋体" w:hAnsi="宋体" w:cs="宋体"/>
                <w:color w:val="auto"/>
                <w:szCs w:val="21"/>
                <w:highlight w:val="none"/>
                <w:lang w:val="zh-CN"/>
              </w:rPr>
              <w:t>本项目不接受进口产品（即通过中国海关报关验放进入中国境内且产自关境外的产品）参与投标，如有此类产品参与投标的做投标无效处理。</w:t>
            </w:r>
          </w:p>
          <w:p>
            <w:pPr>
              <w:spacing w:line="360" w:lineRule="auto"/>
              <w:rPr>
                <w:rFonts w:ascii="宋体" w:hAnsi="宋体" w:cs="宋体"/>
                <w:color w:val="auto"/>
                <w:szCs w:val="21"/>
                <w:highlight w:val="none"/>
                <w:lang w:val="zh-CN"/>
              </w:rPr>
            </w:pPr>
            <w:r>
              <w:rPr>
                <w:rFonts w:hint="eastAsia"/>
                <w:color w:val="auto"/>
                <w:highlight w:val="none"/>
              </w:rPr>
              <w:t>3、</w:t>
            </w:r>
            <w:r>
              <w:rPr>
                <w:color w:val="auto"/>
                <w:highlight w:val="none"/>
              </w:rPr>
              <w:t>家具的最终外形尺寸须根据实际布置进行调整，对</w:t>
            </w:r>
            <w:r>
              <w:rPr>
                <w:rFonts w:hint="eastAsia"/>
                <w:color w:val="auto"/>
                <w:highlight w:val="none"/>
              </w:rPr>
              <w:t>有</w:t>
            </w:r>
            <w:r>
              <w:rPr>
                <w:color w:val="auto"/>
                <w:highlight w:val="none"/>
              </w:rPr>
              <w:t>特殊的定制家具及修改的尺寸均包含在投标报价中，投标人在报价时应自行考虑，承诺不因定制或修改家具尺寸的因素而改变投标报价</w:t>
            </w:r>
            <w:r>
              <w:rPr>
                <w:rFonts w:hint="eastAsia" w:ascii="宋体" w:hAnsi="宋体" w:cs="宋体"/>
                <w:color w:val="auto"/>
                <w:szCs w:val="21"/>
                <w:highlight w:val="none"/>
                <w:lang w:val="zh-CN"/>
              </w:rPr>
              <w:t>。</w:t>
            </w:r>
          </w:p>
          <w:p>
            <w:pPr>
              <w:pStyle w:val="166"/>
              <w:rPr>
                <w:rFonts w:hint="eastAsia" w:hAnsi="宋体"/>
                <w:color w:val="auto"/>
                <w:sz w:val="21"/>
                <w:szCs w:val="21"/>
                <w:highlight w:val="none"/>
              </w:rPr>
            </w:pPr>
            <w:r>
              <w:rPr>
                <w:rFonts w:hint="eastAsia" w:hAnsi="宋体"/>
                <w:color w:val="auto"/>
                <w:kern w:val="2"/>
                <w:sz w:val="21"/>
                <w:szCs w:val="21"/>
                <w:highlight w:val="none"/>
                <w:lang w:val="zh-CN"/>
              </w:rPr>
              <w:t>▲</w:t>
            </w:r>
            <w:r>
              <w:rPr>
                <w:rFonts w:hint="eastAsia" w:hAnsi="宋体"/>
                <w:color w:val="auto"/>
                <w:sz w:val="21"/>
                <w:szCs w:val="21"/>
                <w:highlight w:val="none"/>
                <w:lang w:val="en-US" w:eastAsia="zh-CN"/>
              </w:rPr>
              <w:t>4</w:t>
            </w:r>
            <w:r>
              <w:rPr>
                <w:rFonts w:hint="eastAsia" w:hAnsi="宋体"/>
                <w:color w:val="auto"/>
                <w:sz w:val="21"/>
                <w:szCs w:val="21"/>
                <w:highlight w:val="none"/>
              </w:rPr>
              <w:t>、验收：</w:t>
            </w:r>
          </w:p>
          <w:p>
            <w:pPr>
              <w:pStyle w:val="166"/>
              <w:rPr>
                <w:rFonts w:hint="eastAsia" w:hAnsi="宋体"/>
                <w:color w:val="auto"/>
                <w:sz w:val="21"/>
                <w:szCs w:val="21"/>
                <w:highlight w:val="none"/>
              </w:rPr>
            </w:pPr>
            <w:r>
              <w:rPr>
                <w:rFonts w:hint="eastAsia" w:hAnsi="宋体"/>
                <w:color w:val="auto"/>
                <w:sz w:val="21"/>
                <w:szCs w:val="21"/>
                <w:highlight w:val="none"/>
              </w:rPr>
              <w:t>（1）中标人在签订合同后，先提供（</w:t>
            </w:r>
            <w:r>
              <w:rPr>
                <w:rFonts w:hint="eastAsia" w:hAnsi="宋体"/>
                <w:b/>
                <w:bCs/>
                <w:color w:val="auto"/>
                <w:sz w:val="21"/>
                <w:szCs w:val="21"/>
                <w:highlight w:val="none"/>
                <w:u w:val="single"/>
              </w:rPr>
              <w:t>一套完整的所投产品</w:t>
            </w:r>
            <w:r>
              <w:rPr>
                <w:rFonts w:hint="eastAsia" w:hAnsi="宋体"/>
                <w:color w:val="auto"/>
                <w:sz w:val="21"/>
                <w:szCs w:val="21"/>
                <w:highlight w:val="none"/>
              </w:rPr>
              <w:t>）至采购单位处进行检测，采购单位可聘请具有验收资质的检测部门进行检测，检测合格的产品作为验收产品的依据，费用由中标人负责。</w:t>
            </w:r>
          </w:p>
          <w:p>
            <w:pPr>
              <w:adjustRightInd w:val="0"/>
              <w:snapToGrid w:val="0"/>
              <w:spacing w:before="152" w:after="160"/>
              <w:rPr>
                <w:rFonts w:hint="eastAsia" w:hAnsi="宋体" w:cs="Segoe UI Symbol"/>
                <w:color w:val="auto"/>
                <w:szCs w:val="21"/>
                <w:highlight w:val="none"/>
              </w:rPr>
            </w:pPr>
            <w:r>
              <w:rPr>
                <w:rFonts w:hint="eastAsia" w:hAnsi="宋体"/>
                <w:color w:val="auto"/>
                <w:szCs w:val="21"/>
                <w:highlight w:val="none"/>
              </w:rPr>
              <w:t>（2）中标人须按规定时间交货安装完毕，采购单位可聘请具有验收能力的检测部门进行验收，验收不合格按照政府采购法及相关规定执行</w:t>
            </w:r>
            <w:r>
              <w:rPr>
                <w:rFonts w:hint="eastAsia" w:hAnsi="宋体" w:cs="Segoe UI Symbol"/>
                <w:color w:val="auto"/>
                <w:szCs w:val="21"/>
                <w:highlight w:val="none"/>
              </w:rPr>
              <w:t>。</w:t>
            </w:r>
          </w:p>
          <w:p>
            <w:pPr>
              <w:widowControl/>
              <w:shd w:val="clear" w:color="auto" w:fill="FFFFFF"/>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、政策功能</w:t>
            </w:r>
          </w:p>
          <w:p>
            <w:pPr>
              <w:widowControl/>
              <w:shd w:val="clear" w:color="auto" w:fill="FFFFFF"/>
              <w:jc w:val="left"/>
              <w:rPr>
                <w:rFonts w:hint="eastAsia" w:ascii="宋体" w:hAnsi="宋体"/>
                <w:color w:val="auto"/>
                <w:szCs w:val="21"/>
                <w:highlight w:val="none"/>
              </w:rPr>
            </w:pPr>
            <w:r>
              <w:rPr>
                <w:rFonts w:hint="eastAsia" w:ascii="宋体" w:hAnsi="宋体" w:cs="宋体"/>
                <w:color w:val="auto"/>
                <w:szCs w:val="21"/>
                <w:highlight w:val="none"/>
                <w:lang w:val="zh-CN"/>
              </w:rPr>
              <w:t>▲</w:t>
            </w:r>
            <w:r>
              <w:rPr>
                <w:rFonts w:hint="eastAsia" w:ascii="宋体" w:hAnsi="宋体"/>
                <w:color w:val="auto"/>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ascii="宋体" w:hAnsi="宋体"/>
                <w:b/>
                <w:color w:val="auto"/>
                <w:szCs w:val="21"/>
                <w:highlight w:val="none"/>
              </w:rPr>
            </w:pPr>
            <w:r>
              <w:rPr>
                <w:rFonts w:hint="eastAsia" w:ascii="宋体" w:hAnsi="宋体"/>
                <w:color w:val="auto"/>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Ansi="宋体"/>
                <w:color w:val="auto"/>
                <w:szCs w:val="21"/>
                <w:highlight w:val="none"/>
              </w:rPr>
              <w:t>注意事项及参考样式</w:t>
            </w:r>
            <w:r>
              <w:rPr>
                <w:rFonts w:hint="eastAsia" w:hAnsi="宋体"/>
                <w:color w:val="auto"/>
                <w:szCs w:val="21"/>
                <w:highlight w:val="none"/>
              </w:rPr>
              <w:t>和基本结构参数</w:t>
            </w:r>
          </w:p>
        </w:tc>
        <w:tc>
          <w:tcPr>
            <w:tcW w:w="8027"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Ansi="宋体"/>
                <w:color w:val="auto"/>
                <w:szCs w:val="21"/>
                <w:highlight w:val="none"/>
              </w:rPr>
            </w:pPr>
            <w:r>
              <w:rPr>
                <w:rFonts w:hAnsi="宋体"/>
                <w:color w:val="auto"/>
                <w:szCs w:val="21"/>
                <w:highlight w:val="none"/>
              </w:rPr>
              <w:t>1、产品样式以提供</w:t>
            </w:r>
            <w:r>
              <w:rPr>
                <w:rFonts w:hint="eastAsia" w:hAnsi="宋体"/>
                <w:color w:val="auto"/>
                <w:szCs w:val="21"/>
                <w:highlight w:val="none"/>
              </w:rPr>
              <w:t>以下</w:t>
            </w:r>
            <w:r>
              <w:rPr>
                <w:rFonts w:hAnsi="宋体"/>
                <w:color w:val="auto"/>
                <w:szCs w:val="21"/>
                <w:highlight w:val="none"/>
              </w:rPr>
              <w:t>的样式</w:t>
            </w:r>
            <w:r>
              <w:rPr>
                <w:rFonts w:hint="eastAsia" w:hAnsi="宋体"/>
                <w:color w:val="auto"/>
                <w:szCs w:val="21"/>
                <w:highlight w:val="none"/>
              </w:rPr>
              <w:t>参考</w:t>
            </w:r>
            <w:r>
              <w:rPr>
                <w:rFonts w:hAnsi="宋体"/>
                <w:color w:val="auto"/>
                <w:szCs w:val="21"/>
                <w:highlight w:val="none"/>
              </w:rPr>
              <w:t>图为准。</w:t>
            </w:r>
          </w:p>
          <w:p>
            <w:pPr>
              <w:widowControl/>
              <w:snapToGrid w:val="0"/>
              <w:spacing w:line="360" w:lineRule="exact"/>
              <w:jc w:val="left"/>
              <w:rPr>
                <w:rFonts w:hint="eastAsia" w:ascii="宋体" w:hAnsi="宋体"/>
                <w:color w:val="auto"/>
                <w:szCs w:val="21"/>
                <w:highlight w:val="none"/>
              </w:rPr>
            </w:pPr>
            <w:r>
              <w:rPr>
                <w:rFonts w:hAnsi="宋体"/>
                <w:color w:val="auto"/>
                <w:szCs w:val="21"/>
                <w:highlight w:val="none"/>
              </w:rPr>
              <w:t>2、提供的组合床参数如未能表述详尽的，以提供的以下样式</w:t>
            </w:r>
            <w:r>
              <w:rPr>
                <w:rFonts w:hint="eastAsia" w:hAnsi="宋体" w:cs="宋体"/>
                <w:b/>
                <w:bCs/>
                <w:color w:val="auto"/>
                <w:szCs w:val="21"/>
                <w:highlight w:val="none"/>
              </w:rPr>
              <w:t>参考图</w:t>
            </w:r>
            <w:r>
              <w:rPr>
                <w:rFonts w:hAnsi="宋体"/>
                <w:color w:val="auto"/>
                <w:szCs w:val="21"/>
                <w:highlight w:val="none"/>
              </w:rPr>
              <w:t>为准。</w:t>
            </w:r>
          </w:p>
        </w:tc>
      </w:tr>
    </w:tbl>
    <w:p>
      <w:pPr>
        <w:spacing w:line="360" w:lineRule="exact"/>
        <w:ind w:left="6" w:firstLine="431"/>
        <w:rPr>
          <w:rFonts w:hint="eastAsia" w:ascii="宋体" w:hAnsi="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hAnsi="宋体" w:cs="宋体"/>
          <w:b/>
          <w:bCs/>
          <w:color w:val="auto"/>
          <w:szCs w:val="21"/>
          <w:highlight w:val="none"/>
        </w:rPr>
      </w:pPr>
    </w:p>
    <w:p>
      <w:pPr>
        <w:snapToGrid w:val="0"/>
        <w:spacing w:line="400" w:lineRule="exact"/>
        <w:ind w:firstLine="421" w:firstLineChars="200"/>
        <w:rPr>
          <w:rFonts w:hint="eastAsia" w:ascii="宋体" w:hAnsi="宋体"/>
          <w:b/>
          <w:bCs/>
          <w:color w:val="auto"/>
          <w:kern w:val="0"/>
          <w:szCs w:val="21"/>
          <w:highlight w:val="none"/>
        </w:rPr>
      </w:pPr>
      <w:r>
        <w:rPr>
          <w:rFonts w:hint="default" w:hAnsi="宋体" w:cs="宋体"/>
          <w:b/>
          <w:bCs/>
          <w:color w:val="auto"/>
          <w:szCs w:val="21"/>
          <w:highlight w:val="none"/>
          <w:lang w:val="en"/>
        </w:rPr>
        <w:t>分标1、分标2</w:t>
      </w:r>
      <w:r>
        <w:rPr>
          <w:rFonts w:hint="eastAsia" w:hAnsi="宋体" w:cs="宋体"/>
          <w:b/>
          <w:bCs/>
          <w:color w:val="auto"/>
          <w:szCs w:val="21"/>
          <w:highlight w:val="none"/>
        </w:rPr>
        <w:t>样式参考图如下：</w:t>
      </w:r>
    </w:p>
    <w:p>
      <w:pPr>
        <w:rPr>
          <w:rFonts w:hint="eastAsia"/>
          <w:color w:val="auto"/>
          <w:highlight w:val="none"/>
        </w:rPr>
      </w:pPr>
    </w:p>
    <w:p>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097780" cy="3954780"/>
            <wp:effectExtent l="0" t="0" r="7620" b="7620"/>
            <wp:docPr id="1" name="图片 1" descr="ff79af52fcbc1150f97d02f908972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79af52fcbc1150f97d02f9089722ea"/>
                    <pic:cNvPicPr>
                      <a:picLocks noChangeAspect="1"/>
                    </pic:cNvPicPr>
                  </pic:nvPicPr>
                  <pic:blipFill>
                    <a:blip r:embed="rId8"/>
                    <a:stretch>
                      <a:fillRect/>
                    </a:stretch>
                  </pic:blipFill>
                  <pic:spPr>
                    <a:xfrm>
                      <a:off x="0" y="0"/>
                      <a:ext cx="5097780" cy="3954780"/>
                    </a:xfrm>
                    <a:prstGeom prst="rect">
                      <a:avLst/>
                    </a:prstGeom>
                  </pic:spPr>
                </pic:pic>
              </a:graphicData>
            </a:graphic>
          </wp:inline>
        </w:drawing>
      </w:r>
    </w:p>
    <w:p>
      <w:pPr>
        <w:rPr>
          <w:rFonts w:hint="eastAsia"/>
          <w:color w:val="auto"/>
          <w:highlight w:val="none"/>
        </w:rPr>
      </w:pPr>
    </w:p>
    <w:p>
      <w:pPr>
        <w:rPr>
          <w:rFonts w:hint="eastAsia"/>
          <w:color w:val="auto"/>
          <w:highlight w:val="none"/>
        </w:rPr>
      </w:pPr>
      <w:r>
        <w:rPr>
          <w:rFonts w:hint="eastAsia"/>
          <w:color w:val="auto"/>
          <w:highlight w:val="none"/>
        </w:rPr>
        <w:t xml:space="preserve"> </w:t>
      </w:r>
    </w:p>
    <w:p>
      <w:pPr>
        <w:rPr>
          <w:rFonts w:hint="eastAsia"/>
          <w:color w:val="auto"/>
          <w:highlight w:val="none"/>
        </w:rPr>
      </w:pPr>
    </w:p>
    <w:p>
      <w:pPr>
        <w:rPr>
          <w:rFonts w:hint="eastAsia"/>
          <w:color w:val="auto"/>
          <w:highlight w:val="none"/>
        </w:rPr>
      </w:pPr>
    </w:p>
    <w:p>
      <w:pPr>
        <w:pStyle w:val="50"/>
        <w:ind w:firstLine="240"/>
        <w:rPr>
          <w:rFonts w:hint="eastAsia"/>
          <w:color w:val="auto"/>
          <w:highlight w:val="none"/>
        </w:rPr>
      </w:pPr>
      <w:bookmarkStart w:id="8" w:name="_Toc40865022"/>
      <w:bookmarkStart w:id="9" w:name="_Toc40864906"/>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0"/>
        <w:rPr>
          <w:rFonts w:hint="eastAsia"/>
          <w:color w:val="auto"/>
          <w:highlight w:val="none"/>
        </w:rPr>
      </w:pPr>
    </w:p>
    <w:p>
      <w:pPr>
        <w:pStyle w:val="50"/>
        <w:ind w:firstLine="241"/>
        <w:rPr>
          <w:rFonts w:hint="eastAsia"/>
          <w:b/>
          <w:bCs/>
          <w:color w:val="auto"/>
          <w:highlight w:val="none"/>
        </w:rPr>
      </w:pPr>
      <w:r>
        <w:rPr>
          <w:rFonts w:hint="eastAsia"/>
          <w:b/>
          <w:bCs/>
          <w:color w:val="auto"/>
          <w:highlight w:val="none"/>
        </w:rPr>
        <w:t>其一宿舍平面示意图如下：（仅用于产品布置及效果图）</w:t>
      </w:r>
    </w:p>
    <w:p>
      <w:pPr>
        <w:pStyle w:val="50"/>
        <w:ind w:firstLine="240"/>
        <w:rPr>
          <w:rFonts w:hint="eastAsia"/>
          <w:color w:val="auto"/>
          <w:highlight w:val="none"/>
        </w:rPr>
      </w:pPr>
      <w:r>
        <w:rPr>
          <w:rFonts w:hint="eastAsia"/>
          <w:color w:val="auto"/>
          <w:highlight w:val="none"/>
        </w:rPr>
        <w:drawing>
          <wp:anchor distT="0" distB="0" distL="114300" distR="114300" simplePos="0" relativeHeight="251659264" behindDoc="0" locked="0" layoutInCell="1" allowOverlap="1">
            <wp:simplePos x="0" y="0"/>
            <wp:positionH relativeFrom="column">
              <wp:posOffset>53340</wp:posOffset>
            </wp:positionH>
            <wp:positionV relativeFrom="paragraph">
              <wp:posOffset>1214755</wp:posOffset>
            </wp:positionV>
            <wp:extent cx="5972175" cy="4224020"/>
            <wp:effectExtent l="0" t="0" r="9525" b="5080"/>
            <wp:wrapNone/>
            <wp:docPr id="19865545" name="图片 2" descr="广西艺术学院宿舍楼方案报建文本含设计说明20210622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545" name="图片 2" descr="广西艺术学院宿舍楼方案报建文本含设计说明20210622_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2175" cy="4224020"/>
                    </a:xfrm>
                    <a:prstGeom prst="rect">
                      <a:avLst/>
                    </a:prstGeom>
                    <a:noFill/>
                    <a:ln>
                      <a:noFill/>
                    </a:ln>
                  </pic:spPr>
                </pic:pic>
              </a:graphicData>
            </a:graphic>
          </wp:anchor>
        </w:drawing>
      </w:r>
      <w:r>
        <w:rPr>
          <w:rFonts w:hint="eastAsia"/>
          <w:color w:val="auto"/>
          <w:highlight w:val="none"/>
        </w:rPr>
        <w:br w:type="page"/>
      </w:r>
    </w:p>
    <w:p>
      <w:pPr>
        <w:rPr>
          <w:rFonts w:hint="eastAsia" w:eastAsia="宋体"/>
          <w:color w:val="auto"/>
          <w:highlight w:val="none"/>
          <w:lang w:eastAsia="zh-CN"/>
        </w:rPr>
      </w:pPr>
      <w:r>
        <w:rPr>
          <w:rFonts w:hint="eastAsia" w:eastAsia="宋体"/>
          <w:color w:val="auto"/>
          <w:highlight w:val="none"/>
          <w:lang w:eastAsia="zh-CN"/>
        </w:rPr>
        <w:drawing>
          <wp:anchor distT="0" distB="0" distL="114300" distR="114300" simplePos="0" relativeHeight="251660288" behindDoc="0" locked="0" layoutInCell="1" allowOverlap="1">
            <wp:simplePos x="0" y="0"/>
            <wp:positionH relativeFrom="column">
              <wp:posOffset>433705</wp:posOffset>
            </wp:positionH>
            <wp:positionV relativeFrom="paragraph">
              <wp:posOffset>427990</wp:posOffset>
            </wp:positionV>
            <wp:extent cx="5194935" cy="7346950"/>
            <wp:effectExtent l="0" t="0" r="5715" b="6350"/>
            <wp:wrapNone/>
            <wp:docPr id="3" name="图片 3" descr="3ebd343e8222836df27d2a8c5e44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bd343e8222836df27d2a8c5e4467f"/>
                    <pic:cNvPicPr>
                      <a:picLocks noChangeAspect="1"/>
                    </pic:cNvPicPr>
                  </pic:nvPicPr>
                  <pic:blipFill>
                    <a:blip r:embed="rId10"/>
                    <a:stretch>
                      <a:fillRect/>
                    </a:stretch>
                  </pic:blipFill>
                  <pic:spPr>
                    <a:xfrm>
                      <a:off x="0" y="0"/>
                      <a:ext cx="5194935" cy="7346950"/>
                    </a:xfrm>
                    <a:prstGeom prst="rect">
                      <a:avLst/>
                    </a:prstGeom>
                  </pic:spPr>
                </pic:pic>
              </a:graphicData>
            </a:graphic>
          </wp:anchor>
        </w:drawing>
      </w:r>
      <w:r>
        <w:rPr>
          <w:rFonts w:hint="eastAsia"/>
          <w:color w:val="auto"/>
          <w:highlight w:val="none"/>
        </w:rPr>
        <w:br w:type="page"/>
      </w:r>
    </w:p>
    <w:p>
      <w:pPr>
        <w:rPr>
          <w:rFonts w:hint="eastAsia"/>
          <w:color w:val="auto"/>
          <w:highlight w:val="none"/>
        </w:rPr>
      </w:pPr>
      <w:r>
        <w:rPr>
          <w:rFonts w:hint="eastAsia" w:eastAsia="宋体"/>
          <w:color w:val="auto"/>
          <w:highlight w:val="none"/>
          <w:lang w:eastAsia="zh-CN"/>
        </w:rPr>
        <w:drawing>
          <wp:anchor distT="0" distB="0" distL="114300" distR="114300" simplePos="0" relativeHeight="251661312" behindDoc="0" locked="0" layoutInCell="1" allowOverlap="1">
            <wp:simplePos x="0" y="0"/>
            <wp:positionH relativeFrom="column">
              <wp:posOffset>93980</wp:posOffset>
            </wp:positionH>
            <wp:positionV relativeFrom="paragraph">
              <wp:posOffset>386080</wp:posOffset>
            </wp:positionV>
            <wp:extent cx="5973445" cy="8447405"/>
            <wp:effectExtent l="0" t="0" r="8255" b="10795"/>
            <wp:wrapNone/>
            <wp:docPr id="2" name="图片 2" descr="e6db162177af83aee6ce0570faac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db162177af83aee6ce0570faac2ac"/>
                    <pic:cNvPicPr>
                      <a:picLocks noChangeAspect="1"/>
                    </pic:cNvPicPr>
                  </pic:nvPicPr>
                  <pic:blipFill>
                    <a:blip r:embed="rId11"/>
                    <a:stretch>
                      <a:fillRect/>
                    </a:stretch>
                  </pic:blipFill>
                  <pic:spPr>
                    <a:xfrm>
                      <a:off x="0" y="0"/>
                      <a:ext cx="5973445" cy="8447405"/>
                    </a:xfrm>
                    <a:prstGeom prst="rect">
                      <a:avLst/>
                    </a:prstGeom>
                  </pic:spPr>
                </pic:pic>
              </a:graphicData>
            </a:graphic>
          </wp:anchor>
        </w:drawing>
      </w:r>
      <w:r>
        <w:rPr>
          <w:rFonts w:hint="eastAsia"/>
          <w:color w:val="auto"/>
          <w:highlight w:val="none"/>
        </w:rPr>
        <w:br w:type="page"/>
      </w:r>
    </w:p>
    <w:p>
      <w:pPr>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50"/>
        <w:rPr>
          <w:rFonts w:hint="eastAsia"/>
          <w:color w:val="auto"/>
          <w:highlight w:val="none"/>
        </w:rPr>
      </w:pPr>
    </w:p>
    <w:p>
      <w:pPr>
        <w:pStyle w:val="3"/>
        <w:numPr>
          <w:ilvl w:val="0"/>
          <w:numId w:val="2"/>
        </w:numPr>
        <w:jc w:val="center"/>
        <w:rPr>
          <w:rFonts w:hint="eastAsia"/>
          <w:b/>
          <w:bCs/>
          <w:color w:val="auto"/>
          <w:highlight w:val="none"/>
        </w:rPr>
      </w:pPr>
      <w:r>
        <w:rPr>
          <w:rFonts w:hint="eastAsia"/>
          <w:b/>
          <w:bCs/>
          <w:color w:val="auto"/>
          <w:highlight w:val="none"/>
        </w:rPr>
        <w:t xml:space="preserve"> 投标人须知</w:t>
      </w:r>
      <w:bookmarkEnd w:id="8"/>
      <w:bookmarkEnd w:id="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50"/>
        <w:ind w:firstLine="240"/>
        <w:rPr>
          <w:rFonts w:hint="eastAsia"/>
          <w:color w:val="auto"/>
          <w:highlight w:val="none"/>
        </w:rPr>
      </w:pPr>
    </w:p>
    <w:p>
      <w:pPr>
        <w:rPr>
          <w:rFonts w:hint="eastAsia"/>
          <w:color w:val="auto"/>
          <w:highlight w:val="none"/>
        </w:rPr>
      </w:pPr>
    </w:p>
    <w:p>
      <w:pPr>
        <w:rPr>
          <w:rFonts w:hint="eastAsia"/>
          <w:color w:val="auto"/>
          <w:highlight w:val="none"/>
        </w:rPr>
      </w:pPr>
    </w:p>
    <w:p>
      <w:pPr>
        <w:pStyle w:val="51"/>
        <w:ind w:firstLine="640"/>
        <w:rPr>
          <w:rFonts w:hint="eastAsia"/>
          <w:color w:val="auto"/>
          <w:highlight w:val="none"/>
        </w:rPr>
      </w:pPr>
    </w:p>
    <w:p>
      <w:pPr>
        <w:pStyle w:val="51"/>
        <w:ind w:firstLine="640"/>
        <w:rPr>
          <w:rFonts w:hint="eastAsia"/>
          <w:color w:val="auto"/>
          <w:highlight w:val="none"/>
        </w:rPr>
      </w:pPr>
    </w:p>
    <w:p>
      <w:pPr>
        <w:pStyle w:val="51"/>
        <w:ind w:firstLine="640"/>
        <w:rPr>
          <w:rFonts w:hint="eastAsia"/>
          <w:color w:val="auto"/>
          <w:highlight w:val="none"/>
        </w:rPr>
      </w:pPr>
    </w:p>
    <w:p>
      <w:pPr>
        <w:pStyle w:val="51"/>
        <w:ind w:firstLine="640"/>
        <w:rPr>
          <w:rFonts w:hint="eastAsia"/>
          <w:color w:val="auto"/>
          <w:highlight w:val="none"/>
        </w:rPr>
      </w:pPr>
    </w:p>
    <w:p>
      <w:pPr>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0" w:name="_Toc254970526"/>
      <w:bookmarkStart w:id="11" w:name="_Toc254970667"/>
      <w:r>
        <w:rPr>
          <w:rFonts w:hint="eastAsia" w:ascii="仿宋_GB2312" w:hAnsi="宋体" w:eastAsia="仿宋_GB2312"/>
          <w:b/>
          <w:color w:val="auto"/>
          <w:sz w:val="32"/>
          <w:szCs w:val="32"/>
          <w:highlight w:val="none"/>
        </w:rPr>
        <w:t>人须知及前附表</w:t>
      </w:r>
      <w:bookmarkEnd w:id="10"/>
      <w:bookmarkEnd w:id="11"/>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default" w:ascii="宋体" w:hAnsi="宋体"/>
                <w:color w:val="auto"/>
                <w:szCs w:val="21"/>
                <w:highlight w:val="none"/>
                <w:lang w:val="en"/>
              </w:rPr>
            </w:pPr>
            <w:r>
              <w:rPr>
                <w:rFonts w:hint="eastAsia" w:ascii="宋体" w:hAnsi="宋体"/>
                <w:color w:val="auto"/>
                <w:szCs w:val="21"/>
                <w:highlight w:val="none"/>
              </w:rPr>
              <w:t>项目名称：</w:t>
            </w:r>
            <w:r>
              <w:rPr>
                <w:rFonts w:hint="default" w:ascii="宋体" w:hAnsi="宋体"/>
                <w:b/>
                <w:bCs/>
                <w:color w:val="auto"/>
                <w:szCs w:val="21"/>
                <w:highlight w:val="none"/>
                <w:lang w:val="en"/>
              </w:rPr>
              <w:t>相思湖校区、南湖校区学生公寓组合床采购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lang w:eastAsia="zh-CN"/>
              </w:rPr>
              <w:t>无</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hAnsi="宋体"/>
                <w:color w:val="auto"/>
                <w:szCs w:val="21"/>
                <w:highlight w:val="none"/>
              </w:rPr>
            </w:pPr>
            <w:r>
              <w:rPr>
                <w:rFonts w:hint="eastAsia"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hAnsi="宋体"/>
                <w:color w:val="auto"/>
                <w:szCs w:val="21"/>
                <w:highlight w:val="none"/>
              </w:rPr>
            </w:pPr>
            <w:r>
              <w:rPr>
                <w:rFonts w:hint="eastAsia" w:hAnsi="宋体"/>
                <w:color w:val="auto"/>
                <w:szCs w:val="21"/>
                <w:highlight w:val="none"/>
              </w:rPr>
              <w:t>1）答疑、澄清：如投标人认为招标文件表述不清晰、有误或有不合理要求的，应当以书面形式要求采购人或者本中心作出书面答疑、澄清；</w:t>
            </w:r>
          </w:p>
          <w:p>
            <w:pPr>
              <w:snapToGrid w:val="0"/>
              <w:spacing w:line="320" w:lineRule="exact"/>
              <w:rPr>
                <w:rFonts w:hint="eastAsia" w:hAnsi="宋体"/>
                <w:color w:val="auto"/>
                <w:szCs w:val="21"/>
                <w:highlight w:val="none"/>
              </w:rPr>
            </w:pPr>
            <w:r>
              <w:rPr>
                <w:rFonts w:hint="eastAsia" w:hAnsi="宋体"/>
                <w:color w:val="auto"/>
                <w:szCs w:val="21"/>
                <w:highlight w:val="none"/>
              </w:rPr>
              <w:t>（2）询问、质疑：如投标人对政府采购活动事项有疑问或认为招标文件、采购过程和中标结果使其权益受到损害的，按投标人须知“一、总则（九）询问、质疑和投诉”中的要求向采购人或者采购代理机构提出书面询问、质疑，并提供必要的证明材料。</w:t>
            </w:r>
          </w:p>
          <w:p>
            <w:pPr>
              <w:snapToGrid w:val="0"/>
              <w:spacing w:line="320" w:lineRule="exact"/>
              <w:rPr>
                <w:rFonts w:hint="eastAsia" w:hAnsi="宋体"/>
                <w:color w:val="auto"/>
                <w:szCs w:val="21"/>
                <w:highlight w:val="none"/>
              </w:rPr>
            </w:pPr>
            <w:r>
              <w:rPr>
                <w:rFonts w:hint="eastAsia" w:hAnsi="宋体"/>
                <w:color w:val="auto"/>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Cs w:val="21"/>
                <w:highlight w:val="none"/>
              </w:rPr>
            </w:pPr>
            <w:r>
              <w:rPr>
                <w:rFonts w:hint="eastAsia" w:ascii="宋体" w:hAnsi="宋体"/>
                <w:color w:val="auto"/>
                <w:szCs w:val="21"/>
                <w:highlight w:val="none"/>
              </w:rPr>
              <w:t>投标文件形式：</w:t>
            </w:r>
            <w:r>
              <w:rPr>
                <w:rFonts w:hint="eastAsia" w:ascii="宋体"/>
                <w:snapToGrid w:val="0"/>
                <w:color w:val="auto"/>
                <w:szCs w:val="21"/>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Cs w:val="21"/>
                <w:highlight w:val="none"/>
              </w:rPr>
              <w:t>电子投标文件是指通过“</w:t>
            </w:r>
            <w:r>
              <w:rPr>
                <w:rFonts w:ascii="宋体"/>
                <w:snapToGrid w:val="0"/>
                <w:color w:val="auto"/>
                <w:szCs w:val="21"/>
                <w:highlight w:val="none"/>
                <w:lang w:val="en"/>
              </w:rPr>
              <w:t>广西政府采购云</w:t>
            </w:r>
            <w:r>
              <w:rPr>
                <w:color w:val="auto"/>
                <w:szCs w:val="21"/>
                <w:highlight w:val="none"/>
              </w:rPr>
              <w:t>电子投标</w:t>
            </w:r>
            <w:r>
              <w:rPr>
                <w:rFonts w:hint="eastAsia" w:ascii="宋体"/>
                <w:snapToGrid w:val="0"/>
                <w:color w:val="auto"/>
                <w:szCs w:val="21"/>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napToGrid w:val="0"/>
                <w:color w:val="auto"/>
                <w:szCs w:val="21"/>
                <w:highlight w:val="none"/>
              </w:rPr>
            </w:pPr>
            <w:r>
              <w:rPr>
                <w:rFonts w:hint="eastAsia" w:ascii="宋体"/>
                <w:snapToGrid w:val="0"/>
                <w:color w:val="auto"/>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napToGrid w:val="0"/>
                <w:color w:val="auto"/>
                <w:szCs w:val="21"/>
                <w:highlight w:val="none"/>
              </w:rPr>
            </w:pPr>
            <w:r>
              <w:rPr>
                <w:rFonts w:hint="eastAsia" w:ascii="宋体"/>
                <w:snapToGrid w:val="0"/>
                <w:color w:val="auto"/>
                <w:szCs w:val="21"/>
                <w:highlight w:val="none"/>
              </w:rPr>
              <w:t>法定代表人或其授权代表签字或签章：本招标文件所涉及的法定代表人或其授权代表签字或签章的内容，如果投标单位没有法定代表人电子签章，涉及到法定代表人或其授权代表签字或签章的内容，投标单位可以线下签字或签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29</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29</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b/>
                <w:bCs/>
                <w:color w:val="auto"/>
                <w:szCs w:val="21"/>
                <w:highlight w:val="none"/>
              </w:rPr>
            </w:pPr>
            <w:r>
              <w:rPr>
                <w:rFonts w:hint="eastAsia" w:ascii="宋体" w:hAnsi="宋体"/>
                <w:b/>
                <w:bCs/>
                <w:color w:val="auto"/>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color w:val="auto"/>
                <w:highlight w:val="none"/>
              </w:rPr>
            </w:pPr>
            <w:r>
              <w:rPr>
                <w:rFonts w:hint="eastAsia"/>
                <w:color w:val="auto"/>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rFonts w:hint="eastAsia" w:eastAsia="宋体"/>
                <w:color w:val="auto"/>
                <w:highlight w:val="none"/>
                <w:lang w:val="en" w:eastAsia="zh-CN"/>
              </w:rPr>
            </w:pPr>
            <w:r>
              <w:rPr>
                <w:rFonts w:hint="eastAsia"/>
                <w:color w:val="auto"/>
                <w:highlight w:val="none"/>
              </w:rPr>
              <w:t>（2）</w:t>
            </w:r>
            <w:r>
              <w:rPr>
                <w:color w:val="auto"/>
                <w:highlight w:val="none"/>
                <w:lang w:val="en"/>
              </w:rPr>
              <w:t>广西</w:t>
            </w:r>
            <w:r>
              <w:rPr>
                <w:rFonts w:hint="eastAsia"/>
                <w:color w:val="auto"/>
                <w:highlight w:val="none"/>
                <w:lang w:val="en" w:eastAsia="zh-CN"/>
              </w:rPr>
              <w:t>艺术学院</w:t>
            </w:r>
          </w:p>
          <w:p>
            <w:pPr>
              <w:snapToGrid w:val="0"/>
              <w:spacing w:line="360" w:lineRule="exact"/>
              <w:ind w:firstLine="420" w:firstLineChars="200"/>
              <w:rPr>
                <w:rFonts w:hint="eastAsia"/>
                <w:color w:val="auto"/>
                <w:highlight w:val="none"/>
              </w:rPr>
            </w:pPr>
            <w:r>
              <w:rPr>
                <w:rFonts w:hint="eastAsia"/>
                <w:color w:val="auto"/>
                <w:highlight w:val="none"/>
              </w:rPr>
              <w:t>电话：</w:t>
            </w:r>
            <w:r>
              <w:rPr>
                <w:rFonts w:hint="eastAsia" w:hAnsi="宋体" w:eastAsia="宋体" w:cs="宋体"/>
                <w:b w:val="0"/>
                <w:color w:val="auto"/>
                <w:highlight w:val="none"/>
                <w:lang w:val="en-US" w:eastAsia="zh-CN"/>
              </w:rPr>
              <w:t>0771-5317987</w:t>
            </w:r>
          </w:p>
          <w:p>
            <w:pPr>
              <w:snapToGrid w:val="0"/>
              <w:spacing w:line="360" w:lineRule="exact"/>
              <w:ind w:firstLine="420" w:firstLineChars="200"/>
              <w:rPr>
                <w:rFonts w:hint="eastAsia"/>
                <w:color w:val="auto"/>
                <w:highlight w:val="none"/>
              </w:rPr>
            </w:pPr>
            <w:r>
              <w:rPr>
                <w:rFonts w:hint="eastAsia"/>
                <w:color w:val="auto"/>
                <w:highlight w:val="none"/>
              </w:rPr>
              <w:t>地址：</w:t>
            </w:r>
            <w:r>
              <w:rPr>
                <w:rFonts w:hint="eastAsia" w:ascii="宋体" w:hAnsi="宋体" w:eastAsia="宋体" w:cs="宋体"/>
                <w:b w:val="0"/>
                <w:color w:val="auto"/>
                <w:highlight w:val="none"/>
                <w:lang w:val="en-US" w:eastAsia="zh-CN"/>
              </w:rPr>
              <w:t xml:space="preserve"> </w:t>
            </w:r>
            <w:r>
              <w:rPr>
                <w:rFonts w:hint="eastAsia" w:hAnsi="宋体" w:eastAsia="宋体" w:cs="宋体"/>
                <w:b w:val="0"/>
                <w:color w:val="auto"/>
                <w:highlight w:val="none"/>
                <w:lang w:val="en-US" w:eastAsia="zh-CN"/>
              </w:rPr>
              <w:t>广西南宁市教育路7号</w:t>
            </w:r>
          </w:p>
          <w:p>
            <w:pPr>
              <w:pStyle w:val="50"/>
              <w:ind w:firstLine="210"/>
              <w:rPr>
                <w:rFonts w:hint="eastAsia"/>
                <w:color w:val="auto"/>
                <w:highlight w:val="none"/>
              </w:rPr>
            </w:pPr>
            <w:r>
              <w:rPr>
                <w:rFonts w:hint="eastAsia"/>
                <w:color w:val="auto"/>
                <w:sz w:val="21"/>
                <w:highlight w:val="none"/>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ascii="仿宋_GB2312" w:hAnsi="宋体" w:eastAsia="仿宋_GB2312"/>
          <w:b/>
          <w:color w:val="auto"/>
          <w:sz w:val="32"/>
          <w:szCs w:val="32"/>
          <w:highlight w:val="none"/>
        </w:rPr>
      </w:pPr>
    </w:p>
    <w:p>
      <w:pPr>
        <w:pStyle w:val="27"/>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7"/>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12" w:name="_Toc254970668"/>
      <w:bookmarkStart w:id="13" w:name="_Toc40865023"/>
      <w:bookmarkStart w:id="14" w:name="_Toc40864907"/>
      <w:bookmarkStart w:id="15" w:name="_Toc254970527"/>
      <w:bookmarkStart w:id="16" w:name="_Toc40864631"/>
      <w:r>
        <w:rPr>
          <w:rFonts w:hint="eastAsia" w:ascii="宋体" w:hAnsi="宋体"/>
          <w:b/>
          <w:color w:val="auto"/>
          <w:szCs w:val="21"/>
          <w:highlight w:val="none"/>
        </w:rPr>
        <w:t>（一） 适用范围</w:t>
      </w:r>
      <w:bookmarkEnd w:id="12"/>
      <w:bookmarkEnd w:id="13"/>
      <w:bookmarkEnd w:id="14"/>
      <w:bookmarkEnd w:id="15"/>
      <w:bookmarkEnd w:id="1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7" w:name="_Toc40864908"/>
      <w:bookmarkStart w:id="18" w:name="_Toc40864632"/>
      <w:bookmarkStart w:id="19" w:name="_Toc254970669"/>
      <w:bookmarkStart w:id="20" w:name="_Toc254970528"/>
      <w:bookmarkStart w:id="21" w:name="_Toc40865024"/>
      <w:bookmarkStart w:id="22" w:name="_Toc254970689"/>
      <w:bookmarkStart w:id="23" w:name="_Toc254970548"/>
      <w:r>
        <w:rPr>
          <w:rFonts w:hint="eastAsia"/>
          <w:b/>
          <w:color w:val="auto"/>
          <w:highlight w:val="none"/>
        </w:rPr>
        <w:t>（二）定义</w:t>
      </w:r>
      <w:bookmarkEnd w:id="17"/>
      <w:bookmarkEnd w:id="18"/>
      <w:bookmarkEnd w:id="19"/>
      <w:bookmarkEnd w:id="20"/>
      <w:bookmarkEnd w:id="21"/>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4" w:name="_Toc40864909"/>
      <w:bookmarkStart w:id="25" w:name="_Toc40864633"/>
      <w:bookmarkStart w:id="26" w:name="_Toc40865025"/>
      <w:bookmarkStart w:id="27" w:name="_Toc254970670"/>
      <w:bookmarkStart w:id="28" w:name="_Toc254970529"/>
      <w:r>
        <w:rPr>
          <w:rFonts w:hint="eastAsia" w:ascii="宋体" w:hAnsi="宋体"/>
          <w:b/>
          <w:color w:val="auto"/>
          <w:szCs w:val="21"/>
          <w:highlight w:val="none"/>
        </w:rPr>
        <w:t>（三）招标方式</w:t>
      </w:r>
      <w:bookmarkEnd w:id="24"/>
      <w:bookmarkEnd w:id="25"/>
      <w:bookmarkEnd w:id="26"/>
      <w:bookmarkEnd w:id="27"/>
      <w:bookmarkEnd w:id="2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9" w:name="_Toc254970530"/>
      <w:bookmarkStart w:id="30" w:name="_Toc40864634"/>
      <w:bookmarkStart w:id="31" w:name="_Toc40864910"/>
      <w:bookmarkStart w:id="32" w:name="_Toc254970671"/>
      <w:bookmarkStart w:id="33" w:name="_Toc40865026"/>
      <w:r>
        <w:rPr>
          <w:rFonts w:hint="eastAsia" w:ascii="宋体" w:hAnsi="宋体"/>
          <w:b/>
          <w:color w:val="auto"/>
          <w:szCs w:val="21"/>
          <w:highlight w:val="none"/>
        </w:rPr>
        <w:t>（四）投标委托</w:t>
      </w:r>
      <w:bookmarkEnd w:id="29"/>
      <w:bookmarkEnd w:id="30"/>
      <w:bookmarkEnd w:id="31"/>
      <w:bookmarkEnd w:id="32"/>
      <w:bookmarkEnd w:id="33"/>
    </w:p>
    <w:p>
      <w:pPr>
        <w:pStyle w:val="21"/>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4" w:name="_Toc40864635"/>
      <w:bookmarkStart w:id="35" w:name="_Toc40864911"/>
      <w:bookmarkStart w:id="36" w:name="_Toc254970672"/>
      <w:bookmarkStart w:id="37" w:name="_Toc254970531"/>
      <w:bookmarkStart w:id="38" w:name="_Toc40865027"/>
      <w:r>
        <w:rPr>
          <w:rFonts w:hint="eastAsia" w:ascii="宋体" w:hAnsi="宋体"/>
          <w:b/>
          <w:color w:val="auto"/>
          <w:szCs w:val="21"/>
          <w:highlight w:val="none"/>
        </w:rPr>
        <w:t>（五）投标费用</w:t>
      </w:r>
      <w:bookmarkEnd w:id="34"/>
      <w:bookmarkEnd w:id="35"/>
      <w:bookmarkEnd w:id="36"/>
      <w:bookmarkEnd w:id="37"/>
      <w:bookmarkEnd w:id="3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9" w:name="_Toc40864912"/>
      <w:bookmarkStart w:id="40" w:name="_Toc40865028"/>
      <w:bookmarkStart w:id="41" w:name="_Toc40864636"/>
      <w:r>
        <w:rPr>
          <w:rFonts w:hint="eastAsia" w:ascii="宋体" w:hAnsi="宋体"/>
          <w:b/>
          <w:color w:val="auto"/>
          <w:szCs w:val="21"/>
          <w:highlight w:val="none"/>
        </w:rPr>
        <w:t>（六）本项目不接受联合体投标</w:t>
      </w:r>
      <w:bookmarkEnd w:id="39"/>
      <w:bookmarkEnd w:id="40"/>
      <w:bookmarkEnd w:id="41"/>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42" w:name="_Toc40865029"/>
      <w:bookmarkStart w:id="43" w:name="_Toc40864913"/>
      <w:bookmarkStart w:id="44" w:name="_Toc40864637"/>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2"/>
      <w:bookmarkEnd w:id="43"/>
      <w:bookmarkEnd w:id="44"/>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5" w:name="_Toc254970673"/>
      <w:bookmarkStart w:id="46" w:name="_Toc40864914"/>
      <w:bookmarkStart w:id="47" w:name="_Toc40865030"/>
      <w:bookmarkStart w:id="48" w:name="_Toc254970532"/>
      <w:bookmarkStart w:id="49" w:name="_Toc40864638"/>
      <w:r>
        <w:rPr>
          <w:rFonts w:hint="eastAsia" w:ascii="宋体" w:hAnsi="宋体"/>
          <w:b/>
          <w:color w:val="auto"/>
          <w:szCs w:val="21"/>
          <w:highlight w:val="none"/>
        </w:rPr>
        <w:t>（八）特别说明：</w:t>
      </w:r>
      <w:bookmarkEnd w:id="45"/>
      <w:bookmarkEnd w:id="46"/>
      <w:bookmarkEnd w:id="47"/>
      <w:bookmarkEnd w:id="48"/>
      <w:bookmarkEnd w:id="49"/>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50" w:name="_Toc254970533"/>
      <w:bookmarkStart w:id="51" w:name="_Toc254970674"/>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7"/>
        <w:snapToGrid w:val="0"/>
        <w:spacing w:line="360" w:lineRule="exact"/>
        <w:ind w:firstLine="413" w:firstLineChars="196"/>
        <w:outlineLvl w:val="0"/>
        <w:rPr>
          <w:rFonts w:hAnsi="宋体"/>
          <w:b/>
          <w:bCs/>
          <w:color w:val="auto"/>
          <w:highlight w:val="none"/>
        </w:rPr>
      </w:pPr>
      <w:bookmarkStart w:id="52" w:name="_Toc40865031"/>
      <w:bookmarkStart w:id="53" w:name="_Toc40864639"/>
      <w:bookmarkStart w:id="54" w:name="_Toc40864915"/>
      <w:r>
        <w:rPr>
          <w:rFonts w:hint="eastAsia" w:hAnsi="宋体"/>
          <w:b/>
          <w:bCs/>
          <w:color w:val="auto"/>
          <w:highlight w:val="none"/>
        </w:rPr>
        <w:t>（九）</w:t>
      </w:r>
      <w:bookmarkEnd w:id="50"/>
      <w:bookmarkEnd w:id="51"/>
      <w:r>
        <w:rPr>
          <w:rFonts w:hint="eastAsia" w:hAnsi="宋体"/>
          <w:b/>
          <w:color w:val="auto"/>
          <w:highlight w:val="none"/>
        </w:rPr>
        <w:t>询问、质疑和投诉</w:t>
      </w:r>
      <w:bookmarkEnd w:id="52"/>
      <w:bookmarkEnd w:id="53"/>
      <w:bookmarkEnd w:id="54"/>
    </w:p>
    <w:p>
      <w:pPr>
        <w:pStyle w:val="27"/>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27"/>
        <w:snapToGrid w:val="0"/>
        <w:spacing w:line="360" w:lineRule="exact"/>
        <w:ind w:firstLine="420" w:firstLineChars="200"/>
        <w:rPr>
          <w:rFonts w:hint="eastAsia"/>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27"/>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27"/>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27"/>
        <w:snapToGrid w:val="0"/>
        <w:spacing w:line="360" w:lineRule="exact"/>
        <w:ind w:firstLine="420" w:firstLineChars="200"/>
        <w:rPr>
          <w:rFonts w:hint="eastAsia"/>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27"/>
        <w:snapToGrid w:val="0"/>
        <w:spacing w:line="360" w:lineRule="exact"/>
        <w:ind w:firstLine="420" w:firstLineChars="200"/>
        <w:rPr>
          <w:rFonts w:hint="eastAsia" w:hAnsi="宋体"/>
          <w:bCs/>
          <w:color w:val="auto"/>
          <w:highlight w:val="none"/>
        </w:rPr>
      </w:pPr>
    </w:p>
    <w:p>
      <w:pPr>
        <w:pStyle w:val="27"/>
        <w:snapToGrid w:val="0"/>
        <w:spacing w:line="360" w:lineRule="exact"/>
        <w:ind w:firstLine="413" w:firstLineChars="196"/>
        <w:outlineLvl w:val="0"/>
        <w:rPr>
          <w:rFonts w:hint="eastAsia" w:hAnsi="宋体"/>
          <w:b/>
          <w:color w:val="auto"/>
          <w:highlight w:val="none"/>
        </w:rPr>
      </w:pPr>
      <w:bookmarkStart w:id="55" w:name="_Toc254970675"/>
      <w:bookmarkStart w:id="56" w:name="_Toc40864640"/>
      <w:bookmarkStart w:id="57" w:name="_Toc254970534"/>
      <w:bookmarkStart w:id="58" w:name="_Toc40865032"/>
      <w:bookmarkStart w:id="59" w:name="_Toc40864916"/>
      <w:r>
        <w:rPr>
          <w:rFonts w:hint="eastAsia" w:hAnsi="宋体"/>
          <w:b/>
          <w:color w:val="auto"/>
          <w:highlight w:val="none"/>
        </w:rPr>
        <w:t>二、招标文件</w:t>
      </w:r>
      <w:bookmarkEnd w:id="55"/>
      <w:bookmarkEnd w:id="56"/>
      <w:bookmarkEnd w:id="57"/>
      <w:bookmarkEnd w:id="58"/>
      <w:bookmarkEnd w:id="59"/>
    </w:p>
    <w:p>
      <w:pPr>
        <w:snapToGrid w:val="0"/>
        <w:spacing w:line="360" w:lineRule="exact"/>
        <w:ind w:firstLine="413" w:firstLineChars="196"/>
        <w:jc w:val="left"/>
        <w:outlineLvl w:val="0"/>
        <w:rPr>
          <w:rFonts w:hint="eastAsia" w:ascii="宋体" w:hAnsi="宋体"/>
          <w:b/>
          <w:color w:val="auto"/>
          <w:szCs w:val="21"/>
          <w:highlight w:val="none"/>
        </w:rPr>
      </w:pPr>
      <w:bookmarkStart w:id="60" w:name="_Toc40865033"/>
      <w:bookmarkStart w:id="61" w:name="_Toc40864641"/>
      <w:bookmarkStart w:id="62" w:name="_Toc40864917"/>
      <w:r>
        <w:rPr>
          <w:rFonts w:hint="eastAsia" w:ascii="宋体" w:hAnsi="宋体"/>
          <w:b/>
          <w:color w:val="auto"/>
          <w:szCs w:val="21"/>
          <w:highlight w:val="none"/>
        </w:rPr>
        <w:t>（一）招标文件的构成。</w:t>
      </w:r>
      <w:bookmarkEnd w:id="60"/>
      <w:bookmarkEnd w:id="61"/>
      <w:bookmarkEnd w:id="6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3" w:name="_Toc40864642"/>
      <w:bookmarkStart w:id="64" w:name="_Toc40865034"/>
      <w:bookmarkStart w:id="65" w:name="_Toc40864918"/>
      <w:r>
        <w:rPr>
          <w:rFonts w:hint="eastAsia" w:ascii="宋体" w:hAnsi="宋体"/>
          <w:b/>
          <w:color w:val="auto"/>
          <w:szCs w:val="21"/>
          <w:highlight w:val="none"/>
        </w:rPr>
        <w:t>（二）投标人的风险</w:t>
      </w:r>
      <w:bookmarkEnd w:id="63"/>
      <w:bookmarkEnd w:id="64"/>
      <w:bookmarkEnd w:id="65"/>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2"/>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6" w:name="_Toc40864919"/>
      <w:bookmarkStart w:id="67" w:name="_Toc40865035"/>
      <w:bookmarkStart w:id="68" w:name="_Toc40864643"/>
      <w:r>
        <w:rPr>
          <w:rFonts w:hint="eastAsia" w:ascii="宋体" w:hAnsi="宋体"/>
          <w:b/>
          <w:color w:val="auto"/>
          <w:sz w:val="21"/>
          <w:szCs w:val="21"/>
          <w:highlight w:val="none"/>
        </w:rPr>
        <w:t>（三）招标文件的澄清与修改</w:t>
      </w:r>
      <w:bookmarkEnd w:id="66"/>
      <w:bookmarkEnd w:id="67"/>
      <w:bookmarkEnd w:id="68"/>
      <w:r>
        <w:rPr>
          <w:rFonts w:hint="eastAsia" w:ascii="宋体" w:hAnsi="宋体"/>
          <w:b/>
          <w:color w:val="auto"/>
          <w:sz w:val="21"/>
          <w:szCs w:val="21"/>
          <w:highlight w:val="none"/>
        </w:rPr>
        <w:t xml:space="preserve"> </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7"/>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7"/>
        <w:snapToGrid w:val="0"/>
        <w:spacing w:line="360" w:lineRule="exact"/>
        <w:ind w:firstLine="413" w:firstLineChars="196"/>
        <w:outlineLvl w:val="1"/>
        <w:rPr>
          <w:rFonts w:hint="eastAsia" w:hAnsi="宋体"/>
          <w:b/>
          <w:color w:val="auto"/>
          <w:highlight w:val="none"/>
        </w:rPr>
      </w:pPr>
      <w:bookmarkStart w:id="69" w:name="_Toc40865036"/>
      <w:bookmarkStart w:id="70" w:name="_Toc40864920"/>
      <w:bookmarkStart w:id="71" w:name="_Toc254970676"/>
      <w:bookmarkStart w:id="72" w:name="_Toc254970535"/>
      <w:bookmarkStart w:id="73" w:name="_Toc40864644"/>
      <w:r>
        <w:rPr>
          <w:rFonts w:hint="eastAsia" w:hAnsi="宋体"/>
          <w:b/>
          <w:color w:val="auto"/>
          <w:highlight w:val="none"/>
        </w:rPr>
        <w:t>三、投标文件的编制</w:t>
      </w:r>
      <w:bookmarkEnd w:id="69"/>
      <w:bookmarkEnd w:id="70"/>
      <w:bookmarkEnd w:id="71"/>
      <w:bookmarkEnd w:id="72"/>
      <w:bookmarkEnd w:id="73"/>
    </w:p>
    <w:p>
      <w:pPr>
        <w:snapToGrid w:val="0"/>
        <w:spacing w:line="360" w:lineRule="exact"/>
        <w:ind w:firstLine="413" w:firstLineChars="196"/>
        <w:jc w:val="left"/>
        <w:outlineLvl w:val="0"/>
        <w:rPr>
          <w:rFonts w:hint="eastAsia" w:ascii="宋体" w:hAnsi="宋体"/>
          <w:b/>
          <w:color w:val="auto"/>
          <w:szCs w:val="21"/>
          <w:highlight w:val="none"/>
        </w:rPr>
      </w:pPr>
      <w:bookmarkStart w:id="74" w:name="_Toc254970536"/>
      <w:bookmarkStart w:id="75" w:name="_Toc40864921"/>
      <w:bookmarkStart w:id="76" w:name="_Toc40864645"/>
      <w:bookmarkStart w:id="77" w:name="_Toc40865037"/>
      <w:bookmarkStart w:id="78" w:name="_Toc254970677"/>
      <w:r>
        <w:rPr>
          <w:rFonts w:hint="eastAsia" w:ascii="宋体" w:hAnsi="宋体"/>
          <w:b/>
          <w:color w:val="auto"/>
          <w:szCs w:val="21"/>
          <w:highlight w:val="none"/>
        </w:rPr>
        <w:t>（一）投标文件的组成</w:t>
      </w:r>
      <w:bookmarkEnd w:id="74"/>
      <w:bookmarkEnd w:id="75"/>
      <w:bookmarkEnd w:id="76"/>
      <w:bookmarkEnd w:id="77"/>
      <w:bookmarkEnd w:id="78"/>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color w:val="auto"/>
          <w:highlight w:val="none"/>
        </w:rPr>
      </w:pPr>
      <w:r>
        <w:rPr>
          <w:rFonts w:hint="eastAsia" w:hAnsi="宋体"/>
          <w:color w:val="auto"/>
          <w:highlight w:val="none"/>
        </w:rPr>
        <w:t>②对于有经营资质要求的，投标人必须提供有效的经营资质证书副本内页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color w:val="auto"/>
          <w:highlight w:val="none"/>
        </w:rPr>
        <w:t>，同时要加盖单位公章（</w:t>
      </w:r>
      <w:r>
        <w:rPr>
          <w:rFonts w:hint="eastAsia" w:hAnsi="宋体"/>
          <w:color w:val="auto"/>
          <w:highlight w:val="none"/>
          <w:u w:val="single"/>
        </w:rPr>
        <w:t>必须提供，原件备查</w:t>
      </w:r>
      <w:r>
        <w:rPr>
          <w:rFonts w:hint="eastAsia" w:hAnsi="宋体"/>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 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bookmarkStart w:id="79" w:name="_Toc254970537"/>
      <w:bookmarkStart w:id="80" w:name="_Toc254970678"/>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注：法定代表人授权委托书、投标声明书、投标函、开标一览表必须招标文件格式要求签字或签章和加盖单位公章。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81" w:name="_Toc40864646"/>
      <w:bookmarkStart w:id="82" w:name="_Toc40864922"/>
      <w:bookmarkStart w:id="83" w:name="_Toc40865038"/>
      <w:r>
        <w:rPr>
          <w:rFonts w:hint="eastAsia" w:ascii="宋体" w:hAnsi="宋体"/>
          <w:b/>
          <w:color w:val="auto"/>
          <w:szCs w:val="21"/>
          <w:highlight w:val="none"/>
        </w:rPr>
        <w:t>（二）投标文件的语言及计量</w:t>
      </w:r>
      <w:bookmarkEnd w:id="79"/>
      <w:bookmarkEnd w:id="80"/>
      <w:bookmarkEnd w:id="81"/>
      <w:bookmarkEnd w:id="82"/>
      <w:bookmarkEnd w:id="8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4" w:name="_Toc254970679"/>
      <w:bookmarkStart w:id="85" w:name="_Toc40864647"/>
      <w:bookmarkStart w:id="86" w:name="_Toc254970538"/>
      <w:bookmarkStart w:id="87" w:name="_Toc40865039"/>
      <w:bookmarkStart w:id="88" w:name="_Toc40864923"/>
      <w:r>
        <w:rPr>
          <w:rFonts w:hint="eastAsia" w:ascii="宋体" w:hAnsi="宋体"/>
          <w:b/>
          <w:color w:val="auto"/>
          <w:szCs w:val="21"/>
          <w:highlight w:val="none"/>
        </w:rPr>
        <w:t>（三）投标报价</w:t>
      </w:r>
      <w:bookmarkEnd w:id="84"/>
      <w:bookmarkEnd w:id="85"/>
      <w:bookmarkEnd w:id="86"/>
      <w:bookmarkEnd w:id="87"/>
      <w:bookmarkEnd w:id="88"/>
    </w:p>
    <w:p>
      <w:pPr>
        <w:pStyle w:val="27"/>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27"/>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2"/>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9" w:name="_Toc40864924"/>
      <w:bookmarkStart w:id="90" w:name="_Toc40865040"/>
      <w:bookmarkStart w:id="91" w:name="_Toc40864648"/>
      <w:r>
        <w:rPr>
          <w:rFonts w:hint="eastAsia" w:ascii="宋体" w:hAnsi="宋体"/>
          <w:b/>
          <w:color w:val="auto"/>
          <w:sz w:val="21"/>
          <w:szCs w:val="21"/>
          <w:highlight w:val="none"/>
        </w:rPr>
        <w:t>（四）投标文件的有效期</w:t>
      </w:r>
      <w:bookmarkEnd w:id="89"/>
      <w:bookmarkEnd w:id="90"/>
      <w:bookmarkEnd w:id="91"/>
    </w:p>
    <w:p>
      <w:pPr>
        <w:pStyle w:val="12"/>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2"/>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92" w:name="_Toc40864925"/>
      <w:bookmarkStart w:id="93" w:name="_Toc254970680"/>
      <w:bookmarkStart w:id="94" w:name="_Toc254970539"/>
      <w:bookmarkStart w:id="95" w:name="_Toc40865041"/>
      <w:bookmarkStart w:id="96" w:name="_Toc40864649"/>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2"/>
      <w:bookmarkEnd w:id="93"/>
      <w:bookmarkEnd w:id="94"/>
      <w:bookmarkEnd w:id="95"/>
      <w:bookmarkEnd w:id="9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7" w:name="_Toc254970681"/>
      <w:bookmarkStart w:id="98" w:name="_Toc40865042"/>
      <w:bookmarkStart w:id="99" w:name="_Toc40864650"/>
      <w:bookmarkStart w:id="100" w:name="_Toc40864926"/>
      <w:bookmarkStart w:id="101" w:name="_Toc254970540"/>
      <w:r>
        <w:rPr>
          <w:rFonts w:hint="eastAsia" w:ascii="宋体" w:hAnsi="宋体"/>
          <w:color w:val="auto"/>
          <w:szCs w:val="21"/>
          <w:highlight w:val="none"/>
        </w:rPr>
        <w:t>4.中标人的投标文件自开标之日起至合同履行完毕止均应保持有效。</w:t>
      </w:r>
      <w:bookmarkEnd w:id="97"/>
      <w:bookmarkEnd w:id="98"/>
      <w:bookmarkEnd w:id="99"/>
      <w:bookmarkEnd w:id="100"/>
      <w:bookmarkEnd w:id="101"/>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2" w:name="_Toc40864927"/>
      <w:bookmarkStart w:id="103" w:name="_Toc254970682"/>
      <w:bookmarkStart w:id="104" w:name="_Toc40865043"/>
      <w:bookmarkStart w:id="105" w:name="_Toc254970541"/>
      <w:bookmarkStart w:id="106" w:name="_Toc40864651"/>
      <w:r>
        <w:rPr>
          <w:rFonts w:hint="eastAsia" w:ascii="宋体" w:hAnsi="宋体"/>
          <w:b/>
          <w:color w:val="auto"/>
          <w:szCs w:val="21"/>
          <w:highlight w:val="none"/>
        </w:rPr>
        <w:t>（五）投标保证金</w:t>
      </w:r>
      <w:bookmarkEnd w:id="102"/>
      <w:bookmarkEnd w:id="103"/>
      <w:bookmarkEnd w:id="104"/>
      <w:bookmarkEnd w:id="105"/>
      <w:bookmarkEnd w:id="106"/>
    </w:p>
    <w:p>
      <w:pPr>
        <w:pStyle w:val="27"/>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7"/>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4.本项目保证金事宜请联系中心财务处（电话：0771-8600309，地址：</w:t>
      </w:r>
      <w:r>
        <w:rPr>
          <w:rFonts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7"/>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7" w:name="_Toc40864928"/>
      <w:bookmarkStart w:id="108" w:name="_Toc40864652"/>
      <w:bookmarkStart w:id="109" w:name="_Toc254970683"/>
      <w:bookmarkStart w:id="110" w:name="_Toc254970542"/>
      <w:bookmarkStart w:id="111" w:name="_Toc40865044"/>
      <w:r>
        <w:rPr>
          <w:rFonts w:hint="eastAsia" w:ascii="宋体" w:hAnsi="宋体"/>
          <w:b/>
          <w:color w:val="auto"/>
          <w:szCs w:val="21"/>
          <w:highlight w:val="none"/>
        </w:rPr>
        <w:t>（六）投标文件的签署和份数</w:t>
      </w:r>
      <w:bookmarkEnd w:id="107"/>
      <w:bookmarkEnd w:id="108"/>
      <w:bookmarkEnd w:id="109"/>
      <w:bookmarkEnd w:id="110"/>
      <w:bookmarkEnd w:id="111"/>
    </w:p>
    <w:p>
      <w:pPr>
        <w:adjustRightInd w:val="0"/>
        <w:snapToGrid w:val="0"/>
        <w:spacing w:line="400" w:lineRule="exact"/>
        <w:ind w:firstLine="420" w:firstLineChars="200"/>
        <w:jc w:val="left"/>
        <w:rPr>
          <w:rFonts w:hint="eastAsia" w:ascii="宋体" w:hAnsi="宋体"/>
          <w:color w:val="auto"/>
          <w:szCs w:val="21"/>
          <w:highlight w:val="none"/>
        </w:rPr>
      </w:pPr>
      <w:bookmarkStart w:id="112" w:name="_Toc40864929"/>
      <w:bookmarkStart w:id="113" w:name="_Toc40865045"/>
      <w:bookmarkStart w:id="114" w:name="_Toc40864653"/>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3.投标文件须由投标人在规定位置盖章并由法定代表人或法定代表人的授权委托人签字或签章，投标人应写全称。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4.投标文件不得涂改，若有修改错漏处，须加盖单位公章或者法定代表人或授权委托人签字或签章。投标文件因扫描不清晰或乱码或表达不清所引起的后果由投标人负责。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12"/>
      <w:bookmarkEnd w:id="113"/>
      <w:bookmarkEnd w:id="114"/>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5" w:name="_Toc40864930"/>
      <w:bookmarkStart w:id="116" w:name="_Toc40864654"/>
      <w:bookmarkStart w:id="117" w:name="_Toc40865046"/>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5"/>
      <w:bookmarkEnd w:id="116"/>
      <w:bookmarkEnd w:id="117"/>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18" w:name="_Toc40865048"/>
      <w:bookmarkStart w:id="119" w:name="_Toc40864656"/>
      <w:bookmarkStart w:id="120" w:name="_Toc40864932"/>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8"/>
      <w:bookmarkEnd w:id="119"/>
      <w:bookmarkEnd w:id="12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1" w:name="_Toc40864657"/>
      <w:bookmarkStart w:id="122" w:name="_Toc40864933"/>
      <w:bookmarkStart w:id="123" w:name="_Toc40865049"/>
      <w:r>
        <w:rPr>
          <w:rFonts w:hint="eastAsia" w:ascii="宋体" w:hAnsi="宋体" w:eastAsia="宋体"/>
          <w:color w:val="auto"/>
          <w:spacing w:val="-4"/>
          <w:sz w:val="21"/>
          <w:szCs w:val="21"/>
          <w:highlight w:val="none"/>
        </w:rPr>
        <w:t>（1）超越了按照法律法规规定必须获得行政许可或者行政审批的经营范围的；</w:t>
      </w:r>
      <w:bookmarkEnd w:id="121"/>
      <w:bookmarkEnd w:id="122"/>
      <w:bookmarkEnd w:id="12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4" w:name="_Toc40864658"/>
      <w:bookmarkStart w:id="125" w:name="_Toc40864934"/>
      <w:bookmarkStart w:id="126" w:name="_Toc40865050"/>
      <w:r>
        <w:rPr>
          <w:rFonts w:hint="eastAsia" w:ascii="宋体" w:hAnsi="宋体" w:eastAsia="宋体"/>
          <w:color w:val="auto"/>
          <w:spacing w:val="-4"/>
          <w:sz w:val="21"/>
          <w:szCs w:val="21"/>
          <w:highlight w:val="none"/>
        </w:rPr>
        <w:t>（2）资格证明文件不全的，或者不符合招标文件标明的资格要求的；</w:t>
      </w:r>
      <w:bookmarkEnd w:id="124"/>
      <w:bookmarkEnd w:id="125"/>
      <w:bookmarkEnd w:id="12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7" w:name="_Toc40864935"/>
      <w:bookmarkStart w:id="128" w:name="_Toc40864659"/>
      <w:bookmarkStart w:id="129" w:name="_Toc40865051"/>
      <w:r>
        <w:rPr>
          <w:rFonts w:hint="eastAsia" w:ascii="宋体" w:hAnsi="宋体" w:eastAsia="宋体"/>
          <w:color w:val="auto"/>
          <w:spacing w:val="-4"/>
          <w:sz w:val="21"/>
          <w:szCs w:val="21"/>
          <w:highlight w:val="none"/>
        </w:rPr>
        <w:t>（3）投标文件无法定代表人（负责人）或其授权委托代理人签字或签章，或未提供法定代表人（负责人）授权委托书、投标声明书或者填写项目不齐全的；</w:t>
      </w:r>
      <w:bookmarkEnd w:id="127"/>
      <w:bookmarkEnd w:id="128"/>
      <w:bookmarkEnd w:id="12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0" w:name="_Toc40864936"/>
      <w:bookmarkStart w:id="131" w:name="_Toc40864660"/>
      <w:bookmarkStart w:id="132" w:name="_Toc40865052"/>
      <w:r>
        <w:rPr>
          <w:rFonts w:hint="eastAsia" w:ascii="宋体" w:hAnsi="宋体" w:eastAsia="宋体"/>
          <w:color w:val="auto"/>
          <w:spacing w:val="-4"/>
          <w:sz w:val="21"/>
          <w:szCs w:val="21"/>
          <w:highlight w:val="none"/>
        </w:rPr>
        <w:t>（4）投标代表人未能出具身份证明或与法定代表人（负责人）授权委托人身份不符的；</w:t>
      </w:r>
      <w:bookmarkEnd w:id="130"/>
      <w:bookmarkEnd w:id="131"/>
      <w:bookmarkEnd w:id="13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3" w:name="_Toc40864937"/>
      <w:bookmarkStart w:id="134" w:name="_Toc40864661"/>
      <w:bookmarkStart w:id="135" w:name="_Toc40865053"/>
      <w:r>
        <w:rPr>
          <w:rFonts w:hint="eastAsia" w:ascii="宋体" w:hAnsi="宋体" w:eastAsia="宋体"/>
          <w:color w:val="auto"/>
          <w:spacing w:val="-4"/>
          <w:sz w:val="21"/>
          <w:szCs w:val="21"/>
          <w:highlight w:val="none"/>
        </w:rPr>
        <w:t>（5）项目不齐全或者内容虚假的；</w:t>
      </w:r>
      <w:bookmarkEnd w:id="133"/>
      <w:bookmarkEnd w:id="134"/>
      <w:bookmarkEnd w:id="13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5054"/>
      <w:bookmarkStart w:id="137" w:name="_Toc40864938"/>
      <w:bookmarkStart w:id="138" w:name="_Toc40864662"/>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6"/>
      <w:bookmarkEnd w:id="137"/>
      <w:bookmarkEnd w:id="13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9" w:name="_Toc40864663"/>
      <w:bookmarkStart w:id="140" w:name="_Toc40865055"/>
      <w:bookmarkStart w:id="141" w:name="_Toc40864939"/>
      <w:r>
        <w:rPr>
          <w:rFonts w:hint="eastAsia" w:ascii="宋体" w:hAnsi="宋体" w:eastAsia="宋体"/>
          <w:color w:val="auto"/>
          <w:spacing w:val="-4"/>
          <w:sz w:val="21"/>
          <w:szCs w:val="21"/>
          <w:highlight w:val="none"/>
        </w:rPr>
        <w:t>（7）投标有效期、交付使用时间、质保期等商务条款不能满足招标文件要求的；</w:t>
      </w:r>
      <w:bookmarkEnd w:id="139"/>
      <w:bookmarkEnd w:id="140"/>
      <w:bookmarkEnd w:id="14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5056"/>
      <w:bookmarkStart w:id="143" w:name="_Toc40864940"/>
      <w:bookmarkStart w:id="144" w:name="_Toc40864664"/>
      <w:r>
        <w:rPr>
          <w:rFonts w:hint="eastAsia" w:ascii="宋体" w:hAnsi="宋体" w:eastAsia="宋体"/>
          <w:color w:val="auto"/>
          <w:spacing w:val="-4"/>
          <w:sz w:val="21"/>
          <w:szCs w:val="21"/>
          <w:highlight w:val="none"/>
        </w:rPr>
        <w:t>（8）未实质性响应招标文件要求或者投标文件有招标方不能接受的附加条件的；</w:t>
      </w:r>
      <w:bookmarkEnd w:id="142"/>
      <w:bookmarkEnd w:id="143"/>
      <w:bookmarkEnd w:id="144"/>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bookmarkStart w:id="145" w:name="_Toc40865058"/>
      <w:bookmarkStart w:id="146" w:name="_Toc40864942"/>
      <w:bookmarkStart w:id="147" w:name="_Toc40864666"/>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5"/>
      <w:bookmarkEnd w:id="146"/>
      <w:bookmarkEnd w:id="14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8" w:name="_Toc40864943"/>
      <w:bookmarkStart w:id="149" w:name="_Toc40865059"/>
      <w:bookmarkStart w:id="150" w:name="_Toc40864667"/>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8"/>
      <w:bookmarkEnd w:id="149"/>
      <w:bookmarkEnd w:id="15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4668"/>
      <w:bookmarkStart w:id="152" w:name="_Toc40864944"/>
      <w:bookmarkStart w:id="153" w:name="_Toc40865060"/>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1"/>
      <w:bookmarkEnd w:id="152"/>
      <w:bookmarkEnd w:id="153"/>
    </w:p>
    <w:p>
      <w:pPr>
        <w:pStyle w:val="21"/>
        <w:snapToGrid w:val="0"/>
        <w:spacing w:line="360" w:lineRule="exact"/>
        <w:ind w:firstLine="397" w:firstLineChars="196"/>
        <w:outlineLvl w:val="0"/>
        <w:rPr>
          <w:rFonts w:hint="eastAsia" w:ascii="宋体" w:hAnsi="宋体" w:eastAsia="宋体"/>
          <w:b/>
          <w:bCs/>
          <w:color w:val="auto"/>
          <w:spacing w:val="-4"/>
          <w:sz w:val="21"/>
          <w:szCs w:val="21"/>
          <w:highlight w:val="none"/>
        </w:rPr>
      </w:pPr>
      <w:bookmarkStart w:id="154" w:name="_Toc40865061"/>
      <w:bookmarkStart w:id="155" w:name="_Toc40864945"/>
      <w:bookmarkStart w:id="156" w:name="_Toc40864669"/>
      <w:r>
        <w:rPr>
          <w:rFonts w:hint="eastAsia" w:ascii="宋体" w:hAnsi="宋体" w:eastAsia="宋体"/>
          <w:b/>
          <w:bCs/>
          <w:color w:val="auto"/>
          <w:spacing w:val="-4"/>
          <w:sz w:val="21"/>
          <w:szCs w:val="21"/>
          <w:highlight w:val="none"/>
        </w:rPr>
        <w:t>（3）标注 “▲”的技术、性能指标发生负偏离达1项（含）以上的；</w:t>
      </w:r>
      <w:bookmarkEnd w:id="154"/>
      <w:bookmarkEnd w:id="155"/>
      <w:bookmarkEnd w:id="15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4670"/>
      <w:bookmarkStart w:id="158" w:name="_Toc40864946"/>
      <w:bookmarkStart w:id="159" w:name="_Toc40865062"/>
      <w:r>
        <w:rPr>
          <w:rFonts w:hint="eastAsia" w:ascii="宋体" w:hAnsi="宋体" w:eastAsia="宋体"/>
          <w:color w:val="auto"/>
          <w:spacing w:val="-4"/>
          <w:sz w:val="21"/>
          <w:szCs w:val="21"/>
          <w:highlight w:val="none"/>
        </w:rPr>
        <w:t>（4）投标技术方案不明确，存在一个或一个以上备选（替换）投标方案的；</w:t>
      </w:r>
      <w:bookmarkEnd w:id="157"/>
      <w:bookmarkEnd w:id="158"/>
      <w:bookmarkEnd w:id="15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0" w:name="_Toc40864671"/>
      <w:bookmarkStart w:id="161" w:name="_Toc40865063"/>
      <w:bookmarkStart w:id="162" w:name="_Toc40864947"/>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0"/>
      <w:bookmarkEnd w:id="161"/>
      <w:bookmarkEnd w:id="16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4672"/>
      <w:bookmarkStart w:id="164" w:name="_Toc40864948"/>
      <w:bookmarkStart w:id="165" w:name="_Toc40865064"/>
      <w:r>
        <w:rPr>
          <w:rFonts w:hint="eastAsia" w:ascii="宋体" w:hAnsi="宋体" w:eastAsia="宋体"/>
          <w:color w:val="auto"/>
          <w:spacing w:val="-4"/>
          <w:sz w:val="21"/>
          <w:szCs w:val="21"/>
          <w:highlight w:val="none"/>
        </w:rPr>
        <w:t>3.在报价评审时，如发现下列情形之一的，投标文件将被视为无效：</w:t>
      </w:r>
      <w:bookmarkEnd w:id="163"/>
      <w:bookmarkEnd w:id="164"/>
      <w:bookmarkEnd w:id="16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5065"/>
      <w:bookmarkStart w:id="167" w:name="_Toc40864949"/>
      <w:bookmarkStart w:id="168" w:name="_Toc40864673"/>
      <w:r>
        <w:rPr>
          <w:rFonts w:hint="eastAsia" w:ascii="宋体" w:hAnsi="宋体" w:eastAsia="宋体"/>
          <w:color w:val="auto"/>
          <w:spacing w:val="-4"/>
          <w:sz w:val="21"/>
          <w:szCs w:val="21"/>
          <w:highlight w:val="none"/>
        </w:rPr>
        <w:t>（1）未采用人民币报价或者未按照招标文件标明的币种报价的；</w:t>
      </w:r>
      <w:bookmarkEnd w:id="166"/>
      <w:bookmarkEnd w:id="167"/>
      <w:bookmarkEnd w:id="168"/>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4950"/>
      <w:bookmarkStart w:id="170" w:name="_Toc40865066"/>
      <w:bookmarkStart w:id="171" w:name="_Toc40864674"/>
      <w:r>
        <w:rPr>
          <w:rFonts w:hint="eastAsia" w:ascii="宋体" w:hAnsi="宋体" w:eastAsia="宋体"/>
          <w:color w:val="auto"/>
          <w:spacing w:val="-4"/>
          <w:sz w:val="21"/>
          <w:szCs w:val="21"/>
          <w:highlight w:val="none"/>
        </w:rPr>
        <w:t>（2）报价超出最高限价，或者超出采购预算（最高限价）金额，采购人不能支付的；</w:t>
      </w:r>
      <w:bookmarkEnd w:id="169"/>
      <w:bookmarkEnd w:id="170"/>
      <w:bookmarkEnd w:id="171"/>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4951"/>
      <w:bookmarkStart w:id="173" w:name="_Toc40865067"/>
      <w:bookmarkStart w:id="174" w:name="_Toc40864675"/>
      <w:r>
        <w:rPr>
          <w:rFonts w:hint="eastAsia" w:ascii="宋体" w:hAnsi="宋体" w:eastAsia="宋体"/>
          <w:color w:val="auto"/>
          <w:spacing w:val="-4"/>
          <w:sz w:val="21"/>
          <w:szCs w:val="21"/>
          <w:highlight w:val="none"/>
        </w:rPr>
        <w:t>（3）投标报价具有选择性，或者开标价格与投标文件承诺的优惠（折扣）价格不一致的。</w:t>
      </w:r>
      <w:bookmarkEnd w:id="172"/>
      <w:bookmarkEnd w:id="173"/>
      <w:bookmarkEnd w:id="174"/>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5068"/>
      <w:bookmarkStart w:id="176" w:name="_Toc40864676"/>
      <w:bookmarkStart w:id="177" w:name="_Toc40864952"/>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5"/>
      <w:bookmarkEnd w:id="176"/>
      <w:bookmarkEnd w:id="177"/>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4953"/>
      <w:bookmarkStart w:id="179" w:name="_Toc40865069"/>
      <w:bookmarkStart w:id="180" w:name="_Toc40864677"/>
      <w:r>
        <w:rPr>
          <w:rFonts w:hint="eastAsia" w:ascii="宋体" w:hAnsi="宋体" w:eastAsia="宋体"/>
          <w:color w:val="auto"/>
          <w:spacing w:val="-4"/>
          <w:sz w:val="21"/>
          <w:szCs w:val="21"/>
          <w:highlight w:val="none"/>
        </w:rPr>
        <w:t>4.有下列情形之一的视为投标人相互串通投标，投标文件将被视为无效:</w:t>
      </w:r>
      <w:bookmarkEnd w:id="178"/>
      <w:bookmarkEnd w:id="179"/>
      <w:bookmarkEnd w:id="180"/>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4678"/>
      <w:bookmarkStart w:id="182" w:name="_Toc40864954"/>
      <w:bookmarkStart w:id="183" w:name="_Toc40865070"/>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1"/>
      <w:bookmarkEnd w:id="182"/>
      <w:bookmarkEnd w:id="183"/>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4679"/>
      <w:bookmarkStart w:id="185" w:name="_Toc40864955"/>
      <w:bookmarkStart w:id="186" w:name="_Toc40865071"/>
      <w:r>
        <w:rPr>
          <w:rFonts w:hint="eastAsia" w:ascii="宋体" w:hAnsi="宋体" w:eastAsia="宋体"/>
          <w:color w:val="auto"/>
          <w:spacing w:val="-4"/>
          <w:sz w:val="21"/>
          <w:szCs w:val="21"/>
          <w:highlight w:val="none"/>
        </w:rPr>
        <w:t>（2）不同投标人委托同一单位或者个人办理投标事宜；</w:t>
      </w:r>
      <w:bookmarkEnd w:id="184"/>
      <w:bookmarkEnd w:id="185"/>
      <w:bookmarkEnd w:id="186"/>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5072"/>
      <w:bookmarkStart w:id="188" w:name="_Toc40864956"/>
      <w:bookmarkStart w:id="189" w:name="_Toc40864680"/>
      <w:r>
        <w:rPr>
          <w:rFonts w:hint="eastAsia" w:ascii="宋体" w:hAnsi="宋体" w:eastAsia="宋体"/>
          <w:color w:val="auto"/>
          <w:spacing w:val="-4"/>
          <w:sz w:val="21"/>
          <w:szCs w:val="21"/>
          <w:highlight w:val="none"/>
        </w:rPr>
        <w:t>（3）不同投标人的投标文件载明的项目管理成员或者联系人员为同一人；</w:t>
      </w:r>
      <w:bookmarkEnd w:id="187"/>
      <w:bookmarkEnd w:id="188"/>
      <w:bookmarkEnd w:id="189"/>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4681"/>
      <w:bookmarkStart w:id="191" w:name="_Toc40865073"/>
      <w:bookmarkStart w:id="192" w:name="_Toc40864957"/>
      <w:r>
        <w:rPr>
          <w:rFonts w:hint="eastAsia" w:ascii="宋体" w:hAnsi="宋体" w:eastAsia="宋体"/>
          <w:color w:val="auto"/>
          <w:spacing w:val="-4"/>
          <w:sz w:val="21"/>
          <w:szCs w:val="21"/>
          <w:highlight w:val="none"/>
        </w:rPr>
        <w:t>（4）不同投标人的投标文件异常一致或投标报价呈规律性差异；</w:t>
      </w:r>
      <w:bookmarkEnd w:id="190"/>
      <w:bookmarkEnd w:id="191"/>
      <w:bookmarkEnd w:id="192"/>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3" w:name="_Toc40864958"/>
      <w:bookmarkStart w:id="194" w:name="_Toc40865074"/>
      <w:bookmarkStart w:id="195" w:name="_Toc40864682"/>
      <w:r>
        <w:rPr>
          <w:rFonts w:hint="eastAsia" w:ascii="宋体" w:hAnsi="宋体" w:eastAsia="宋体"/>
          <w:color w:val="auto"/>
          <w:spacing w:val="-4"/>
          <w:sz w:val="21"/>
          <w:szCs w:val="21"/>
          <w:highlight w:val="none"/>
        </w:rPr>
        <w:t>（5）不同投标人的投标文件相互混装；</w:t>
      </w:r>
      <w:bookmarkEnd w:id="193"/>
      <w:bookmarkEnd w:id="194"/>
      <w:bookmarkEnd w:id="195"/>
    </w:p>
    <w:p>
      <w:pPr>
        <w:pStyle w:val="21"/>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6" w:name="_Toc40864683"/>
      <w:bookmarkStart w:id="197" w:name="_Toc40864959"/>
      <w:bookmarkStart w:id="198" w:name="_Toc40865075"/>
      <w:r>
        <w:rPr>
          <w:rFonts w:hint="eastAsia" w:ascii="宋体" w:hAnsi="宋体" w:eastAsia="宋体"/>
          <w:color w:val="auto"/>
          <w:spacing w:val="-4"/>
          <w:sz w:val="21"/>
          <w:szCs w:val="21"/>
          <w:highlight w:val="none"/>
        </w:rPr>
        <w:t>（6）不同投标人的投标保证金从同一个单位或者个人账户转出。</w:t>
      </w:r>
      <w:bookmarkEnd w:id="196"/>
      <w:bookmarkEnd w:id="197"/>
      <w:bookmarkEnd w:id="198"/>
    </w:p>
    <w:p>
      <w:pPr>
        <w:pStyle w:val="21"/>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9" w:name="_Toc40865079"/>
      <w:bookmarkStart w:id="200" w:name="_Toc40864963"/>
      <w:bookmarkStart w:id="201" w:name="_Toc40864687"/>
      <w:r>
        <w:rPr>
          <w:rFonts w:hint="eastAsia" w:ascii="宋体" w:hAnsi="宋体" w:eastAsia="宋体"/>
          <w:color w:val="auto"/>
          <w:spacing w:val="-4"/>
          <w:sz w:val="21"/>
          <w:szCs w:val="21"/>
          <w:highlight w:val="none"/>
        </w:rPr>
        <w:t>5.</w:t>
      </w:r>
      <w:bookmarkEnd w:id="199"/>
      <w:bookmarkEnd w:id="200"/>
      <w:bookmarkEnd w:id="20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02" w:name="_Toc40864688"/>
      <w:bookmarkStart w:id="203" w:name="_Toc254970544"/>
      <w:bookmarkStart w:id="204" w:name="_Toc40865080"/>
      <w:bookmarkStart w:id="205" w:name="_Toc254970685"/>
      <w:bookmarkStart w:id="206" w:name="_Toc40864964"/>
      <w:r>
        <w:rPr>
          <w:rFonts w:hint="eastAsia" w:ascii="宋体" w:hAnsi="宋体" w:eastAsia="宋体"/>
          <w:b/>
          <w:color w:val="auto"/>
          <w:sz w:val="21"/>
          <w:szCs w:val="21"/>
          <w:highlight w:val="none"/>
        </w:rPr>
        <w:t>四、开标</w:t>
      </w:r>
      <w:bookmarkEnd w:id="202"/>
      <w:bookmarkEnd w:id="203"/>
      <w:bookmarkEnd w:id="204"/>
      <w:bookmarkEnd w:id="205"/>
      <w:bookmarkEnd w:id="206"/>
    </w:p>
    <w:p>
      <w:pPr>
        <w:pStyle w:val="27"/>
        <w:snapToGrid w:val="0"/>
        <w:spacing w:line="360" w:lineRule="exact"/>
        <w:ind w:firstLine="413" w:firstLineChars="196"/>
        <w:outlineLvl w:val="0"/>
        <w:rPr>
          <w:rFonts w:hint="eastAsia" w:hAnsi="宋体"/>
          <w:b/>
          <w:color w:val="auto"/>
          <w:highlight w:val="none"/>
        </w:rPr>
      </w:pPr>
      <w:bookmarkStart w:id="207" w:name="_Toc40864689"/>
      <w:bookmarkStart w:id="208" w:name="_Toc40864965"/>
      <w:bookmarkStart w:id="209" w:name="_Toc40865081"/>
      <w:r>
        <w:rPr>
          <w:rFonts w:hint="eastAsia" w:hAnsi="宋体"/>
          <w:b/>
          <w:color w:val="auto"/>
          <w:highlight w:val="none"/>
        </w:rPr>
        <w:t>（一）开标准备</w:t>
      </w:r>
      <w:bookmarkEnd w:id="207"/>
      <w:bookmarkEnd w:id="208"/>
      <w:bookmarkEnd w:id="209"/>
    </w:p>
    <w:p>
      <w:pPr>
        <w:shd w:val="clear" w:color="auto" w:fill="FFFFFF"/>
        <w:adjustRightInd w:val="0"/>
        <w:snapToGrid w:val="0"/>
        <w:spacing w:line="400" w:lineRule="exact"/>
        <w:ind w:firstLine="440" w:firstLineChars="200"/>
        <w:rPr>
          <w:rFonts w:hint="eastAsia" w:hAnsi="宋体"/>
          <w:bCs/>
          <w:color w:val="auto"/>
          <w:highlight w:val="none"/>
        </w:rPr>
      </w:pPr>
      <w:bookmarkStart w:id="210" w:name="_Toc40864690"/>
      <w:bookmarkStart w:id="211" w:name="_Toc40865082"/>
      <w:bookmarkStart w:id="212" w:name="_Toc40864966"/>
      <w:r>
        <w:rPr>
          <w:rFonts w:hint="eastAsia" w:ascii="宋体"/>
          <w:color w:val="auto"/>
          <w:sz w:val="22"/>
          <w:highlight w:val="none"/>
        </w:rPr>
        <w:t>采购代理机构按招标文件规定的时间、地点通过“广西政府采购云平台”组织开标、开启投标文件，所有供应商均应当准时在线参加。投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7"/>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10"/>
      <w:bookmarkEnd w:id="211"/>
      <w:bookmarkEnd w:id="212"/>
    </w:p>
    <w:p>
      <w:pPr>
        <w:pStyle w:val="27"/>
        <w:adjustRightInd w:val="0"/>
        <w:snapToGrid w:val="0"/>
        <w:spacing w:line="400" w:lineRule="exact"/>
        <w:ind w:firstLine="420" w:firstLineChars="200"/>
        <w:rPr>
          <w:rFonts w:hint="eastAsia" w:hAnsi="宋体"/>
          <w:color w:val="auto"/>
          <w:highlight w:val="none"/>
        </w:rPr>
      </w:pPr>
      <w:bookmarkStart w:id="213" w:name="_Toc40864967"/>
      <w:bookmarkStart w:id="214" w:name="_Toc40865083"/>
      <w:bookmarkStart w:id="215" w:name="_Toc40864691"/>
      <w:bookmarkStart w:id="216" w:name="_Toc254970545"/>
      <w:bookmarkStart w:id="217" w:name="_Toc254970686"/>
      <w:r>
        <w:rPr>
          <w:rFonts w:hint="eastAsia" w:hAnsi="宋体"/>
          <w:color w:val="auto"/>
          <w:highlight w:val="none"/>
        </w:rPr>
        <w:t>1.电子开标会由本中心主持</w:t>
      </w:r>
    </w:p>
    <w:p>
      <w:pPr>
        <w:pStyle w:val="27"/>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7"/>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7"/>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rPr>
        <w:t>广西政府采购云平台</w:t>
      </w:r>
      <w:r>
        <w:rPr>
          <w:rFonts w:hAnsi="宋体"/>
          <w:b/>
          <w:bCs/>
          <w:color w:val="auto"/>
          <w:sz w:val="22"/>
          <w:szCs w:val="22"/>
          <w:highlight w:val="none"/>
        </w:rPr>
        <w:t>”电子化开标或评审程序调整的，按调整后程序执行。</w:t>
      </w:r>
    </w:p>
    <w:p>
      <w:pPr>
        <w:pStyle w:val="27"/>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3"/>
      <w:bookmarkEnd w:id="214"/>
      <w:bookmarkEnd w:id="215"/>
    </w:p>
    <w:p>
      <w:pPr>
        <w:pStyle w:val="27"/>
        <w:snapToGrid w:val="0"/>
        <w:spacing w:line="360" w:lineRule="exact"/>
        <w:ind w:left="771" w:leftChars="267" w:hanging="210" w:hangingChars="100"/>
        <w:outlineLvl w:val="1"/>
        <w:rPr>
          <w:rFonts w:hint="eastAsia" w:hAnsi="宋体"/>
          <w:b/>
          <w:color w:val="auto"/>
          <w:highlight w:val="none"/>
        </w:rPr>
      </w:pPr>
      <w:bookmarkStart w:id="218" w:name="_Toc40864692"/>
      <w:bookmarkStart w:id="219" w:name="_Toc40864968"/>
      <w:bookmarkStart w:id="220" w:name="_Toc40865084"/>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8"/>
      <w:bookmarkEnd w:id="219"/>
      <w:bookmarkEnd w:id="220"/>
    </w:p>
    <w:p>
      <w:pPr>
        <w:pStyle w:val="27"/>
        <w:snapToGrid w:val="0"/>
        <w:spacing w:line="360" w:lineRule="exact"/>
        <w:ind w:left="771" w:leftChars="267" w:hanging="210" w:hangingChars="100"/>
        <w:outlineLvl w:val="1"/>
        <w:rPr>
          <w:rFonts w:hint="eastAsia" w:hAnsi="宋体"/>
          <w:b/>
          <w:color w:val="auto"/>
          <w:highlight w:val="none"/>
        </w:rPr>
      </w:pPr>
      <w:bookmarkStart w:id="221" w:name="_Toc40865085"/>
      <w:bookmarkStart w:id="222" w:name="_Toc40864693"/>
      <w:bookmarkStart w:id="223" w:name="_Toc40864969"/>
      <w:r>
        <w:rPr>
          <w:rFonts w:hint="eastAsia" w:hAnsi="宋体"/>
          <w:b/>
          <w:color w:val="auto"/>
          <w:highlight w:val="none"/>
        </w:rPr>
        <w:t>六、评标</w:t>
      </w:r>
      <w:bookmarkEnd w:id="216"/>
      <w:bookmarkEnd w:id="217"/>
      <w:bookmarkEnd w:id="221"/>
      <w:bookmarkEnd w:id="222"/>
      <w:bookmarkEnd w:id="223"/>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7"/>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7"/>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7"/>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4" w:name="_Toc40864970"/>
      <w:bookmarkStart w:id="225" w:name="_Toc40864694"/>
      <w:bookmarkStart w:id="226" w:name="_Toc40865086"/>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4"/>
    <w:bookmarkEnd w:id="225"/>
    <w:bookmarkEnd w:id="226"/>
    <w:p>
      <w:pPr>
        <w:adjustRightInd w:val="0"/>
        <w:snapToGrid w:val="0"/>
        <w:spacing w:line="400" w:lineRule="exact"/>
        <w:ind w:firstLine="421" w:firstLineChars="200"/>
        <w:rPr>
          <w:rFonts w:hint="eastAsia"/>
          <w:b/>
          <w:color w:val="auto"/>
          <w:highlight w:val="none"/>
        </w:rPr>
      </w:pPr>
      <w:bookmarkStart w:id="227" w:name="_Toc40864696"/>
      <w:bookmarkStart w:id="228" w:name="_Toc40864972"/>
      <w:bookmarkStart w:id="229" w:name="_Toc40865088"/>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7"/>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7"/>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7"/>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7"/>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7"/>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7"/>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按上述修正错误的原则及方法调整或修正投标文件的投标报价，投标人须在线同意并签字或签章确认，调整后的投标报价对投标人具有约束作用。如果投标人不接受修正后的报价，则其投标将作为无效投标处理。</w:t>
      </w:r>
    </w:p>
    <w:p>
      <w:pPr>
        <w:pStyle w:val="27"/>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7"/>
      <w:bookmarkEnd w:id="228"/>
      <w:bookmarkEnd w:id="229"/>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7"/>
        <w:snapToGrid w:val="0"/>
        <w:spacing w:line="440" w:lineRule="exact"/>
        <w:ind w:firstLine="413" w:firstLineChars="196"/>
        <w:outlineLvl w:val="0"/>
        <w:rPr>
          <w:rFonts w:hint="eastAsia" w:hAnsi="宋体"/>
          <w:b/>
          <w:color w:val="auto"/>
          <w:highlight w:val="none"/>
        </w:rPr>
      </w:pPr>
      <w:bookmarkStart w:id="230" w:name="_Toc40865089"/>
      <w:bookmarkStart w:id="231" w:name="_Toc40864973"/>
      <w:bookmarkStart w:id="232" w:name="_Toc40864697"/>
      <w:r>
        <w:rPr>
          <w:rFonts w:hint="eastAsia" w:hAnsi="宋体"/>
          <w:b/>
          <w:color w:val="auto"/>
          <w:highlight w:val="none"/>
        </w:rPr>
        <w:t>（七）评标过程的监控</w:t>
      </w:r>
      <w:bookmarkEnd w:id="230"/>
      <w:bookmarkEnd w:id="231"/>
      <w:bookmarkEnd w:id="232"/>
    </w:p>
    <w:p>
      <w:pPr>
        <w:pStyle w:val="27"/>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7"/>
        <w:snapToGrid w:val="0"/>
        <w:spacing w:line="440" w:lineRule="exact"/>
        <w:ind w:firstLine="413" w:firstLineChars="196"/>
        <w:outlineLvl w:val="1"/>
        <w:rPr>
          <w:rFonts w:hint="eastAsia" w:hAnsi="宋体"/>
          <w:b/>
          <w:color w:val="auto"/>
          <w:highlight w:val="none"/>
        </w:rPr>
      </w:pPr>
      <w:bookmarkStart w:id="233" w:name="_Toc254970687"/>
      <w:bookmarkStart w:id="234" w:name="_Toc40865090"/>
      <w:bookmarkStart w:id="235" w:name="_Toc40864698"/>
      <w:bookmarkStart w:id="236" w:name="_Toc40864974"/>
      <w:bookmarkStart w:id="237" w:name="_Toc254970546"/>
      <w:r>
        <w:rPr>
          <w:rFonts w:hint="eastAsia" w:hAnsi="宋体"/>
          <w:b/>
          <w:color w:val="auto"/>
          <w:highlight w:val="none"/>
        </w:rPr>
        <w:t>七、评标结果</w:t>
      </w:r>
      <w:bookmarkEnd w:id="233"/>
      <w:bookmarkEnd w:id="234"/>
      <w:bookmarkEnd w:id="235"/>
      <w:bookmarkEnd w:id="236"/>
      <w:bookmarkEnd w:id="237"/>
    </w:p>
    <w:p>
      <w:pPr>
        <w:pStyle w:val="27"/>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27"/>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7"/>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7"/>
        <w:spacing w:line="440" w:lineRule="exact"/>
        <w:ind w:firstLine="420" w:firstLineChars="200"/>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27"/>
        <w:spacing w:line="440" w:lineRule="exact"/>
        <w:ind w:firstLine="420"/>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27"/>
        <w:snapToGrid w:val="0"/>
        <w:spacing w:line="440" w:lineRule="exact"/>
        <w:ind w:firstLine="413" w:firstLineChars="196"/>
        <w:outlineLvl w:val="1"/>
        <w:rPr>
          <w:rFonts w:hint="eastAsia" w:hAnsi="宋体"/>
          <w:b/>
          <w:color w:val="auto"/>
          <w:highlight w:val="none"/>
        </w:rPr>
      </w:pPr>
      <w:bookmarkStart w:id="238" w:name="_Toc40864699"/>
      <w:bookmarkStart w:id="239" w:name="_Toc40864975"/>
      <w:bookmarkStart w:id="240" w:name="_Toc40865091"/>
      <w:r>
        <w:rPr>
          <w:rFonts w:hint="eastAsia" w:hAnsi="宋体"/>
          <w:b/>
          <w:color w:val="auto"/>
          <w:highlight w:val="none"/>
        </w:rPr>
        <w:t>八、签订合同</w:t>
      </w:r>
      <w:bookmarkEnd w:id="238"/>
      <w:bookmarkEnd w:id="239"/>
      <w:bookmarkEnd w:id="240"/>
    </w:p>
    <w:p>
      <w:pPr>
        <w:pStyle w:val="27"/>
        <w:snapToGrid w:val="0"/>
        <w:spacing w:line="440" w:lineRule="exact"/>
        <w:ind w:firstLine="413" w:firstLineChars="196"/>
        <w:outlineLvl w:val="1"/>
        <w:rPr>
          <w:rFonts w:hint="eastAsia" w:hAnsi="宋体"/>
          <w:b/>
          <w:color w:val="auto"/>
          <w:highlight w:val="none"/>
        </w:rPr>
      </w:pPr>
      <w:bookmarkStart w:id="241" w:name="_Toc40864976"/>
      <w:bookmarkStart w:id="242" w:name="_Toc40865092"/>
      <w:bookmarkStart w:id="243" w:name="_Toc40864700"/>
      <w:r>
        <w:rPr>
          <w:rFonts w:hint="eastAsia" w:hAnsi="宋体"/>
          <w:b/>
          <w:color w:val="auto"/>
          <w:highlight w:val="none"/>
        </w:rPr>
        <w:t>（一）合同授予标准</w:t>
      </w:r>
      <w:bookmarkEnd w:id="241"/>
      <w:bookmarkEnd w:id="242"/>
      <w:bookmarkEnd w:id="243"/>
    </w:p>
    <w:p>
      <w:pPr>
        <w:pStyle w:val="27"/>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27"/>
        <w:snapToGrid w:val="0"/>
        <w:spacing w:line="440" w:lineRule="exact"/>
        <w:ind w:firstLine="413" w:firstLineChars="196"/>
        <w:outlineLvl w:val="1"/>
        <w:rPr>
          <w:rFonts w:hint="eastAsia" w:hAnsi="宋体"/>
          <w:color w:val="auto"/>
          <w:highlight w:val="none"/>
        </w:rPr>
      </w:pPr>
      <w:bookmarkStart w:id="244" w:name="_Toc40865093"/>
      <w:bookmarkStart w:id="245" w:name="_Toc40864701"/>
      <w:bookmarkStart w:id="246" w:name="_Toc40864977"/>
      <w:r>
        <w:rPr>
          <w:rFonts w:hint="eastAsia" w:hAnsi="宋体"/>
          <w:b/>
          <w:color w:val="auto"/>
          <w:highlight w:val="none"/>
        </w:rPr>
        <w:t>（二）签订合同</w:t>
      </w:r>
      <w:bookmarkEnd w:id="244"/>
      <w:bookmarkEnd w:id="245"/>
      <w:bookmarkEnd w:id="246"/>
    </w:p>
    <w:p>
      <w:pPr>
        <w:pStyle w:val="27"/>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7"/>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7"/>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7"/>
        <w:snapToGrid w:val="0"/>
        <w:spacing w:line="440" w:lineRule="exact"/>
        <w:ind w:firstLine="413" w:firstLineChars="196"/>
        <w:outlineLvl w:val="1"/>
        <w:rPr>
          <w:rFonts w:hint="eastAsia" w:hAnsi="宋体"/>
          <w:b/>
          <w:color w:val="auto"/>
          <w:highlight w:val="none"/>
        </w:rPr>
      </w:pPr>
      <w:bookmarkStart w:id="247" w:name="_Toc40865094"/>
      <w:bookmarkStart w:id="248" w:name="_Toc40864978"/>
      <w:bookmarkStart w:id="249" w:name="_Toc40864702"/>
      <w:r>
        <w:rPr>
          <w:rFonts w:hint="eastAsia" w:hAnsi="宋体"/>
          <w:b/>
          <w:color w:val="auto"/>
          <w:highlight w:val="none"/>
        </w:rPr>
        <w:t>九、其他事项</w:t>
      </w:r>
      <w:bookmarkEnd w:id="247"/>
      <w:bookmarkEnd w:id="248"/>
      <w:bookmarkEnd w:id="249"/>
    </w:p>
    <w:p>
      <w:pPr>
        <w:pStyle w:val="27"/>
        <w:snapToGrid w:val="0"/>
        <w:spacing w:line="440" w:lineRule="exact"/>
        <w:ind w:firstLine="413" w:firstLineChars="196"/>
        <w:outlineLvl w:val="1"/>
        <w:rPr>
          <w:rFonts w:hint="eastAsia" w:hAnsi="宋体"/>
          <w:b/>
          <w:color w:val="auto"/>
          <w:highlight w:val="none"/>
        </w:rPr>
      </w:pPr>
      <w:bookmarkStart w:id="250" w:name="_Toc40864979"/>
      <w:bookmarkStart w:id="251" w:name="_Toc40864703"/>
      <w:bookmarkStart w:id="252" w:name="_Toc40865095"/>
      <w:r>
        <w:rPr>
          <w:rFonts w:hint="eastAsia" w:hAnsi="宋体"/>
          <w:b/>
          <w:color w:val="auto"/>
          <w:highlight w:val="none"/>
        </w:rPr>
        <w:t>（1）解释权：</w:t>
      </w:r>
      <w:r>
        <w:rPr>
          <w:rFonts w:hint="eastAsia" w:hAnsi="宋体"/>
          <w:color w:val="auto"/>
          <w:spacing w:val="-4"/>
          <w:highlight w:val="none"/>
        </w:rPr>
        <w:t>本招标文件解释权属本中心。</w:t>
      </w:r>
      <w:bookmarkEnd w:id="250"/>
      <w:bookmarkEnd w:id="251"/>
      <w:bookmarkEnd w:id="252"/>
    </w:p>
    <w:p>
      <w:pPr>
        <w:pStyle w:val="27"/>
        <w:snapToGrid w:val="0"/>
        <w:spacing w:line="440" w:lineRule="exact"/>
        <w:ind w:firstLine="413" w:firstLineChars="196"/>
        <w:outlineLvl w:val="1"/>
        <w:rPr>
          <w:rFonts w:hint="eastAsia" w:hAnsi="宋体"/>
          <w:color w:val="auto"/>
          <w:highlight w:val="none"/>
        </w:rPr>
      </w:pPr>
      <w:bookmarkStart w:id="253" w:name="_Toc40865096"/>
      <w:bookmarkStart w:id="254" w:name="_Toc40864980"/>
      <w:bookmarkStart w:id="255" w:name="_Toc40864704"/>
      <w:r>
        <w:rPr>
          <w:rFonts w:hint="eastAsia" w:hAnsi="宋体"/>
          <w:b/>
          <w:color w:val="auto"/>
          <w:highlight w:val="none"/>
        </w:rPr>
        <w:t>（2）有关事宜</w:t>
      </w:r>
      <w:bookmarkEnd w:id="253"/>
      <w:bookmarkEnd w:id="254"/>
      <w:bookmarkEnd w:id="255"/>
    </w:p>
    <w:p>
      <w:pPr>
        <w:pStyle w:val="27"/>
        <w:spacing w:line="360" w:lineRule="exact"/>
        <w:rPr>
          <w:rFonts w:hint="eastAsia" w:hAnsi="宋体"/>
          <w:b/>
          <w:bCs/>
          <w:color w:val="auto"/>
          <w:highlight w:val="none"/>
        </w:rPr>
      </w:pPr>
      <w:r>
        <w:rPr>
          <w:rFonts w:hint="eastAsia" w:hAnsi="宋体"/>
          <w:color w:val="auto"/>
          <w:highlight w:val="none"/>
        </w:rPr>
        <w:t xml:space="preserve">      </w:t>
      </w:r>
      <w:r>
        <w:rPr>
          <w:rFonts w:hint="eastAsia" w:hAnsi="宋体"/>
          <w:b/>
          <w:bCs/>
          <w:color w:val="auto"/>
          <w:highlight w:val="none"/>
        </w:rPr>
        <w:t>所有与本招标文件有关的函件请按下列通讯地址联系：</w:t>
      </w:r>
    </w:p>
    <w:p>
      <w:pPr>
        <w:pStyle w:val="27"/>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27"/>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27"/>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27"/>
        <w:spacing w:line="360" w:lineRule="exact"/>
        <w:rPr>
          <w:rFonts w:hint="eastAsia" w:hAnsi="宋体"/>
          <w:b/>
          <w:bCs/>
          <w:color w:val="auto"/>
          <w:highlight w:val="none"/>
        </w:rPr>
      </w:pPr>
      <w:r>
        <w:rPr>
          <w:rFonts w:hint="eastAsia" w:hAnsi="宋体"/>
          <w:b/>
          <w:bCs/>
          <w:color w:val="auto"/>
          <w:highlight w:val="none"/>
        </w:rPr>
        <w:t xml:space="preserve">      电    话：0771—</w:t>
      </w:r>
      <w:r>
        <w:rPr>
          <w:rFonts w:hAnsi="宋体"/>
          <w:b/>
          <w:bCs/>
          <w:color w:val="auto"/>
          <w:highlight w:val="none"/>
          <w:lang w:val="en"/>
        </w:rPr>
        <w:t>8600343</w:t>
      </w:r>
      <w:r>
        <w:rPr>
          <w:rFonts w:hint="eastAsia" w:hAnsi="宋体"/>
          <w:b/>
          <w:bCs/>
          <w:color w:val="auto"/>
          <w:highlight w:val="none"/>
        </w:rPr>
        <w:t xml:space="preserve">            </w:t>
      </w:r>
    </w:p>
    <w:p>
      <w:pPr>
        <w:pStyle w:val="27"/>
        <w:spacing w:line="360" w:lineRule="exact"/>
        <w:rPr>
          <w:rFonts w:hAnsi="宋体"/>
          <w:b/>
          <w:bCs/>
          <w:color w:val="auto"/>
          <w:highlight w:val="none"/>
          <w:lang w:val="en"/>
        </w:rPr>
      </w:pPr>
      <w:r>
        <w:rPr>
          <w:rFonts w:hint="eastAsia" w:hAnsi="宋体"/>
          <w:b/>
          <w:bCs/>
          <w:color w:val="auto"/>
          <w:highlight w:val="none"/>
        </w:rPr>
        <w:t xml:space="preserve">      传    真：0771—</w:t>
      </w:r>
      <w:r>
        <w:rPr>
          <w:rFonts w:hAnsi="宋体"/>
          <w:b/>
          <w:bCs/>
          <w:color w:val="auto"/>
          <w:highlight w:val="none"/>
          <w:lang w:val="en"/>
        </w:rPr>
        <w:t>8600305</w:t>
      </w: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bookmarkEnd w:id="22"/>
    <w:bookmarkEnd w:id="23"/>
    <w:p>
      <w:pPr>
        <w:pStyle w:val="27"/>
        <w:snapToGrid w:val="0"/>
        <w:spacing w:before="120" w:after="120"/>
        <w:jc w:val="center"/>
        <w:outlineLvl w:val="0"/>
        <w:rPr>
          <w:rStyle w:val="60"/>
          <w:rFonts w:hint="eastAsia"/>
          <w:color w:val="auto"/>
          <w:highlight w:val="none"/>
        </w:rPr>
      </w:pPr>
      <w:bookmarkStart w:id="256" w:name="_Toc40864705"/>
      <w:bookmarkStart w:id="257" w:name="_Toc40864981"/>
      <w:bookmarkStart w:id="258" w:name="_Toc40865097"/>
    </w:p>
    <w:p>
      <w:pPr>
        <w:pStyle w:val="5"/>
        <w:rPr>
          <w:rStyle w:val="60"/>
          <w:rFonts w:hint="eastAsia"/>
          <w:color w:val="auto"/>
          <w:highlight w:val="none"/>
        </w:rPr>
      </w:pPr>
    </w:p>
    <w:p>
      <w:pPr>
        <w:rPr>
          <w:rStyle w:val="60"/>
          <w:rFonts w:hint="eastAsia"/>
          <w:color w:val="auto"/>
          <w:highlight w:val="none"/>
        </w:rPr>
      </w:pPr>
    </w:p>
    <w:p>
      <w:pPr>
        <w:pStyle w:val="50"/>
        <w:ind w:firstLine="240"/>
        <w:rPr>
          <w:rFonts w:hint="eastAsia"/>
          <w:color w:val="auto"/>
          <w:highlight w:val="none"/>
        </w:rPr>
      </w:pPr>
    </w:p>
    <w:p>
      <w:pPr>
        <w:pStyle w:val="27"/>
        <w:snapToGrid w:val="0"/>
        <w:spacing w:before="120" w:after="120"/>
        <w:jc w:val="center"/>
        <w:outlineLvl w:val="0"/>
        <w:rPr>
          <w:rStyle w:val="60"/>
          <w:rFonts w:hint="eastAsia"/>
          <w:color w:val="auto"/>
          <w:highlight w:val="none"/>
        </w:rPr>
      </w:pPr>
    </w:p>
    <w:p>
      <w:pPr>
        <w:pStyle w:val="27"/>
        <w:snapToGrid w:val="0"/>
        <w:spacing w:before="120" w:after="120"/>
        <w:jc w:val="center"/>
        <w:outlineLvl w:val="0"/>
        <w:rPr>
          <w:rStyle w:val="60"/>
          <w:rFonts w:hint="eastAsia"/>
          <w:color w:val="auto"/>
          <w:highlight w:val="none"/>
        </w:rPr>
      </w:pPr>
    </w:p>
    <w:p>
      <w:pPr>
        <w:pStyle w:val="27"/>
        <w:snapToGrid w:val="0"/>
        <w:spacing w:before="120" w:after="120"/>
        <w:jc w:val="center"/>
        <w:outlineLvl w:val="0"/>
        <w:rPr>
          <w:rStyle w:val="60"/>
          <w:rFonts w:hint="eastAsia"/>
          <w:color w:val="auto"/>
          <w:highlight w:val="none"/>
        </w:rPr>
      </w:pPr>
    </w:p>
    <w:p>
      <w:pPr>
        <w:pStyle w:val="27"/>
        <w:snapToGrid w:val="0"/>
        <w:spacing w:before="120" w:after="120"/>
        <w:jc w:val="center"/>
        <w:outlineLvl w:val="0"/>
        <w:rPr>
          <w:rStyle w:val="60"/>
          <w:rFonts w:hint="eastAsia"/>
          <w:color w:val="auto"/>
          <w:highlight w:val="none"/>
        </w:rPr>
      </w:pPr>
    </w:p>
    <w:p>
      <w:pPr>
        <w:pStyle w:val="27"/>
        <w:snapToGrid w:val="0"/>
        <w:spacing w:before="120" w:after="120"/>
        <w:jc w:val="center"/>
        <w:outlineLvl w:val="0"/>
        <w:rPr>
          <w:rFonts w:ascii="黑体" w:hAnsi="宋体" w:eastAsia="黑体"/>
          <w:b/>
          <w:bCs/>
          <w:color w:val="auto"/>
          <w:sz w:val="44"/>
          <w:szCs w:val="44"/>
          <w:highlight w:val="none"/>
        </w:rPr>
      </w:pPr>
      <w:r>
        <w:rPr>
          <w:rStyle w:val="60"/>
          <w:rFonts w:hint="eastAsia"/>
          <w:b/>
          <w:bCs/>
          <w:color w:val="auto"/>
          <w:highlight w:val="none"/>
        </w:rPr>
        <w:t xml:space="preserve">第四章  </w:t>
      </w:r>
      <w:bookmarkEnd w:id="256"/>
      <w:bookmarkEnd w:id="257"/>
      <w:bookmarkEnd w:id="258"/>
      <w:r>
        <w:rPr>
          <w:rStyle w:val="60"/>
          <w:rFonts w:hint="eastAsia"/>
          <w:b/>
          <w:bCs/>
          <w:color w:val="auto"/>
          <w:highlight w:val="none"/>
        </w:rPr>
        <w:t>评标方法及评定标准</w:t>
      </w:r>
    </w:p>
    <w:p>
      <w:pPr>
        <w:pStyle w:val="27"/>
        <w:spacing w:line="360" w:lineRule="exact"/>
        <w:rPr>
          <w:rFonts w:hint="eastAsia" w:hAnsi="宋体"/>
          <w:b/>
          <w:bCs/>
          <w:color w:val="auto"/>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pacing w:line="360" w:lineRule="exact"/>
        <w:rPr>
          <w:rFonts w:hint="eastAsia" w:hAnsi="宋体"/>
          <w:b/>
          <w:bCs/>
          <w:color w:val="auto"/>
          <w:highlight w:val="none"/>
        </w:rPr>
      </w:pPr>
      <w:bookmarkStart w:id="259" w:name="_Toc254970549"/>
      <w:bookmarkStart w:id="260" w:name="_Toc254970690"/>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pPr>
    </w:p>
    <w:p>
      <w:pPr>
        <w:pStyle w:val="27"/>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9"/>
    <w:bookmarkEnd w:id="260"/>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27"/>
        <w:spacing w:line="360" w:lineRule="exact"/>
        <w:ind w:firstLine="2088" w:firstLineChars="650"/>
        <w:rPr>
          <w:rFonts w:ascii="仿宋_GB2312" w:hAnsi="宋体" w:eastAsia="仿宋_GB2312"/>
          <w:b/>
          <w:color w:val="auto"/>
          <w:sz w:val="32"/>
          <w:szCs w:val="32"/>
          <w:highlight w:val="none"/>
        </w:rPr>
      </w:pPr>
    </w:p>
    <w:p>
      <w:pPr>
        <w:pStyle w:val="27"/>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27"/>
        <w:spacing w:line="340" w:lineRule="exact"/>
        <w:ind w:firstLine="483" w:firstLineChars="230"/>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w:t>
      </w:r>
      <w:r>
        <w:rPr>
          <w:rFonts w:hint="eastAsia"/>
          <w:color w:val="auto"/>
          <w:highlight w:val="none"/>
        </w:rPr>
        <w:t>成员人数</w:t>
      </w:r>
      <w:r>
        <w:rPr>
          <w:rFonts w:hint="eastAsia"/>
          <w:b/>
          <w:bCs/>
          <w:color w:val="auto"/>
          <w:highlight w:val="none"/>
        </w:rPr>
        <w:t>应当为五人或以上单数（采购预算1000万以上为七人或以上单数）</w:t>
      </w:r>
      <w:r>
        <w:rPr>
          <w:rFonts w:hint="eastAsia"/>
          <w:color w:val="auto"/>
          <w:highlight w:val="none"/>
        </w:rPr>
        <w:t>。其中，技术、经济等方面的专家不得少于成员总数的三分之二</w:t>
      </w:r>
      <w:r>
        <w:rPr>
          <w:rFonts w:hint="eastAsia"/>
          <w:color w:val="auto"/>
          <w:spacing w:val="-4"/>
          <w:highlight w:val="none"/>
        </w:rPr>
        <w:t>。</w:t>
      </w:r>
    </w:p>
    <w:p>
      <w:pPr>
        <w:pStyle w:val="27"/>
        <w:spacing w:line="340" w:lineRule="exact"/>
        <w:ind w:firstLine="499" w:firstLineChars="238"/>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27"/>
        <w:spacing w:line="340" w:lineRule="exact"/>
        <w:ind w:firstLine="510" w:firstLineChars="243"/>
        <w:rPr>
          <w:rFonts w:hint="eastAsia" w:hAnsi="宋体"/>
          <w:bCs/>
          <w:color w:val="auto"/>
          <w:highlight w:val="none"/>
        </w:rPr>
      </w:pPr>
      <w:r>
        <w:rPr>
          <w:rFonts w:hint="eastAsia" w:hAnsi="宋体"/>
          <w:bCs/>
          <w:color w:val="auto"/>
          <w:highlight w:val="none"/>
        </w:rPr>
        <w:t>(三)评标方式：以封闭方式进行。</w:t>
      </w:r>
    </w:p>
    <w:p>
      <w:pPr>
        <w:pStyle w:val="27"/>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27"/>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27"/>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43"/>
        <w:spacing w:line="340" w:lineRule="exact"/>
        <w:ind w:left="0" w:firstLine="413" w:firstLineChars="196"/>
        <w:outlineLvl w:val="0"/>
        <w:rPr>
          <w:rFonts w:hint="eastAsia" w:ascii="宋体" w:hAnsi="宋体"/>
          <w:b/>
          <w:color w:val="auto"/>
          <w:szCs w:val="21"/>
          <w:highlight w:val="none"/>
        </w:rPr>
      </w:pPr>
      <w:r>
        <w:rPr>
          <w:rFonts w:hint="eastAsia" w:ascii="宋体" w:hAnsi="宋体"/>
          <w:b/>
          <w:color w:val="auto"/>
          <w:szCs w:val="21"/>
          <w:highlight w:val="none"/>
        </w:rPr>
        <w:t xml:space="preserve"> 1、价格分………………………………………………………………………………………30分</w:t>
      </w:r>
    </w:p>
    <w:p>
      <w:pPr>
        <w:pStyle w:val="179"/>
        <w:adjustRightInd w:val="0"/>
        <w:snapToGrid w:val="0"/>
        <w:spacing w:line="400" w:lineRule="exact"/>
        <w:ind w:firstLine="378" w:firstLineChars="180"/>
        <w:rPr>
          <w:rFonts w:hint="eastAsia"/>
          <w:color w:val="auto"/>
          <w:highlight w:val="none"/>
        </w:rPr>
      </w:pPr>
      <w:r>
        <w:rPr>
          <w:rFonts w:hint="eastAsia"/>
          <w:bCs/>
          <w:color w:val="auto"/>
          <w:highlight w:val="none"/>
        </w:rPr>
        <w:t xml:space="preserve">  </w:t>
      </w:r>
      <w:r>
        <w:rPr>
          <w:rFonts w:hint="eastAsia"/>
          <w:color w:val="auto"/>
          <w:highlight w:val="none"/>
        </w:rPr>
        <w:t>（1）</w:t>
      </w:r>
      <w:r>
        <w:rPr>
          <w:rFonts w:hint="eastAsia" w:ascii="Times New Roman" w:hAnsi="Times New Roman" w:cs="Times New Roman"/>
          <w:b/>
          <w:bCs/>
          <w:color w:val="auto"/>
          <w:highlight w:val="none"/>
        </w:rPr>
        <w:t>本项目采购标的专门面向</w:t>
      </w:r>
      <w:r>
        <w:rPr>
          <w:rFonts w:hint="eastAsia"/>
          <w:b/>
          <w:bCs/>
          <w:color w:val="auto"/>
          <w:highlight w:val="none"/>
          <w:lang w:val="en"/>
        </w:rPr>
        <w:t>小微企业</w:t>
      </w:r>
      <w:r>
        <w:rPr>
          <w:rFonts w:hint="eastAsia" w:ascii="Times New Roman" w:hAnsi="Times New Roman" w:cs="Times New Roman"/>
          <w:b/>
          <w:bCs/>
          <w:color w:val="auto"/>
          <w:highlight w:val="none"/>
        </w:rPr>
        <w:t>，投标价=评标价</w:t>
      </w:r>
      <w:r>
        <w:rPr>
          <w:rFonts w:hint="eastAsia" w:ascii="Times New Roman" w:hAnsi="Times New Roman" w:cs="Times New Roman"/>
          <w:color w:val="auto"/>
          <w:highlight w:val="none"/>
        </w:rPr>
        <w:t>。</w:t>
      </w:r>
    </w:p>
    <w:p>
      <w:pPr>
        <w:pStyle w:val="27"/>
        <w:spacing w:line="380" w:lineRule="exact"/>
        <w:ind w:firstLine="420" w:firstLineChars="200"/>
        <w:outlineLvl w:val="0"/>
        <w:rPr>
          <w:rFonts w:hAnsi="宋体"/>
          <w:color w:val="auto"/>
          <w:highlight w:val="none"/>
        </w:rPr>
      </w:pPr>
      <w:r>
        <w:rPr>
          <w:rFonts w:hint="eastAsia" w:hAnsi="宋体"/>
          <w:color w:val="auto"/>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w:t>
      </w:r>
      <w:r>
        <w:rPr>
          <w:rFonts w:hint="eastAsia"/>
          <w:color w:val="auto"/>
          <w:highlight w:val="none"/>
        </w:rPr>
        <w:t>件</w:t>
      </w:r>
      <w:r>
        <w:rPr>
          <w:color w:val="auto"/>
          <w:highlight w:val="none"/>
        </w:rPr>
        <w:t>，不再提供《中小企业声明函》</w:t>
      </w:r>
      <w:r>
        <w:rPr>
          <w:rFonts w:hint="eastAsia"/>
          <w:color w:val="auto"/>
          <w:highlight w:val="none"/>
        </w:rPr>
        <w:t>。</w:t>
      </w:r>
    </w:p>
    <w:p>
      <w:pPr>
        <w:pStyle w:val="27"/>
        <w:spacing w:line="380" w:lineRule="exact"/>
        <w:ind w:firstLine="420" w:firstLineChars="200"/>
        <w:outlineLvl w:val="0"/>
        <w:rPr>
          <w:rFonts w:hAnsi="宋体"/>
          <w:color w:val="auto"/>
          <w:highlight w:val="none"/>
        </w:rPr>
      </w:pPr>
      <w:r>
        <w:rPr>
          <w:rFonts w:hint="eastAsia" w:hAnsi="宋体"/>
          <w:color w:val="auto"/>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rFonts w:hAnsi="宋体"/>
          <w:color w:val="auto"/>
          <w:highlight w:val="none"/>
        </w:rPr>
        <w:t>，不再提供《中小企业声明函》</w:t>
      </w:r>
      <w:r>
        <w:rPr>
          <w:rFonts w:hint="eastAsia" w:hAnsi="宋体"/>
          <w:color w:val="auto"/>
          <w:highlight w:val="none"/>
        </w:rPr>
        <w:t>。</w:t>
      </w:r>
    </w:p>
    <w:p>
      <w:pPr>
        <w:pStyle w:val="27"/>
        <w:spacing w:line="380" w:lineRule="exact"/>
        <w:ind w:firstLine="420" w:firstLineChars="200"/>
        <w:outlineLvl w:val="0"/>
        <w:rPr>
          <w:rFonts w:hAnsi="宋体"/>
          <w:color w:val="auto"/>
          <w:highlight w:val="none"/>
        </w:rPr>
      </w:pPr>
      <w:r>
        <w:rPr>
          <w:rFonts w:hint="eastAsia" w:hAnsi="宋体"/>
          <w:color w:val="auto"/>
          <w:highlight w:val="none"/>
        </w:rPr>
        <w:t>（2）以满足招标文件的最低评标价为30分。</w:t>
      </w:r>
    </w:p>
    <w:p>
      <w:pPr>
        <w:pStyle w:val="27"/>
        <w:spacing w:line="380" w:lineRule="exact"/>
        <w:ind w:firstLine="420" w:firstLineChars="200"/>
        <w:outlineLvl w:val="0"/>
        <w:rPr>
          <w:rFonts w:hint="eastAsia"/>
          <w:bCs/>
          <w:color w:val="auto"/>
          <w:highlight w:val="none"/>
        </w:rPr>
      </w:pPr>
      <w:r>
        <w:rPr>
          <w:rFonts w:hint="eastAsia"/>
          <w:bCs/>
          <w:color w:val="auto"/>
          <w:highlight w:val="none"/>
        </w:rPr>
        <w:t xml:space="preserve"> (3) 某投标人价格分 = 投标人最低评标价（金额）/某投标人</w:t>
      </w:r>
      <w:r>
        <w:rPr>
          <w:rFonts w:hint="eastAsia" w:ascii="Times New Roman" w:hAnsi="Times New Roman" w:cs="Times New Roman"/>
          <w:color w:val="auto"/>
          <w:highlight w:val="none"/>
        </w:rPr>
        <w:t>评标价</w:t>
      </w:r>
      <w:r>
        <w:rPr>
          <w:rFonts w:hint="eastAsia"/>
          <w:bCs/>
          <w:color w:val="auto"/>
          <w:highlight w:val="none"/>
        </w:rPr>
        <w:t>（金额） ×30分</w:t>
      </w:r>
    </w:p>
    <w:p>
      <w:pPr>
        <w:spacing w:line="320" w:lineRule="exact"/>
        <w:ind w:firstLine="421" w:firstLineChars="200"/>
        <w:rPr>
          <w:rFonts w:hint="eastAsia"/>
          <w:b/>
          <w:color w:val="auto"/>
          <w:szCs w:val="21"/>
          <w:highlight w:val="none"/>
        </w:rPr>
      </w:pPr>
      <w:r>
        <w:rPr>
          <w:rFonts w:hint="eastAsia"/>
          <w:b/>
          <w:color w:val="auto"/>
          <w:szCs w:val="21"/>
          <w:highlight w:val="none"/>
        </w:rPr>
        <w:t>2、技术分</w:t>
      </w:r>
      <w:r>
        <w:rPr>
          <w:rFonts w:hint="eastAsia" w:ascii="宋体" w:hAnsi="宋体"/>
          <w:b/>
          <w:color w:val="auto"/>
          <w:szCs w:val="21"/>
          <w:highlight w:val="none"/>
        </w:rPr>
        <w:t>………………………………………………………………………………………</w:t>
      </w:r>
      <w:r>
        <w:rPr>
          <w:rFonts w:hint="eastAsia"/>
          <w:b/>
          <w:color w:val="auto"/>
          <w:szCs w:val="21"/>
          <w:highlight w:val="none"/>
        </w:rPr>
        <w:t xml:space="preserve"> 6</w:t>
      </w:r>
      <w:r>
        <w:rPr>
          <w:rFonts w:hint="eastAsia"/>
          <w:b/>
          <w:color w:val="auto"/>
          <w:szCs w:val="21"/>
          <w:highlight w:val="none"/>
          <w:lang w:val="en-US" w:eastAsia="zh-CN"/>
        </w:rPr>
        <w:t>2</w:t>
      </w:r>
      <w:r>
        <w:rPr>
          <w:rFonts w:hint="eastAsia"/>
          <w:b/>
          <w:color w:val="auto"/>
          <w:szCs w:val="21"/>
          <w:highlight w:val="none"/>
        </w:rPr>
        <w:t>分</w:t>
      </w:r>
    </w:p>
    <w:p>
      <w:pPr>
        <w:spacing w:line="400" w:lineRule="exact"/>
        <w:ind w:firstLine="420" w:firstLineChars="200"/>
        <w:rPr>
          <w:rFonts w:hint="eastAsia"/>
          <w:color w:val="auto"/>
          <w:szCs w:val="21"/>
          <w:highlight w:val="none"/>
        </w:rPr>
      </w:pPr>
      <w:r>
        <w:rPr>
          <w:rFonts w:hint="eastAsia"/>
          <w:color w:val="auto"/>
          <w:szCs w:val="21"/>
          <w:highlight w:val="none"/>
        </w:rPr>
        <w:t>（1）小样分(满分12分)</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评标委员会对投标人提供小样样式、材质、结构设计、外观、做工等方面进行综合评定打分：</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一档（3分）：①投标小样提供齐全；②小样外观、样式符合采购需求；③小样有二处及以上瑕疵的（如焊渣、焊疤、裂缝、毛刺、黑斑等）。</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二档（6分）：①投标小样提供齐全；②小样外观、样式符合采购需求；③小样有一处瑕疵的（如焊渣、焊疤、裂缝、毛刺、黑斑等）。</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三档（9分）：①投标小样提供齐全；②小样外观、样式符合采购需求；③小样无瑕疵。</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四档（12分）：在三档的基础上满足以下要求：①小样外表色泽均匀，无刺激性气味。②款式（结构）设计符合人体工学、色彩搭配科学合理等；③喷涂平整光滑，纹理清晰、层次感分明等。</w:t>
      </w:r>
    </w:p>
    <w:p>
      <w:pPr>
        <w:widowControl/>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（投标人有以下情况的本项不得分：①未提供小样；②提供的小样不全）。</w:t>
      </w:r>
    </w:p>
    <w:p>
      <w:pPr>
        <w:spacing w:line="400" w:lineRule="exact"/>
        <w:ind w:firstLine="420" w:firstLineChars="200"/>
        <w:rPr>
          <w:rFonts w:hint="eastAsia"/>
          <w:color w:val="auto"/>
          <w:szCs w:val="21"/>
          <w:highlight w:val="none"/>
        </w:rPr>
      </w:pPr>
      <w:r>
        <w:rPr>
          <w:rFonts w:hint="eastAsia"/>
          <w:color w:val="auto"/>
          <w:szCs w:val="21"/>
          <w:highlight w:val="none"/>
        </w:rPr>
        <w:t>（2）产品设计分(满分10分)</w:t>
      </w:r>
    </w:p>
    <w:p>
      <w:pPr>
        <w:spacing w:line="400" w:lineRule="exact"/>
        <w:ind w:firstLine="420" w:firstLineChars="200"/>
        <w:rPr>
          <w:rFonts w:hint="eastAsia"/>
          <w:color w:val="auto"/>
          <w:szCs w:val="21"/>
          <w:highlight w:val="none"/>
        </w:rPr>
      </w:pPr>
      <w:r>
        <w:rPr>
          <w:rFonts w:hint="eastAsia"/>
          <w:color w:val="auto"/>
          <w:szCs w:val="21"/>
          <w:highlight w:val="none"/>
        </w:rPr>
        <w:t>提供本项目产品设计方案，包括：产品外观设计图、结构图、零部件图、产品效果照（图）片、整体摆放布局效果图、产品设计用材、产品工件明细表（列明“自制件”、“外协件”、“外购件”）、五金配件表等。</w:t>
      </w:r>
    </w:p>
    <w:p>
      <w:pPr>
        <w:spacing w:line="400" w:lineRule="exact"/>
        <w:ind w:firstLine="420" w:firstLineChars="200"/>
        <w:rPr>
          <w:rFonts w:hint="eastAsia"/>
          <w:color w:val="auto"/>
          <w:szCs w:val="21"/>
          <w:highlight w:val="none"/>
        </w:rPr>
      </w:pPr>
      <w:r>
        <w:rPr>
          <w:rFonts w:hint="eastAsia"/>
          <w:color w:val="auto"/>
          <w:szCs w:val="21"/>
          <w:highlight w:val="none"/>
        </w:rPr>
        <w:t>一档</w:t>
      </w: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分）</w:t>
      </w:r>
      <w:r>
        <w:rPr>
          <w:rFonts w:hint="eastAsia"/>
          <w:color w:val="auto"/>
          <w:szCs w:val="21"/>
          <w:highlight w:val="none"/>
        </w:rPr>
        <w:t>：能提供家具产品外观设计图、产品效果图，但规格尺寸等细节不清晰，产品使用功能描述、产品设计等存在不符合使用方实际要求。</w:t>
      </w:r>
    </w:p>
    <w:p>
      <w:pPr>
        <w:spacing w:line="400" w:lineRule="exact"/>
        <w:ind w:firstLine="420" w:firstLineChars="200"/>
        <w:rPr>
          <w:rFonts w:hint="eastAsia"/>
          <w:color w:val="auto"/>
          <w:szCs w:val="21"/>
          <w:highlight w:val="none"/>
        </w:rPr>
      </w:pPr>
      <w:r>
        <w:rPr>
          <w:rFonts w:hint="eastAsia"/>
          <w:color w:val="auto"/>
          <w:szCs w:val="21"/>
          <w:highlight w:val="none"/>
        </w:rPr>
        <w:t>二档</w:t>
      </w:r>
      <w:r>
        <w:rPr>
          <w:rFonts w:hint="eastAsia"/>
          <w:color w:val="auto"/>
          <w:szCs w:val="21"/>
          <w:highlight w:val="none"/>
          <w:lang w:eastAsia="zh-CN"/>
        </w:rPr>
        <w:t>（</w:t>
      </w:r>
      <w:r>
        <w:rPr>
          <w:rFonts w:hint="eastAsia"/>
          <w:color w:val="auto"/>
          <w:szCs w:val="21"/>
          <w:highlight w:val="none"/>
        </w:rPr>
        <w:t>4分</w:t>
      </w:r>
      <w:r>
        <w:rPr>
          <w:rFonts w:hint="eastAsia"/>
          <w:color w:val="auto"/>
          <w:szCs w:val="21"/>
          <w:highlight w:val="none"/>
          <w:lang w:eastAsia="zh-CN"/>
        </w:rPr>
        <w:t>）</w:t>
      </w:r>
      <w:r>
        <w:rPr>
          <w:rFonts w:hint="eastAsia"/>
          <w:color w:val="auto"/>
          <w:szCs w:val="21"/>
          <w:highlight w:val="none"/>
        </w:rPr>
        <w:t>)：能提供产品设计图、产品结构图、产品效果图、产品主要零部件图</w:t>
      </w:r>
      <w:r>
        <w:rPr>
          <w:rFonts w:hint="default"/>
          <w:color w:val="auto"/>
          <w:szCs w:val="21"/>
          <w:highlight w:val="none"/>
          <w:lang w:val="en" w:eastAsia="zh-CN"/>
        </w:rPr>
        <w:t>（</w:t>
      </w:r>
      <w:r>
        <w:rPr>
          <w:rFonts w:hint="eastAsia"/>
          <w:color w:val="auto"/>
          <w:szCs w:val="21"/>
          <w:highlight w:val="none"/>
          <w:lang w:val="en-US" w:eastAsia="zh-CN"/>
        </w:rPr>
        <w:t>立柱钢管、床母钢管、床梯防滑踏板</w:t>
      </w:r>
      <w:r>
        <w:rPr>
          <w:rFonts w:hint="default"/>
          <w:color w:val="auto"/>
          <w:szCs w:val="21"/>
          <w:highlight w:val="none"/>
          <w:lang w:val="en" w:eastAsia="zh-CN"/>
        </w:rPr>
        <w:t>）</w:t>
      </w:r>
      <w:r>
        <w:rPr>
          <w:rFonts w:hint="eastAsia"/>
          <w:color w:val="auto"/>
          <w:szCs w:val="21"/>
          <w:highlight w:val="none"/>
        </w:rPr>
        <w:t>，但规格尺寸等细节清晰明确。产品使用功能描述、产品设计等基本符合使用方实际要求。</w:t>
      </w:r>
    </w:p>
    <w:p>
      <w:pPr>
        <w:spacing w:line="400" w:lineRule="exact"/>
        <w:ind w:firstLine="420" w:firstLineChars="200"/>
        <w:rPr>
          <w:rFonts w:hint="eastAsia"/>
          <w:color w:val="auto"/>
          <w:szCs w:val="21"/>
          <w:highlight w:val="none"/>
        </w:rPr>
      </w:pPr>
      <w:r>
        <w:rPr>
          <w:rFonts w:hint="eastAsia"/>
          <w:color w:val="auto"/>
          <w:szCs w:val="21"/>
          <w:highlight w:val="none"/>
        </w:rPr>
        <w:t>三档</w:t>
      </w:r>
      <w:r>
        <w:rPr>
          <w:rFonts w:hint="eastAsia"/>
          <w:color w:val="auto"/>
          <w:szCs w:val="21"/>
          <w:highlight w:val="none"/>
          <w:lang w:eastAsia="zh-CN"/>
        </w:rPr>
        <w:t>（</w:t>
      </w:r>
      <w:r>
        <w:rPr>
          <w:rFonts w:hint="eastAsia"/>
          <w:color w:val="auto"/>
          <w:szCs w:val="21"/>
          <w:highlight w:val="none"/>
          <w:lang w:val="en-US" w:eastAsia="zh-CN"/>
        </w:rPr>
        <w:t>7分</w:t>
      </w:r>
      <w:r>
        <w:rPr>
          <w:rFonts w:hint="eastAsia"/>
          <w:color w:val="auto"/>
          <w:szCs w:val="21"/>
          <w:highlight w:val="none"/>
          <w:lang w:eastAsia="zh-CN"/>
        </w:rPr>
        <w:t>）</w:t>
      </w:r>
      <w:r>
        <w:rPr>
          <w:rFonts w:hint="eastAsia"/>
          <w:color w:val="auto"/>
          <w:szCs w:val="21"/>
          <w:highlight w:val="none"/>
        </w:rPr>
        <w:t>：能提供产品设计图、产品结构图、产品效果图、产品主要零部件图</w:t>
      </w:r>
      <w:r>
        <w:rPr>
          <w:rFonts w:hint="default"/>
          <w:color w:val="auto"/>
          <w:szCs w:val="21"/>
          <w:highlight w:val="none"/>
          <w:lang w:val="en" w:eastAsia="zh-CN"/>
        </w:rPr>
        <w:t>（</w:t>
      </w:r>
      <w:r>
        <w:rPr>
          <w:rFonts w:hint="eastAsia"/>
          <w:color w:val="auto"/>
          <w:szCs w:val="21"/>
          <w:highlight w:val="none"/>
          <w:lang w:val="en-US" w:eastAsia="zh-CN"/>
        </w:rPr>
        <w:t>立柱钢管、床母钢管、横担钢管、床梯防滑踏板、床梃（床母）扣件、衣柜锁具</w:t>
      </w:r>
      <w:r>
        <w:rPr>
          <w:rFonts w:hint="default"/>
          <w:color w:val="auto"/>
          <w:szCs w:val="21"/>
          <w:highlight w:val="none"/>
          <w:lang w:val="en" w:eastAsia="zh-CN"/>
        </w:rPr>
        <w:t>）</w:t>
      </w:r>
      <w:r>
        <w:rPr>
          <w:rFonts w:hint="eastAsia"/>
          <w:color w:val="auto"/>
          <w:szCs w:val="21"/>
          <w:highlight w:val="none"/>
        </w:rPr>
        <w:t>，规格尺寸等细节清晰明确，产品使用功能描述、产品结构符合使用方实际要求，产品设计规范合理、各个方面有亮点(包括外观设计、款式结构、色彩搭配、生产工艺等)，安全，款式新颖，有特色，能对应现场尺寸。</w:t>
      </w:r>
    </w:p>
    <w:p>
      <w:pPr>
        <w:spacing w:line="400" w:lineRule="exact"/>
        <w:ind w:firstLine="420" w:firstLineChars="200"/>
        <w:rPr>
          <w:rFonts w:hint="eastAsia"/>
          <w:color w:val="auto"/>
          <w:szCs w:val="21"/>
          <w:highlight w:val="none"/>
        </w:rPr>
      </w:pPr>
      <w:r>
        <w:rPr>
          <w:rFonts w:hint="eastAsia"/>
          <w:color w:val="auto"/>
          <w:szCs w:val="21"/>
          <w:highlight w:val="none"/>
        </w:rPr>
        <w:t>四档</w:t>
      </w:r>
      <w:r>
        <w:rPr>
          <w:rFonts w:hint="eastAsia"/>
          <w:color w:val="auto"/>
          <w:szCs w:val="21"/>
          <w:highlight w:val="none"/>
          <w:lang w:eastAsia="zh-CN"/>
        </w:rPr>
        <w:t>（</w:t>
      </w:r>
      <w:r>
        <w:rPr>
          <w:rFonts w:hint="eastAsia"/>
          <w:color w:val="auto"/>
          <w:szCs w:val="21"/>
          <w:highlight w:val="none"/>
          <w:lang w:val="en-US" w:eastAsia="zh-CN"/>
        </w:rPr>
        <w:t>10分</w:t>
      </w:r>
      <w:r>
        <w:rPr>
          <w:rFonts w:hint="eastAsia"/>
          <w:color w:val="auto"/>
          <w:szCs w:val="21"/>
          <w:highlight w:val="none"/>
          <w:lang w:eastAsia="zh-CN"/>
        </w:rPr>
        <w:t>）</w:t>
      </w:r>
      <w:r>
        <w:rPr>
          <w:rFonts w:hint="eastAsia"/>
          <w:color w:val="auto"/>
          <w:szCs w:val="21"/>
          <w:highlight w:val="none"/>
        </w:rPr>
        <w:t>：能提供产品设计图、产品结构图、产品效果图、产品主要零部件图</w:t>
      </w:r>
      <w:r>
        <w:rPr>
          <w:rFonts w:hint="default"/>
          <w:color w:val="auto"/>
          <w:szCs w:val="21"/>
          <w:highlight w:val="none"/>
          <w:lang w:val="en" w:eastAsia="zh-CN"/>
        </w:rPr>
        <w:t>（</w:t>
      </w:r>
      <w:r>
        <w:rPr>
          <w:rFonts w:hint="eastAsia"/>
          <w:color w:val="auto"/>
          <w:szCs w:val="21"/>
          <w:highlight w:val="none"/>
          <w:lang w:val="en-US" w:eastAsia="zh-CN"/>
        </w:rPr>
        <w:t>立柱钢管、圆弧胶套、床母钢管、横担钢管、床梯防滑踏板、床梃（床母）扣件、衣柜锁具、衣柜柜门风窗、柜门拉手、衣柜防潮胶套</w:t>
      </w:r>
      <w:r>
        <w:rPr>
          <w:rFonts w:hint="default"/>
          <w:color w:val="auto"/>
          <w:szCs w:val="21"/>
          <w:highlight w:val="none"/>
          <w:lang w:val="en" w:eastAsia="zh-CN"/>
        </w:rPr>
        <w:t>）</w:t>
      </w:r>
      <w:r>
        <w:rPr>
          <w:rFonts w:hint="eastAsia"/>
          <w:color w:val="auto"/>
          <w:szCs w:val="21"/>
          <w:highlight w:val="none"/>
        </w:rPr>
        <w:t>，提供产品设计用材、产品工件明细表、五金配件表详细；产品规格尺寸等细节清晰明确；产品使用功能描述；产品结构符合使用方实际要求；产品设计规范合理、安全实用、具有创新性，各个方亮点突出(包括外观设计、款式结构、色彩搭配、生产工艺等)，安全，款式新颖，有特色，能对应现场尺寸；产品的设计工艺、功能先进性、使用可靠性、便利性、美观性等方面出众；整体设计效果图</w:t>
      </w:r>
      <w:r>
        <w:rPr>
          <w:rFonts w:hint="default"/>
          <w:color w:val="auto"/>
          <w:szCs w:val="21"/>
          <w:highlight w:val="none"/>
          <w:lang w:val="en"/>
        </w:rPr>
        <w:t>（</w:t>
      </w:r>
      <w:r>
        <w:rPr>
          <w:rFonts w:hint="eastAsia"/>
          <w:color w:val="auto"/>
          <w:szCs w:val="21"/>
          <w:highlight w:val="none"/>
        </w:rPr>
        <w:t>摆放布置，空间利用率等</w:t>
      </w:r>
      <w:r>
        <w:rPr>
          <w:rFonts w:hint="default"/>
          <w:color w:val="auto"/>
          <w:szCs w:val="21"/>
          <w:highlight w:val="none"/>
          <w:lang w:val="en"/>
        </w:rPr>
        <w:t>）</w:t>
      </w:r>
      <w:r>
        <w:rPr>
          <w:rFonts w:hint="eastAsia"/>
          <w:color w:val="auto"/>
          <w:szCs w:val="21"/>
          <w:highlight w:val="none"/>
        </w:rPr>
        <w:t>合理。</w:t>
      </w:r>
    </w:p>
    <w:p>
      <w:pPr>
        <w:spacing w:line="400" w:lineRule="exact"/>
        <w:ind w:firstLine="420" w:firstLineChars="200"/>
        <w:rPr>
          <w:rFonts w:hint="eastAsia"/>
          <w:color w:val="auto"/>
          <w:szCs w:val="21"/>
          <w:highlight w:val="none"/>
        </w:rPr>
      </w:pPr>
      <w:r>
        <w:rPr>
          <w:rFonts w:hint="eastAsia"/>
          <w:color w:val="auto"/>
          <w:szCs w:val="21"/>
          <w:highlight w:val="none"/>
        </w:rPr>
        <w:t>（注：不满足最低档要求该项得0分）</w:t>
      </w:r>
    </w:p>
    <w:p>
      <w:pPr>
        <w:spacing w:line="400" w:lineRule="exact"/>
        <w:ind w:firstLine="420" w:firstLineChars="200"/>
        <w:rPr>
          <w:rFonts w:hint="eastAsia"/>
          <w:color w:val="auto"/>
          <w:szCs w:val="21"/>
          <w:highlight w:val="none"/>
        </w:rPr>
      </w:pPr>
      <w:r>
        <w:rPr>
          <w:rFonts w:hint="eastAsia"/>
          <w:color w:val="auto"/>
          <w:szCs w:val="21"/>
          <w:highlight w:val="none"/>
        </w:rPr>
        <w:t>（3）产品性能分（满分12分）</w:t>
      </w:r>
    </w:p>
    <w:p>
      <w:pPr>
        <w:spacing w:line="400" w:lineRule="exact"/>
        <w:ind w:firstLine="420" w:firstLineChars="200"/>
        <w:rPr>
          <w:rFonts w:hint="eastAsia"/>
          <w:color w:val="auto"/>
          <w:szCs w:val="21"/>
          <w:highlight w:val="none"/>
        </w:rPr>
      </w:pPr>
      <w:r>
        <w:rPr>
          <w:rFonts w:hint="eastAsia"/>
          <w:color w:val="auto"/>
          <w:szCs w:val="21"/>
          <w:highlight w:val="none"/>
        </w:rPr>
        <w:t>提供2022年1月1日以来具有资质的第三方检验机构出具的符合以下要求的检测报告复印件；检验对象名称可以不完全一致，只需要</w:t>
      </w:r>
      <w:r>
        <w:rPr>
          <w:rFonts w:hint="default"/>
          <w:color w:val="auto"/>
          <w:szCs w:val="21"/>
          <w:highlight w:val="none"/>
          <w:lang w:val="en"/>
        </w:rPr>
        <w:t>检测内容</w:t>
      </w:r>
      <w:r>
        <w:rPr>
          <w:rFonts w:hint="eastAsia"/>
          <w:color w:val="auto"/>
          <w:szCs w:val="21"/>
          <w:highlight w:val="none"/>
        </w:rPr>
        <w:t>相符；检验报告的送检单位必须是投标人、产品生产厂家、原材料生产厂家。（注：投标人</w:t>
      </w:r>
      <w:r>
        <w:rPr>
          <w:rFonts w:hint="eastAsia"/>
          <w:b/>
          <w:bCs/>
          <w:color w:val="auto"/>
          <w:szCs w:val="21"/>
          <w:highlight w:val="none"/>
        </w:rPr>
        <w:t>需承诺检测报告中检测的材料</w:t>
      </w:r>
      <w:r>
        <w:rPr>
          <w:rFonts w:hint="eastAsia"/>
          <w:color w:val="auto"/>
          <w:szCs w:val="21"/>
          <w:highlight w:val="none"/>
        </w:rPr>
        <w:t>在本次投标的产品中使用；</w:t>
      </w:r>
      <w:r>
        <w:rPr>
          <w:rFonts w:hint="eastAsia"/>
          <w:b/>
          <w:bCs/>
          <w:color w:val="auto"/>
          <w:szCs w:val="21"/>
          <w:highlight w:val="none"/>
        </w:rPr>
        <w:t>检测的产品应与本次投标产品采用同样的材料和工艺生产</w:t>
      </w:r>
      <w:r>
        <w:rPr>
          <w:rFonts w:hint="eastAsia"/>
          <w:color w:val="auto"/>
          <w:szCs w:val="21"/>
          <w:highlight w:val="none"/>
        </w:rPr>
        <w:t xml:space="preserve">。） </w:t>
      </w:r>
    </w:p>
    <w:p>
      <w:pPr>
        <w:spacing w:line="400" w:lineRule="exact"/>
        <w:ind w:firstLine="420" w:firstLineChars="200"/>
        <w:rPr>
          <w:rFonts w:hint="eastAsia"/>
          <w:color w:val="auto"/>
          <w:szCs w:val="21"/>
          <w:highlight w:val="none"/>
        </w:rPr>
      </w:pPr>
      <w:r>
        <w:rPr>
          <w:rFonts w:hint="eastAsia"/>
          <w:color w:val="auto"/>
          <w:szCs w:val="21"/>
          <w:highlight w:val="none"/>
        </w:rPr>
        <w:t>①提供“铁架床/公寓床”类的</w:t>
      </w:r>
      <w:r>
        <w:rPr>
          <w:rFonts w:hint="default"/>
          <w:color w:val="auto"/>
          <w:szCs w:val="21"/>
          <w:highlight w:val="none"/>
          <w:lang w:val="en"/>
        </w:rPr>
        <w:t>检验报告</w:t>
      </w:r>
      <w:r>
        <w:rPr>
          <w:rFonts w:hint="eastAsia"/>
          <w:color w:val="auto"/>
          <w:szCs w:val="21"/>
          <w:highlight w:val="none"/>
        </w:rPr>
        <w:t>，检测依据：QB/T2741-2013《学生公寓多功能家具》，检测报告内容至少包含但不限：外观要求、形状和位置公差、木质件及金属件表面理化性能、力学性能（床铺垂直向上和向下静载荷试验、床铺垂直冲击试验、安全栏的静载荷试验、床铺耐久性试验），提供有符合以上检测内容的检测报告得1分；检测依据：GB18584-20</w:t>
      </w:r>
      <w:r>
        <w:rPr>
          <w:rFonts w:hint="eastAsia"/>
          <w:color w:val="auto"/>
          <w:szCs w:val="21"/>
          <w:highlight w:val="none"/>
          <w:lang w:val="en-US" w:eastAsia="zh-CN"/>
        </w:rPr>
        <w:t>24</w:t>
      </w:r>
      <w:r>
        <w:rPr>
          <w:rFonts w:hint="eastAsia"/>
          <w:color w:val="auto"/>
          <w:szCs w:val="21"/>
          <w:highlight w:val="none"/>
        </w:rPr>
        <w:t>《家具中有害物质限量》，检测报告内容至少包含但不限：产品有害物质限量，提供有符合以上检测内容的检测报告得1分；检验依据：GB/T 35607-2017《绿色产品评价 家具》，检测报告内容至少包含但不限：苯、甲苯、二甲苯、总挥发性有机化合物（TVOC）、家具涂层可迁移元素，检测依据提供有符合以上检测内容的检测报告得1分</w:t>
      </w:r>
      <w:r>
        <w:rPr>
          <w:color w:val="auto"/>
          <w:szCs w:val="21"/>
          <w:highlight w:val="none"/>
          <w:lang w:val="en"/>
        </w:rPr>
        <w:t>。</w:t>
      </w:r>
      <w:r>
        <w:rPr>
          <w:rFonts w:hint="eastAsia"/>
          <w:color w:val="auto"/>
          <w:szCs w:val="21"/>
          <w:highlight w:val="none"/>
        </w:rPr>
        <w:t>本项满分3分。（检测报告可以为1份或多份）</w:t>
      </w:r>
    </w:p>
    <w:p>
      <w:pPr>
        <w:spacing w:line="400" w:lineRule="exact"/>
        <w:ind w:firstLine="420" w:firstLineChars="200"/>
        <w:rPr>
          <w:rFonts w:hint="eastAsia"/>
          <w:color w:val="auto"/>
          <w:szCs w:val="21"/>
          <w:highlight w:val="none"/>
        </w:rPr>
      </w:pPr>
      <w:r>
        <w:rPr>
          <w:rFonts w:hint="eastAsia"/>
          <w:color w:val="auto"/>
          <w:szCs w:val="21"/>
          <w:highlight w:val="none"/>
        </w:rPr>
        <w:t>②提供“椅子/公寓椅”类的</w:t>
      </w:r>
      <w:r>
        <w:rPr>
          <w:rFonts w:hint="default"/>
          <w:color w:val="auto"/>
          <w:szCs w:val="21"/>
          <w:highlight w:val="none"/>
          <w:lang w:val="en"/>
        </w:rPr>
        <w:t>检验报告</w:t>
      </w:r>
      <w:r>
        <w:rPr>
          <w:rFonts w:hint="eastAsia"/>
          <w:color w:val="auto"/>
          <w:szCs w:val="21"/>
          <w:highlight w:val="none"/>
        </w:rPr>
        <w:t>，检验依据：QB/T4071-2021《课桌椅》，检验内容包含但不限于以下：外观要求、形状与位置公差、可迁移元素、甲醛释放量≤0.5mg/L、力学性能（椅子向前倾翻试验、椅子向后倾翻试验、座面椅背联合静载荷、椅腿跌落试验）提供有符合以上检测内容的检测报告得1分；检验依据：GB/T 35607-2017《绿色产品评价 家具》，检验内容包含但不限于以下：苯、甲苯、二甲苯、TVOC，提供有符合以上检测内容的检测报告得1分。本项满分2分。（检测报告可以1份或多份）</w:t>
      </w:r>
    </w:p>
    <w:p>
      <w:pPr>
        <w:spacing w:line="400" w:lineRule="exact"/>
        <w:ind w:firstLine="420" w:firstLineChars="200"/>
        <w:rPr>
          <w:rFonts w:hint="eastAsia"/>
          <w:color w:val="auto"/>
          <w:szCs w:val="21"/>
          <w:highlight w:val="none"/>
        </w:rPr>
      </w:pPr>
      <w:r>
        <w:rPr>
          <w:rFonts w:hint="eastAsia"/>
          <w:color w:val="auto"/>
          <w:szCs w:val="21"/>
          <w:highlight w:val="none"/>
        </w:rPr>
        <w:t>③提供“衣柜/组合柜”类的</w:t>
      </w:r>
      <w:r>
        <w:rPr>
          <w:rFonts w:hint="default"/>
          <w:color w:val="auto"/>
          <w:szCs w:val="21"/>
          <w:highlight w:val="none"/>
          <w:lang w:val="en"/>
        </w:rPr>
        <w:t>检验报告</w:t>
      </w:r>
      <w:r>
        <w:rPr>
          <w:rFonts w:hint="eastAsia"/>
          <w:color w:val="auto"/>
          <w:szCs w:val="21"/>
          <w:highlight w:val="none"/>
        </w:rPr>
        <w:t>，检测依据：QB/T2741-2013《学生公寓多功能家具》，检测报告包含但不限以下内容：形状和位置公差（邻边垂直度、着地平稳性）、外观要求、力学性能（顶板和底板静载荷、结构和底架强度、拉门垂直加载、拉门水平加载、门锁和插销的强度）、甲醛释放量、金属喷漆（塑）涂层理化性能（硬度、冲击强度、耐盐浴、附着力）提供有符合以上检测内容的检测报告得1分；检测依据：GB/T 35607-2017《绿色产品评价家具》，检测报告包含但不限以下内容：苯、甲苯、二甲苯、总挥发性有机化合物（TVOC）、家具涂层可迁移元素，提供有符合以上检测内容的检测报告得1分。本项满分2分。（检测报告可以1份或多份）</w:t>
      </w:r>
    </w:p>
    <w:p>
      <w:pPr>
        <w:spacing w:line="400" w:lineRule="exact"/>
        <w:ind w:firstLine="420" w:firstLineChars="200"/>
        <w:rPr>
          <w:rFonts w:hint="eastAsia"/>
          <w:color w:val="auto"/>
          <w:szCs w:val="21"/>
          <w:highlight w:val="none"/>
        </w:rPr>
      </w:pPr>
      <w:r>
        <w:rPr>
          <w:rFonts w:hint="eastAsia"/>
          <w:color w:val="auto"/>
          <w:szCs w:val="21"/>
          <w:highlight w:val="none"/>
        </w:rPr>
        <w:t>④提供“聚氨酯油漆”的</w:t>
      </w:r>
      <w:r>
        <w:rPr>
          <w:rFonts w:hint="default"/>
          <w:color w:val="auto"/>
          <w:szCs w:val="21"/>
          <w:highlight w:val="none"/>
          <w:lang w:val="en"/>
        </w:rPr>
        <w:t>检验报告</w:t>
      </w:r>
      <w:r>
        <w:rPr>
          <w:rFonts w:hint="eastAsia"/>
          <w:color w:val="auto"/>
          <w:szCs w:val="21"/>
          <w:highlight w:val="none"/>
        </w:rPr>
        <w:t>，检测依据 GB 18581-2020《木器涂料中有害物质限量》 ,检测报告包含但不限于内容：VOC 含量、总铅（Pb）含量、可溶性重金属含量（镉含量、铬含量、汞含量）、乙二醇醚及醚酯总和含量、苯含量、甲苯与二甲苯（含乙苯）总和含量、多环芳烃总和含量（限萘、蒽）、卤代烃总和含量，提供有符合以上检测内容的检测报告得1分。本项满分1分。</w:t>
      </w:r>
    </w:p>
    <w:p>
      <w:pPr>
        <w:spacing w:line="400" w:lineRule="exact"/>
        <w:ind w:firstLine="420" w:firstLineChars="200"/>
        <w:rPr>
          <w:rFonts w:hint="eastAsia"/>
          <w:color w:val="auto"/>
          <w:szCs w:val="21"/>
          <w:highlight w:val="none"/>
        </w:rPr>
      </w:pPr>
      <w:r>
        <w:rPr>
          <w:rFonts w:hint="eastAsia"/>
          <w:color w:val="auto"/>
          <w:szCs w:val="21"/>
          <w:highlight w:val="none"/>
        </w:rPr>
        <w:t>⑤提供“高密度纤维板”的</w:t>
      </w:r>
      <w:r>
        <w:rPr>
          <w:rFonts w:hint="default"/>
          <w:color w:val="auto"/>
          <w:szCs w:val="21"/>
          <w:highlight w:val="none"/>
          <w:lang w:val="en"/>
        </w:rPr>
        <w:t>检验报告</w:t>
      </w:r>
      <w:r>
        <w:rPr>
          <w:rFonts w:hint="eastAsia"/>
          <w:color w:val="auto"/>
          <w:szCs w:val="21"/>
          <w:highlight w:val="none"/>
        </w:rPr>
        <w:t>，检测依据：检验依据为GB/T31765-2015《高密度纤维板》，检测内容包含但不限：密度、板内密度偏差、含水率、静曲强度、弹性模量、内结合强度、表面</w:t>
      </w:r>
      <w:r>
        <w:rPr>
          <w:rFonts w:hint="eastAsia"/>
          <w:color w:val="auto"/>
          <w:szCs w:val="21"/>
          <w:highlight w:val="none"/>
          <w:lang w:val="en-US" w:eastAsia="zh-CN"/>
        </w:rPr>
        <w:t>胶</w:t>
      </w:r>
      <w:r>
        <w:rPr>
          <w:rFonts w:hint="eastAsia"/>
          <w:color w:val="auto"/>
          <w:szCs w:val="21"/>
          <w:highlight w:val="none"/>
        </w:rPr>
        <w:t>合强度、吸水厚度膨胀率、握钉力，提供有符合以上检测内容的检测报告得1分；检测依据： GB18580-2017《室内装饰装修材料人造板及其制品中甲醛释放量》，检测内容包含但不限：甲醛释放量，提供有符合以上检测内容的检测报告得1分；检测依据：JC/T 2039-2010《抗菌防霉木质装饰板》, 检测报告包含但不限于以下内容：防霉菌等级，提供有符合以上检测内容的检测报告得1分。本项满分3分。（检测报告可以为1份或多份）</w:t>
      </w:r>
    </w:p>
    <w:p>
      <w:pPr>
        <w:spacing w:line="400" w:lineRule="exact"/>
        <w:ind w:firstLine="420" w:firstLineChars="200"/>
        <w:rPr>
          <w:rFonts w:hint="eastAsia"/>
          <w:color w:val="auto"/>
          <w:szCs w:val="21"/>
          <w:highlight w:val="none"/>
        </w:rPr>
      </w:pPr>
      <w:r>
        <w:rPr>
          <w:rFonts w:hint="eastAsia"/>
          <w:color w:val="auto"/>
          <w:szCs w:val="21"/>
          <w:highlight w:val="none"/>
        </w:rPr>
        <w:t>⑥提供“红橡木”的</w:t>
      </w:r>
      <w:r>
        <w:rPr>
          <w:rFonts w:hint="default"/>
          <w:color w:val="auto"/>
          <w:szCs w:val="21"/>
          <w:highlight w:val="none"/>
          <w:lang w:val="en"/>
        </w:rPr>
        <w:t>检验报告</w:t>
      </w:r>
      <w:r>
        <w:rPr>
          <w:rFonts w:hint="eastAsia"/>
          <w:color w:val="auto"/>
          <w:szCs w:val="21"/>
          <w:highlight w:val="none"/>
        </w:rPr>
        <w:t>，检验依据：GB/T 29894-2013《木材鉴别方法通则》、GB/T 16734-1997《中国主要木材名称》，检测内容包含但不限：木材种类、含水率，提供有符合以上检测内容的检测报告得1分。本项满分1分。（检测报告可以1份或多份）</w:t>
      </w:r>
    </w:p>
    <w:p>
      <w:pPr>
        <w:spacing w:line="400" w:lineRule="exact"/>
        <w:ind w:firstLine="420" w:firstLineChars="200"/>
        <w:rPr>
          <w:rFonts w:hint="eastAsia"/>
          <w:strike/>
          <w:color w:val="auto"/>
          <w:szCs w:val="21"/>
          <w:highlight w:val="none"/>
        </w:rPr>
      </w:pPr>
      <w:r>
        <w:rPr>
          <w:rFonts w:hint="eastAsia"/>
          <w:color w:val="auto"/>
          <w:szCs w:val="21"/>
          <w:highlight w:val="none"/>
        </w:rPr>
        <w:t>（4）产品生产能力分（满分1</w:t>
      </w:r>
      <w:r>
        <w:rPr>
          <w:rFonts w:hint="eastAsia"/>
          <w:color w:val="auto"/>
          <w:szCs w:val="21"/>
          <w:highlight w:val="none"/>
          <w:lang w:val="en-US" w:eastAsia="zh-CN"/>
        </w:rPr>
        <w:t>1</w:t>
      </w:r>
      <w:r>
        <w:rPr>
          <w:rFonts w:hint="eastAsia"/>
          <w:color w:val="auto"/>
          <w:szCs w:val="21"/>
          <w:highlight w:val="none"/>
        </w:rPr>
        <w:t>分）</w:t>
      </w:r>
    </w:p>
    <w:p>
      <w:pPr>
        <w:spacing w:line="400" w:lineRule="exact"/>
        <w:ind w:firstLine="420" w:firstLineChars="200"/>
        <w:rPr>
          <w:rFonts w:hint="eastAsia"/>
          <w:color w:val="auto"/>
          <w:szCs w:val="21"/>
          <w:highlight w:val="none"/>
        </w:rPr>
      </w:pPr>
      <w:r>
        <w:rPr>
          <w:rFonts w:hint="eastAsia"/>
          <w:color w:val="auto"/>
          <w:szCs w:val="21"/>
          <w:highlight w:val="none"/>
        </w:rPr>
        <w:t>根据本项目货物采购需求，为了满足产品质量要求，投标人或生产厂家提供与本项目货物生产相关的生产设备、生产场地、生产计划和技术人员、质量管控措施等进行综合评定，专家评委根据综合评定进行打分。</w:t>
      </w:r>
    </w:p>
    <w:p>
      <w:pPr>
        <w:spacing w:line="400" w:lineRule="exact"/>
        <w:ind w:firstLine="420" w:firstLineChars="200"/>
        <w:rPr>
          <w:rFonts w:hint="eastAsia"/>
          <w:color w:val="auto"/>
          <w:szCs w:val="21"/>
          <w:highlight w:val="none"/>
        </w:rPr>
      </w:pPr>
      <w:r>
        <w:rPr>
          <w:rFonts w:hint="eastAsia"/>
          <w:color w:val="auto"/>
          <w:szCs w:val="21"/>
          <w:highlight w:val="none"/>
        </w:rPr>
        <w:t>①提供与本项目货物生产相关的生产设备（或同等功能的设备）证明材料，包含：喷涂（喷塑）设备、机器人焊接手、激光切管机、数控弯管机、柔性折弯中心、激光切割中心、电子裁板锯、起重机、空压机、封边机；每提供一项设备得0.5分，满分5分。（提供设备购置发票或租赁合同等扫描件、提供设备现场作业真实图片）</w:t>
      </w:r>
    </w:p>
    <w:p>
      <w:pPr>
        <w:spacing w:line="400" w:lineRule="exact"/>
        <w:ind w:firstLine="420" w:firstLineChars="200"/>
        <w:rPr>
          <w:rFonts w:hint="eastAsia"/>
          <w:color w:val="auto"/>
          <w:szCs w:val="21"/>
          <w:highlight w:val="none"/>
        </w:rPr>
      </w:pPr>
      <w:r>
        <w:rPr>
          <w:rFonts w:hint="eastAsia"/>
          <w:color w:val="auto"/>
          <w:szCs w:val="21"/>
          <w:highlight w:val="none"/>
        </w:rPr>
        <w:t>②投标人提供生产场地证明材料，生产场地真实图片，提供证明材料得2分</w:t>
      </w:r>
      <w:r>
        <w:rPr>
          <w:rFonts w:hint="eastAsia"/>
          <w:color w:val="auto"/>
          <w:szCs w:val="21"/>
          <w:highlight w:val="none"/>
          <w:lang w:eastAsia="zh-CN"/>
        </w:rPr>
        <w:t>。</w:t>
      </w:r>
      <w:r>
        <w:rPr>
          <w:rFonts w:hint="eastAsia"/>
          <w:color w:val="auto"/>
          <w:szCs w:val="21"/>
          <w:highlight w:val="none"/>
        </w:rPr>
        <w:t>提供生产场地产权证明或租赁合同、生产车间照片、仓库照片等）</w:t>
      </w:r>
    </w:p>
    <w:p>
      <w:pPr>
        <w:spacing w:line="400" w:lineRule="exact"/>
        <w:ind w:firstLine="420" w:firstLineChars="200"/>
        <w:rPr>
          <w:rFonts w:hint="eastAsia"/>
          <w:color w:val="auto"/>
          <w:szCs w:val="21"/>
          <w:highlight w:val="none"/>
        </w:rPr>
      </w:pPr>
      <w:r>
        <w:rPr>
          <w:rFonts w:hint="eastAsia"/>
          <w:color w:val="auto"/>
          <w:szCs w:val="21"/>
          <w:highlight w:val="none"/>
        </w:rPr>
        <w:t>③提供生产进度计划表、生产流程图、生产人员安排表等，并配有5名以上专业技术人员，提供证明材料得</w:t>
      </w:r>
      <w:r>
        <w:rPr>
          <w:rFonts w:hint="eastAsia"/>
          <w:color w:val="auto"/>
          <w:szCs w:val="21"/>
          <w:highlight w:val="none"/>
          <w:lang w:val="en-US" w:eastAsia="zh-CN"/>
        </w:rPr>
        <w:t>2</w:t>
      </w:r>
      <w:r>
        <w:rPr>
          <w:rFonts w:hint="eastAsia"/>
          <w:color w:val="auto"/>
          <w:szCs w:val="21"/>
          <w:highlight w:val="none"/>
        </w:rPr>
        <w:t>分。（提供技术人员职称或技术证书的扫描件/复印件等）</w:t>
      </w:r>
    </w:p>
    <w:p>
      <w:pPr>
        <w:spacing w:line="400" w:lineRule="exact"/>
        <w:ind w:firstLine="420" w:firstLineChars="200"/>
        <w:rPr>
          <w:rFonts w:hint="eastAsia"/>
          <w:color w:val="auto"/>
          <w:szCs w:val="21"/>
          <w:highlight w:val="none"/>
        </w:rPr>
      </w:pPr>
      <w:r>
        <w:rPr>
          <w:rFonts w:hint="eastAsia"/>
          <w:color w:val="auto"/>
          <w:szCs w:val="21"/>
          <w:highlight w:val="none"/>
        </w:rPr>
        <w:t>④提供质量管控措施、质量相关认证证书（除“质量管理体系认证”外）（含各项质量管理制度、生产各工序和产品出场标准等制度标准文件），提供证明材料得2分。</w:t>
      </w:r>
    </w:p>
    <w:p>
      <w:pPr>
        <w:spacing w:line="400" w:lineRule="exact"/>
        <w:ind w:firstLine="420" w:firstLineChars="200"/>
        <w:rPr>
          <w:rFonts w:hint="eastAsia"/>
          <w:color w:val="auto"/>
          <w:szCs w:val="21"/>
          <w:highlight w:val="none"/>
        </w:rPr>
      </w:pPr>
      <w:r>
        <w:rPr>
          <w:rFonts w:hint="eastAsia"/>
          <w:color w:val="auto"/>
          <w:szCs w:val="21"/>
          <w:highlight w:val="none"/>
        </w:rPr>
        <w:t xml:space="preserve"> （5）</w:t>
      </w:r>
      <w:r>
        <w:rPr>
          <w:rFonts w:hint="eastAsia"/>
          <w:b w:val="0"/>
          <w:bCs w:val="0"/>
          <w:color w:val="auto"/>
          <w:szCs w:val="21"/>
          <w:highlight w:val="none"/>
        </w:rPr>
        <w:t>项目实施、安装方案</w:t>
      </w:r>
      <w:r>
        <w:rPr>
          <w:rFonts w:hint="eastAsia"/>
          <w:color w:val="auto"/>
          <w:szCs w:val="21"/>
          <w:highlight w:val="none"/>
        </w:rPr>
        <w:t>（满分9分）</w:t>
      </w:r>
    </w:p>
    <w:p>
      <w:pPr>
        <w:widowControl/>
        <w:adjustRightInd w:val="0"/>
        <w:snapToGrid w:val="0"/>
        <w:spacing w:line="320" w:lineRule="exact"/>
        <w:ind w:firstLine="378" w:firstLineChars="180"/>
        <w:rPr>
          <w:rFonts w:ascii="宋体" w:hAnsi="宋体" w:cs="宋体"/>
          <w:color w:val="auto"/>
          <w:kern w:val="0"/>
          <w:szCs w:val="21"/>
          <w:highlight w:val="none"/>
        </w:rPr>
      </w:pPr>
      <w:r>
        <w:rPr>
          <w:rFonts w:hint="eastAsia" w:ascii="宋体" w:hAnsi="宋体" w:cs="宋体"/>
          <w:color w:val="auto"/>
          <w:kern w:val="0"/>
          <w:szCs w:val="21"/>
          <w:highlight w:val="none"/>
        </w:rPr>
        <w:t>一档（3分）：</w:t>
      </w:r>
      <w:r>
        <w:rPr>
          <w:rFonts w:hint="eastAsia"/>
          <w:b w:val="0"/>
          <w:bCs w:val="0"/>
          <w:color w:val="auto"/>
          <w:szCs w:val="21"/>
          <w:highlight w:val="none"/>
        </w:rPr>
        <w:t>项目实施、安装方案</w:t>
      </w:r>
      <w:r>
        <w:rPr>
          <w:rFonts w:hint="eastAsia" w:ascii="宋体" w:hAnsi="宋体" w:cs="宋体"/>
          <w:color w:val="auto"/>
          <w:kern w:val="0"/>
          <w:szCs w:val="21"/>
          <w:highlight w:val="none"/>
        </w:rPr>
        <w:t>进度安排合理，实施方案简略，配套有货物存放仓库、送货人员、运输工具、项目实施人员，项目生产能力、实施的技术力量和人力资源安排等无保障，安装调试及培训方案不完整。</w:t>
      </w:r>
    </w:p>
    <w:p>
      <w:pPr>
        <w:widowControl/>
        <w:adjustRightInd w:val="0"/>
        <w:snapToGrid w:val="0"/>
        <w:spacing w:line="320" w:lineRule="exact"/>
        <w:ind w:firstLine="378" w:firstLineChars="180"/>
        <w:rPr>
          <w:rFonts w:ascii="宋体" w:hAnsi="宋体" w:cs="宋体"/>
          <w:color w:val="auto"/>
          <w:kern w:val="0"/>
          <w:szCs w:val="21"/>
          <w:highlight w:val="none"/>
        </w:rPr>
      </w:pPr>
      <w:r>
        <w:rPr>
          <w:rFonts w:hint="eastAsia" w:ascii="宋体" w:hAnsi="宋体" w:cs="宋体"/>
          <w:color w:val="auto"/>
          <w:kern w:val="0"/>
          <w:szCs w:val="21"/>
          <w:highlight w:val="none"/>
        </w:rPr>
        <w:t>二档（6分）：</w:t>
      </w:r>
      <w:r>
        <w:rPr>
          <w:rFonts w:hint="eastAsia"/>
          <w:b w:val="0"/>
          <w:bCs w:val="0"/>
          <w:color w:val="auto"/>
          <w:szCs w:val="21"/>
          <w:highlight w:val="none"/>
        </w:rPr>
        <w:t>项目实施、安装方案</w:t>
      </w:r>
      <w:r>
        <w:rPr>
          <w:rFonts w:hint="eastAsia" w:ascii="宋体" w:hAnsi="宋体" w:cs="宋体"/>
          <w:color w:val="auto"/>
          <w:kern w:val="0"/>
          <w:szCs w:val="21"/>
          <w:highlight w:val="none"/>
        </w:rPr>
        <w:t>详细，配套有货物存放仓库、送货人员、运输工具、项目实施人员，项目生产能力、实施的技术力量和人力资源安排等有一定保障，服务内容和措施完善，安装调试及培训方案详细完整。</w:t>
      </w:r>
    </w:p>
    <w:p>
      <w:pPr>
        <w:widowControl/>
        <w:adjustRightInd w:val="0"/>
        <w:snapToGrid w:val="0"/>
        <w:spacing w:line="320" w:lineRule="exact"/>
        <w:ind w:firstLine="378" w:firstLineChars="180"/>
        <w:rPr>
          <w:rFonts w:ascii="宋体" w:hAnsi="宋体" w:cs="宋体"/>
          <w:color w:val="auto"/>
          <w:kern w:val="0"/>
          <w:szCs w:val="21"/>
          <w:highlight w:val="none"/>
        </w:rPr>
      </w:pPr>
      <w:r>
        <w:rPr>
          <w:rFonts w:hint="eastAsia" w:ascii="宋体" w:hAnsi="宋体" w:cs="宋体"/>
          <w:color w:val="auto"/>
          <w:kern w:val="0"/>
          <w:szCs w:val="21"/>
          <w:highlight w:val="none"/>
        </w:rPr>
        <w:t>三档（9分）：</w:t>
      </w:r>
      <w:r>
        <w:rPr>
          <w:rFonts w:hint="eastAsia"/>
          <w:b w:val="0"/>
          <w:bCs w:val="0"/>
          <w:color w:val="auto"/>
          <w:szCs w:val="21"/>
          <w:highlight w:val="none"/>
        </w:rPr>
        <w:t>项目实施、安装方案</w:t>
      </w:r>
      <w:r>
        <w:rPr>
          <w:rFonts w:hint="eastAsia" w:ascii="宋体" w:hAnsi="宋体" w:cs="宋体"/>
          <w:color w:val="auto"/>
          <w:kern w:val="0"/>
          <w:szCs w:val="21"/>
          <w:highlight w:val="none"/>
        </w:rPr>
        <w:t>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承诺紧急服务时限，服务内容和措施完善，建议的验收方法或方案完善有效且更优化、切实可行，安装调试及培训方案详细完整且针对性强。</w:t>
      </w:r>
    </w:p>
    <w:p>
      <w:pPr>
        <w:widowControl/>
        <w:adjustRightInd w:val="0"/>
        <w:snapToGrid w:val="0"/>
        <w:spacing w:line="320" w:lineRule="exact"/>
        <w:ind w:firstLine="378" w:firstLineChars="180"/>
        <w:rPr>
          <w:rFonts w:hint="eastAsia" w:ascii="宋体" w:hAnsi="宋体" w:cs="宋体"/>
          <w:color w:val="auto"/>
          <w:kern w:val="0"/>
          <w:szCs w:val="21"/>
          <w:highlight w:val="none"/>
        </w:rPr>
      </w:pPr>
      <w:r>
        <w:rPr>
          <w:rFonts w:hint="eastAsia" w:ascii="宋体" w:hAnsi="宋体" w:cs="宋体"/>
          <w:color w:val="auto"/>
          <w:kern w:val="0"/>
          <w:szCs w:val="21"/>
          <w:highlight w:val="none"/>
        </w:rPr>
        <w:t>（备注：未提供“项目实施、安装方案”或经评定不能进档的不得分。）</w:t>
      </w:r>
    </w:p>
    <w:p>
      <w:pPr>
        <w:spacing w:line="400" w:lineRule="exact"/>
        <w:ind w:firstLine="420" w:firstLineChars="200"/>
        <w:rPr>
          <w:rFonts w:hint="eastAsia"/>
          <w:color w:val="auto"/>
          <w:szCs w:val="21"/>
          <w:highlight w:val="none"/>
        </w:rPr>
      </w:pPr>
      <w:bookmarkStart w:id="297" w:name="_GoBack"/>
      <w:r>
        <w:rPr>
          <w:rFonts w:hint="eastAsia"/>
          <w:color w:val="auto"/>
          <w:szCs w:val="21"/>
          <w:highlight w:val="none"/>
        </w:rPr>
        <w:t>（6）</w:t>
      </w:r>
      <w:r>
        <w:rPr>
          <w:rFonts w:hint="eastAsia"/>
          <w:b w:val="0"/>
          <w:bCs w:val="0"/>
          <w:color w:val="auto"/>
          <w:szCs w:val="21"/>
          <w:highlight w:val="none"/>
        </w:rPr>
        <w:t>售后服务分</w:t>
      </w:r>
      <w:r>
        <w:rPr>
          <w:rFonts w:hint="eastAsia"/>
          <w:color w:val="auto"/>
          <w:szCs w:val="21"/>
          <w:highlight w:val="none"/>
        </w:rPr>
        <w:t>（满分 8分）</w:t>
      </w:r>
    </w:p>
    <w:p>
      <w:pPr>
        <w:spacing w:line="400" w:lineRule="exact"/>
        <w:ind w:firstLine="420" w:firstLineChars="200"/>
        <w:rPr>
          <w:rFonts w:hint="eastAsia"/>
          <w:color w:val="auto"/>
          <w:szCs w:val="21"/>
          <w:highlight w:val="none"/>
        </w:rPr>
      </w:pPr>
      <w:r>
        <w:rPr>
          <w:rFonts w:hint="eastAsia"/>
          <w:color w:val="auto"/>
          <w:szCs w:val="21"/>
          <w:highlight w:val="none"/>
        </w:rPr>
        <w:t>项目实施及售后服务承诺基本要求：至少应包括质保期、保修期限、到达故障现场时间（维护电话保证7×24小时响应，自接到故障通知起24小时内到达故障现场）、故障出现解决方案、定期维护（注明时间）、质保期内提供专人负责维保（售后服务承诺书内应有维保人员名单及联系方式），故障处理时限（不能超过12小时，对不能修复的保证在24小时内提供替代品或直接更换），质保期满前一个月及质保期内每年进行一次全面检修与保养，保修期外维修方案、其他优惠措施、安装要求及方案。</w:t>
      </w:r>
    </w:p>
    <w:p>
      <w:pPr>
        <w:spacing w:line="400" w:lineRule="exact"/>
        <w:ind w:firstLine="420" w:firstLineChars="200"/>
        <w:rPr>
          <w:rFonts w:hint="eastAsia"/>
          <w:color w:val="auto"/>
          <w:szCs w:val="21"/>
          <w:highlight w:val="none"/>
        </w:rPr>
      </w:pPr>
      <w:r>
        <w:rPr>
          <w:rFonts w:hint="eastAsia"/>
          <w:color w:val="auto"/>
          <w:szCs w:val="21"/>
          <w:highlight w:val="none"/>
        </w:rPr>
        <w:t xml:space="preserve">一档（2分）：有售后服务承诺书；满足招标文件的要求，有故障出现解决方案，有技术培训方案、保修期外维修方案。 </w:t>
      </w:r>
    </w:p>
    <w:p>
      <w:pPr>
        <w:spacing w:line="400" w:lineRule="exact"/>
        <w:ind w:firstLine="420" w:firstLineChars="200"/>
        <w:rPr>
          <w:rFonts w:hint="eastAsia"/>
          <w:color w:val="auto"/>
          <w:szCs w:val="21"/>
          <w:highlight w:val="none"/>
        </w:rPr>
      </w:pPr>
      <w:r>
        <w:rPr>
          <w:rFonts w:hint="eastAsia"/>
          <w:color w:val="auto"/>
          <w:szCs w:val="21"/>
          <w:highlight w:val="none"/>
        </w:rPr>
        <w:t>二档（4分）：售后服务承诺书内容完整；解决一般故障时间在4小时内，故障出现解决方案可靠，定期维护方式方法合理，有完整的技术培训方案、保修期外维修方案；有售后服务能力措施。</w:t>
      </w:r>
    </w:p>
    <w:p>
      <w:pPr>
        <w:spacing w:line="400" w:lineRule="exact"/>
        <w:ind w:firstLine="420" w:firstLineChars="200"/>
        <w:rPr>
          <w:rFonts w:hint="eastAsia"/>
          <w:color w:val="auto"/>
          <w:szCs w:val="21"/>
          <w:highlight w:val="none"/>
        </w:rPr>
      </w:pPr>
      <w:r>
        <w:rPr>
          <w:rFonts w:hint="eastAsia"/>
          <w:color w:val="auto"/>
          <w:szCs w:val="21"/>
          <w:highlight w:val="none"/>
        </w:rPr>
        <w:t>三档（6分）：售后服务承诺书内容详细具体；解决一般故障时间在2小时内，故障出现解决方案可靠，定期维护方式方法合理，有完整的技术培训方案、保修期外维修方案；有完善的本地化售后服务措施；对售后服务应急预案、其他优惠措施等方面都有描述。</w:t>
      </w:r>
    </w:p>
    <w:p>
      <w:pPr>
        <w:spacing w:line="400" w:lineRule="exact"/>
        <w:ind w:firstLine="420" w:firstLineChars="200"/>
        <w:rPr>
          <w:rFonts w:hint="eastAsia"/>
          <w:color w:val="auto"/>
          <w:szCs w:val="21"/>
          <w:highlight w:val="none"/>
        </w:rPr>
      </w:pPr>
      <w:r>
        <w:rPr>
          <w:rFonts w:hint="eastAsia"/>
          <w:color w:val="auto"/>
          <w:szCs w:val="21"/>
          <w:highlight w:val="none"/>
        </w:rPr>
        <w:t>四档（8分）：在三档基础上，提供的服务承诺针具有对性，可靠保证，符合采购方实际需求的，售后服务方案详细描述了设备售后维护和应急保障方案的方法以及实现方式，常年备有齐全的配件，整体方案针对性，对采购人有实际性帮助。投标人或投标产品生产厂家具备“家具报修服务平台”，平台服务内容具备包含但不限如下：（1）报修功能；（2）派单功能；（3）定位和签到功能；（提供功能截图并加盖公章）。</w:t>
      </w:r>
    </w:p>
    <w:bookmarkEnd w:id="297"/>
    <w:p>
      <w:pPr>
        <w:spacing w:line="400" w:lineRule="exact"/>
        <w:ind w:firstLine="421" w:firstLineChars="200"/>
        <w:rPr>
          <w:rFonts w:hint="eastAsia"/>
          <w:b/>
          <w:bCs/>
          <w:color w:val="auto"/>
          <w:szCs w:val="21"/>
          <w:highlight w:val="none"/>
        </w:rPr>
      </w:pPr>
      <w:r>
        <w:rPr>
          <w:rFonts w:hint="eastAsia"/>
          <w:b/>
          <w:bCs/>
          <w:color w:val="auto"/>
          <w:szCs w:val="21"/>
          <w:highlight w:val="none"/>
        </w:rPr>
        <w:t xml:space="preserve"> 3、商务分</w:t>
      </w:r>
      <w:r>
        <w:rPr>
          <w:rFonts w:hint="eastAsia" w:ascii="宋体" w:hAnsi="宋体"/>
          <w:b/>
          <w:bCs/>
          <w:color w:val="auto"/>
          <w:szCs w:val="21"/>
          <w:highlight w:val="none"/>
        </w:rPr>
        <w:t>………………………………………………………………………………………</w:t>
      </w:r>
      <w:r>
        <w:rPr>
          <w:rFonts w:hint="eastAsia"/>
          <w:b/>
          <w:bCs/>
          <w:color w:val="auto"/>
          <w:szCs w:val="21"/>
          <w:highlight w:val="none"/>
        </w:rPr>
        <w:t xml:space="preserve"> </w:t>
      </w:r>
      <w:r>
        <w:rPr>
          <w:rFonts w:hint="eastAsia"/>
          <w:b/>
          <w:bCs/>
          <w:color w:val="auto"/>
          <w:szCs w:val="21"/>
          <w:highlight w:val="none"/>
          <w:lang w:val="en-US" w:eastAsia="zh-CN"/>
        </w:rPr>
        <w:t>8</w:t>
      </w:r>
      <w:r>
        <w:rPr>
          <w:rFonts w:hint="eastAsia"/>
          <w:b/>
          <w:bCs/>
          <w:color w:val="auto"/>
          <w:szCs w:val="21"/>
          <w:highlight w:val="none"/>
        </w:rPr>
        <w:t xml:space="preserve"> 分</w:t>
      </w:r>
    </w:p>
    <w:p>
      <w:pPr>
        <w:spacing w:line="400" w:lineRule="exact"/>
        <w:rPr>
          <w:rFonts w:hint="eastAsia"/>
          <w:color w:val="auto"/>
          <w:szCs w:val="21"/>
          <w:highlight w:val="none"/>
        </w:rPr>
      </w:pPr>
      <w:r>
        <w:rPr>
          <w:rFonts w:hint="eastAsia"/>
          <w:color w:val="auto"/>
          <w:szCs w:val="21"/>
          <w:highlight w:val="none"/>
        </w:rPr>
        <w:t xml:space="preserve">     （1）信誉（满分</w:t>
      </w:r>
      <w:r>
        <w:rPr>
          <w:rFonts w:hint="eastAsia"/>
          <w:color w:val="auto"/>
          <w:szCs w:val="21"/>
          <w:highlight w:val="none"/>
          <w:lang w:val="en-US" w:eastAsia="zh-CN"/>
        </w:rPr>
        <w:t>3</w:t>
      </w:r>
      <w:r>
        <w:rPr>
          <w:rFonts w:hint="eastAsia"/>
          <w:color w:val="auto"/>
          <w:szCs w:val="21"/>
          <w:highlight w:val="none"/>
        </w:rPr>
        <w:t>分）</w:t>
      </w:r>
    </w:p>
    <w:p>
      <w:pPr>
        <w:spacing w:line="400" w:lineRule="exact"/>
        <w:rPr>
          <w:rFonts w:hint="eastAsia"/>
          <w:color w:val="auto"/>
          <w:szCs w:val="21"/>
          <w:highlight w:val="none"/>
        </w:rPr>
      </w:pPr>
      <w:r>
        <w:rPr>
          <w:rFonts w:hint="eastAsia"/>
          <w:color w:val="auto"/>
          <w:szCs w:val="21"/>
          <w:highlight w:val="none"/>
        </w:rPr>
        <w:t xml:space="preserve">     </w:t>
      </w:r>
      <w:r>
        <w:rPr>
          <w:rFonts w:hint="eastAsia"/>
          <w:b/>
          <w:bCs/>
          <w:color w:val="auto"/>
          <w:szCs w:val="21"/>
          <w:highlight w:val="none"/>
        </w:rPr>
        <w:t>投标人</w:t>
      </w:r>
      <w:r>
        <w:rPr>
          <w:rFonts w:hint="eastAsia"/>
          <w:color w:val="auto"/>
          <w:szCs w:val="21"/>
          <w:highlight w:val="none"/>
        </w:rPr>
        <w:t>或</w:t>
      </w:r>
      <w:r>
        <w:rPr>
          <w:rFonts w:hint="eastAsia"/>
          <w:b/>
          <w:bCs/>
          <w:color w:val="auto"/>
          <w:szCs w:val="21"/>
          <w:highlight w:val="none"/>
          <w:lang w:eastAsia="zh-CN"/>
        </w:rPr>
        <w:t>所投</w:t>
      </w:r>
      <w:r>
        <w:rPr>
          <w:rFonts w:hint="eastAsia"/>
          <w:b/>
          <w:bCs/>
          <w:color w:val="auto"/>
          <w:szCs w:val="21"/>
          <w:highlight w:val="none"/>
        </w:rPr>
        <w:t>产品生产厂家</w:t>
      </w:r>
      <w:r>
        <w:rPr>
          <w:rFonts w:hint="eastAsia"/>
          <w:color w:val="auto"/>
          <w:szCs w:val="21"/>
          <w:highlight w:val="none"/>
        </w:rPr>
        <w:t>获得ISO9001质量管理体系认证证书、ISO14001环境管理系统标准认证证书、ISO45001职业健康卫生管理认证证书的，每提供一类证书得1分，满分</w:t>
      </w:r>
      <w:r>
        <w:rPr>
          <w:rFonts w:hint="eastAsia"/>
          <w:color w:val="auto"/>
          <w:szCs w:val="21"/>
          <w:highlight w:val="none"/>
          <w:lang w:val="en-US" w:eastAsia="zh-CN"/>
        </w:rPr>
        <w:t>3</w:t>
      </w:r>
      <w:r>
        <w:rPr>
          <w:rFonts w:hint="eastAsia"/>
          <w:color w:val="auto"/>
          <w:szCs w:val="21"/>
          <w:highlight w:val="none"/>
        </w:rPr>
        <w:t>分。</w:t>
      </w:r>
    </w:p>
    <w:p>
      <w:pPr>
        <w:spacing w:line="400" w:lineRule="exact"/>
        <w:rPr>
          <w:rFonts w:hint="eastAsia"/>
          <w:color w:val="auto"/>
          <w:szCs w:val="21"/>
          <w:highlight w:val="none"/>
        </w:rPr>
      </w:pPr>
      <w:r>
        <w:rPr>
          <w:rFonts w:hint="eastAsia"/>
          <w:color w:val="auto"/>
          <w:szCs w:val="21"/>
          <w:highlight w:val="none"/>
        </w:rPr>
        <w:t>（注：以上证书应为有效期内，提供证书复印件，并加盖投标人公章。）</w:t>
      </w:r>
    </w:p>
    <w:p>
      <w:pPr>
        <w:spacing w:line="400" w:lineRule="exact"/>
        <w:rPr>
          <w:rFonts w:hint="eastAsia"/>
          <w:color w:val="auto"/>
          <w:szCs w:val="21"/>
          <w:highlight w:val="none"/>
        </w:rPr>
      </w:pPr>
      <w:r>
        <w:rPr>
          <w:rFonts w:hint="eastAsia"/>
          <w:color w:val="auto"/>
          <w:szCs w:val="21"/>
          <w:highlight w:val="none"/>
        </w:rPr>
        <w:t xml:space="preserve">    （2）业绩分（满分 3 分）</w:t>
      </w:r>
    </w:p>
    <w:p>
      <w:pPr>
        <w:spacing w:line="400" w:lineRule="exact"/>
        <w:rPr>
          <w:rFonts w:hint="eastAsia"/>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投标人2022年1月1日以来</w:t>
      </w:r>
      <w:r>
        <w:rPr>
          <w:rFonts w:hint="eastAsia"/>
          <w:b/>
          <w:bCs/>
          <w:color w:val="auto"/>
          <w:szCs w:val="21"/>
          <w:highlight w:val="none"/>
        </w:rPr>
        <w:t>公寓床</w:t>
      </w:r>
      <w:r>
        <w:rPr>
          <w:rFonts w:hint="eastAsia"/>
          <w:color w:val="auto"/>
          <w:szCs w:val="21"/>
          <w:highlight w:val="none"/>
        </w:rPr>
        <w:t>类</w:t>
      </w:r>
      <w:r>
        <w:rPr>
          <w:rFonts w:hint="default"/>
          <w:color w:val="auto"/>
          <w:szCs w:val="21"/>
          <w:highlight w:val="none"/>
          <w:lang w:val="en"/>
        </w:rPr>
        <w:t>/铁架床类</w:t>
      </w:r>
      <w:r>
        <w:rPr>
          <w:rFonts w:hint="eastAsia"/>
          <w:color w:val="auto"/>
          <w:szCs w:val="21"/>
          <w:highlight w:val="none"/>
        </w:rPr>
        <w:t>项目业绩（须同时提供合同复印件、验收报告复印件、发票复印件，未按此要求提供的不得分）的，每一项得1分，满分3分。</w:t>
      </w:r>
    </w:p>
    <w:p>
      <w:pPr>
        <w:spacing w:line="400" w:lineRule="exact"/>
        <w:rPr>
          <w:rFonts w:hint="eastAsia"/>
          <w:color w:val="auto"/>
          <w:szCs w:val="21"/>
          <w:highlight w:val="none"/>
        </w:rPr>
      </w:pPr>
      <w:r>
        <w:rPr>
          <w:rFonts w:hint="eastAsia"/>
          <w:color w:val="auto"/>
          <w:szCs w:val="21"/>
          <w:highlight w:val="none"/>
        </w:rPr>
        <w:t xml:space="preserve">   （3）政策功能分（满分 2分）</w:t>
      </w:r>
    </w:p>
    <w:p>
      <w:pPr>
        <w:spacing w:line="400" w:lineRule="exact"/>
        <w:rPr>
          <w:rFonts w:hint="eastAsia"/>
          <w:color w:val="auto"/>
          <w:szCs w:val="21"/>
          <w:highlight w:val="none"/>
        </w:rPr>
      </w:pPr>
      <w:r>
        <w:rPr>
          <w:rFonts w:hint="eastAsia"/>
          <w:color w:val="auto"/>
          <w:szCs w:val="21"/>
          <w:highlight w:val="none"/>
        </w:rPr>
        <w:t xml:space="preserve">     ①核心产品纳入（财库[2019]19号）中节能产品政府采购清单（适用于非强制采购节能产品，依据《市场监管总局关于发布参与实施政府采购节能产品、环境标志产品认证机构名录的公告》，提供所投相应型号产品有效的认证证书扫描件或其他电子文件）的得1分，满分1分。</w:t>
      </w:r>
    </w:p>
    <w:p>
      <w:pPr>
        <w:spacing w:line="400" w:lineRule="exact"/>
        <w:rPr>
          <w:rFonts w:hint="eastAsia"/>
          <w:color w:val="auto"/>
          <w:szCs w:val="21"/>
          <w:highlight w:val="none"/>
        </w:rPr>
      </w:pPr>
      <w:r>
        <w:rPr>
          <w:rFonts w:hint="eastAsia"/>
          <w:color w:val="auto"/>
          <w:szCs w:val="21"/>
          <w:highlight w:val="none"/>
        </w:rPr>
        <w:t xml:space="preserve">    ②核心产品纳入（财库[2019]18号）中环境标志产品政府采购清单（依据《市场监管总局关于发布参与实施政府采购节能产品、环境标志产品认证机构名录的公告》，提供所投相应型号产品有效的认证证书扫描件或其他电子文件）的得1分，满分1分。</w:t>
      </w:r>
    </w:p>
    <w:p>
      <w:pPr>
        <w:spacing w:line="400" w:lineRule="exact"/>
        <w:rPr>
          <w:rFonts w:hint="eastAsia"/>
          <w:b/>
          <w:bCs/>
          <w:color w:val="auto"/>
          <w:spacing w:val="-2"/>
          <w:highlight w:val="none"/>
        </w:rPr>
      </w:pPr>
      <w:r>
        <w:rPr>
          <w:rFonts w:hint="eastAsia"/>
          <w:b/>
          <w:bCs/>
          <w:color w:val="auto"/>
          <w:spacing w:val="-2"/>
          <w:highlight w:val="none"/>
        </w:rPr>
        <w:t>（三）总得分=1 + 2 + 3。</w:t>
      </w:r>
    </w:p>
    <w:p>
      <w:pPr>
        <w:pStyle w:val="27"/>
        <w:spacing w:line="340" w:lineRule="exact"/>
        <w:ind w:firstLine="463" w:firstLineChars="220"/>
        <w:rPr>
          <w:rFonts w:hint="eastAsia"/>
          <w:b/>
          <w:bCs/>
          <w:color w:val="auto"/>
          <w:highlight w:val="none"/>
        </w:rPr>
      </w:pPr>
      <w:r>
        <w:rPr>
          <w:rFonts w:hint="eastAsia"/>
          <w:b/>
          <w:bCs/>
          <w:color w:val="auto"/>
          <w:highlight w:val="none"/>
        </w:rPr>
        <w:t>三、中标候选人推荐原则</w:t>
      </w:r>
    </w:p>
    <w:p>
      <w:pPr>
        <w:pStyle w:val="27"/>
        <w:spacing w:line="340" w:lineRule="exact"/>
        <w:ind w:firstLine="315" w:firstLineChars="150"/>
        <w:rPr>
          <w:rFonts w:hint="eastAsia"/>
          <w:bCs/>
          <w:color w:val="auto"/>
          <w:highlight w:val="none"/>
        </w:rPr>
      </w:pPr>
      <w:r>
        <w:rPr>
          <w:rFonts w:hint="eastAsia"/>
          <w:bCs/>
          <w:color w:val="auto"/>
          <w:highlight w:val="none"/>
        </w:rPr>
        <w:t>（一）评标委员会将根据得分由高到低排列次序</w:t>
      </w:r>
      <w:r>
        <w:rPr>
          <w:rFonts w:hint="eastAsia"/>
          <w:b/>
          <w:bCs/>
          <w:color w:val="auto"/>
          <w:highlight w:val="none"/>
        </w:rPr>
        <w:t>（得分相同时，以投标报价由低到高顺序排列；得分相同且投标报价相同的，按技术评定得分从高到低顺序排列）</w:t>
      </w:r>
      <w:r>
        <w:rPr>
          <w:rFonts w:hint="eastAsia"/>
          <w:bCs/>
          <w:color w:val="auto"/>
          <w:highlight w:val="none"/>
        </w:rPr>
        <w:t>并推荐中标候选供应商。采购人应当确定评审委员会推荐排名第一的中标候选人为中标人。</w:t>
      </w:r>
    </w:p>
    <w:p>
      <w:pPr>
        <w:pStyle w:val="27"/>
        <w:spacing w:line="340" w:lineRule="exact"/>
        <w:ind w:firstLine="525" w:firstLineChars="250"/>
        <w:rPr>
          <w:rFonts w:hint="eastAsia"/>
          <w:b/>
          <w:bCs/>
          <w:color w:val="auto"/>
          <w:highlight w:val="none"/>
        </w:rPr>
      </w:pPr>
      <w:r>
        <w:rPr>
          <w:rFonts w:hint="eastAsia"/>
          <w:bCs/>
          <w:color w:val="auto"/>
          <w:highlight w:val="none"/>
        </w:rPr>
        <w:t>排名第一的中标候选人放弃中标、因不可抗力提出不能履行合同，或者招标文件规定应当提交</w:t>
      </w:r>
      <w:r>
        <w:rPr>
          <w:rFonts w:hint="eastAsia"/>
          <w:b/>
          <w:color w:val="auto"/>
          <w:highlight w:val="none"/>
        </w:rPr>
        <w:t>履约保证金</w:t>
      </w:r>
      <w:r>
        <w:rPr>
          <w:rFonts w:hint="eastAsia"/>
          <w:bCs/>
          <w:color w:val="auto"/>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b/>
          <w:bCs/>
          <w:color w:val="auto"/>
          <w:highlight w:val="none"/>
        </w:rPr>
        <w:t>。</w:t>
      </w:r>
    </w:p>
    <w:p>
      <w:pPr>
        <w:pStyle w:val="27"/>
        <w:spacing w:line="340" w:lineRule="exact"/>
        <w:ind w:firstLine="315" w:firstLineChars="150"/>
        <w:rPr>
          <w:rFonts w:hint="eastAsia"/>
          <w:color w:val="auto"/>
          <w:highlight w:val="none"/>
        </w:rPr>
      </w:pPr>
      <w:r>
        <w:rPr>
          <w:rFonts w:hint="eastAsia"/>
          <w:bCs/>
          <w:color w:val="auto"/>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exact"/>
        <w:ind w:firstLine="3196" w:firstLineChars="995"/>
        <w:rPr>
          <w:rFonts w:hint="eastAsia" w:ascii="仿宋_GB2312" w:hAnsi="宋体" w:eastAsia="仿宋_GB2312"/>
          <w:b/>
          <w:color w:val="auto"/>
          <w:sz w:val="32"/>
          <w:szCs w:val="32"/>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pacing w:before="120" w:after="120"/>
        <w:jc w:val="center"/>
        <w:outlineLvl w:val="0"/>
        <w:rPr>
          <w:rFonts w:hint="eastAsia" w:hAnsi="宋体"/>
          <w:b/>
          <w:color w:val="auto"/>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27"/>
        <w:snapToGrid w:val="0"/>
        <w:spacing w:before="120" w:after="120"/>
        <w:jc w:val="center"/>
        <w:outlineLvl w:val="0"/>
        <w:rPr>
          <w:rFonts w:hint="eastAsia" w:ascii="仿宋_GB2312" w:hAnsi="宋体" w:eastAsia="仿宋_GB2312"/>
          <w:b/>
          <w:color w:val="auto"/>
          <w:sz w:val="44"/>
          <w:szCs w:val="44"/>
          <w:highlight w:val="none"/>
        </w:rPr>
      </w:pPr>
    </w:p>
    <w:p>
      <w:pPr>
        <w:pStyle w:val="3"/>
        <w:jc w:val="center"/>
        <w:rPr>
          <w:rFonts w:hint="eastAsia"/>
          <w:color w:val="auto"/>
          <w:highlight w:val="none"/>
        </w:rPr>
      </w:pPr>
      <w:bookmarkStart w:id="261" w:name="_Toc40864723"/>
      <w:bookmarkStart w:id="262" w:name="_Toc40865115"/>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ascii="黑体" w:eastAsia="黑体"/>
          <w:b/>
          <w:bCs/>
          <w:color w:val="auto"/>
          <w:highlight w:val="none"/>
        </w:rPr>
      </w:pPr>
      <w:r>
        <w:rPr>
          <w:rFonts w:hint="eastAsia"/>
          <w:b/>
          <w:bCs/>
          <w:color w:val="auto"/>
          <w:highlight w:val="none"/>
        </w:rPr>
        <w:t>第五章    政府采购合同主要条款</w:t>
      </w:r>
      <w:bookmarkEnd w:id="261"/>
      <w:bookmarkEnd w:id="262"/>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Ansi="宋体"/>
          <w:b/>
          <w:color w:val="auto"/>
          <w:sz w:val="52"/>
          <w:szCs w:val="52"/>
          <w:highlight w:val="none"/>
        </w:rPr>
        <w:br w:type="page"/>
      </w:r>
    </w:p>
    <w:p>
      <w:pPr>
        <w:pStyle w:val="27"/>
        <w:jc w:val="center"/>
        <w:rPr>
          <w:rFonts w:hint="eastAsia" w:hAnsi="宋体"/>
          <w:b/>
          <w:color w:val="auto"/>
          <w:sz w:val="52"/>
          <w:szCs w:val="52"/>
          <w:highlight w:val="none"/>
        </w:rPr>
      </w:pPr>
    </w:p>
    <w:p>
      <w:pPr>
        <w:pStyle w:val="27"/>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spacing w:line="340" w:lineRule="exact"/>
        <w:ind w:firstLine="1590" w:firstLineChars="495"/>
        <w:rPr>
          <w:rFonts w:hint="eastAsia" w:hAnsi="宋体"/>
          <w:b/>
          <w:color w:val="auto"/>
          <w:sz w:val="32"/>
          <w:szCs w:val="32"/>
          <w:highlight w:val="none"/>
        </w:rPr>
      </w:pPr>
    </w:p>
    <w:p>
      <w:pPr>
        <w:pStyle w:val="27"/>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int="eastAsia" w:hAnsi="宋体"/>
          <w:b/>
          <w:color w:val="auto"/>
          <w:sz w:val="32"/>
          <w:szCs w:val="32"/>
          <w:highlight w:val="none"/>
        </w:rPr>
      </w:pPr>
    </w:p>
    <w:p>
      <w:pPr>
        <w:pStyle w:val="27"/>
        <w:jc w:val="center"/>
        <w:rPr>
          <w:rFonts w:hint="eastAsia" w:hAnsi="宋体"/>
          <w:color w:val="auto"/>
          <w:highlight w:val="none"/>
        </w:rPr>
      </w:pPr>
      <w:r>
        <w:rPr>
          <w:rFonts w:hint="eastAsia" w:hAnsi="宋体"/>
          <w:color w:val="auto"/>
          <w:highlight w:val="non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7"/>
        <w:ind w:firstLine="1590" w:firstLineChars="495"/>
        <w:rPr>
          <w:rFonts w:hint="eastAsia" w:hAnsi="宋体"/>
          <w:b/>
          <w:color w:val="auto"/>
          <w:sz w:val="32"/>
          <w:szCs w:val="32"/>
          <w:highlight w:val="none"/>
        </w:rPr>
      </w:pPr>
    </w:p>
    <w:p>
      <w:pPr>
        <w:pStyle w:val="27"/>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jc w:val="center"/>
        <w:rPr>
          <w:rFonts w:hint="eastAsia" w:hAnsi="宋体"/>
          <w:color w:val="auto"/>
          <w:highlight w:val="none"/>
        </w:rPr>
      </w:pPr>
    </w:p>
    <w:p>
      <w:pPr>
        <w:pStyle w:val="27"/>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27"/>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Style w:val="27"/>
        <w:snapToGrid w:val="0"/>
        <w:spacing w:before="120" w:after="120"/>
        <w:jc w:val="center"/>
        <w:outlineLvl w:val="0"/>
        <w:rPr>
          <w:rFonts w:hint="eastAsia" w:hAnsi="宋体"/>
          <w:color w:val="auto"/>
          <w:highlight w:val="none"/>
        </w:rPr>
      </w:pPr>
    </w:p>
    <w:p>
      <w:pPr>
        <w:spacing w:line="300" w:lineRule="auto"/>
        <w:ind w:left="105" w:leftChars="50" w:firstLine="3092" w:firstLineChars="700"/>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360" w:lineRule="exact"/>
        <w:ind w:right="480"/>
        <w:jc w:val="center"/>
        <w:rPr>
          <w:rFonts w:hint="eastAsia" w:ascii="宋体" w:hAnsi="宋体"/>
          <w:bCs/>
          <w:color w:val="auto"/>
          <w:szCs w:val="21"/>
          <w:highlight w:val="none"/>
        </w:rPr>
      </w:pPr>
      <w:r>
        <w:rPr>
          <w:rFonts w:hint="eastAsia" w:ascii="宋体" w:hAnsi="宋体"/>
          <w:b/>
          <w:bCs/>
          <w:color w:val="auto"/>
          <w:szCs w:val="21"/>
          <w:highlight w:val="none"/>
        </w:rPr>
        <w:t xml:space="preserve"> 广西壮族自治区政府采购合同</w:t>
      </w:r>
    </w:p>
    <w:p>
      <w:pPr>
        <w:snapToGrid w:val="0"/>
        <w:spacing w:line="360" w:lineRule="exact"/>
        <w:ind w:right="480"/>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pPr>
        <w:snapToGrid w:val="0"/>
        <w:spacing w:line="360" w:lineRule="exact"/>
        <w:ind w:right="480"/>
        <w:jc w:val="center"/>
        <w:rPr>
          <w:rFonts w:hint="eastAsia" w:ascii="宋体" w:hAnsi="宋体"/>
          <w:bCs/>
          <w:color w:val="auto"/>
          <w:szCs w:val="21"/>
          <w:highlight w:val="none"/>
          <w:u w:val="single"/>
        </w:rPr>
      </w:pPr>
      <w:r>
        <w:rPr>
          <w:rFonts w:hint="eastAsia" w:ascii="宋体" w:hAnsi="宋体"/>
          <w:bCs/>
          <w:color w:val="auto"/>
          <w:szCs w:val="21"/>
          <w:highlight w:val="none"/>
        </w:rPr>
        <w:t xml:space="preserve">                        合同编号：</w:t>
      </w:r>
      <w:r>
        <w:rPr>
          <w:rFonts w:hint="eastAsia" w:ascii="宋体" w:hAnsi="宋体"/>
          <w:bCs/>
          <w:color w:val="auto"/>
          <w:szCs w:val="21"/>
          <w:highlight w:val="none"/>
          <w:u w:val="single"/>
        </w:rPr>
        <w:t xml:space="preserve">                    </w:t>
      </w:r>
    </w:p>
    <w:p>
      <w:pPr>
        <w:snapToGrid w:val="0"/>
        <w:spacing w:line="360" w:lineRule="exact"/>
        <w:ind w:firstLine="3685" w:firstLineChars="1748"/>
        <w:rPr>
          <w:rFonts w:hint="eastAsia" w:ascii="宋体" w:hAnsi="宋体"/>
          <w:b/>
          <w:color w:val="auto"/>
          <w:szCs w:val="21"/>
          <w:highlight w:val="none"/>
        </w:rPr>
      </w:pP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pacing w:val="-20"/>
          <w:szCs w:val="21"/>
          <w:highlight w:val="none"/>
        </w:rPr>
        <w:t xml:space="preserve">   采 购 计 划 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 </w:t>
      </w:r>
      <w:r>
        <w:rPr>
          <w:rFonts w:hint="eastAsia" w:ascii="宋体" w:hAnsi="宋体"/>
          <w:color w:val="auto"/>
          <w:szCs w:val="21"/>
          <w:highlight w:val="none"/>
          <w:u w:val="single"/>
        </w:rPr>
        <w:t xml:space="preserve">                    </w:t>
      </w:r>
    </w:p>
    <w:p>
      <w:pPr>
        <w:snapToGrid w:val="0"/>
        <w:spacing w:line="360" w:lineRule="exact"/>
        <w:ind w:firstLine="420" w:firstLineChars="200"/>
        <w:rPr>
          <w:rFonts w:hint="eastAsia" w:ascii="宋体" w:hAnsi="宋体"/>
          <w:color w:val="auto"/>
          <w:szCs w:val="21"/>
          <w:highlight w:val="none"/>
        </w:rPr>
      </w:pPr>
    </w:p>
    <w:p>
      <w:pPr>
        <w:pStyle w:val="27"/>
        <w:spacing w:line="420" w:lineRule="exact"/>
        <w:ind w:firstLine="420"/>
        <w:jc w:val="center"/>
        <w:rPr>
          <w:rFonts w:hint="eastAsia"/>
          <w:color w:val="auto"/>
          <w:highlight w:val="none"/>
        </w:rPr>
      </w:pPr>
      <w:r>
        <w:rPr>
          <w:rFonts w:hint="eastAsia"/>
          <w:color w:val="auto"/>
          <w:highlight w:val="none"/>
        </w:rPr>
        <w:t>根据《中华人民共和国政府采购法》、《</w:t>
      </w:r>
      <w:r>
        <w:rPr>
          <w:color w:val="auto"/>
          <w:highlight w:val="none"/>
        </w:rPr>
        <w:t>中华人民共和国民法典</w:t>
      </w:r>
      <w:r>
        <w:rPr>
          <w:rFonts w:hint="eastAsia"/>
          <w:color w:val="auto"/>
          <w:highlight w:val="none"/>
        </w:rPr>
        <w:t>》等法律、法规规定，按照招标文</w:t>
      </w:r>
    </w:p>
    <w:p>
      <w:pPr>
        <w:pStyle w:val="27"/>
        <w:spacing w:line="420" w:lineRule="exact"/>
        <w:rPr>
          <w:rFonts w:hint="eastAsia"/>
          <w:color w:val="auto"/>
          <w:highlight w:val="none"/>
        </w:rPr>
      </w:pPr>
      <w:r>
        <w:rPr>
          <w:rFonts w:hint="eastAsia"/>
          <w:color w:val="auto"/>
          <w:highlight w:val="none"/>
        </w:rPr>
        <w:t>件规定条款和中标供应商响应文件及其承诺，甲乙双方签订本合同。</w:t>
      </w:r>
    </w:p>
    <w:p>
      <w:pPr>
        <w:snapToGrid w:val="0"/>
        <w:spacing w:line="360" w:lineRule="exact"/>
        <w:ind w:firstLine="524" w:firstLineChars="249"/>
        <w:rPr>
          <w:rFonts w:hint="eastAsia" w:ascii="宋体" w:hAnsi="宋体"/>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1、家具一览表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1090"/>
        <w:gridCol w:w="2990"/>
        <w:gridCol w:w="720"/>
        <w:gridCol w:w="7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99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360" w:firstLineChars="1600"/>
              <w:rPr>
                <w:rFonts w:ascii="宋体" w:hAnsi="宋体"/>
                <w:color w:val="auto"/>
                <w:szCs w:val="21"/>
                <w:highlight w:val="none"/>
              </w:rPr>
            </w:pPr>
            <w:r>
              <w:rPr>
                <w:rFonts w:hint="eastAsia" w:ascii="宋体"/>
                <w:color w:val="auto"/>
                <w:szCs w:val="21"/>
                <w:highlight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人民币合计金额（大写）：                                （小写）</w:t>
            </w:r>
          </w:p>
        </w:tc>
      </w:tr>
    </w:tbl>
    <w:p>
      <w:pPr>
        <w:snapToGrid w:val="0"/>
        <w:spacing w:line="360" w:lineRule="exact"/>
        <w:ind w:right="420"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2、合同合计金额包括家具价款、备件、专用工具、安装、检验、技术资料和包装、运输等全部费用。如招响应文件对其另有规定的，从其规定。</w:t>
      </w:r>
    </w:p>
    <w:p>
      <w:pPr>
        <w:snapToGrid w:val="0"/>
        <w:spacing w:line="360" w:lineRule="exact"/>
        <w:ind w:right="525" w:firstLine="656" w:firstLineChars="30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第二条  </w:t>
      </w:r>
      <w:r>
        <w:rPr>
          <w:rFonts w:hint="eastAsia" w:ascii="宋体" w:hAnsi="宋体"/>
          <w:b/>
          <w:color w:val="auto"/>
          <w:spacing w:val="4"/>
          <w:szCs w:val="21"/>
          <w:highlight w:val="none"/>
        </w:rPr>
        <w:t>质量保证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1、乙方所提供的家具规格、技术标准、材料等质量必须与招响应文件和承诺相一致。乙方提供的节能和环保产品必须是列入政府采购清单的产品。</w:t>
      </w:r>
    </w:p>
    <w:p>
      <w:pPr>
        <w:snapToGrid w:val="0"/>
        <w:spacing w:line="360" w:lineRule="exact"/>
        <w:ind w:firstLine="436" w:firstLineChars="200"/>
        <w:jc w:val="left"/>
        <w:rPr>
          <w:rFonts w:hint="eastAsia" w:ascii="宋体" w:hAnsi="宋体"/>
          <w:color w:val="auto"/>
          <w:spacing w:val="4"/>
          <w:szCs w:val="21"/>
          <w:highlight w:val="none"/>
          <w:u w:val="single"/>
        </w:rPr>
      </w:pPr>
      <w:r>
        <w:rPr>
          <w:rFonts w:hint="eastAsia" w:ascii="宋体" w:hAnsi="宋体"/>
          <w:color w:val="auto"/>
          <w:spacing w:val="4"/>
          <w:szCs w:val="21"/>
          <w:highlight w:val="none"/>
        </w:rPr>
        <w:t>2、乙方所提供的家具必须是全新、未使用的产品，且在正常使用条件下，其使用寿命应达到承诺年限。</w:t>
      </w:r>
    </w:p>
    <w:p>
      <w:pPr>
        <w:snapToGrid w:val="0"/>
        <w:spacing w:line="360" w:lineRule="exact"/>
        <w:ind w:firstLine="652" w:firstLineChars="298"/>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第三条  </w:t>
      </w:r>
      <w:r>
        <w:rPr>
          <w:rFonts w:hint="eastAsia" w:ascii="宋体" w:hAnsi="宋体"/>
          <w:b/>
          <w:color w:val="auto"/>
          <w:spacing w:val="4"/>
          <w:szCs w:val="21"/>
          <w:highlight w:val="none"/>
        </w:rPr>
        <w:t>权利保证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乙方应保证所提供家具在使用时不会侵犯任何第三方的专利权、商标权、工业设计权或其他权利。</w:t>
      </w:r>
    </w:p>
    <w:p>
      <w:pPr>
        <w:snapToGrid w:val="0"/>
        <w:spacing w:line="360" w:lineRule="exact"/>
        <w:ind w:firstLine="643" w:firstLineChars="294"/>
        <w:rPr>
          <w:rFonts w:hint="eastAsia" w:ascii="宋体" w:hAnsi="宋体"/>
          <w:b/>
          <w:bCs/>
          <w:color w:val="auto"/>
          <w:spacing w:val="4"/>
          <w:szCs w:val="21"/>
          <w:highlight w:val="none"/>
        </w:rPr>
      </w:pPr>
      <w:r>
        <w:rPr>
          <w:rFonts w:hint="eastAsia" w:ascii="宋体" w:hAnsi="宋体"/>
          <w:b/>
          <w:bCs/>
          <w:color w:val="auto"/>
          <w:spacing w:val="4"/>
          <w:szCs w:val="21"/>
          <w:highlight w:val="none"/>
        </w:rPr>
        <w:t>第四条  包装和运输</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1、乙方提供的家具均应按招响应文件要求的包装材料、包装标准、包装方式进行包装。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2、乙方负责家具运输，家具的运输方式：</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w:t>
      </w:r>
    </w:p>
    <w:p>
      <w:pPr>
        <w:snapToGrid w:val="0"/>
        <w:spacing w:line="360" w:lineRule="exact"/>
        <w:ind w:firstLine="652" w:firstLineChars="298"/>
        <w:rPr>
          <w:rFonts w:hint="eastAsia" w:ascii="宋体" w:hAnsi="宋体"/>
          <w:b/>
          <w:color w:val="auto"/>
          <w:spacing w:val="4"/>
          <w:szCs w:val="21"/>
          <w:highlight w:val="none"/>
        </w:rPr>
      </w:pPr>
      <w:r>
        <w:rPr>
          <w:rFonts w:hint="eastAsia" w:ascii="宋体" w:hAnsi="宋体"/>
          <w:b/>
          <w:color w:val="auto"/>
          <w:spacing w:val="4"/>
          <w:szCs w:val="21"/>
          <w:highlight w:val="none"/>
        </w:rPr>
        <w:t>第五条  交付和验收</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1、交付使用时间：</w:t>
      </w:r>
      <w:r>
        <w:rPr>
          <w:rFonts w:hint="eastAsia" w:ascii="宋体" w:hAnsi="宋体"/>
          <w:b/>
          <w:color w:val="auto"/>
          <w:spacing w:val="4"/>
          <w:szCs w:val="21"/>
          <w:highlight w:val="none"/>
          <w:u w:val="single"/>
        </w:rPr>
        <w:t>按乙方响应文件承诺的交付使用时间</w:t>
      </w:r>
      <w:r>
        <w:rPr>
          <w:rFonts w:hint="eastAsia" w:ascii="宋体" w:hAnsi="宋体"/>
          <w:color w:val="auto"/>
          <w:spacing w:val="4"/>
          <w:szCs w:val="21"/>
          <w:highlight w:val="none"/>
        </w:rPr>
        <w:t>；地点：</w:t>
      </w:r>
      <w:r>
        <w:rPr>
          <w:rFonts w:hint="eastAsia" w:ascii="宋体" w:hAnsi="宋体"/>
          <w:b/>
          <w:color w:val="auto"/>
          <w:szCs w:val="21"/>
          <w:highlight w:val="none"/>
          <w:u w:val="single"/>
        </w:rPr>
        <w:t>采购人指定地点</w:t>
      </w:r>
      <w:r>
        <w:rPr>
          <w:rFonts w:hint="eastAsia" w:ascii="宋体" w:hAnsi="宋体"/>
          <w:b/>
          <w:color w:val="auto"/>
          <w:spacing w:val="4"/>
          <w:szCs w:val="21"/>
          <w:highlight w:val="none"/>
          <w:u w:val="single"/>
        </w:rPr>
        <w:t>。</w:t>
      </w:r>
    </w:p>
    <w:p>
      <w:pPr>
        <w:snapToGrid w:val="0"/>
        <w:spacing w:line="360" w:lineRule="exact"/>
        <w:ind w:firstLine="436" w:firstLineChars="200"/>
        <w:rPr>
          <w:rFonts w:hint="eastAsia" w:ascii="宋体" w:hAnsi="宋体"/>
          <w:color w:val="auto"/>
          <w:szCs w:val="21"/>
          <w:highlight w:val="none"/>
        </w:rPr>
      </w:pPr>
      <w:r>
        <w:rPr>
          <w:rFonts w:hint="eastAsia" w:ascii="宋体" w:hAnsi="宋体"/>
          <w:color w:val="auto"/>
          <w:spacing w:val="4"/>
          <w:szCs w:val="21"/>
          <w:highlight w:val="none"/>
        </w:rPr>
        <w:t>2、乙</w:t>
      </w:r>
      <w:r>
        <w:rPr>
          <w:rFonts w:hint="eastAsia" w:ascii="宋体" w:hAnsi="宋体"/>
          <w:color w:val="auto"/>
          <w:szCs w:val="21"/>
          <w:highlight w:val="none"/>
        </w:rPr>
        <w:t>方提供不符合招响应文件和本合同规定的家具，甲方有权拒绝接受。</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3、乙方应按照甲方的要求，在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年</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月</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日前安装完毕并承担安装费用。甲方应提供必要安装条件（如场地、电源等）。</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4、甲方应当在产品安装完毕后十五个工作日内进行验收，逾期不验收的，乙方可视同验收合格。验收合格后由甲乙双方签署货物验收单并加盖采购单位公章，甲乙双方各执一份。</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6、甲方对验收有异议的，在验收后五个工作日内以书面形式向乙方提出，乙方应自收到甲方书面异议后</w:t>
      </w:r>
      <w:r>
        <w:rPr>
          <w:rFonts w:hint="eastAsia" w:ascii="宋体" w:hAnsi="宋体"/>
          <w:color w:val="auto"/>
          <w:spacing w:val="4"/>
          <w:szCs w:val="21"/>
          <w:highlight w:val="none"/>
          <w:u w:val="single"/>
        </w:rPr>
        <w:t>三</w:t>
      </w:r>
      <w:r>
        <w:rPr>
          <w:rFonts w:hint="eastAsia" w:ascii="宋体" w:hAnsi="宋体"/>
          <w:color w:val="auto"/>
          <w:spacing w:val="4"/>
          <w:szCs w:val="21"/>
          <w:highlight w:val="none"/>
        </w:rPr>
        <w:t>日内及时予以解决。</w:t>
      </w:r>
    </w:p>
    <w:p>
      <w:pPr>
        <w:snapToGrid w:val="0"/>
        <w:spacing w:line="360" w:lineRule="exact"/>
        <w:ind w:firstLine="536" w:firstLineChars="245"/>
        <w:rPr>
          <w:rFonts w:hint="eastAsia" w:ascii="宋体" w:hAnsi="宋体"/>
          <w:color w:val="auto"/>
          <w:spacing w:val="4"/>
          <w:szCs w:val="21"/>
          <w:highlight w:val="none"/>
          <w:u w:val="single"/>
        </w:rPr>
      </w:pPr>
      <w:r>
        <w:rPr>
          <w:rFonts w:hint="eastAsia" w:ascii="宋体" w:hAnsi="宋体"/>
          <w:b/>
          <w:color w:val="auto"/>
          <w:spacing w:val="4"/>
          <w:szCs w:val="21"/>
          <w:highlight w:val="none"/>
        </w:rPr>
        <w:t xml:space="preserve">第六条  </w:t>
      </w:r>
      <w:r>
        <w:rPr>
          <w:rFonts w:hint="eastAsia" w:ascii="宋体" w:hAnsi="宋体"/>
          <w:color w:val="auto"/>
          <w:spacing w:val="4"/>
          <w:szCs w:val="21"/>
          <w:highlight w:val="none"/>
        </w:rPr>
        <w:t>定做家具图纸提供方法及要求：</w:t>
      </w:r>
      <w:r>
        <w:rPr>
          <w:rFonts w:hint="eastAsia" w:ascii="宋体" w:hAnsi="宋体"/>
          <w:color w:val="auto"/>
          <w:spacing w:val="4"/>
          <w:szCs w:val="21"/>
          <w:highlight w:val="none"/>
          <w:u w:val="single"/>
        </w:rPr>
        <w:t xml:space="preserve">                     。</w:t>
      </w:r>
    </w:p>
    <w:p>
      <w:pPr>
        <w:snapToGrid w:val="0"/>
        <w:spacing w:line="360" w:lineRule="exact"/>
        <w:ind w:firstLine="542" w:firstLineChars="248"/>
        <w:rPr>
          <w:rFonts w:hint="eastAsia" w:ascii="宋体" w:hAnsi="宋体"/>
          <w:b/>
          <w:color w:val="auto"/>
          <w:spacing w:val="4"/>
          <w:szCs w:val="21"/>
          <w:highlight w:val="none"/>
        </w:rPr>
      </w:pPr>
      <w:r>
        <w:rPr>
          <w:rFonts w:hint="eastAsia" w:ascii="宋体" w:hAnsi="宋体"/>
          <w:b/>
          <w:bCs/>
          <w:color w:val="auto"/>
          <w:spacing w:val="4"/>
          <w:szCs w:val="21"/>
          <w:highlight w:val="none"/>
        </w:rPr>
        <w:t xml:space="preserve">第七条  </w:t>
      </w:r>
      <w:r>
        <w:rPr>
          <w:rFonts w:hint="eastAsia" w:ascii="宋体" w:hAnsi="宋体"/>
          <w:b/>
          <w:color w:val="auto"/>
          <w:spacing w:val="4"/>
          <w:szCs w:val="21"/>
          <w:highlight w:val="none"/>
        </w:rPr>
        <w:t>售后服务、保修期（质量保证期）</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1、乙方应按照国家有关法律法规和“三包”规定以及招响应文件和本合同所附的《服务承诺》，为甲方提供售后服务。</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2、家具保修期为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个月，在保修期内出现家具质量问题，乙方须在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天内修理好或更换，并承担全部费用，家具更换后保修期重新开始计算。修理不好或不能更换的，予以退货，乙方应退回该家具全部货款。</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3、乙方提供的服务承诺和售后服务及保修期责任等其它具体约定事项。（见合同附件）</w:t>
      </w:r>
    </w:p>
    <w:p>
      <w:pPr>
        <w:snapToGrid w:val="0"/>
        <w:spacing w:line="360" w:lineRule="exact"/>
        <w:ind w:firstLine="503" w:firstLineChars="23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第八条  </w:t>
      </w:r>
      <w:r>
        <w:rPr>
          <w:rFonts w:hint="eastAsia" w:ascii="宋体" w:hAnsi="宋体"/>
          <w:b/>
          <w:color w:val="auto"/>
          <w:spacing w:val="4"/>
          <w:szCs w:val="21"/>
          <w:highlight w:val="none"/>
        </w:rPr>
        <w:t>付款方式</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1、当采购数量与实际使用数量不一致时，乙方应根据实际使用量供货，合同的最终结算金额按实际使用量乘以成交单价进行计算。</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2、资金性质：</w:t>
      </w:r>
      <w:r>
        <w:rPr>
          <w:rFonts w:hint="eastAsia" w:ascii="宋体" w:hAnsi="宋体"/>
          <w:color w:val="auto"/>
          <w:szCs w:val="21"/>
          <w:highlight w:val="none"/>
          <w:u w:val="single"/>
        </w:rPr>
        <w:t xml:space="preserve">            财政性资金          </w:t>
      </w:r>
      <w:r>
        <w:rPr>
          <w:rFonts w:hint="eastAsia" w:ascii="宋体" w:hAnsi="宋体"/>
          <w:color w:val="auto"/>
          <w:szCs w:val="21"/>
          <w:highlight w:val="none"/>
        </w:rPr>
        <w:t>。</w:t>
      </w:r>
    </w:p>
    <w:p>
      <w:pPr>
        <w:snapToGrid w:val="0"/>
        <w:spacing w:line="420" w:lineRule="exact"/>
        <w:ind w:firstLine="420" w:firstLineChars="200"/>
        <w:rPr>
          <w:rFonts w:hint="eastAsia" w:hAnsi="宋体"/>
          <w:dstrike/>
          <w:color w:val="auto"/>
          <w:highlight w:val="none"/>
        </w:rPr>
      </w:pPr>
      <w:r>
        <w:rPr>
          <w:rFonts w:hint="eastAsia" w:ascii="宋体" w:hAnsi="宋体"/>
          <w:color w:val="auto"/>
          <w:szCs w:val="21"/>
          <w:highlight w:val="none"/>
        </w:rPr>
        <w:t>3、付款方式：合同签订后并向</w:t>
      </w:r>
      <w:r>
        <w:rPr>
          <w:rFonts w:hint="eastAsia" w:ascii="宋体" w:hAnsi="宋体"/>
          <w:color w:val="auto"/>
          <w:szCs w:val="21"/>
          <w:highlight w:val="none"/>
          <w:lang w:eastAsia="zh-CN"/>
        </w:rPr>
        <w:t>乙方</w:t>
      </w:r>
      <w:r>
        <w:rPr>
          <w:rFonts w:hint="eastAsia" w:ascii="宋体" w:hAnsi="宋体"/>
          <w:color w:val="auto"/>
          <w:szCs w:val="21"/>
          <w:highlight w:val="none"/>
        </w:rPr>
        <w:t>发出订货通知10个工作日内，乙方开具合同总价款的 30%的等额价值保函(保函有效期为</w:t>
      </w:r>
      <w:r>
        <w:rPr>
          <w:rFonts w:hint="eastAsia" w:ascii="宋体" w:hAnsi="宋体"/>
          <w:color w:val="auto"/>
          <w:szCs w:val="21"/>
          <w:highlight w:val="none"/>
          <w:lang w:eastAsia="zh-CN"/>
        </w:rPr>
        <w:t>自</w:t>
      </w:r>
      <w:r>
        <w:rPr>
          <w:rFonts w:hint="eastAsia" w:ascii="宋体" w:hAnsi="宋体"/>
          <w:color w:val="auto"/>
          <w:szCs w:val="21"/>
          <w:highlight w:val="none"/>
        </w:rPr>
        <w:t>签订合同</w:t>
      </w:r>
      <w:r>
        <w:rPr>
          <w:rFonts w:hint="eastAsia" w:ascii="宋体" w:hAnsi="宋体"/>
          <w:color w:val="auto"/>
          <w:szCs w:val="21"/>
          <w:highlight w:val="none"/>
          <w:lang w:eastAsia="zh-CN"/>
        </w:rPr>
        <w:t>起</w:t>
      </w:r>
      <w:r>
        <w:rPr>
          <w:rFonts w:hint="eastAsia" w:ascii="宋体" w:hAnsi="宋体"/>
          <w:color w:val="auto"/>
          <w:szCs w:val="21"/>
          <w:highlight w:val="none"/>
        </w:rPr>
        <w:t>6个月内，保函到期前，若项目未完成，</w:t>
      </w:r>
      <w:r>
        <w:rPr>
          <w:rFonts w:hint="eastAsia" w:ascii="宋体" w:hAnsi="宋体"/>
          <w:color w:val="auto"/>
          <w:szCs w:val="21"/>
          <w:highlight w:val="none"/>
          <w:lang w:eastAsia="zh-CN"/>
        </w:rPr>
        <w:t>乙方</w:t>
      </w:r>
      <w:r>
        <w:rPr>
          <w:rFonts w:hint="eastAsia" w:ascii="宋体" w:hAnsi="宋体"/>
          <w:color w:val="auto"/>
          <w:szCs w:val="21"/>
          <w:highlight w:val="none"/>
        </w:rPr>
        <w:t>须在保函到期前提前1个月提交新一期保函)给甲方后，甲方向</w:t>
      </w:r>
      <w:r>
        <w:rPr>
          <w:rFonts w:hint="eastAsia" w:ascii="宋体" w:hAnsi="宋体"/>
          <w:color w:val="auto"/>
          <w:szCs w:val="21"/>
          <w:highlight w:val="none"/>
          <w:lang w:eastAsia="zh-CN"/>
        </w:rPr>
        <w:t>乙方</w:t>
      </w:r>
      <w:r>
        <w:rPr>
          <w:rFonts w:hint="eastAsia" w:ascii="宋体" w:hAnsi="宋体"/>
          <w:color w:val="auto"/>
          <w:szCs w:val="21"/>
          <w:highlight w:val="none"/>
        </w:rPr>
        <w:t>支付合同价款30%预付款（</w:t>
      </w:r>
      <w:r>
        <w:rPr>
          <w:rFonts w:hint="eastAsia" w:ascii="宋体" w:hAnsi="宋体"/>
          <w:color w:val="auto"/>
          <w:szCs w:val="21"/>
          <w:highlight w:val="none"/>
          <w:lang w:eastAsia="zh-CN"/>
        </w:rPr>
        <w:t>乙方</w:t>
      </w:r>
      <w:r>
        <w:rPr>
          <w:rFonts w:hint="eastAsia" w:ascii="宋体" w:hAnsi="宋体"/>
          <w:color w:val="auto"/>
          <w:szCs w:val="21"/>
          <w:highlight w:val="none"/>
        </w:rPr>
        <w:t>须先提供相应合法发票），交货验收合格后，</w:t>
      </w:r>
      <w:r>
        <w:rPr>
          <w:rFonts w:hint="eastAsia" w:ascii="宋体" w:hAnsi="宋体"/>
          <w:color w:val="auto"/>
          <w:szCs w:val="21"/>
          <w:highlight w:val="none"/>
          <w:lang w:eastAsia="zh-CN"/>
        </w:rPr>
        <w:t>乙方</w:t>
      </w:r>
      <w:r>
        <w:rPr>
          <w:rFonts w:hint="eastAsia" w:ascii="宋体" w:hAnsi="宋体"/>
          <w:color w:val="auto"/>
          <w:szCs w:val="21"/>
          <w:highlight w:val="none"/>
        </w:rPr>
        <w:t>开具合法发票给</w:t>
      </w:r>
      <w:r>
        <w:rPr>
          <w:rFonts w:hint="eastAsia" w:ascii="宋体" w:hAnsi="宋体"/>
          <w:color w:val="auto"/>
          <w:szCs w:val="21"/>
          <w:highlight w:val="none"/>
          <w:lang w:eastAsia="zh-CN"/>
        </w:rPr>
        <w:t>甲方</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收到发票后在20个工作日内一次性付清尾款（合同价款70%）。</w:t>
      </w:r>
    </w:p>
    <w:p>
      <w:pPr>
        <w:snapToGrid w:val="0"/>
        <w:spacing w:line="420" w:lineRule="exact"/>
        <w:ind w:left="-61" w:leftChars="-29" w:firstLine="516"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pPr>
        <w:spacing w:line="360" w:lineRule="exact"/>
        <w:jc w:val="left"/>
        <w:rPr>
          <w:rFonts w:hint="eastAsia" w:hAnsi="宋体"/>
          <w:color w:val="auto"/>
          <w:szCs w:val="21"/>
          <w:highlight w:val="none"/>
        </w:rPr>
      </w:pPr>
      <w:r>
        <w:rPr>
          <w:rFonts w:hint="eastAsia" w:hAnsi="宋体"/>
          <w:color w:val="auto"/>
          <w:szCs w:val="21"/>
          <w:highlight w:val="none"/>
          <w:lang w:val="en-US" w:eastAsia="zh-CN"/>
        </w:rPr>
        <w:t xml:space="preserve">    </w:t>
      </w:r>
      <w:r>
        <w:rPr>
          <w:rFonts w:hint="eastAsia" w:hAnsi="宋体"/>
          <w:color w:val="auto"/>
          <w:szCs w:val="21"/>
          <w:highlight w:val="none"/>
        </w:rPr>
        <w:t>1、履约保证金金额：中标金额的 5 %</w:t>
      </w:r>
      <w:r>
        <w:rPr>
          <w:rFonts w:hint="eastAsia" w:ascii="宋体" w:hAnsi="宋体" w:cs="宋体"/>
          <w:color w:val="auto"/>
          <w:szCs w:val="21"/>
          <w:highlight w:val="none"/>
        </w:rPr>
        <w:t>（如</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为中小企业的，按本项目中标总金额的2%）收取</w:t>
      </w:r>
      <w:r>
        <w:rPr>
          <w:rFonts w:hint="eastAsia" w:hAnsi="宋体"/>
          <w:color w:val="auto"/>
          <w:szCs w:val="21"/>
          <w:highlight w:val="none"/>
        </w:rPr>
        <w:t>。</w:t>
      </w:r>
    </w:p>
    <w:p>
      <w:pPr>
        <w:spacing w:line="360" w:lineRule="exact"/>
        <w:jc w:val="left"/>
        <w:rPr>
          <w:rFonts w:hint="eastAsia" w:hAnsi="宋体"/>
          <w:color w:val="auto"/>
          <w:szCs w:val="21"/>
          <w:highlight w:val="none"/>
        </w:rPr>
      </w:pPr>
      <w:r>
        <w:rPr>
          <w:rFonts w:hint="eastAsia" w:hAnsi="宋体"/>
          <w:color w:val="auto"/>
          <w:szCs w:val="21"/>
          <w:highlight w:val="none"/>
          <w:lang w:val="en-US" w:eastAsia="zh-CN"/>
        </w:rPr>
        <w:t xml:space="preserve">    </w:t>
      </w:r>
      <w:r>
        <w:rPr>
          <w:rFonts w:hint="eastAsia" w:hAnsi="宋体"/>
          <w:color w:val="auto"/>
          <w:szCs w:val="21"/>
          <w:highlight w:val="none"/>
        </w:rPr>
        <w:t>2、履约保证金递交方式：支票、汇票、本票、网上银行等非现金形式。</w:t>
      </w:r>
    </w:p>
    <w:p>
      <w:pPr>
        <w:spacing w:line="360" w:lineRule="exact"/>
        <w:jc w:val="left"/>
        <w:rPr>
          <w:rFonts w:hint="eastAsia" w:hAnsi="宋体"/>
          <w:color w:val="auto"/>
          <w:szCs w:val="21"/>
          <w:highlight w:val="none"/>
        </w:rPr>
      </w:pPr>
      <w:r>
        <w:rPr>
          <w:rFonts w:hint="eastAsia" w:hAnsi="宋体"/>
          <w:color w:val="auto"/>
          <w:szCs w:val="21"/>
          <w:highlight w:val="none"/>
          <w:lang w:val="en-US" w:eastAsia="zh-CN"/>
        </w:rPr>
        <w:t xml:space="preserve">    </w:t>
      </w:r>
      <w:r>
        <w:rPr>
          <w:rFonts w:hint="eastAsia" w:hAnsi="宋体"/>
          <w:color w:val="auto"/>
          <w:szCs w:val="21"/>
          <w:highlight w:val="none"/>
        </w:rPr>
        <w:t>3、履约保证金递交时间：签订合同后5个工作日内由成交方转入</w:t>
      </w:r>
      <w:r>
        <w:rPr>
          <w:rFonts w:hint="eastAsia" w:hAnsi="宋体"/>
          <w:color w:val="auto"/>
          <w:szCs w:val="21"/>
          <w:highlight w:val="none"/>
          <w:lang w:eastAsia="zh-CN"/>
        </w:rPr>
        <w:t>甲方</w:t>
      </w:r>
      <w:r>
        <w:rPr>
          <w:rFonts w:hint="eastAsia" w:hAnsi="宋体"/>
          <w:color w:val="auto"/>
          <w:szCs w:val="21"/>
          <w:highlight w:val="none"/>
        </w:rPr>
        <w:t>指定保证金账户。</w:t>
      </w:r>
    </w:p>
    <w:p>
      <w:pPr>
        <w:spacing w:line="360" w:lineRule="exact"/>
        <w:jc w:val="left"/>
        <w:rPr>
          <w:rFonts w:hint="eastAsia" w:hAnsi="宋体"/>
          <w:color w:val="auto"/>
          <w:szCs w:val="21"/>
          <w:highlight w:val="none"/>
        </w:rPr>
      </w:pPr>
      <w:r>
        <w:rPr>
          <w:rFonts w:hint="eastAsia" w:hAnsi="宋体"/>
          <w:color w:val="auto"/>
          <w:szCs w:val="21"/>
          <w:highlight w:val="none"/>
          <w:lang w:val="en-US" w:eastAsia="zh-CN"/>
        </w:rPr>
        <w:t xml:space="preserve">    </w:t>
      </w:r>
      <w:r>
        <w:rPr>
          <w:rFonts w:hint="eastAsia" w:hAnsi="宋体"/>
          <w:color w:val="auto"/>
          <w:szCs w:val="21"/>
          <w:highlight w:val="none"/>
        </w:rPr>
        <w:t>4、履约保证金退还：验收合格后无质量问题，</w:t>
      </w:r>
      <w:r>
        <w:rPr>
          <w:rFonts w:hint="eastAsia" w:hAnsi="宋体"/>
          <w:color w:val="auto"/>
          <w:szCs w:val="21"/>
          <w:highlight w:val="none"/>
          <w:lang w:eastAsia="zh-CN"/>
        </w:rPr>
        <w:t>乙方</w:t>
      </w:r>
      <w:r>
        <w:rPr>
          <w:rFonts w:hint="eastAsia" w:hAnsi="宋体"/>
          <w:color w:val="auto"/>
          <w:szCs w:val="21"/>
          <w:highlight w:val="none"/>
        </w:rPr>
        <w:t>提供《政府采购项目履约保证金退付意见书》及《政府采购项目合同验收报告》，向</w:t>
      </w:r>
      <w:r>
        <w:rPr>
          <w:rFonts w:hint="eastAsia" w:hAnsi="宋体"/>
          <w:color w:val="auto"/>
          <w:szCs w:val="21"/>
          <w:highlight w:val="none"/>
          <w:lang w:eastAsia="zh-CN"/>
        </w:rPr>
        <w:t>甲方</w:t>
      </w:r>
      <w:r>
        <w:rPr>
          <w:rFonts w:hint="eastAsia" w:hAnsi="宋体"/>
          <w:color w:val="auto"/>
          <w:szCs w:val="21"/>
          <w:highlight w:val="none"/>
        </w:rPr>
        <w:t>提出书面申请退还，</w:t>
      </w:r>
      <w:r>
        <w:rPr>
          <w:rFonts w:hint="eastAsia" w:hAnsi="宋体"/>
          <w:color w:val="auto"/>
          <w:szCs w:val="21"/>
          <w:highlight w:val="none"/>
          <w:lang w:eastAsia="zh-CN"/>
        </w:rPr>
        <w:t>甲方</w:t>
      </w:r>
      <w:r>
        <w:rPr>
          <w:rFonts w:hint="eastAsia" w:hAnsi="宋体"/>
          <w:color w:val="auto"/>
          <w:szCs w:val="21"/>
          <w:highlight w:val="none"/>
        </w:rPr>
        <w:t>在收到申请后二十个工作日内以银行转账方式无息退还。</w:t>
      </w:r>
    </w:p>
    <w:p>
      <w:pPr>
        <w:snapToGrid w:val="0"/>
        <w:spacing w:line="360" w:lineRule="exact"/>
        <w:ind w:firstLine="436" w:firstLineChars="200"/>
        <w:rPr>
          <w:rFonts w:ascii="宋体" w:hAnsi="宋体"/>
          <w:b/>
          <w:color w:val="auto"/>
          <w:spacing w:val="4"/>
          <w:szCs w:val="21"/>
          <w:highlight w:val="none"/>
        </w:rPr>
      </w:pPr>
      <w:r>
        <w:rPr>
          <w:rFonts w:hint="eastAsia" w:ascii="宋体" w:hAnsi="宋体"/>
          <w:bCs/>
          <w:color w:val="auto"/>
          <w:spacing w:val="4"/>
          <w:szCs w:val="21"/>
          <w:highlight w:val="none"/>
        </w:rPr>
        <w:t xml:space="preserve"> </w:t>
      </w:r>
      <w:r>
        <w:rPr>
          <w:rFonts w:hint="eastAsia" w:ascii="宋体" w:hAnsi="宋体"/>
          <w:b/>
          <w:color w:val="auto"/>
          <w:spacing w:val="4"/>
          <w:szCs w:val="21"/>
          <w:highlight w:val="none"/>
        </w:rPr>
        <w:t>第十条  合同的变更、终止与转让</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1、除《中华人民共和国政府采购法》第五十条规定的情形外，本合同一经签订，甲乙双方不得擅自变更、中止或终止。</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2、乙方不得擅自转让其应履行的合同义务。</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第十一条  违约责任</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1、乙方所提供的家具规格、技术标准、材料等质量不合格的，应及时更换，更换不及时的按逾期交货处罚；因质量问题甲方不同意接收的或特殊情况甲方同意接收的，乙方应向甲方支付违约货款额 5%违约金并乙方应赔偿甲方经济损失。</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2、乙方提供的货物如侵犯第三方合法权益而引发的任何纠纷或诉讼，均由乙方负责交涉并承担全部责任。</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3、因包装、运输引起的货物损坏，按质量不合格处罚。</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4、甲方无故延期接收货物、乙方逾期交货的，每天向对方偿付违约货款额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‰违约金，但违约金累计不得超过违约货款额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%，超过</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天对方有权解除合同，违约方承担因此给对方造成经济损失；甲方延期付货款的，每天向乙方偿付延期货款额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‰违约金，但违约金累计不得超过延期货款额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5、乙方未按本合同和响应文件中规定的服务承诺提供售后服务的，乙方应按本合同合计金额 5%向甲方支付违约金。</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6、</w:t>
      </w:r>
      <w:r>
        <w:rPr>
          <w:rFonts w:hint="eastAsia" w:ascii="宋体" w:hAnsi="宋体"/>
          <w:color w:val="auto"/>
          <w:szCs w:val="21"/>
          <w:highlight w:val="none"/>
        </w:rPr>
        <w:t>乙方提供的货物在质量保证期内，因设计、工艺或材料的缺陷和其它质量原因造成的问题，由乙方负责，费用从</w:t>
      </w:r>
      <w:r>
        <w:rPr>
          <w:rFonts w:hint="eastAsia" w:ascii="宋体" w:hAnsi="宋体"/>
          <w:b/>
          <w:color w:val="auto"/>
          <w:szCs w:val="21"/>
          <w:highlight w:val="none"/>
        </w:rPr>
        <w:t>履约保证金</w:t>
      </w:r>
      <w:r>
        <w:rPr>
          <w:rFonts w:hint="eastAsia" w:ascii="宋体" w:hAnsi="宋体"/>
          <w:color w:val="auto"/>
          <w:szCs w:val="21"/>
          <w:highlight w:val="none"/>
        </w:rPr>
        <w:t>中扣除，</w:t>
      </w:r>
      <w:r>
        <w:rPr>
          <w:rFonts w:hint="eastAsia" w:ascii="宋体" w:hAnsi="宋体"/>
          <w:b/>
          <w:color w:val="auto"/>
          <w:szCs w:val="21"/>
          <w:highlight w:val="none"/>
        </w:rPr>
        <w:t>履约保证金</w:t>
      </w:r>
      <w:r>
        <w:rPr>
          <w:rFonts w:hint="eastAsia" w:ascii="宋体" w:hAnsi="宋体"/>
          <w:color w:val="auto"/>
          <w:szCs w:val="21"/>
          <w:highlight w:val="none"/>
        </w:rPr>
        <w:t>不足以支付的，由乙方另行支付</w:t>
      </w:r>
      <w:r>
        <w:rPr>
          <w:rFonts w:hint="eastAsia" w:ascii="宋体" w:hAnsi="宋体"/>
          <w:color w:val="auto"/>
          <w:spacing w:val="4"/>
          <w:szCs w:val="21"/>
          <w:highlight w:val="none"/>
        </w:rPr>
        <w:t>。</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7、其它违约行为按违约货款额</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lang w:val="en"/>
        </w:rPr>
        <w:t xml:space="preserve">   </w:t>
      </w:r>
      <w:r>
        <w:rPr>
          <w:rFonts w:hint="eastAsia" w:ascii="宋体" w:hAnsi="宋体"/>
          <w:color w:val="auto"/>
          <w:spacing w:val="4"/>
          <w:szCs w:val="21"/>
          <w:highlight w:val="none"/>
        </w:rPr>
        <w:t>%收取违约金并赔偿经济损失。</w:t>
      </w:r>
    </w:p>
    <w:p>
      <w:pPr>
        <w:snapToGrid w:val="0"/>
        <w:spacing w:line="360" w:lineRule="exact"/>
        <w:ind w:firstLine="437" w:firstLineChars="200"/>
        <w:rPr>
          <w:rFonts w:hint="eastAsia" w:ascii="宋体" w:hAnsi="宋体"/>
          <w:color w:val="auto"/>
          <w:spacing w:val="4"/>
          <w:szCs w:val="21"/>
          <w:highlight w:val="none"/>
        </w:rPr>
      </w:pPr>
      <w:r>
        <w:rPr>
          <w:rFonts w:hint="eastAsia" w:ascii="宋体" w:hAnsi="宋体"/>
          <w:b/>
          <w:color w:val="auto"/>
          <w:spacing w:val="4"/>
          <w:szCs w:val="21"/>
          <w:highlight w:val="none"/>
        </w:rPr>
        <w:t>第十二条  解决合同争议</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1、因家具质量问题发生争议的，应邀请国家认可的质量检测机构对家具质量进行鉴定。家具符合标准的，鉴定费由甲方承担；家具不符合标准的，鉴定费由乙方承担。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2、因履行本合同引起的或与本合同有关的争议，甲乙双方应首先通过友好协商解决，如果协商不能解决，可向甲方所在地的人民法院提起诉讼。</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3、诉讼期间，本合同继续履行。</w:t>
      </w:r>
    </w:p>
    <w:p>
      <w:pPr>
        <w:pStyle w:val="27"/>
        <w:snapToGrid w:val="0"/>
        <w:spacing w:before="120" w:after="120" w:line="360" w:lineRule="exact"/>
        <w:ind w:firstLine="421" w:firstLineChars="200"/>
        <w:rPr>
          <w:rFonts w:hint="eastAsia" w:hAnsi="宋体"/>
          <w:b/>
          <w:color w:val="auto"/>
          <w:highlight w:val="none"/>
        </w:rPr>
      </w:pPr>
      <w:r>
        <w:rPr>
          <w:rFonts w:hint="eastAsia" w:hAnsi="宋体"/>
          <w:b/>
          <w:color w:val="auto"/>
          <w:highlight w:val="none"/>
        </w:rPr>
        <w:t>第十三条 合同生效及其它</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1、合同经双方法定代表人或授权代表签字并加盖单位公章后生效。</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3、本合同未尽事宜，遵照《</w:t>
      </w:r>
      <w:r>
        <w:rPr>
          <w:color w:val="auto"/>
          <w:highlight w:val="none"/>
        </w:rPr>
        <w:t>中华人民共和国民法典</w:t>
      </w:r>
      <w:r>
        <w:rPr>
          <w:rFonts w:hint="eastAsia" w:ascii="宋体" w:hAnsi="宋体"/>
          <w:color w:val="auto"/>
          <w:szCs w:val="21"/>
          <w:highlight w:val="none"/>
        </w:rPr>
        <w:t>》有关条文执行。</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第十四条  签订本合同依据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1、政府采购招标文件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2、乙方提供的投标文件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pPr>
        <w:snapToGrid w:val="0"/>
        <w:spacing w:line="3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5、其他约定附件</w:t>
      </w:r>
    </w:p>
    <w:p>
      <w:pPr>
        <w:snapToGrid w:val="0"/>
        <w:spacing w:line="400" w:lineRule="exact"/>
        <w:ind w:firstLine="437" w:firstLineChars="200"/>
        <w:rPr>
          <w:rFonts w:hint="eastAsia" w:ascii="宋体" w:hAnsi="宋体"/>
          <w:b/>
          <w:color w:val="auto"/>
          <w:szCs w:val="21"/>
          <w:highlight w:val="none"/>
        </w:rPr>
      </w:pPr>
      <w:r>
        <w:rPr>
          <w:rFonts w:hint="eastAsia" w:ascii="宋体" w:hAnsi="宋体"/>
          <w:b/>
          <w:color w:val="auto"/>
          <w:spacing w:val="4"/>
          <w:szCs w:val="21"/>
          <w:highlight w:val="none"/>
        </w:rPr>
        <w:t xml:space="preserve">第十五条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36" w:firstLineChars="200"/>
        <w:rPr>
          <w:rFonts w:hint="eastAsia" w:ascii="宋体" w:hAnsi="宋体"/>
          <w:color w:val="auto"/>
          <w:spacing w:val="4"/>
          <w:szCs w:val="21"/>
          <w:highlight w:val="none"/>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rPr>
                <w:rFonts w:hint="eastAsia" w:ascii="宋体" w:hAnsi="宋体"/>
                <w:color w:val="auto"/>
                <w:szCs w:val="21"/>
                <w:highlight w:val="none"/>
              </w:rPr>
            </w:pP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 xml:space="preserve"> 年   月   日</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合 同 附 件</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hAnsi="宋体"/>
                <w:color w:val="auto"/>
                <w:szCs w:val="21"/>
                <w:highlight w:val="none"/>
              </w:rPr>
            </w:pPr>
            <w:r>
              <w:rPr>
                <w:rFonts w:hAnsi="宋体"/>
                <w:color w:val="auto"/>
                <w:szCs w:val="21"/>
                <w:highlight w:val="none"/>
              </w:rPr>
              <w:t>3</w:t>
            </w:r>
            <w:r>
              <w:rPr>
                <w:rFonts w:hint="eastAsia" w:hAnsi="宋体"/>
                <w:color w:val="auto"/>
                <w:szCs w:val="21"/>
                <w:highlight w:val="none"/>
              </w:rPr>
              <w:t>、保修期责任：</w:t>
            </w: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6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wordWrap w:val="0"/>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r>
              <w:rPr>
                <w:rFonts w:hAnsi="宋体"/>
                <w:color w:val="auto"/>
                <w:szCs w:val="21"/>
                <w:highlight w:val="none"/>
              </w:rPr>
              <w:t xml:space="preserve"> </w:t>
            </w:r>
          </w:p>
        </w:tc>
        <w:tc>
          <w:tcPr>
            <w:tcW w:w="2332"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27"/>
        <w:snapToGrid w:val="0"/>
        <w:spacing w:before="120" w:after="120"/>
        <w:jc w:val="center"/>
        <w:outlineLvl w:val="0"/>
        <w:rPr>
          <w:rFonts w:hint="eastAsia" w:ascii="黑体" w:hAnsi="宋体" w:eastAsia="黑体"/>
          <w:b/>
          <w:color w:val="auto"/>
          <w:sz w:val="44"/>
          <w:szCs w:val="44"/>
          <w:highlight w:val="none"/>
        </w:rPr>
      </w:pPr>
    </w:p>
    <w:p>
      <w:pPr>
        <w:pStyle w:val="3"/>
        <w:jc w:val="center"/>
        <w:rPr>
          <w:rFonts w:hint="eastAsia" w:ascii="黑体" w:eastAsia="黑体"/>
          <w:b/>
          <w:bCs/>
          <w:color w:val="auto"/>
          <w:highlight w:val="none"/>
        </w:rPr>
      </w:pPr>
      <w:bookmarkStart w:id="263" w:name="_Toc40864724"/>
      <w:bookmarkStart w:id="264" w:name="_Toc40865116"/>
      <w:r>
        <w:rPr>
          <w:rFonts w:hint="eastAsia"/>
          <w:b/>
          <w:bCs/>
          <w:color w:val="auto"/>
          <w:highlight w:val="none"/>
        </w:rPr>
        <w:t>第六章　投标文件格式</w:t>
      </w:r>
      <w:bookmarkEnd w:id="263"/>
      <w:bookmarkEnd w:id="26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5" w:name="_Toc254970697"/>
      <w:bookmarkStart w:id="266" w:name="_Toc254970556"/>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5"/>
    <w:bookmarkEnd w:id="26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7" w:name="_Toc40864725"/>
      <w:bookmarkStart w:id="268" w:name="_Toc40865001"/>
      <w:bookmarkStart w:id="269" w:name="_Toc40865117"/>
      <w:r>
        <w:rPr>
          <w:rFonts w:hint="eastAsia" w:ascii="仿宋_GB2312" w:hAnsi="宋体" w:eastAsia="仿宋_GB2312"/>
          <w:b/>
          <w:color w:val="auto"/>
          <w:sz w:val="32"/>
          <w:szCs w:val="32"/>
          <w:highlight w:val="none"/>
        </w:rPr>
        <w:t>投标文件格式</w:t>
      </w:r>
      <w:bookmarkEnd w:id="267"/>
      <w:bookmarkEnd w:id="268"/>
      <w:bookmarkEnd w:id="269"/>
    </w:p>
    <w:p>
      <w:pPr>
        <w:snapToGrid w:val="0"/>
        <w:spacing w:before="156" w:beforeLines="50" w:after="50" w:line="360" w:lineRule="exact"/>
        <w:jc w:val="center"/>
        <w:outlineLvl w:val="0"/>
        <w:rPr>
          <w:rFonts w:hint="eastAsia" w:ascii="宋体" w:hAnsi="宋体"/>
          <w:b/>
          <w:bCs/>
          <w:color w:val="auto"/>
          <w:sz w:val="24"/>
          <w:highlight w:val="none"/>
        </w:rPr>
      </w:pPr>
      <w:bookmarkStart w:id="270" w:name="_Toc40864726"/>
      <w:bookmarkStart w:id="271" w:name="_Toc40865118"/>
      <w:bookmarkStart w:id="272" w:name="_Toc40865002"/>
      <w:r>
        <w:rPr>
          <w:rFonts w:hint="eastAsia" w:ascii="黑体" w:hAnsi="宋体" w:eastAsia="黑体"/>
          <w:bCs/>
          <w:color w:val="auto"/>
          <w:sz w:val="24"/>
          <w:highlight w:val="none"/>
        </w:rPr>
        <w:t>一、投标文件封面格式</w:t>
      </w:r>
      <w:bookmarkEnd w:id="270"/>
      <w:bookmarkEnd w:id="271"/>
      <w:bookmarkEnd w:id="272"/>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所投分标：</w:t>
      </w:r>
      <w:r>
        <w:rPr>
          <w:rFonts w:hint="eastAsia" w:ascii="宋体" w:hAnsi="宋体"/>
          <w:b/>
          <w:bCs w:val="0"/>
          <w:color w:val="auto"/>
          <w:szCs w:val="21"/>
          <w:highlight w:val="none"/>
          <w:lang w:eastAsia="zh-CN"/>
        </w:rPr>
        <w:t>分标</w:t>
      </w:r>
      <w:r>
        <w:rPr>
          <w:rFonts w:hint="eastAsia" w:ascii="宋体" w:hAnsi="宋体"/>
          <w:b/>
          <w:bCs w:val="0"/>
          <w:color w:val="auto"/>
          <w:szCs w:val="21"/>
          <w:highlight w:val="none"/>
          <w:u w:val="single"/>
          <w:lang w:val="en-US" w:eastAsia="zh-CN"/>
        </w:rPr>
        <w:t xml:space="preserve">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3" w:name="_Toc40865005"/>
      <w:bookmarkStart w:id="274" w:name="_Toc40865121"/>
      <w:bookmarkStart w:id="275" w:name="_Toc40864729"/>
      <w:r>
        <w:rPr>
          <w:rFonts w:hint="eastAsia" w:ascii="仿宋_GB2312" w:hAnsi="宋体" w:eastAsia="仿宋_GB2312"/>
          <w:color w:val="auto"/>
          <w:sz w:val="24"/>
          <w:highlight w:val="none"/>
        </w:rPr>
        <w:t>年  月  日</w:t>
      </w:r>
      <w:bookmarkEnd w:id="273"/>
      <w:bookmarkEnd w:id="274"/>
      <w:bookmarkEnd w:id="275"/>
    </w:p>
    <w:p>
      <w:pPr>
        <w:snapToGrid w:val="0"/>
        <w:spacing w:before="156" w:beforeLines="50" w:after="50" w:line="360" w:lineRule="exact"/>
        <w:jc w:val="center"/>
        <w:outlineLvl w:val="1"/>
        <w:rPr>
          <w:rFonts w:hint="eastAsia" w:ascii="宋体" w:hAnsi="宋体"/>
          <w:bCs/>
          <w:color w:val="auto"/>
          <w:szCs w:val="21"/>
          <w:highlight w:val="none"/>
        </w:rPr>
      </w:pPr>
      <w:bookmarkStart w:id="276" w:name="_Toc254970698"/>
      <w:bookmarkStart w:id="277" w:name="_Toc254970557"/>
    </w:p>
    <w:p>
      <w:pPr>
        <w:snapToGrid w:val="0"/>
        <w:spacing w:before="156" w:beforeLines="50" w:after="50" w:line="360" w:lineRule="exact"/>
        <w:jc w:val="left"/>
        <w:outlineLvl w:val="1"/>
        <w:rPr>
          <w:rFonts w:hint="eastAsia" w:ascii="宋体" w:hAnsi="宋体"/>
          <w:bCs/>
          <w:color w:val="auto"/>
          <w:szCs w:val="21"/>
          <w:highlight w:val="none"/>
        </w:rPr>
      </w:pPr>
      <w:bookmarkStart w:id="278" w:name="_Toc40865122"/>
      <w:bookmarkStart w:id="279" w:name="_Toc40865006"/>
      <w:bookmarkStart w:id="280" w:name="_Toc40864730"/>
      <w:r>
        <w:rPr>
          <w:rFonts w:hint="eastAsia" w:ascii="宋体" w:hAnsi="宋体"/>
          <w:bCs/>
          <w:color w:val="auto"/>
          <w:szCs w:val="21"/>
          <w:highlight w:val="none"/>
        </w:rPr>
        <w:t xml:space="preserve">  [注：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hAnsi="宋体"/>
          <w:bCs/>
          <w:color w:val="auto"/>
          <w:szCs w:val="21"/>
          <w:highlight w:val="none"/>
        </w:rPr>
        <w:t>]</w:t>
      </w:r>
      <w:bookmarkEnd w:id="278"/>
      <w:bookmarkEnd w:id="279"/>
      <w:bookmarkEnd w:id="280"/>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pStyle w:val="50"/>
        <w:ind w:firstLine="240"/>
        <w:rPr>
          <w:rFonts w:hint="eastAsia"/>
          <w:color w:val="auto"/>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28"/>
          <w:szCs w:val="28"/>
          <w:highlight w:val="none"/>
        </w:rPr>
      </w:pPr>
      <w:bookmarkStart w:id="281" w:name="_Toc40865123"/>
      <w:bookmarkStart w:id="282" w:name="_Toc40865007"/>
      <w:bookmarkStart w:id="283" w:name="_Toc40864731"/>
      <w:r>
        <w:rPr>
          <w:rFonts w:hint="eastAsia" w:ascii="黑体" w:hAnsi="宋体" w:eastAsia="黑体"/>
          <w:bCs/>
          <w:color w:val="auto"/>
          <w:sz w:val="28"/>
          <w:szCs w:val="28"/>
          <w:highlight w:val="none"/>
        </w:rPr>
        <w:t>二、投标文件目录</w:t>
      </w:r>
      <w:bookmarkEnd w:id="281"/>
      <w:bookmarkEnd w:id="282"/>
      <w:bookmarkEnd w:id="283"/>
    </w:p>
    <w:p>
      <w:pPr>
        <w:snapToGrid w:val="0"/>
        <w:spacing w:before="156" w:beforeLines="50" w:after="50" w:line="360" w:lineRule="exact"/>
        <w:jc w:val="center"/>
        <w:outlineLvl w:val="1"/>
        <w:rPr>
          <w:rFonts w:hint="eastAsia" w:ascii="宋体" w:hAnsi="宋体"/>
          <w:bCs/>
          <w:color w:val="auto"/>
          <w:szCs w:val="21"/>
          <w:highlight w:val="none"/>
        </w:rPr>
      </w:pPr>
    </w:p>
    <w:bookmarkEnd w:id="276"/>
    <w:bookmarkEnd w:id="277"/>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注：法定代表人授权委托书、投标声明书、投标函、开标一览表必须招标文件格式要求签字或签章和加盖单位公章。</w:t>
      </w:r>
    </w:p>
    <w:p>
      <w:pPr>
        <w:pStyle w:val="44"/>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50"/>
        <w:ind w:firstLine="241"/>
        <w:rPr>
          <w:rFonts w:hint="eastAsia" w:ascii="宋体" w:hAnsi="宋体"/>
          <w:b/>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4" w:name="_Toc40865124"/>
      <w:bookmarkStart w:id="285" w:name="_Toc40865008"/>
      <w:bookmarkStart w:id="286" w:name="_Toc40864732"/>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4"/>
      <w:bookmarkEnd w:id="285"/>
      <w:bookmarkEnd w:id="286"/>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87" w:name="_Toc40865125"/>
      <w:bookmarkStart w:id="288" w:name="_Toc40865009"/>
      <w:bookmarkStart w:id="289" w:name="_Toc40864733"/>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87"/>
      <w:bookmarkEnd w:id="288"/>
      <w:bookmarkEnd w:id="289"/>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50"/>
        <w:numPr>
          <w:ilvl w:val="0"/>
          <w:numId w:val="0"/>
        </w:numPr>
        <w:ind w:left="315" w:leftChars="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中小企业声明函（必须提供）</w:t>
      </w:r>
    </w:p>
    <w:p>
      <w:pPr>
        <w:pStyle w:val="50"/>
        <w:ind w:left="315" w:firstLine="0" w:firstLineChars="0"/>
        <w:rPr>
          <w:rFonts w:hint="eastAsia"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266"/>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266"/>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266"/>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266"/>
        <w:spacing w:line="506" w:lineRule="exact"/>
        <w:ind w:firstLine="640"/>
        <w:jc w:val="both"/>
        <w:rPr>
          <w:color w:val="auto"/>
          <w:sz w:val="21"/>
          <w:szCs w:val="21"/>
          <w:highlight w:val="none"/>
        </w:rPr>
      </w:pPr>
      <w:r>
        <w:rPr>
          <w:rFonts w:hint="eastAsia"/>
          <w:color w:val="auto"/>
          <w:sz w:val="21"/>
          <w:szCs w:val="21"/>
          <w:highlight w:val="none"/>
        </w:rPr>
        <w:t>......</w:t>
      </w:r>
    </w:p>
    <w:p>
      <w:pPr>
        <w:pStyle w:val="266"/>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266"/>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266"/>
        <w:spacing w:after="40" w:line="499" w:lineRule="exact"/>
        <w:ind w:firstLine="640"/>
        <w:jc w:val="both"/>
        <w:rPr>
          <w:color w:val="auto"/>
          <w:sz w:val="21"/>
          <w:szCs w:val="21"/>
          <w:highlight w:val="none"/>
        </w:rPr>
      </w:pPr>
    </w:p>
    <w:p>
      <w:pPr>
        <w:pStyle w:val="266"/>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266"/>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264"/>
        <w:spacing w:after="0"/>
        <w:rPr>
          <w:rFonts w:hint="eastAsia"/>
          <w:color w:val="auto"/>
          <w:sz w:val="21"/>
          <w:szCs w:val="21"/>
          <w:highlight w:val="none"/>
        </w:rPr>
      </w:pPr>
    </w:p>
    <w:p>
      <w:pPr>
        <w:pStyle w:val="264"/>
        <w:spacing w:after="0"/>
        <w:rPr>
          <w:rFonts w:hint="eastAsia"/>
          <w:color w:val="auto"/>
          <w:highlight w:val="none"/>
        </w:rPr>
      </w:pPr>
    </w:p>
    <w:p>
      <w:pPr>
        <w:pStyle w:val="264"/>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264"/>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264"/>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264"/>
        <w:spacing w:after="0"/>
        <w:rPr>
          <w:rFonts w:hint="eastAsia"/>
          <w:color w:val="auto"/>
          <w:sz w:val="21"/>
          <w:szCs w:val="21"/>
          <w:highlight w:val="none"/>
        </w:rPr>
      </w:pP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7"/>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2、按照采购文件的规定盖章（自然人投标的无需盖章，需要签字或签章）。</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91" w:name="_Toc40865127"/>
      <w:bookmarkStart w:id="292" w:name="_Toc40864735"/>
      <w:bookmarkStart w:id="293" w:name="_Toc40865011"/>
    </w:p>
    <w:p>
      <w:pPr>
        <w:snapToGrid w:val="0"/>
        <w:spacing w:before="50" w:after="156" w:afterLines="50" w:line="3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91"/>
      <w:bookmarkEnd w:id="292"/>
      <w:bookmarkEnd w:id="293"/>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法定代表人签字或签章：</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项目的投标活动，并代表我方全权办理针对上述项目的投标、开标、评标、签约等具体事务和签字或签章相关文件。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我方对被授权人的签字或签章事项负全部责任。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被授权人在授权书有效期内签字或签章的所有文件不因授权的撤销而失效。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被授权人签字或签章：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法定代表人签字或签章：</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2"/>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38"/>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bl>
    <w:p>
      <w:pPr>
        <w:pStyle w:val="14"/>
        <w:snapToGrid w:val="0"/>
        <w:spacing w:line="360" w:lineRule="exact"/>
        <w:rPr>
          <w:rFonts w:hint="eastAsia" w:ascii="宋体" w:hAnsi="宋体" w:eastAsia="宋体"/>
          <w:color w:val="auto"/>
          <w:sz w:val="21"/>
          <w:szCs w:val="21"/>
          <w:highlight w:val="none"/>
        </w:rPr>
      </w:pPr>
    </w:p>
    <w:p>
      <w:pPr>
        <w:pStyle w:val="14"/>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1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29"/>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4" w:name="_Toc40864736"/>
      <w:bookmarkStart w:id="295" w:name="_Toc40865128"/>
      <w:bookmarkStart w:id="296" w:name="_Toc40865012"/>
      <w:r>
        <w:rPr>
          <w:rFonts w:hint="eastAsia" w:ascii="宋体" w:hAnsi="宋体"/>
          <w:b/>
          <w:color w:val="auto"/>
          <w:szCs w:val="21"/>
          <w:highlight w:val="none"/>
        </w:rPr>
        <w:t>四）报价文件部分 （格式）</w:t>
      </w:r>
      <w:bookmarkEnd w:id="294"/>
      <w:bookmarkEnd w:id="295"/>
      <w:bookmarkEnd w:id="296"/>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法定代表人或委托代理人签字或签章: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日期:_____年___月___日</w:t>
      </w:r>
    </w:p>
    <w:p>
      <w:pPr>
        <w:pStyle w:val="27"/>
        <w:snapToGrid w:val="0"/>
        <w:spacing w:before="295" w:after="295" w:line="360" w:lineRule="exact"/>
        <w:ind w:firstLine="5670" w:firstLineChars="2700"/>
        <w:rPr>
          <w:rFonts w:hint="eastAsia" w:hAnsi="宋体"/>
          <w:color w:val="auto"/>
          <w:highlight w:val="none"/>
        </w:rPr>
      </w:pPr>
    </w:p>
    <w:p>
      <w:pPr>
        <w:pStyle w:val="27"/>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27"/>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27"/>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52"/>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b/>
                <w:color w:val="auto"/>
                <w:szCs w:val="21"/>
                <w:highlight w:val="none"/>
                <w:lang w:eastAsia="zh-CN"/>
              </w:rPr>
              <w:t>分标</w:t>
            </w:r>
            <w:r>
              <w:rPr>
                <w:rFonts w:hint="eastAsia" w:ascii="宋体" w:hAnsi="宋体"/>
                <w:b/>
                <w:color w:val="auto"/>
                <w:szCs w:val="21"/>
                <w:highlight w:val="none"/>
                <w:u w:val="single"/>
                <w:lang w:val="en-US" w:eastAsia="zh-CN"/>
              </w:rPr>
              <w:t xml:space="preserve">      </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rPr>
              <w:t xml:space="preserve"> </w:t>
            </w:r>
            <w:r>
              <w:rPr>
                <w:rFonts w:hint="eastAsia" w:ascii="宋体" w:hAnsi="宋体"/>
                <w:b/>
                <w:color w:val="auto"/>
                <w:szCs w:val="21"/>
                <w:highlight w:val="none"/>
                <w:lang w:eastAsia="zh-CN"/>
              </w:rPr>
              <w:t>分标</w:t>
            </w:r>
            <w:r>
              <w:rPr>
                <w:rFonts w:hint="eastAsia" w:ascii="宋体" w:hAnsi="宋体"/>
                <w:b/>
                <w:color w:val="auto"/>
                <w:szCs w:val="21"/>
                <w:highlight w:val="none"/>
                <w:u w:val="single"/>
                <w:lang w:val="en-US" w:eastAsia="zh-CN"/>
              </w:rPr>
              <w:t xml:space="preserve">      </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1、报价一经涂改，应在涂改处加盖单位公章或者由法定代表人或授权委托人签字或签章，否则其投标作无效标处理。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法定代表人或委托代理人签字或签章：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p>
      <w:pPr>
        <w:rPr>
          <w:rFonts w:hint="eastAsia"/>
          <w:color w:val="auto"/>
          <w:highlight w:val="none"/>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楷体">
    <w:panose1 w:val="02010609060101010101"/>
    <w:charset w:val="86"/>
    <w:family w:val="auto"/>
    <w:pitch w:val="default"/>
    <w:sig w:usb0="800002BF" w:usb1="38CF7CFA" w:usb2="00000016" w:usb3="00000000" w:csb0="00040001" w:csb1="0000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lang w:val="en-US" w:eastAsia="zh-CN"/>
      </w:rPr>
      <w:t>35</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jc w:val="right"/>
    </w:pPr>
    <w:r>
      <w:rPr>
        <w:rFonts w:hint="eastAsia"/>
      </w:rPr>
      <w:t>相思湖校区、南湖校区学生公寓组合床采购（</w:t>
    </w:r>
    <w:r>
      <w:rPr>
        <w:rFonts w:hint="default"/>
        <w:highlight w:val="none"/>
        <w:lang w:val="en"/>
      </w:rPr>
      <w:t>GXZC2025-G1-002582-CGZX</w:t>
    </w:r>
    <w:r>
      <w:rPr>
        <w:rFonts w:hint="eastAsia"/>
      </w:rPr>
      <w:t>）</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DE860"/>
    <w:multiLevelType w:val="singleLevel"/>
    <w:tmpl w:val="9C6DE860"/>
    <w:lvl w:ilvl="0" w:tentative="0">
      <w:start w:val="1"/>
      <w:numFmt w:val="decimal"/>
      <w:suff w:val="nothing"/>
      <w:lvlText w:val="%1、"/>
      <w:lvlJc w:val="left"/>
    </w:lvl>
  </w:abstractNum>
  <w:abstractNum w:abstractNumId="1">
    <w:nsid w:val="C6FF2518"/>
    <w:multiLevelType w:val="singleLevel"/>
    <w:tmpl w:val="C6FF2518"/>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77"/>
    <w:rsid w:val="00715C77"/>
    <w:rsid w:val="009A0716"/>
    <w:rsid w:val="00A00FB8"/>
    <w:rsid w:val="00CC04E7"/>
    <w:rsid w:val="0869433D"/>
    <w:rsid w:val="0C124811"/>
    <w:rsid w:val="0EDD34C5"/>
    <w:rsid w:val="0F7CC3FC"/>
    <w:rsid w:val="17DB07D7"/>
    <w:rsid w:val="1812474D"/>
    <w:rsid w:val="22B2A8EE"/>
    <w:rsid w:val="26F31699"/>
    <w:rsid w:val="2D3F647F"/>
    <w:rsid w:val="33BE4142"/>
    <w:rsid w:val="39602492"/>
    <w:rsid w:val="3ADD01F1"/>
    <w:rsid w:val="3AE32A9C"/>
    <w:rsid w:val="3BBA662B"/>
    <w:rsid w:val="3BEB5C1B"/>
    <w:rsid w:val="3D9DBFBC"/>
    <w:rsid w:val="3FBD6940"/>
    <w:rsid w:val="3FFF4D42"/>
    <w:rsid w:val="47EA5982"/>
    <w:rsid w:val="47F40975"/>
    <w:rsid w:val="47F548FC"/>
    <w:rsid w:val="504D75F6"/>
    <w:rsid w:val="51C07B1A"/>
    <w:rsid w:val="539858B6"/>
    <w:rsid w:val="55512EF2"/>
    <w:rsid w:val="55E728AE"/>
    <w:rsid w:val="56674DF8"/>
    <w:rsid w:val="56AB6FEB"/>
    <w:rsid w:val="56ED53EE"/>
    <w:rsid w:val="57F3CB1B"/>
    <w:rsid w:val="584339F6"/>
    <w:rsid w:val="592544E0"/>
    <w:rsid w:val="5A137381"/>
    <w:rsid w:val="5B6B6513"/>
    <w:rsid w:val="5EFF9283"/>
    <w:rsid w:val="5FC7B37E"/>
    <w:rsid w:val="5FF7EAA6"/>
    <w:rsid w:val="677B2AD6"/>
    <w:rsid w:val="67FF7C22"/>
    <w:rsid w:val="697A2552"/>
    <w:rsid w:val="6BFFB380"/>
    <w:rsid w:val="6DFD05BF"/>
    <w:rsid w:val="6E784372"/>
    <w:rsid w:val="6EFBAC67"/>
    <w:rsid w:val="6F6F5CBC"/>
    <w:rsid w:val="6FB38953"/>
    <w:rsid w:val="6FD9976D"/>
    <w:rsid w:val="6FE39242"/>
    <w:rsid w:val="734D6EB6"/>
    <w:rsid w:val="73E71C5A"/>
    <w:rsid w:val="75D7E298"/>
    <w:rsid w:val="75FE4A37"/>
    <w:rsid w:val="767FFFF1"/>
    <w:rsid w:val="76DA595C"/>
    <w:rsid w:val="76FA516D"/>
    <w:rsid w:val="779D75DB"/>
    <w:rsid w:val="77FF8D79"/>
    <w:rsid w:val="78BBB603"/>
    <w:rsid w:val="796E04AD"/>
    <w:rsid w:val="79FBDC28"/>
    <w:rsid w:val="7ABF7F07"/>
    <w:rsid w:val="7AFE0E92"/>
    <w:rsid w:val="7B256ABC"/>
    <w:rsid w:val="7C7FF81C"/>
    <w:rsid w:val="7CBEC72C"/>
    <w:rsid w:val="7CFDAEE3"/>
    <w:rsid w:val="7DFF2516"/>
    <w:rsid w:val="7EAF9906"/>
    <w:rsid w:val="7EF24AF7"/>
    <w:rsid w:val="7EFDDB65"/>
    <w:rsid w:val="7EFF259B"/>
    <w:rsid w:val="7F1F29F8"/>
    <w:rsid w:val="7F769CEC"/>
    <w:rsid w:val="7F8E132D"/>
    <w:rsid w:val="7FA70436"/>
    <w:rsid w:val="7FAF629B"/>
    <w:rsid w:val="7FE2D0A4"/>
    <w:rsid w:val="7FEFE326"/>
    <w:rsid w:val="7FFF1830"/>
    <w:rsid w:val="83ED5230"/>
    <w:rsid w:val="9B7DD627"/>
    <w:rsid w:val="9FF5D64C"/>
    <w:rsid w:val="AB37BA1D"/>
    <w:rsid w:val="ABDEC1EC"/>
    <w:rsid w:val="B5EAE36B"/>
    <w:rsid w:val="B6E9A96E"/>
    <w:rsid w:val="B7DDABFA"/>
    <w:rsid w:val="B7F19160"/>
    <w:rsid w:val="BB8DF4E1"/>
    <w:rsid w:val="BDF74749"/>
    <w:rsid w:val="BFB8985F"/>
    <w:rsid w:val="BFF3F897"/>
    <w:rsid w:val="BFFD28A0"/>
    <w:rsid w:val="BFFFEC08"/>
    <w:rsid w:val="CFFFA553"/>
    <w:rsid w:val="D5FDC743"/>
    <w:rsid w:val="D6F8F29A"/>
    <w:rsid w:val="DFFD886B"/>
    <w:rsid w:val="E5F9810B"/>
    <w:rsid w:val="E77B7A1C"/>
    <w:rsid w:val="EBDBB965"/>
    <w:rsid w:val="ED7F18C2"/>
    <w:rsid w:val="EEAFD7DA"/>
    <w:rsid w:val="EEF5F9EE"/>
    <w:rsid w:val="EEFF18DE"/>
    <w:rsid w:val="EFFFB271"/>
    <w:rsid w:val="F3BDAF28"/>
    <w:rsid w:val="F66A538E"/>
    <w:rsid w:val="F7725333"/>
    <w:rsid w:val="F7FFAF09"/>
    <w:rsid w:val="F8B7415C"/>
    <w:rsid w:val="F9973E04"/>
    <w:rsid w:val="FB56D646"/>
    <w:rsid w:val="FBBED479"/>
    <w:rsid w:val="FBDD2E8D"/>
    <w:rsid w:val="FBDFD51A"/>
    <w:rsid w:val="FD7B48C7"/>
    <w:rsid w:val="FFB7BF2A"/>
    <w:rsid w:val="FFE16374"/>
    <w:rsid w:val="FFEF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61"/>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2">
    <w:name w:val="heading 3"/>
    <w:basedOn w:val="1"/>
    <w:next w:val="1"/>
    <w:link w:val="62"/>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63"/>
    <w:unhideWhenUsed/>
    <w:qFormat/>
    <w:uiPriority w:val="0"/>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64"/>
    <w:unhideWhenUsed/>
    <w:qFormat/>
    <w:uiPriority w:val="0"/>
    <w:pPr>
      <w:keepNext/>
      <w:keepLines/>
      <w:spacing w:before="80" w:after="40"/>
      <w:outlineLvl w:val="4"/>
    </w:pPr>
    <w:rPr>
      <w:rFonts w:cstheme="majorBidi"/>
      <w:color w:val="2F5597" w:themeColor="accent1" w:themeShade="BF"/>
      <w:sz w:val="24"/>
    </w:rPr>
  </w:style>
  <w:style w:type="paragraph" w:styleId="7">
    <w:name w:val="heading 6"/>
    <w:basedOn w:val="1"/>
    <w:next w:val="1"/>
    <w:link w:val="65"/>
    <w:unhideWhenUsed/>
    <w:qFormat/>
    <w:uiPriority w:val="0"/>
    <w:pPr>
      <w:keepNext/>
      <w:keepLines/>
      <w:spacing w:before="40"/>
      <w:outlineLvl w:val="5"/>
    </w:pPr>
    <w:rPr>
      <w:rFonts w:cstheme="majorBidi"/>
      <w:b/>
      <w:bCs/>
      <w:color w:val="2F5597" w:themeColor="accent1" w:themeShade="BF"/>
    </w:rPr>
  </w:style>
  <w:style w:type="paragraph" w:styleId="8">
    <w:name w:val="heading 7"/>
    <w:basedOn w:val="1"/>
    <w:next w:val="1"/>
    <w:link w:val="66"/>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67"/>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68"/>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0"/>
    <w:semiHidden/>
    <w:qFormat/>
    <w:uiPriority w:val="0"/>
    <w:pPr>
      <w:shd w:val="clear" w:color="auto" w:fill="000080"/>
    </w:pPr>
  </w:style>
  <w:style w:type="paragraph" w:styleId="16">
    <w:name w:val="toa heading"/>
    <w:basedOn w:val="1"/>
    <w:next w:val="1"/>
    <w:semiHidden/>
    <w:qFormat/>
    <w:uiPriority w:val="0"/>
    <w:pPr>
      <w:adjustRightInd w:val="0"/>
      <w:spacing w:before="120" w:line="312" w:lineRule="atLeast"/>
    </w:pPr>
    <w:rPr>
      <w:rFonts w:ascii="Arial" w:hAnsi="Arial"/>
      <w:b/>
      <w:kern w:val="0"/>
      <w:sz w:val="24"/>
    </w:rPr>
  </w:style>
  <w:style w:type="paragraph" w:styleId="17">
    <w:name w:val="annotation text"/>
    <w:basedOn w:val="1"/>
    <w:link w:val="81"/>
    <w:qFormat/>
    <w:uiPriority w:val="0"/>
    <w:pPr>
      <w:adjustRightInd w:val="0"/>
      <w:spacing w:line="360" w:lineRule="atLeast"/>
      <w:jc w:val="left"/>
      <w:textAlignment w:val="baseline"/>
    </w:pPr>
    <w:rPr>
      <w:kern w:val="0"/>
      <w:sz w:val="24"/>
      <w:szCs w:val="20"/>
    </w:rPr>
  </w:style>
  <w:style w:type="paragraph" w:styleId="18">
    <w:name w:val="Salutation"/>
    <w:basedOn w:val="1"/>
    <w:next w:val="1"/>
    <w:link w:val="82"/>
    <w:qFormat/>
    <w:uiPriority w:val="0"/>
    <w:rPr>
      <w:sz w:val="28"/>
    </w:rPr>
  </w:style>
  <w:style w:type="paragraph" w:styleId="19">
    <w:name w:val="Body Text 3"/>
    <w:basedOn w:val="1"/>
    <w:link w:val="83"/>
    <w:qFormat/>
    <w:uiPriority w:val="0"/>
    <w:pPr>
      <w:spacing w:line="500" w:lineRule="exact"/>
    </w:pPr>
    <w:rPr>
      <w:b/>
      <w:bCs/>
      <w:sz w:val="24"/>
    </w:rPr>
  </w:style>
  <w:style w:type="paragraph" w:styleId="20">
    <w:name w:val="Body Text"/>
    <w:basedOn w:val="1"/>
    <w:link w:val="78"/>
    <w:unhideWhenUsed/>
    <w:qFormat/>
    <w:uiPriority w:val="0"/>
    <w:pPr>
      <w:spacing w:after="120"/>
    </w:pPr>
  </w:style>
  <w:style w:type="paragraph" w:styleId="21">
    <w:name w:val="Body Text Indent"/>
    <w:basedOn w:val="1"/>
    <w:link w:val="84"/>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3"/>
    <w:link w:val="86"/>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7"/>
    <w:qFormat/>
    <w:uiPriority w:val="0"/>
    <w:pPr>
      <w:ind w:left="100" w:leftChars="2500"/>
    </w:pPr>
    <w:rPr>
      <w:rFonts w:ascii="宋体" w:hAnsi="Courier New" w:cs="Courier New"/>
      <w:szCs w:val="21"/>
    </w:rPr>
  </w:style>
  <w:style w:type="paragraph" w:styleId="30">
    <w:name w:val="Body Text Indent 2"/>
    <w:basedOn w:val="1"/>
    <w:link w:val="88"/>
    <w:qFormat/>
    <w:uiPriority w:val="0"/>
    <w:pPr>
      <w:ind w:firstLine="630"/>
    </w:pPr>
    <w:rPr>
      <w:sz w:val="32"/>
      <w:szCs w:val="20"/>
    </w:rPr>
  </w:style>
  <w:style w:type="paragraph" w:styleId="31">
    <w:name w:val="endnote text"/>
    <w:basedOn w:val="1"/>
    <w:link w:val="89"/>
    <w:unhideWhenUsed/>
    <w:qFormat/>
    <w:uiPriority w:val="0"/>
    <w:pPr>
      <w:snapToGrid w:val="0"/>
      <w:jc w:val="left"/>
    </w:pPr>
    <w:rPr>
      <w:rFonts w:ascii="Calibri" w:hAnsi="Calibri"/>
      <w:szCs w:val="22"/>
    </w:rPr>
  </w:style>
  <w:style w:type="paragraph" w:styleId="32">
    <w:name w:val="Balloon Text"/>
    <w:basedOn w:val="1"/>
    <w:link w:val="90"/>
    <w:semiHidden/>
    <w:qFormat/>
    <w:uiPriority w:val="0"/>
    <w:rPr>
      <w:sz w:val="18"/>
      <w:szCs w:val="18"/>
    </w:rPr>
  </w:style>
  <w:style w:type="paragraph" w:styleId="33">
    <w:name w:val="footer"/>
    <w:basedOn w:val="1"/>
    <w:link w:val="91"/>
    <w:qFormat/>
    <w:uiPriority w:val="0"/>
    <w:pPr>
      <w:tabs>
        <w:tab w:val="center" w:pos="4153"/>
        <w:tab w:val="right" w:pos="8306"/>
      </w:tabs>
      <w:snapToGrid w:val="0"/>
      <w:jc w:val="left"/>
    </w:pPr>
    <w:rPr>
      <w:sz w:val="18"/>
      <w:szCs w:val="18"/>
    </w:rPr>
  </w:style>
  <w:style w:type="paragraph" w:styleId="34">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Subtitle"/>
    <w:basedOn w:val="1"/>
    <w:next w:val="1"/>
    <w:link w:val="7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93"/>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94"/>
    <w:qFormat/>
    <w:uiPriority w:val="0"/>
    <w:pPr>
      <w:spacing w:after="120" w:line="480" w:lineRule="auto"/>
    </w:pPr>
  </w:style>
  <w:style w:type="paragraph" w:styleId="45">
    <w:name w:val="HTML Preformatted"/>
    <w:basedOn w:val="1"/>
    <w:link w:val="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next w:val="1"/>
    <w:link w:val="6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49">
    <w:name w:val="annotation subject"/>
    <w:basedOn w:val="17"/>
    <w:next w:val="17"/>
    <w:link w:val="96"/>
    <w:semiHidden/>
    <w:qFormat/>
    <w:uiPriority w:val="0"/>
    <w:pPr>
      <w:adjustRightInd/>
      <w:spacing w:line="240" w:lineRule="auto"/>
      <w:textAlignment w:val="auto"/>
    </w:pPr>
    <w:rPr>
      <w:b/>
      <w:bCs/>
      <w:kern w:val="2"/>
      <w:sz w:val="21"/>
      <w:szCs w:val="24"/>
    </w:rPr>
  </w:style>
  <w:style w:type="paragraph" w:styleId="50">
    <w:name w:val="Body Text First Indent"/>
    <w:basedOn w:val="20"/>
    <w:link w:val="79"/>
    <w:qFormat/>
    <w:uiPriority w:val="0"/>
    <w:pPr>
      <w:spacing w:after="0" w:line="380" w:lineRule="exact"/>
      <w:ind w:firstLine="420" w:firstLineChars="100"/>
    </w:pPr>
    <w:rPr>
      <w:sz w:val="24"/>
    </w:rPr>
  </w:style>
  <w:style w:type="paragraph" w:styleId="51">
    <w:name w:val="Body Text First Indent 2"/>
    <w:basedOn w:val="21"/>
    <w:link w:val="97"/>
    <w:qFormat/>
    <w:uiPriority w:val="0"/>
    <w:pPr>
      <w:spacing w:after="120"/>
      <w:ind w:left="420" w:leftChars="200" w:firstLine="420" w:firstLineChars="200"/>
    </w:p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00"/>
    </w:rPr>
  </w:style>
  <w:style w:type="character" w:styleId="58">
    <w:name w:val="Hyperlink"/>
    <w:qFormat/>
    <w:uiPriority w:val="99"/>
    <w:rPr>
      <w:color w:val="0000FF"/>
      <w:u w:val="single"/>
    </w:rPr>
  </w:style>
  <w:style w:type="character" w:styleId="59">
    <w:name w:val="annotation reference"/>
    <w:semiHidden/>
    <w:qFormat/>
    <w:uiPriority w:val="99"/>
    <w:rPr>
      <w:sz w:val="21"/>
      <w:szCs w:val="21"/>
    </w:rPr>
  </w:style>
  <w:style w:type="character" w:customStyle="1" w:styleId="60">
    <w:name w:val="标题 1 字符"/>
    <w:basedOn w:val="53"/>
    <w:link w:val="3"/>
    <w:qFormat/>
    <w:uiPriority w:val="0"/>
    <w:rPr>
      <w:rFonts w:asciiTheme="majorHAnsi" w:hAnsiTheme="majorHAnsi" w:eastAsiaTheme="majorEastAsia" w:cstheme="majorBidi"/>
      <w:color w:val="2F5597" w:themeColor="accent1" w:themeShade="BF"/>
      <w:sz w:val="48"/>
      <w:szCs w:val="48"/>
    </w:rPr>
  </w:style>
  <w:style w:type="character" w:customStyle="1" w:styleId="61">
    <w:name w:val="标题 2 字符"/>
    <w:basedOn w:val="53"/>
    <w:link w:val="4"/>
    <w:qFormat/>
    <w:uiPriority w:val="0"/>
    <w:rPr>
      <w:rFonts w:asciiTheme="majorHAnsi" w:hAnsiTheme="majorHAnsi" w:eastAsiaTheme="majorEastAsia" w:cstheme="majorBidi"/>
      <w:color w:val="2F5597" w:themeColor="accent1" w:themeShade="BF"/>
      <w:sz w:val="40"/>
      <w:szCs w:val="40"/>
    </w:rPr>
  </w:style>
  <w:style w:type="character" w:customStyle="1" w:styleId="62">
    <w:name w:val="标题 3 字符"/>
    <w:basedOn w:val="53"/>
    <w:link w:val="2"/>
    <w:qFormat/>
    <w:uiPriority w:val="0"/>
    <w:rPr>
      <w:rFonts w:asciiTheme="majorHAnsi" w:hAnsiTheme="majorHAnsi" w:eastAsiaTheme="majorEastAsia" w:cstheme="majorBidi"/>
      <w:color w:val="2F5597" w:themeColor="accent1" w:themeShade="BF"/>
      <w:sz w:val="32"/>
      <w:szCs w:val="32"/>
    </w:rPr>
  </w:style>
  <w:style w:type="character" w:customStyle="1" w:styleId="63">
    <w:name w:val="标题 4 字符"/>
    <w:basedOn w:val="53"/>
    <w:link w:val="5"/>
    <w:qFormat/>
    <w:uiPriority w:val="0"/>
    <w:rPr>
      <w:rFonts w:cstheme="majorBidi"/>
      <w:color w:val="2F5597" w:themeColor="accent1" w:themeShade="BF"/>
      <w:sz w:val="28"/>
      <w:szCs w:val="28"/>
    </w:rPr>
  </w:style>
  <w:style w:type="character" w:customStyle="1" w:styleId="64">
    <w:name w:val="标题 5 字符"/>
    <w:basedOn w:val="53"/>
    <w:link w:val="6"/>
    <w:qFormat/>
    <w:uiPriority w:val="0"/>
    <w:rPr>
      <w:rFonts w:cstheme="majorBidi"/>
      <w:color w:val="2F5597" w:themeColor="accent1" w:themeShade="BF"/>
      <w:sz w:val="24"/>
      <w:szCs w:val="24"/>
    </w:rPr>
  </w:style>
  <w:style w:type="character" w:customStyle="1" w:styleId="65">
    <w:name w:val="标题 6 字符"/>
    <w:basedOn w:val="53"/>
    <w:link w:val="7"/>
    <w:qFormat/>
    <w:uiPriority w:val="0"/>
    <w:rPr>
      <w:rFonts w:cstheme="majorBidi"/>
      <w:b/>
      <w:bCs/>
      <w:color w:val="2F5597" w:themeColor="accent1" w:themeShade="BF"/>
    </w:rPr>
  </w:style>
  <w:style w:type="character" w:customStyle="1" w:styleId="66">
    <w:name w:val="标题 7 字符"/>
    <w:basedOn w:val="53"/>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67">
    <w:name w:val="标题 8 字符"/>
    <w:basedOn w:val="53"/>
    <w:link w:val="9"/>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68">
    <w:name w:val="标题 9 字符"/>
    <w:basedOn w:val="53"/>
    <w:link w:val="10"/>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69">
    <w:name w:val="标题 字符"/>
    <w:basedOn w:val="53"/>
    <w:link w:val="48"/>
    <w:qFormat/>
    <w:uiPriority w:val="0"/>
    <w:rPr>
      <w:rFonts w:asciiTheme="majorHAnsi" w:hAnsiTheme="majorHAnsi" w:eastAsiaTheme="majorEastAsia" w:cstheme="majorBidi"/>
      <w:spacing w:val="-10"/>
      <w:kern w:val="28"/>
      <w:sz w:val="56"/>
      <w:szCs w:val="56"/>
    </w:rPr>
  </w:style>
  <w:style w:type="character" w:customStyle="1" w:styleId="70">
    <w:name w:val="副标题 字符"/>
    <w:basedOn w:val="53"/>
    <w:link w:val="3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71">
    <w:name w:val="Quote"/>
    <w:basedOn w:val="1"/>
    <w:next w:val="1"/>
    <w:link w:val="7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72">
    <w:name w:val="引用 字符"/>
    <w:basedOn w:val="53"/>
    <w:link w:val="71"/>
    <w:qFormat/>
    <w:uiPriority w:val="29"/>
    <w:rPr>
      <w:i/>
      <w:iCs/>
      <w:color w:val="404040" w:themeColor="text1" w:themeTint="BF"/>
      <w14:textFill>
        <w14:solidFill>
          <w14:schemeClr w14:val="tx1">
            <w14:lumMod w14:val="75000"/>
            <w14:lumOff w14:val="25000"/>
          </w14:schemeClr>
        </w14:solidFill>
      </w14:textFill>
    </w:rPr>
  </w:style>
  <w:style w:type="paragraph" w:styleId="73">
    <w:name w:val="List Paragraph"/>
    <w:basedOn w:val="1"/>
    <w:link w:val="99"/>
    <w:qFormat/>
    <w:uiPriority w:val="0"/>
    <w:pPr>
      <w:ind w:left="720"/>
      <w:contextualSpacing/>
    </w:pPr>
  </w:style>
  <w:style w:type="character" w:customStyle="1" w:styleId="74">
    <w:name w:val="Intense Emphasis"/>
    <w:basedOn w:val="53"/>
    <w:qFormat/>
    <w:uiPriority w:val="21"/>
    <w:rPr>
      <w:i/>
      <w:iCs/>
      <w:color w:val="2F5597" w:themeColor="accent1" w:themeShade="BF"/>
    </w:rPr>
  </w:style>
  <w:style w:type="paragraph" w:styleId="75">
    <w:name w:val="Intense Quote"/>
    <w:basedOn w:val="1"/>
    <w:next w:val="1"/>
    <w:link w:val="7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76">
    <w:name w:val="明显引用 字符"/>
    <w:basedOn w:val="53"/>
    <w:link w:val="75"/>
    <w:qFormat/>
    <w:uiPriority w:val="30"/>
    <w:rPr>
      <w:i/>
      <w:iCs/>
      <w:color w:val="2F5597" w:themeColor="accent1" w:themeShade="BF"/>
    </w:rPr>
  </w:style>
  <w:style w:type="character" w:customStyle="1" w:styleId="77">
    <w:name w:val="Intense Reference"/>
    <w:basedOn w:val="53"/>
    <w:qFormat/>
    <w:uiPriority w:val="32"/>
    <w:rPr>
      <w:b/>
      <w:bCs/>
      <w:smallCaps/>
      <w:color w:val="2F5597" w:themeColor="accent1" w:themeShade="BF"/>
      <w:spacing w:val="5"/>
    </w:rPr>
  </w:style>
  <w:style w:type="character" w:customStyle="1" w:styleId="78">
    <w:name w:val="正文文本 字符"/>
    <w:basedOn w:val="53"/>
    <w:link w:val="20"/>
    <w:qFormat/>
    <w:uiPriority w:val="0"/>
    <w:rPr>
      <w:rFonts w:ascii="Times New Roman" w:hAnsi="Times New Roman" w:eastAsia="宋体" w:cs="Times New Roman"/>
      <w:szCs w:val="24"/>
    </w:rPr>
  </w:style>
  <w:style w:type="character" w:customStyle="1" w:styleId="79">
    <w:name w:val="正文文本首行缩进 字符"/>
    <w:basedOn w:val="78"/>
    <w:link w:val="50"/>
    <w:qFormat/>
    <w:uiPriority w:val="0"/>
    <w:rPr>
      <w:rFonts w:ascii="Times New Roman" w:hAnsi="Times New Roman" w:eastAsia="宋体" w:cs="Times New Roman"/>
      <w:sz w:val="24"/>
      <w:szCs w:val="24"/>
    </w:rPr>
  </w:style>
  <w:style w:type="character" w:customStyle="1" w:styleId="80">
    <w:name w:val="文档结构图 字符"/>
    <w:basedOn w:val="53"/>
    <w:link w:val="15"/>
    <w:semiHidden/>
    <w:qFormat/>
    <w:uiPriority w:val="0"/>
    <w:rPr>
      <w:rFonts w:ascii="Times New Roman" w:hAnsi="Times New Roman" w:eastAsia="宋体" w:cs="Times New Roman"/>
      <w:szCs w:val="24"/>
      <w:shd w:val="clear" w:color="auto" w:fill="000080"/>
    </w:rPr>
  </w:style>
  <w:style w:type="character" w:customStyle="1" w:styleId="81">
    <w:name w:val="批注文字 字符"/>
    <w:basedOn w:val="53"/>
    <w:link w:val="17"/>
    <w:qFormat/>
    <w:uiPriority w:val="0"/>
    <w:rPr>
      <w:rFonts w:ascii="Times New Roman" w:hAnsi="Times New Roman" w:eastAsia="宋体" w:cs="Times New Roman"/>
      <w:kern w:val="0"/>
      <w:sz w:val="24"/>
      <w:szCs w:val="20"/>
    </w:rPr>
  </w:style>
  <w:style w:type="character" w:customStyle="1" w:styleId="82">
    <w:name w:val="称呼 字符"/>
    <w:basedOn w:val="53"/>
    <w:link w:val="18"/>
    <w:qFormat/>
    <w:uiPriority w:val="0"/>
    <w:rPr>
      <w:rFonts w:ascii="Times New Roman" w:hAnsi="Times New Roman" w:eastAsia="宋体" w:cs="Times New Roman"/>
      <w:sz w:val="28"/>
      <w:szCs w:val="24"/>
    </w:rPr>
  </w:style>
  <w:style w:type="character" w:customStyle="1" w:styleId="83">
    <w:name w:val="正文文本 3 字符"/>
    <w:basedOn w:val="53"/>
    <w:link w:val="19"/>
    <w:qFormat/>
    <w:uiPriority w:val="0"/>
    <w:rPr>
      <w:rFonts w:ascii="Times New Roman" w:hAnsi="Times New Roman" w:eastAsia="宋体" w:cs="Times New Roman"/>
      <w:b/>
      <w:bCs/>
      <w:sz w:val="24"/>
      <w:szCs w:val="24"/>
    </w:rPr>
  </w:style>
  <w:style w:type="character" w:customStyle="1" w:styleId="84">
    <w:name w:val="正文文本缩进 字符"/>
    <w:basedOn w:val="53"/>
    <w:link w:val="21"/>
    <w:qFormat/>
    <w:uiPriority w:val="0"/>
    <w:rPr>
      <w:rFonts w:ascii="仿宋_GB2312" w:hAnsi="Times New Roman" w:eastAsia="仿宋_GB2312" w:cs="Times New Roman"/>
      <w:sz w:val="32"/>
      <w:szCs w:val="20"/>
    </w:rPr>
  </w:style>
  <w:style w:type="character" w:customStyle="1" w:styleId="85">
    <w:name w:val="纯文本 字符"/>
    <w:basedOn w:val="53"/>
    <w:qFormat/>
    <w:uiPriority w:val="0"/>
    <w:rPr>
      <w:rFonts w:hAnsi="Courier New" w:cs="Courier New" w:asciiTheme="minorEastAsia"/>
      <w:szCs w:val="24"/>
    </w:rPr>
  </w:style>
  <w:style w:type="character" w:customStyle="1" w:styleId="86">
    <w:name w:val="纯文本 字符1"/>
    <w:link w:val="27"/>
    <w:qFormat/>
    <w:uiPriority w:val="0"/>
    <w:rPr>
      <w:rFonts w:ascii="宋体" w:hAnsi="Courier New" w:eastAsia="宋体" w:cs="Courier New"/>
      <w:szCs w:val="21"/>
    </w:rPr>
  </w:style>
  <w:style w:type="character" w:customStyle="1" w:styleId="87">
    <w:name w:val="日期 字符"/>
    <w:basedOn w:val="53"/>
    <w:link w:val="29"/>
    <w:qFormat/>
    <w:uiPriority w:val="0"/>
    <w:rPr>
      <w:rFonts w:ascii="宋体" w:hAnsi="Courier New" w:eastAsia="宋体" w:cs="Courier New"/>
      <w:szCs w:val="21"/>
    </w:rPr>
  </w:style>
  <w:style w:type="character" w:customStyle="1" w:styleId="88">
    <w:name w:val="正文文本缩进 2 字符"/>
    <w:basedOn w:val="53"/>
    <w:link w:val="30"/>
    <w:qFormat/>
    <w:uiPriority w:val="0"/>
    <w:rPr>
      <w:rFonts w:ascii="Times New Roman" w:hAnsi="Times New Roman" w:eastAsia="宋体" w:cs="Times New Roman"/>
      <w:sz w:val="32"/>
      <w:szCs w:val="20"/>
    </w:rPr>
  </w:style>
  <w:style w:type="character" w:customStyle="1" w:styleId="89">
    <w:name w:val="尾注文本 字符"/>
    <w:basedOn w:val="53"/>
    <w:link w:val="31"/>
    <w:qFormat/>
    <w:uiPriority w:val="0"/>
    <w:rPr>
      <w:rFonts w:ascii="Calibri" w:hAnsi="Calibri" w:eastAsia="宋体" w:cs="Times New Roman"/>
    </w:rPr>
  </w:style>
  <w:style w:type="character" w:customStyle="1" w:styleId="90">
    <w:name w:val="批注框文本 字符"/>
    <w:basedOn w:val="53"/>
    <w:link w:val="32"/>
    <w:semiHidden/>
    <w:qFormat/>
    <w:uiPriority w:val="0"/>
    <w:rPr>
      <w:rFonts w:ascii="Times New Roman" w:hAnsi="Times New Roman" w:eastAsia="宋体" w:cs="Times New Roman"/>
      <w:sz w:val="18"/>
      <w:szCs w:val="18"/>
    </w:rPr>
  </w:style>
  <w:style w:type="character" w:customStyle="1" w:styleId="91">
    <w:name w:val="页脚 字符"/>
    <w:basedOn w:val="53"/>
    <w:link w:val="33"/>
    <w:qFormat/>
    <w:uiPriority w:val="0"/>
    <w:rPr>
      <w:rFonts w:ascii="Times New Roman" w:hAnsi="Times New Roman" w:eastAsia="宋体" w:cs="Times New Roman"/>
      <w:sz w:val="18"/>
      <w:szCs w:val="18"/>
    </w:rPr>
  </w:style>
  <w:style w:type="character" w:customStyle="1" w:styleId="92">
    <w:name w:val="页眉 字符"/>
    <w:basedOn w:val="53"/>
    <w:link w:val="34"/>
    <w:qFormat/>
    <w:uiPriority w:val="99"/>
    <w:rPr>
      <w:rFonts w:ascii="Times New Roman" w:hAnsi="Times New Roman" w:eastAsia="宋体" w:cs="Times New Roman"/>
      <w:sz w:val="18"/>
      <w:szCs w:val="18"/>
    </w:rPr>
  </w:style>
  <w:style w:type="character" w:customStyle="1" w:styleId="93">
    <w:name w:val="正文文本缩进 3 字符"/>
    <w:basedOn w:val="53"/>
    <w:link w:val="41"/>
    <w:qFormat/>
    <w:uiPriority w:val="0"/>
    <w:rPr>
      <w:rFonts w:ascii="Times New Roman" w:hAnsi="Times New Roman" w:eastAsia="宋体" w:cs="Times New Roman"/>
      <w:sz w:val="16"/>
      <w:szCs w:val="16"/>
    </w:rPr>
  </w:style>
  <w:style w:type="character" w:customStyle="1" w:styleId="94">
    <w:name w:val="正文文本 2 字符"/>
    <w:basedOn w:val="53"/>
    <w:link w:val="44"/>
    <w:qFormat/>
    <w:uiPriority w:val="0"/>
    <w:rPr>
      <w:rFonts w:ascii="Times New Roman" w:hAnsi="Times New Roman" w:eastAsia="宋体" w:cs="Times New Roman"/>
      <w:szCs w:val="24"/>
    </w:rPr>
  </w:style>
  <w:style w:type="character" w:customStyle="1" w:styleId="95">
    <w:name w:val="HTML 预设格式 字符"/>
    <w:basedOn w:val="53"/>
    <w:link w:val="45"/>
    <w:qFormat/>
    <w:uiPriority w:val="0"/>
    <w:rPr>
      <w:rFonts w:ascii="黑体" w:hAnsi="Courier New" w:eastAsia="黑体" w:cs="Courier New"/>
      <w:kern w:val="0"/>
      <w:sz w:val="20"/>
      <w:szCs w:val="20"/>
    </w:rPr>
  </w:style>
  <w:style w:type="character" w:customStyle="1" w:styleId="96">
    <w:name w:val="批注主题 字符"/>
    <w:basedOn w:val="81"/>
    <w:link w:val="49"/>
    <w:semiHidden/>
    <w:qFormat/>
    <w:uiPriority w:val="0"/>
    <w:rPr>
      <w:rFonts w:ascii="Times New Roman" w:hAnsi="Times New Roman" w:eastAsia="宋体" w:cs="Times New Roman"/>
      <w:b/>
      <w:bCs/>
      <w:kern w:val="0"/>
      <w:sz w:val="24"/>
      <w:szCs w:val="24"/>
    </w:rPr>
  </w:style>
  <w:style w:type="character" w:customStyle="1" w:styleId="97">
    <w:name w:val="正文文本首行缩进 2 字符"/>
    <w:basedOn w:val="84"/>
    <w:link w:val="51"/>
    <w:qFormat/>
    <w:uiPriority w:val="0"/>
    <w:rPr>
      <w:rFonts w:ascii="仿宋_GB2312" w:hAnsi="Times New Roman" w:eastAsia="仿宋_GB2312" w:cs="Times New Roman"/>
      <w:sz w:val="32"/>
      <w:szCs w:val="20"/>
    </w:rPr>
  </w:style>
  <w:style w:type="paragraph" w:customStyle="1" w:styleId="98">
    <w:name w:val="_Style 25"/>
    <w:basedOn w:val="15"/>
    <w:qFormat/>
    <w:uiPriority w:val="0"/>
    <w:pPr>
      <w:widowControl/>
      <w:ind w:firstLine="454"/>
      <w:jc w:val="left"/>
    </w:pPr>
    <w:rPr>
      <w:rFonts w:ascii="Tahoma" w:hAnsi="Tahoma" w:cs="宋体"/>
      <w:kern w:val="0"/>
      <w:sz w:val="24"/>
      <w:szCs w:val="20"/>
    </w:rPr>
  </w:style>
  <w:style w:type="character" w:customStyle="1" w:styleId="99">
    <w:name w:val="列表段落 字符"/>
    <w:link w:val="73"/>
    <w:qFormat/>
    <w:uiPriority w:val="0"/>
  </w:style>
  <w:style w:type="character" w:customStyle="1" w:styleId="100">
    <w:name w:val=" Char Char Char Char Char"/>
    <w:qFormat/>
    <w:uiPriority w:val="0"/>
    <w:rPr>
      <w:rFonts w:eastAsia="宋体"/>
      <w:b/>
      <w:bCs/>
      <w:kern w:val="44"/>
      <w:sz w:val="44"/>
      <w:szCs w:val="44"/>
      <w:lang w:val="en-US" w:eastAsia="zh-CN" w:bidi="ar-SA"/>
    </w:rPr>
  </w:style>
  <w:style w:type="character" w:customStyle="1" w:styleId="101">
    <w:name w:val="font71"/>
    <w:qFormat/>
    <w:uiPriority w:val="0"/>
    <w:rPr>
      <w:rFonts w:hint="eastAsia" w:ascii="宋体" w:hAnsi="宋体" w:eastAsia="宋体" w:cs="宋体"/>
      <w:color w:val="FF0000"/>
      <w:sz w:val="18"/>
      <w:szCs w:val="18"/>
      <w:u w:val="none"/>
    </w:rPr>
  </w:style>
  <w:style w:type="character" w:customStyle="1" w:styleId="102">
    <w:name w:val="1ji Char Char"/>
    <w:qFormat/>
    <w:locked/>
    <w:uiPriority w:val="0"/>
    <w:rPr>
      <w:rFonts w:ascii="宋体" w:hAnsi="宋体" w:eastAsia="宋体"/>
      <w:b/>
      <w:bCs/>
      <w:kern w:val="44"/>
      <w:sz w:val="36"/>
      <w:szCs w:val="44"/>
    </w:rPr>
  </w:style>
  <w:style w:type="character" w:customStyle="1" w:styleId="103">
    <w:name w:val="纯文本 Char1"/>
    <w:qFormat/>
    <w:uiPriority w:val="0"/>
    <w:rPr>
      <w:rFonts w:ascii="宋体" w:hAnsi="Courier New" w:eastAsia="宋体" w:cs="Courier New"/>
      <w:kern w:val="2"/>
      <w:sz w:val="21"/>
      <w:szCs w:val="21"/>
      <w:lang w:val="en-US" w:eastAsia="zh-CN" w:bidi="ar-SA"/>
    </w:rPr>
  </w:style>
  <w:style w:type="character" w:customStyle="1" w:styleId="104">
    <w:name w:val="Body Text Char"/>
    <w:qFormat/>
    <w:locked/>
    <w:uiPriority w:val="0"/>
    <w:rPr>
      <w:rFonts w:eastAsia="宋体"/>
      <w:kern w:val="2"/>
      <w:sz w:val="24"/>
      <w:szCs w:val="24"/>
      <w:lang w:val="en-US" w:eastAsia="zh-CN" w:bidi="ar-SA"/>
    </w:rPr>
  </w:style>
  <w:style w:type="character" w:customStyle="1" w:styleId="105">
    <w:name w:val="unnamed3"/>
    <w:qFormat/>
    <w:uiPriority w:val="0"/>
  </w:style>
  <w:style w:type="character" w:customStyle="1" w:styleId="106">
    <w:name w:val="Plain Text Char"/>
    <w:link w:val="107"/>
    <w:qFormat/>
    <w:locked/>
    <w:uiPriority w:val="0"/>
    <w:rPr>
      <w:rFonts w:ascii="宋体" w:hAnsi="Courier New" w:eastAsia="宋体"/>
    </w:rPr>
  </w:style>
  <w:style w:type="paragraph" w:customStyle="1" w:styleId="107">
    <w:name w:val="Plain Text"/>
    <w:basedOn w:val="1"/>
    <w:link w:val="106"/>
    <w:qFormat/>
    <w:uiPriority w:val="0"/>
    <w:rPr>
      <w:rFonts w:ascii="宋体" w:hAnsi="Courier New" w:cstheme="minorBidi"/>
      <w:szCs w:val="22"/>
    </w:rPr>
  </w:style>
  <w:style w:type="character" w:customStyle="1" w:styleId="108">
    <w:name w:val="style31"/>
    <w:qFormat/>
    <w:uiPriority w:val="0"/>
    <w:rPr>
      <w:sz w:val="18"/>
      <w:szCs w:val="18"/>
    </w:rPr>
  </w:style>
  <w:style w:type="character" w:customStyle="1" w:styleId="109">
    <w:name w:val="font31"/>
    <w:qFormat/>
    <w:uiPriority w:val="0"/>
    <w:rPr>
      <w:rFonts w:hint="eastAsia" w:ascii="宋体" w:hAnsi="宋体" w:eastAsia="宋体" w:cs="宋体"/>
      <w:color w:val="000000"/>
      <w:sz w:val="16"/>
      <w:szCs w:val="16"/>
      <w:u w:val="none"/>
    </w:rPr>
  </w:style>
  <w:style w:type="character" w:customStyle="1" w:styleId="110">
    <w:name w:val=" Char Char15"/>
    <w:qFormat/>
    <w:uiPriority w:val="0"/>
    <w:rPr>
      <w:sz w:val="18"/>
      <w:szCs w:val="18"/>
    </w:rPr>
  </w:style>
  <w:style w:type="character" w:customStyle="1" w:styleId="111">
    <w:name w:val="Char Char3"/>
    <w:qFormat/>
    <w:locked/>
    <w:uiPriority w:val="0"/>
    <w:rPr>
      <w:rFonts w:ascii="宋体" w:hAnsi="Courier New" w:eastAsia="宋体" w:cs="Courier New"/>
      <w:kern w:val="2"/>
      <w:sz w:val="21"/>
      <w:szCs w:val="21"/>
      <w:lang w:val="en-US" w:eastAsia="zh-CN" w:bidi="ar-SA"/>
    </w:rPr>
  </w:style>
  <w:style w:type="character" w:customStyle="1" w:styleId="112">
    <w:name w:val=" Char Char11"/>
    <w:qFormat/>
    <w:uiPriority w:val="0"/>
    <w:rPr>
      <w:rFonts w:ascii="Times New Roman" w:hAnsi="Times New Roman" w:eastAsia="宋体" w:cs="Times New Roman"/>
      <w:sz w:val="30"/>
      <w:szCs w:val="24"/>
    </w:rPr>
  </w:style>
  <w:style w:type="character" w:customStyle="1" w:styleId="113">
    <w:name w:val="font41"/>
    <w:qFormat/>
    <w:uiPriority w:val="0"/>
    <w:rPr>
      <w:rFonts w:hint="eastAsia" w:ascii="仿宋_GB2312" w:eastAsia="仿宋_GB2312" w:cs="仿宋_GB2312"/>
      <w:color w:val="000000"/>
      <w:sz w:val="20"/>
      <w:szCs w:val="20"/>
      <w:u w:val="none"/>
    </w:rPr>
  </w:style>
  <w:style w:type="character" w:customStyle="1" w:styleId="114">
    <w:name w:val="H1 Char"/>
    <w:qFormat/>
    <w:uiPriority w:val="0"/>
    <w:rPr>
      <w:rFonts w:eastAsia="宋体"/>
      <w:b/>
      <w:bCs/>
      <w:kern w:val="44"/>
      <w:sz w:val="44"/>
      <w:szCs w:val="44"/>
      <w:lang w:val="en-US" w:eastAsia="zh-CN" w:bidi="ar-SA"/>
    </w:rPr>
  </w:style>
  <w:style w:type="character" w:customStyle="1" w:styleId="115">
    <w:name w:val="H1 Char1"/>
    <w:qFormat/>
    <w:uiPriority w:val="0"/>
    <w:rPr>
      <w:rFonts w:eastAsia="宋体"/>
      <w:b/>
      <w:bCs/>
      <w:kern w:val="44"/>
      <w:sz w:val="44"/>
      <w:szCs w:val="44"/>
      <w:lang w:val="en-US" w:eastAsia="zh-CN" w:bidi="ar-SA"/>
    </w:rPr>
  </w:style>
  <w:style w:type="character" w:customStyle="1" w:styleId="116">
    <w:name w:val="font11"/>
    <w:qFormat/>
    <w:uiPriority w:val="0"/>
    <w:rPr>
      <w:rFonts w:hint="eastAsia" w:ascii="宋体" w:hAnsi="宋体" w:eastAsia="宋体" w:cs="宋体"/>
      <w:color w:val="FF0000"/>
      <w:sz w:val="16"/>
      <w:szCs w:val="16"/>
      <w:u w:val="none"/>
    </w:rPr>
  </w:style>
  <w:style w:type="character" w:customStyle="1" w:styleId="117">
    <w:name w:val="正文文字首行缩进 Char"/>
    <w:qFormat/>
    <w:locked/>
    <w:uiPriority w:val="0"/>
    <w:rPr>
      <w:rFonts w:ascii="仿宋_GB2312" w:eastAsia="仿宋_GB2312"/>
      <w:kern w:val="2"/>
      <w:sz w:val="32"/>
    </w:rPr>
  </w:style>
  <w:style w:type="character" w:customStyle="1" w:styleId="118">
    <w:name w:val="Char Char17"/>
    <w:qFormat/>
    <w:uiPriority w:val="0"/>
    <w:rPr>
      <w:rFonts w:hint="default" w:ascii="Times New Roman" w:hAnsi="Times New Roman" w:cs="Times New Roman"/>
      <w:b/>
      <w:bCs/>
      <w:kern w:val="2"/>
      <w:sz w:val="21"/>
      <w:szCs w:val="24"/>
    </w:rPr>
  </w:style>
  <w:style w:type="character" w:customStyle="1" w:styleId="119">
    <w:name w:val="1ji Char"/>
    <w:link w:val="120"/>
    <w:qFormat/>
    <w:uiPriority w:val="0"/>
    <w:rPr>
      <w:rFonts w:ascii="宋体" w:hAnsi="宋体" w:eastAsia="宋体"/>
      <w:b/>
      <w:bCs/>
      <w:kern w:val="44"/>
      <w:sz w:val="36"/>
      <w:szCs w:val="44"/>
    </w:rPr>
  </w:style>
  <w:style w:type="paragraph" w:customStyle="1" w:styleId="120">
    <w:name w:val="1ji"/>
    <w:basedOn w:val="3"/>
    <w:link w:val="119"/>
    <w:qFormat/>
    <w:uiPriority w:val="0"/>
    <w:pPr>
      <w:keepLines w:val="0"/>
      <w:widowControl/>
      <w:spacing w:before="0" w:after="0"/>
      <w:jc w:val="center"/>
    </w:pPr>
    <w:rPr>
      <w:rFonts w:ascii="宋体" w:hAnsi="宋体" w:eastAsia="宋体" w:cstheme="minorBidi"/>
      <w:b/>
      <w:bCs/>
      <w:color w:val="auto"/>
      <w:kern w:val="44"/>
      <w:sz w:val="36"/>
      <w:szCs w:val="44"/>
    </w:rPr>
  </w:style>
  <w:style w:type="character" w:customStyle="1" w:styleId="121">
    <w:name w:val=" Char Char10"/>
    <w:semiHidden/>
    <w:qFormat/>
    <w:uiPriority w:val="0"/>
    <w:rPr>
      <w:rFonts w:eastAsia="宋体"/>
      <w:kern w:val="2"/>
      <w:sz w:val="24"/>
      <w:szCs w:val="24"/>
      <w:lang w:val="en-US" w:eastAsia="zh-CN" w:bidi="ar-SA"/>
    </w:rPr>
  </w:style>
  <w:style w:type="character" w:customStyle="1" w:styleId="122">
    <w:name w:val="Char Char6"/>
    <w:qFormat/>
    <w:locked/>
    <w:uiPriority w:val="0"/>
    <w:rPr>
      <w:rFonts w:ascii="宋体" w:hAnsi="Courier New" w:eastAsia="宋体" w:cs="Courier New"/>
      <w:kern w:val="2"/>
      <w:sz w:val="21"/>
      <w:szCs w:val="21"/>
      <w:lang w:val="en-US" w:eastAsia="zh-CN" w:bidi="ar-SA"/>
    </w:rPr>
  </w:style>
  <w:style w:type="character" w:customStyle="1" w:styleId="123">
    <w:name w:val="font21"/>
    <w:qFormat/>
    <w:uiPriority w:val="0"/>
    <w:rPr>
      <w:rFonts w:ascii="Calibri" w:hAnsi="Calibri" w:cs="Calibri"/>
      <w:color w:val="000000"/>
      <w:sz w:val="20"/>
      <w:szCs w:val="20"/>
      <w:u w:val="none"/>
    </w:rPr>
  </w:style>
  <w:style w:type="character" w:customStyle="1" w:styleId="124">
    <w:name w:val="Char Char8"/>
    <w:qFormat/>
    <w:uiPriority w:val="0"/>
    <w:rPr>
      <w:rFonts w:hint="eastAsia" w:ascii="仿宋_GB2312" w:eastAsia="仿宋_GB2312"/>
      <w:kern w:val="2"/>
      <w:sz w:val="32"/>
      <w:lang w:val="en-US" w:eastAsia="zh-CN" w:bidi="ar-SA"/>
    </w:rPr>
  </w:style>
  <w:style w:type="character" w:customStyle="1" w:styleId="125">
    <w:name w:val="apple-style-span"/>
    <w:qFormat/>
    <w:uiPriority w:val="0"/>
  </w:style>
  <w:style w:type="character" w:customStyle="1" w:styleId="126">
    <w:name w:val="Char Char4"/>
    <w:qFormat/>
    <w:locked/>
    <w:uiPriority w:val="0"/>
    <w:rPr>
      <w:rFonts w:ascii="宋体" w:hAnsi="Courier New" w:eastAsia="宋体" w:cs="Courier New"/>
      <w:kern w:val="2"/>
      <w:sz w:val="21"/>
      <w:szCs w:val="21"/>
      <w:lang w:val="en-US" w:eastAsia="zh-CN" w:bidi="ar-SA"/>
    </w:rPr>
  </w:style>
  <w:style w:type="character" w:customStyle="1" w:styleId="127">
    <w:name w:val="style21"/>
    <w:qFormat/>
    <w:uiPriority w:val="0"/>
    <w:rPr>
      <w:sz w:val="18"/>
      <w:szCs w:val="18"/>
    </w:rPr>
  </w:style>
  <w:style w:type="character" w:customStyle="1" w:styleId="128">
    <w:name w:val=" Char Char14"/>
    <w:qFormat/>
    <w:uiPriority w:val="0"/>
    <w:rPr>
      <w:sz w:val="18"/>
      <w:szCs w:val="18"/>
    </w:rPr>
  </w:style>
  <w:style w:type="character" w:customStyle="1" w:styleId="129">
    <w:name w:val=" Char Char23"/>
    <w:qFormat/>
    <w:uiPriority w:val="0"/>
    <w:rPr>
      <w:rFonts w:ascii="Times New Roman" w:hAnsi="Times New Roman" w:eastAsia="宋体" w:cs="Times New Roman"/>
      <w:b/>
      <w:bCs/>
      <w:kern w:val="44"/>
      <w:sz w:val="44"/>
      <w:szCs w:val="44"/>
    </w:rPr>
  </w:style>
  <w:style w:type="character" w:customStyle="1" w:styleId="130">
    <w:name w:val="无间隔 字符"/>
    <w:link w:val="131"/>
    <w:qFormat/>
    <w:uiPriority w:val="0"/>
    <w:rPr>
      <w:rFonts w:ascii="Calibri" w:hAnsi="Calibri"/>
      <w:sz w:val="22"/>
    </w:rPr>
  </w:style>
  <w:style w:type="paragraph" w:styleId="131">
    <w:name w:val="No Spacing"/>
    <w:link w:val="130"/>
    <w:qFormat/>
    <w:uiPriority w:val="0"/>
    <w:rPr>
      <w:rFonts w:ascii="Calibri" w:hAnsi="Calibri" w:eastAsiaTheme="minorEastAsia" w:cstheme="minorBidi"/>
      <w:kern w:val="2"/>
      <w:sz w:val="22"/>
      <w:szCs w:val="22"/>
      <w:lang w:val="en-US" w:eastAsia="zh-CN" w:bidi="ar-SA"/>
    </w:rPr>
  </w:style>
  <w:style w:type="character" w:customStyle="1" w:styleId="132">
    <w:name w:val="自定义标题一 Char"/>
    <w:link w:val="133"/>
    <w:qFormat/>
    <w:uiPriority w:val="0"/>
    <w:rPr>
      <w:rFonts w:ascii="黑体" w:hAnsi="黑体" w:eastAsia="黑体"/>
      <w:b/>
      <w:bCs/>
      <w:shadow/>
      <w:kern w:val="44"/>
      <w:sz w:val="44"/>
      <w:szCs w:val="44"/>
    </w:rPr>
  </w:style>
  <w:style w:type="paragraph" w:customStyle="1" w:styleId="133">
    <w:name w:val="自定义标题一"/>
    <w:basedOn w:val="3"/>
    <w:link w:val="132"/>
    <w:qFormat/>
    <w:uiPriority w:val="0"/>
    <w:pPr>
      <w:pageBreakBefore/>
      <w:tabs>
        <w:tab w:val="left" w:pos="144"/>
      </w:tabs>
      <w:spacing w:before="0" w:after="0" w:line="360" w:lineRule="auto"/>
      <w:ind w:left="144" w:hanging="144"/>
      <w:jc w:val="center"/>
    </w:pPr>
    <w:rPr>
      <w:rFonts w:ascii="黑体" w:hAnsi="黑体" w:eastAsia="黑体" w:cstheme="minorBidi"/>
      <w:b/>
      <w:bCs/>
      <w:shadow/>
      <w:color w:val="auto"/>
      <w:kern w:val="44"/>
      <w:sz w:val="44"/>
      <w:szCs w:val="44"/>
    </w:rPr>
  </w:style>
  <w:style w:type="character" w:customStyle="1" w:styleId="134">
    <w:name w:val="style161"/>
    <w:qFormat/>
    <w:uiPriority w:val="0"/>
    <w:rPr>
      <w:color w:val="666666"/>
    </w:rPr>
  </w:style>
  <w:style w:type="character" w:customStyle="1" w:styleId="135">
    <w:name w:val="font51"/>
    <w:qFormat/>
    <w:uiPriority w:val="0"/>
    <w:rPr>
      <w:rFonts w:hint="eastAsia" w:ascii="宋体" w:hAnsi="宋体" w:eastAsia="宋体" w:cs="宋体"/>
      <w:color w:val="FF0000"/>
      <w:sz w:val="18"/>
      <w:szCs w:val="18"/>
      <w:u w:val="none"/>
      <w:vertAlign w:val="superscript"/>
    </w:rPr>
  </w:style>
  <w:style w:type="character" w:customStyle="1" w:styleId="136">
    <w:name w:val="纯文本 Char"/>
    <w:qFormat/>
    <w:uiPriority w:val="0"/>
    <w:rPr>
      <w:rFonts w:ascii="宋体" w:hAnsi="Courier New" w:eastAsia="宋体"/>
      <w:kern w:val="2"/>
      <w:sz w:val="21"/>
      <w:lang w:val="en-US" w:eastAsia="zh-CN" w:bidi="ar-SA"/>
    </w:rPr>
  </w:style>
  <w:style w:type="character" w:customStyle="1" w:styleId="137">
    <w:name w:val="自定义标题一 Char Char"/>
    <w:qFormat/>
    <w:uiPriority w:val="0"/>
    <w:rPr>
      <w:rFonts w:ascii="黑体" w:hAnsi="黑体" w:eastAsia="黑体"/>
      <w:b/>
      <w:bCs/>
      <w:shadow/>
      <w:kern w:val="44"/>
      <w:sz w:val="44"/>
      <w:szCs w:val="44"/>
      <w:lang w:bidi="ar-SA"/>
    </w:rPr>
  </w:style>
  <w:style w:type="character" w:customStyle="1" w:styleId="138">
    <w:name w:val="p1"/>
    <w:qFormat/>
    <w:uiPriority w:val="0"/>
  </w:style>
  <w:style w:type="character" w:customStyle="1" w:styleId="139">
    <w:name w:val="普通文字 Char Char4"/>
    <w:qFormat/>
    <w:uiPriority w:val="0"/>
    <w:rPr>
      <w:rFonts w:ascii="宋体" w:hAnsi="Courier New" w:eastAsia="宋体" w:cs="Courier New"/>
      <w:kern w:val="2"/>
      <w:sz w:val="21"/>
      <w:szCs w:val="21"/>
      <w:lang w:val="en-US" w:eastAsia="zh-CN" w:bidi="ar-SA"/>
    </w:rPr>
  </w:style>
  <w:style w:type="character" w:customStyle="1" w:styleId="140">
    <w:name w:val="ca-0"/>
    <w:qFormat/>
    <w:uiPriority w:val="0"/>
  </w:style>
  <w:style w:type="character" w:customStyle="1" w:styleId="141">
    <w:name w:val="无间隔 Char Char"/>
    <w:qFormat/>
    <w:uiPriority w:val="0"/>
    <w:rPr>
      <w:rFonts w:ascii="Calibri" w:hAnsi="Calibri" w:eastAsia="宋体"/>
      <w:sz w:val="22"/>
      <w:szCs w:val="22"/>
      <w:lang w:val="en-US" w:eastAsia="zh-CN" w:bidi="ar-SA"/>
    </w:rPr>
  </w:style>
  <w:style w:type="character" w:customStyle="1" w:styleId="142">
    <w:name w:val="H1 Char2"/>
    <w:qFormat/>
    <w:uiPriority w:val="0"/>
    <w:rPr>
      <w:rFonts w:eastAsia="宋体"/>
      <w:b/>
      <w:bCs/>
      <w:kern w:val="44"/>
      <w:sz w:val="44"/>
      <w:szCs w:val="44"/>
      <w:lang w:val="en-US" w:eastAsia="zh-CN" w:bidi="ar-SA"/>
    </w:rPr>
  </w:style>
  <w:style w:type="character" w:customStyle="1" w:styleId="143">
    <w:name w:val="cubane_hilight1"/>
    <w:qFormat/>
    <w:uiPriority w:val="0"/>
    <w:rPr>
      <w:color w:val="CC0000"/>
    </w:rPr>
  </w:style>
  <w:style w:type="character" w:customStyle="1" w:styleId="144">
    <w:name w:val="正文文本缩进 Char1"/>
    <w:semiHidden/>
    <w:qFormat/>
    <w:uiPriority w:val="0"/>
    <w:rPr>
      <w:kern w:val="2"/>
      <w:sz w:val="21"/>
      <w:szCs w:val="22"/>
    </w:rPr>
  </w:style>
  <w:style w:type="character" w:customStyle="1" w:styleId="145">
    <w:name w:val="标题 Char1"/>
    <w:qFormat/>
    <w:uiPriority w:val="0"/>
    <w:rPr>
      <w:rFonts w:hint="default" w:ascii="Cambria" w:hAnsi="Cambria" w:cs="Times New Roman"/>
      <w:b/>
      <w:bCs/>
      <w:kern w:val="2"/>
      <w:sz w:val="32"/>
      <w:szCs w:val="32"/>
    </w:rPr>
  </w:style>
  <w:style w:type="character" w:customStyle="1" w:styleId="146">
    <w:name w:val="普通文字 Char Char2"/>
    <w:qFormat/>
    <w:uiPriority w:val="0"/>
    <w:rPr>
      <w:rFonts w:ascii="宋体" w:hAnsi="Courier New" w:eastAsia="宋体"/>
      <w:kern w:val="2"/>
      <w:sz w:val="21"/>
      <w:lang w:val="en-US" w:eastAsia="zh-CN" w:bidi="ar-SA"/>
    </w:rPr>
  </w:style>
  <w:style w:type="character" w:customStyle="1" w:styleId="147">
    <w:name w:val="llyf92"/>
    <w:qFormat/>
    <w:uiPriority w:val="0"/>
    <w:rPr>
      <w:sz w:val="18"/>
      <w:szCs w:val="18"/>
    </w:rPr>
  </w:style>
  <w:style w:type="paragraph" w:customStyle="1" w:styleId="148">
    <w:name w:val="样式 标题 2 + (西文) 宋体 非加粗 居中"/>
    <w:basedOn w:val="4"/>
    <w:qFormat/>
    <w:uiPriority w:val="0"/>
    <w:pPr>
      <w:spacing w:before="260" w:after="260" w:line="416" w:lineRule="auto"/>
      <w:jc w:val="center"/>
    </w:pPr>
    <w:rPr>
      <w:rFonts w:ascii="宋体" w:hAnsi="宋体" w:eastAsia="黑体" w:cs="宋体"/>
      <w:color w:val="auto"/>
      <w:spacing w:val="2"/>
      <w:kern w:val="0"/>
      <w:sz w:val="28"/>
      <w:szCs w:val="20"/>
    </w:rPr>
  </w:style>
  <w:style w:type="paragraph" w:customStyle="1" w:styleId="149">
    <w:name w:val="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样式1"/>
    <w:basedOn w:val="1"/>
    <w:qFormat/>
    <w:uiPriority w:val="0"/>
    <w:pPr>
      <w:spacing w:before="120" w:after="120" w:line="300" w:lineRule="auto"/>
    </w:pPr>
    <w:rPr>
      <w:rFonts w:ascii="宋体" w:hAnsi="宋体"/>
      <w:b/>
      <w:sz w:val="24"/>
      <w:szCs w:val="20"/>
    </w:rPr>
  </w:style>
  <w:style w:type="paragraph" w:customStyle="1" w:styleId="151">
    <w:name w:val="插图题注"/>
    <w:next w:val="1"/>
    <w:qFormat/>
    <w:uiPriority w:val="0"/>
    <w:pPr>
      <w:spacing w:after="312" w:afterLines="100"/>
      <w:ind w:left="1089" w:hanging="369"/>
      <w:jc w:val="center"/>
    </w:pPr>
    <w:rPr>
      <w:rFonts w:ascii="Arial" w:hAnsi="Arial" w:eastAsia="宋体" w:cs="Times New Roman"/>
      <w:kern w:val="0"/>
      <w:sz w:val="18"/>
      <w:szCs w:val="18"/>
      <w:lang w:val="en-US" w:eastAsia="zh-CN" w:bidi="ar-SA"/>
    </w:rPr>
  </w:style>
  <w:style w:type="paragraph" w:customStyle="1" w:styleId="152">
    <w:name w:val="标题3"/>
    <w:basedOn w:val="2"/>
    <w:qFormat/>
    <w:uiPriority w:val="0"/>
    <w:pPr>
      <w:keepLines w:val="0"/>
      <w:widowControl/>
      <w:tabs>
        <w:tab w:val="left" w:pos="1247"/>
      </w:tabs>
      <w:spacing w:before="240" w:after="120" w:line="360" w:lineRule="auto"/>
      <w:ind w:left="1247" w:hanging="1247"/>
      <w:jc w:val="left"/>
    </w:pPr>
    <w:rPr>
      <w:rFonts w:ascii="Arial" w:hAnsi="Arial" w:eastAsia="宋体" w:cs="Times New Roman"/>
      <w:b/>
      <w:bCs/>
      <w:color w:val="auto"/>
      <w:kern w:val="0"/>
      <w:sz w:val="52"/>
      <w:szCs w:val="52"/>
    </w:rPr>
  </w:style>
  <w:style w:type="paragraph" w:customStyle="1" w:styleId="153">
    <w:name w:val="正文段"/>
    <w:basedOn w:val="1"/>
    <w:qFormat/>
    <w:uiPriority w:val="0"/>
    <w:pPr>
      <w:widowControl/>
      <w:snapToGrid w:val="0"/>
      <w:spacing w:after="156" w:afterLines="50"/>
      <w:ind w:firstLine="200" w:firstLineChars="200"/>
    </w:pPr>
    <w:rPr>
      <w:kern w:val="0"/>
      <w:sz w:val="24"/>
      <w:szCs w:val="20"/>
    </w:rPr>
  </w:style>
  <w:style w:type="paragraph" w:customStyle="1" w:styleId="15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5">
    <w:name w:val="默认段落字体 Para Char"/>
    <w:basedOn w:val="1"/>
    <w:qFormat/>
    <w:uiPriority w:val="0"/>
    <w:pPr>
      <w:adjustRightInd w:val="0"/>
      <w:spacing w:line="360" w:lineRule="auto"/>
    </w:pPr>
    <w:rPr>
      <w:szCs w:val="20"/>
    </w:rPr>
  </w:style>
  <w:style w:type="paragraph" w:customStyle="1" w:styleId="15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Body"/>
    <w:basedOn w:val="1"/>
    <w:qFormat/>
    <w:uiPriority w:val="0"/>
    <w:pPr>
      <w:widowControl/>
      <w:tabs>
        <w:tab w:val="left" w:pos="1980"/>
      </w:tabs>
      <w:spacing w:before="80" w:after="80" w:line="360" w:lineRule="auto"/>
      <w:jc w:val="center"/>
    </w:pPr>
    <w:rPr>
      <w:szCs w:val="21"/>
    </w:rPr>
  </w:style>
  <w:style w:type="paragraph" w:customStyle="1" w:styleId="15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61">
    <w:name w:val="p0"/>
    <w:basedOn w:val="1"/>
    <w:qFormat/>
    <w:uiPriority w:val="0"/>
    <w:pPr>
      <w:widowControl/>
    </w:pPr>
    <w:rPr>
      <w:kern w:val="0"/>
      <w:szCs w:val="21"/>
    </w:rPr>
  </w:style>
  <w:style w:type="paragraph" w:customStyle="1" w:styleId="162">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3">
    <w:name w:val=" Char"/>
    <w:basedOn w:val="15"/>
    <w:qFormat/>
    <w:uiPriority w:val="0"/>
    <w:pPr>
      <w:widowControl/>
      <w:ind w:firstLine="454"/>
      <w:jc w:val="left"/>
    </w:pPr>
    <w:rPr>
      <w:rFonts w:ascii="Tahoma" w:hAnsi="Tahoma" w:cs="宋体"/>
      <w:kern w:val="0"/>
      <w:sz w:val="24"/>
      <w:szCs w:val="20"/>
    </w:rPr>
  </w:style>
  <w:style w:type="paragraph" w:customStyle="1" w:styleId="164">
    <w:name w:val="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67">
    <w:name w:val="列出段落1"/>
    <w:qFormat/>
    <w:uiPriority w:val="34"/>
    <w:pPr>
      <w:ind w:firstLine="420" w:firstLineChars="200"/>
    </w:pPr>
    <w:rPr>
      <w:rFonts w:ascii="Calibri" w:hAnsi="Calibri" w:eastAsia="宋体" w:cs="Times New Roman"/>
      <w:kern w:val="0"/>
      <w:sz w:val="20"/>
      <w:szCs w:val="22"/>
      <w:lang w:val="en-US" w:eastAsia="zh-CN" w:bidi="ar-SA"/>
    </w:rPr>
  </w:style>
  <w:style w:type="paragraph" w:customStyle="1" w:styleId="168">
    <w:name w:val="Char Char1 Char Char Char Char"/>
    <w:basedOn w:val="15"/>
    <w:qFormat/>
    <w:uiPriority w:val="0"/>
    <w:rPr>
      <w:rFonts w:ascii="Tahoma" w:hAnsi="Tahoma"/>
      <w:sz w:val="24"/>
    </w:rPr>
  </w:style>
  <w:style w:type="paragraph" w:customStyle="1" w:styleId="169">
    <w:name w:val="节标题"/>
    <w:basedOn w:val="1"/>
    <w:next w:val="170"/>
    <w:qFormat/>
    <w:uiPriority w:val="0"/>
    <w:pPr>
      <w:widowControl/>
      <w:spacing w:line="289" w:lineRule="atLeast"/>
      <w:jc w:val="center"/>
      <w:textAlignment w:val="baseline"/>
    </w:pPr>
    <w:rPr>
      <w:color w:val="000000"/>
      <w:kern w:val="0"/>
      <w:sz w:val="28"/>
      <w:szCs w:val="20"/>
    </w:rPr>
  </w:style>
  <w:style w:type="paragraph" w:customStyle="1" w:styleId="17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171">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72">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73">
    <w:name w:val="2-2ji"/>
    <w:basedOn w:val="4"/>
    <w:qFormat/>
    <w:uiPriority w:val="0"/>
    <w:pPr>
      <w:adjustRightInd w:val="0"/>
      <w:spacing w:before="0" w:after="0" w:line="360" w:lineRule="auto"/>
      <w:jc w:val="center"/>
      <w:textAlignment w:val="baseline"/>
    </w:pPr>
    <w:rPr>
      <w:rFonts w:ascii="宋体" w:hAnsi="宋体" w:eastAsia="宋体" w:cs="Times New Roman"/>
      <w:b/>
      <w:color w:val="auto"/>
      <w:kern w:val="0"/>
      <w:sz w:val="36"/>
      <w:szCs w:val="32"/>
    </w:rPr>
  </w:style>
  <w:style w:type="paragraph" w:customStyle="1" w:styleId="174">
    <w:name w:val="表内文字"/>
    <w:basedOn w:val="1"/>
    <w:qFormat/>
    <w:uiPriority w:val="0"/>
    <w:pPr>
      <w:snapToGrid w:val="0"/>
      <w:spacing w:before="50" w:after="50" w:line="360" w:lineRule="exact"/>
    </w:pPr>
    <w:rPr>
      <w:rFonts w:ascii="宋体" w:hAnsi="宋体"/>
      <w:b/>
      <w:color w:val="0000FF"/>
      <w:szCs w:val="21"/>
    </w:rPr>
  </w:style>
  <w:style w:type="paragraph" w:customStyle="1" w:styleId="175">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color w:val="auto"/>
      <w:kern w:val="0"/>
      <w:sz w:val="24"/>
      <w:szCs w:val="20"/>
    </w:rPr>
  </w:style>
  <w:style w:type="paragraph" w:customStyle="1" w:styleId="176">
    <w:name w:val="样式 首行缩进:  2 字符"/>
    <w:basedOn w:val="1"/>
    <w:qFormat/>
    <w:uiPriority w:val="0"/>
    <w:pPr>
      <w:spacing w:line="400" w:lineRule="exact"/>
      <w:ind w:firstLine="200" w:firstLineChars="200"/>
    </w:pPr>
    <w:rPr>
      <w:rFonts w:cs="宋体"/>
      <w:sz w:val="24"/>
    </w:rPr>
  </w:style>
  <w:style w:type="paragraph" w:customStyle="1" w:styleId="177">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178">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179">
    <w:name w:val="p15"/>
    <w:basedOn w:val="1"/>
    <w:qFormat/>
    <w:uiPriority w:val="0"/>
    <w:pPr>
      <w:widowControl/>
    </w:pPr>
    <w:rPr>
      <w:rFonts w:ascii="宋体" w:hAnsi="宋体" w:cs="宋体"/>
      <w:kern w:val="0"/>
      <w:szCs w:val="21"/>
    </w:rPr>
  </w:style>
  <w:style w:type="paragraph" w:customStyle="1" w:styleId="18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81">
    <w:name w:val="F2"/>
    <w:basedOn w:val="1"/>
    <w:qFormat/>
    <w:uiPriority w:val="0"/>
    <w:pPr>
      <w:autoSpaceDE w:val="0"/>
      <w:autoSpaceDN w:val="0"/>
      <w:adjustRightInd w:val="0"/>
      <w:ind w:firstLine="601"/>
    </w:pPr>
    <w:rPr>
      <w:kern w:val="0"/>
      <w:sz w:val="24"/>
      <w:szCs w:val="20"/>
    </w:rPr>
  </w:style>
  <w:style w:type="paragraph" w:customStyle="1" w:styleId="18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3">
    <w:name w:val="正文首行缩进两字符"/>
    <w:basedOn w:val="1"/>
    <w:qFormat/>
    <w:uiPriority w:val="0"/>
    <w:pPr>
      <w:spacing w:line="360" w:lineRule="auto"/>
      <w:ind w:firstLine="200" w:firstLineChars="200"/>
    </w:pPr>
  </w:style>
  <w:style w:type="paragraph" w:customStyle="1" w:styleId="184">
    <w:name w:val="List Paragraph11"/>
    <w:basedOn w:val="1"/>
    <w:qFormat/>
    <w:uiPriority w:val="0"/>
    <w:pPr>
      <w:ind w:firstLine="420" w:firstLineChars="200"/>
    </w:pPr>
    <w:rPr>
      <w:rFonts w:ascii="Calibri" w:hAnsi="Calibri"/>
      <w:szCs w:val="22"/>
    </w:rPr>
  </w:style>
  <w:style w:type="paragraph" w:customStyle="1" w:styleId="185">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186">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87">
    <w:name w:val="Char1"/>
    <w:basedOn w:val="1"/>
    <w:qFormat/>
    <w:uiPriority w:val="0"/>
    <w:rPr>
      <w:szCs w:val="21"/>
    </w:rPr>
  </w:style>
  <w:style w:type="paragraph" w:customStyle="1" w:styleId="188">
    <w:name w:val="默认段落字体 Para Char Char Char Char Char Char Char Char Char1 Char Char Char Char"/>
    <w:basedOn w:val="1"/>
    <w:qFormat/>
    <w:uiPriority w:val="0"/>
    <w:rPr>
      <w:rFonts w:ascii="Tahoma" w:hAnsi="Tahoma"/>
      <w:sz w:val="24"/>
      <w:szCs w:val="20"/>
    </w:rPr>
  </w:style>
  <w:style w:type="paragraph" w:customStyle="1" w:styleId="18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90">
    <w:name w:val="2ji"/>
    <w:basedOn w:val="4"/>
    <w:qFormat/>
    <w:uiPriority w:val="0"/>
    <w:pPr>
      <w:adjustRightInd w:val="0"/>
      <w:spacing w:before="0" w:after="0" w:line="360" w:lineRule="auto"/>
      <w:textAlignment w:val="baseline"/>
    </w:pPr>
    <w:rPr>
      <w:rFonts w:ascii="宋体" w:hAnsi="宋体" w:eastAsia="宋体" w:cs="Times New Roman"/>
      <w:b/>
      <w:bCs/>
      <w:color w:val="auto"/>
      <w:kern w:val="0"/>
      <w:sz w:val="21"/>
      <w:szCs w:val="21"/>
    </w:rPr>
  </w:style>
  <w:style w:type="paragraph" w:customStyle="1" w:styleId="191">
    <w:name w:val="Char Char Char Char"/>
    <w:basedOn w:val="15"/>
    <w:qFormat/>
    <w:uiPriority w:val="0"/>
    <w:pPr>
      <w:adjustRightInd w:val="0"/>
      <w:snapToGrid w:val="0"/>
      <w:spacing w:line="360" w:lineRule="auto"/>
    </w:pPr>
    <w:rPr>
      <w:rFonts w:ascii="Tahoma" w:hAnsi="Tahoma"/>
      <w:sz w:val="24"/>
    </w:rPr>
  </w:style>
  <w:style w:type="paragraph" w:customStyle="1" w:styleId="192">
    <w:name w:val="样式 正文文字 + 小四 段后: 0 磅 行距: 1.5 倍行距"/>
    <w:basedOn w:val="20"/>
    <w:qFormat/>
    <w:uiPriority w:val="0"/>
    <w:pPr>
      <w:spacing w:after="0" w:line="360" w:lineRule="auto"/>
      <w:ind w:firstLine="480" w:firstLineChars="200"/>
    </w:pPr>
    <w:rPr>
      <w:rFonts w:cs="宋体"/>
      <w:sz w:val="24"/>
      <w:szCs w:val="20"/>
    </w:rPr>
  </w:style>
  <w:style w:type="paragraph" w:customStyle="1" w:styleId="193">
    <w:name w:val="Char"/>
    <w:basedOn w:val="15"/>
    <w:qFormat/>
    <w:uiPriority w:val="0"/>
    <w:pPr>
      <w:widowControl/>
      <w:ind w:firstLine="454"/>
      <w:jc w:val="left"/>
    </w:pPr>
    <w:rPr>
      <w:rFonts w:ascii="Tahoma" w:hAnsi="Tahoma" w:cs="宋体"/>
      <w:kern w:val="0"/>
      <w:sz w:val="24"/>
      <w:szCs w:val="20"/>
    </w:rPr>
  </w:style>
  <w:style w:type="paragraph" w:customStyle="1" w:styleId="194">
    <w:name w:val=" Char Char1 Char Char Char Char"/>
    <w:basedOn w:val="15"/>
    <w:qFormat/>
    <w:uiPriority w:val="0"/>
    <w:rPr>
      <w:rFonts w:ascii="Tahoma" w:hAnsi="Tahoma"/>
      <w:sz w:val="24"/>
    </w:rPr>
  </w:style>
  <w:style w:type="paragraph" w:customStyle="1" w:styleId="195">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9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97">
    <w:name w:val="正文文本缩进 Char Char Char Char"/>
    <w:basedOn w:val="1"/>
    <w:qFormat/>
    <w:uiPriority w:val="0"/>
    <w:pPr>
      <w:ind w:firstLine="540"/>
    </w:pPr>
    <w:rPr>
      <w:rFonts w:hint="eastAsia" w:ascii="宋体" w:hAnsi="Courier New"/>
      <w:szCs w:val="20"/>
    </w:rPr>
  </w:style>
  <w:style w:type="paragraph" w:customStyle="1" w:styleId="198">
    <w:name w:val="文章总标题"/>
    <w:basedOn w:val="1"/>
    <w:next w:val="185"/>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199">
    <w:name w:val="表项"/>
    <w:next w:val="1"/>
    <w:qFormat/>
    <w:uiPriority w:val="0"/>
    <w:pPr>
      <w:keepNext/>
      <w:spacing w:line="300" w:lineRule="auto"/>
      <w:jc w:val="center"/>
      <w:textAlignment w:val="baseline"/>
    </w:pPr>
    <w:rPr>
      <w:rFonts w:ascii="Arial" w:hAnsi="Arial" w:eastAsia="黑体" w:cs="Times New Roman"/>
      <w:kern w:val="0"/>
      <w:sz w:val="21"/>
      <w:szCs w:val="20"/>
      <w:lang w:val="en-US" w:eastAsia="zh-CN" w:bidi="ar-SA"/>
    </w:rPr>
  </w:style>
  <w:style w:type="paragraph" w:customStyle="1" w:styleId="200">
    <w:name w:val="Char Char18"/>
    <w:basedOn w:val="15"/>
    <w:qFormat/>
    <w:uiPriority w:val="0"/>
    <w:pPr>
      <w:widowControl/>
      <w:ind w:firstLine="454"/>
      <w:jc w:val="left"/>
    </w:pPr>
    <w:rPr>
      <w:rFonts w:ascii="Tahoma" w:hAnsi="Tahoma" w:cs="宋体"/>
      <w:kern w:val="0"/>
      <w:sz w:val="24"/>
      <w:szCs w:val="20"/>
    </w:rPr>
  </w:style>
  <w:style w:type="paragraph" w:customStyle="1" w:styleId="201">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02">
    <w:name w:val="表格"/>
    <w:basedOn w:val="1"/>
    <w:qFormat/>
    <w:uiPriority w:val="0"/>
    <w:pPr>
      <w:spacing w:line="400" w:lineRule="exact"/>
    </w:pPr>
    <w:rPr>
      <w:sz w:val="24"/>
    </w:rPr>
  </w:style>
  <w:style w:type="paragraph" w:customStyle="1" w:styleId="203">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204">
    <w:name w:val="Char Char Char Char Char Char Char Char Char"/>
    <w:basedOn w:val="1"/>
    <w:qFormat/>
    <w:uiPriority w:val="0"/>
    <w:pPr>
      <w:widowControl/>
      <w:spacing w:after="160" w:line="240" w:lineRule="exact"/>
      <w:jc w:val="left"/>
    </w:pPr>
    <w:rPr>
      <w:szCs w:val="20"/>
    </w:rPr>
  </w:style>
  <w:style w:type="paragraph" w:customStyle="1" w:styleId="205">
    <w:name w:val=" Char2"/>
    <w:basedOn w:val="1"/>
    <w:qFormat/>
    <w:uiPriority w:val="0"/>
    <w:rPr>
      <w:szCs w:val="20"/>
    </w:rPr>
  </w:style>
  <w:style w:type="paragraph" w:customStyle="1" w:styleId="2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color w:val="auto"/>
      <w:kern w:val="0"/>
      <w:sz w:val="28"/>
      <w:szCs w:val="20"/>
    </w:rPr>
  </w:style>
  <w:style w:type="paragraph" w:customStyle="1" w:styleId="20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8">
    <w:name w:val="1"/>
    <w:basedOn w:val="1"/>
    <w:next w:val="27"/>
    <w:qFormat/>
    <w:uiPriority w:val="0"/>
    <w:rPr>
      <w:rFonts w:ascii="宋体" w:hAnsi="Courier New"/>
      <w:szCs w:val="20"/>
    </w:rPr>
  </w:style>
  <w:style w:type="paragraph" w:customStyle="1" w:styleId="209">
    <w:name w:val="表格题注"/>
    <w:next w:val="1"/>
    <w:qFormat/>
    <w:uiPriority w:val="0"/>
    <w:pPr>
      <w:keepLines/>
      <w:spacing w:before="312" w:beforeLines="100"/>
      <w:ind w:left="1089" w:hanging="369"/>
      <w:jc w:val="center"/>
    </w:pPr>
    <w:rPr>
      <w:rFonts w:ascii="Arial" w:hAnsi="Arial" w:eastAsia="宋体" w:cs="Times New Roman"/>
      <w:kern w:val="0"/>
      <w:sz w:val="18"/>
      <w:szCs w:val="18"/>
      <w:lang w:val="en-US" w:eastAsia="zh-CN" w:bidi="ar-SA"/>
    </w:rPr>
  </w:style>
  <w:style w:type="paragraph" w:customStyle="1" w:styleId="210">
    <w:name w:val="4"/>
    <w:basedOn w:val="1"/>
    <w:next w:val="30"/>
    <w:qFormat/>
    <w:uiPriority w:val="0"/>
    <w:pPr>
      <w:spacing w:line="420" w:lineRule="exact"/>
      <w:ind w:firstLine="409" w:firstLineChars="195"/>
    </w:pPr>
  </w:style>
  <w:style w:type="paragraph" w:customStyle="1" w:styleId="211">
    <w:name w:val="Char Char19 Char Char Char Char"/>
    <w:basedOn w:val="15"/>
    <w:qFormat/>
    <w:uiPriority w:val="0"/>
    <w:pPr>
      <w:widowControl/>
      <w:ind w:firstLine="454"/>
      <w:jc w:val="left"/>
    </w:pPr>
  </w:style>
  <w:style w:type="paragraph" w:customStyle="1" w:styleId="2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_Style 35"/>
    <w:basedOn w:val="15"/>
    <w:qFormat/>
    <w:uiPriority w:val="0"/>
    <w:pPr>
      <w:widowControl/>
      <w:ind w:firstLine="454"/>
      <w:jc w:val="left"/>
    </w:pPr>
  </w:style>
  <w:style w:type="paragraph" w:customStyle="1" w:styleId="214">
    <w:name w:val="标题1"/>
    <w:basedOn w:val="3"/>
    <w:qFormat/>
    <w:uiPriority w:val="0"/>
    <w:pPr>
      <w:keepLines w:val="0"/>
      <w:widowControl/>
      <w:pBdr>
        <w:bottom w:val="single" w:color="auto" w:sz="8" w:space="6"/>
      </w:pBdr>
      <w:tabs>
        <w:tab w:val="left" w:pos="0"/>
      </w:tabs>
      <w:spacing w:after="240" w:line="360" w:lineRule="auto"/>
      <w:ind w:left="567" w:hanging="567"/>
      <w:jc w:val="left"/>
    </w:pPr>
    <w:rPr>
      <w:rFonts w:ascii="宋体" w:hAnsi="宋体" w:eastAsia="宋体" w:cs="Times New Roman"/>
      <w:b/>
      <w:bCs/>
      <w:smallCaps/>
      <w:color w:val="000000"/>
      <w:spacing w:val="10"/>
      <w:kern w:val="20"/>
      <w:sz w:val="21"/>
      <w:szCs w:val="21"/>
    </w:rPr>
  </w:style>
  <w:style w:type="paragraph" w:customStyle="1" w:styleId="215">
    <w:name w:val=" Char Char19 Char Char Char Char"/>
    <w:basedOn w:val="15"/>
    <w:qFormat/>
    <w:uiPriority w:val="0"/>
    <w:pPr>
      <w:widowControl/>
      <w:ind w:firstLine="454"/>
      <w:jc w:val="left"/>
    </w:pPr>
  </w:style>
  <w:style w:type="paragraph" w:customStyle="1" w:styleId="2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List Paragraph1"/>
    <w:basedOn w:val="1"/>
    <w:qFormat/>
    <w:uiPriority w:val="0"/>
    <w:pPr>
      <w:ind w:firstLine="420" w:firstLineChars="200"/>
    </w:pPr>
  </w:style>
  <w:style w:type="character" w:customStyle="1" w:styleId="218">
    <w:name w:val="UP标题3 Char Char"/>
    <w:link w:val="219"/>
    <w:qFormat/>
    <w:locked/>
    <w:uiPriority w:val="0"/>
    <w:rPr>
      <w:rFonts w:ascii="黑体" w:eastAsia="黑体"/>
      <w:sz w:val="28"/>
      <w:szCs w:val="28"/>
    </w:rPr>
  </w:style>
  <w:style w:type="paragraph" w:customStyle="1" w:styleId="219">
    <w:name w:val="UP标题3"/>
    <w:basedOn w:val="1"/>
    <w:link w:val="218"/>
    <w:qFormat/>
    <w:uiPriority w:val="0"/>
    <w:pPr>
      <w:spacing w:line="360" w:lineRule="auto"/>
      <w:ind w:firstLine="149" w:firstLineChars="149"/>
    </w:pPr>
    <w:rPr>
      <w:rFonts w:ascii="黑体" w:eastAsia="黑体" w:hAnsiTheme="minorHAnsi" w:cstheme="minorBidi"/>
      <w:sz w:val="28"/>
      <w:szCs w:val="28"/>
    </w:rPr>
  </w:style>
  <w:style w:type="paragraph" w:customStyle="1" w:styleId="220">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21">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22">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23">
    <w:name w:val="Char Char9 Char Char Char Char"/>
    <w:basedOn w:val="1"/>
    <w:qFormat/>
    <w:uiPriority w:val="0"/>
    <w:pPr>
      <w:widowControl/>
      <w:spacing w:after="160" w:line="240" w:lineRule="exact"/>
      <w:jc w:val="left"/>
    </w:pPr>
  </w:style>
  <w:style w:type="paragraph" w:customStyle="1" w:styleId="224">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25">
    <w:name w:val="pa-7"/>
    <w:basedOn w:val="1"/>
    <w:qFormat/>
    <w:uiPriority w:val="0"/>
    <w:pPr>
      <w:widowControl/>
      <w:spacing w:before="169" w:after="169"/>
      <w:jc w:val="left"/>
    </w:pPr>
    <w:rPr>
      <w:rFonts w:ascii="宋体" w:hAnsi="宋体" w:cs="宋体"/>
      <w:kern w:val="0"/>
      <w:sz w:val="24"/>
    </w:rPr>
  </w:style>
  <w:style w:type="paragraph" w:customStyle="1" w:styleId="226">
    <w:name w:val="pa-9"/>
    <w:basedOn w:val="1"/>
    <w:qFormat/>
    <w:uiPriority w:val="0"/>
    <w:pPr>
      <w:widowControl/>
      <w:spacing w:before="169" w:after="169"/>
      <w:jc w:val="left"/>
    </w:pPr>
    <w:rPr>
      <w:rFonts w:ascii="宋体" w:hAnsi="宋体" w:cs="宋体"/>
      <w:kern w:val="0"/>
      <w:sz w:val="24"/>
    </w:rPr>
  </w:style>
  <w:style w:type="paragraph" w:customStyle="1" w:styleId="227">
    <w:name w:val="pa-11"/>
    <w:basedOn w:val="1"/>
    <w:qFormat/>
    <w:uiPriority w:val="0"/>
    <w:pPr>
      <w:widowControl/>
      <w:spacing w:before="169" w:after="169"/>
      <w:jc w:val="left"/>
    </w:pPr>
    <w:rPr>
      <w:rFonts w:ascii="宋体" w:hAnsi="宋体" w:cs="宋体"/>
      <w:kern w:val="0"/>
      <w:sz w:val="24"/>
    </w:rPr>
  </w:style>
  <w:style w:type="paragraph" w:customStyle="1" w:styleId="228">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29">
    <w:name w:val="pa-12"/>
    <w:basedOn w:val="1"/>
    <w:qFormat/>
    <w:uiPriority w:val="0"/>
    <w:pPr>
      <w:widowControl/>
      <w:spacing w:before="169" w:after="169"/>
      <w:jc w:val="left"/>
    </w:pPr>
    <w:rPr>
      <w:rFonts w:ascii="宋体" w:hAnsi="宋体" w:cs="宋体"/>
      <w:kern w:val="0"/>
      <w:sz w:val="24"/>
    </w:rPr>
  </w:style>
  <w:style w:type="paragraph" w:customStyle="1" w:styleId="230">
    <w:name w:val="pa-15"/>
    <w:basedOn w:val="1"/>
    <w:qFormat/>
    <w:uiPriority w:val="0"/>
    <w:pPr>
      <w:widowControl/>
      <w:spacing w:before="169" w:after="169"/>
      <w:jc w:val="left"/>
    </w:pPr>
    <w:rPr>
      <w:rFonts w:ascii="宋体" w:hAnsi="宋体" w:cs="宋体"/>
      <w:kern w:val="0"/>
      <w:sz w:val="24"/>
    </w:rPr>
  </w:style>
  <w:style w:type="paragraph" w:customStyle="1" w:styleId="231">
    <w:name w:val="pa-10"/>
    <w:basedOn w:val="1"/>
    <w:qFormat/>
    <w:uiPriority w:val="0"/>
    <w:pPr>
      <w:widowControl/>
      <w:spacing w:before="169" w:after="169"/>
      <w:jc w:val="left"/>
    </w:pPr>
    <w:rPr>
      <w:rFonts w:ascii="宋体" w:hAnsi="宋体" w:cs="宋体"/>
      <w:kern w:val="0"/>
      <w:sz w:val="24"/>
    </w:rPr>
  </w:style>
  <w:style w:type="paragraph" w:customStyle="1" w:styleId="232">
    <w:name w:val="pa-6"/>
    <w:basedOn w:val="1"/>
    <w:qFormat/>
    <w:uiPriority w:val="0"/>
    <w:pPr>
      <w:widowControl/>
      <w:spacing w:before="169" w:after="169"/>
      <w:jc w:val="left"/>
    </w:pPr>
    <w:rPr>
      <w:rFonts w:ascii="宋体" w:hAnsi="宋体" w:cs="宋体"/>
      <w:kern w:val="0"/>
      <w:sz w:val="24"/>
    </w:rPr>
  </w:style>
  <w:style w:type="paragraph" w:customStyle="1" w:styleId="233">
    <w:name w:val="font10"/>
    <w:basedOn w:val="1"/>
    <w:qFormat/>
    <w:uiPriority w:val="0"/>
    <w:pPr>
      <w:widowControl/>
      <w:spacing w:before="100" w:beforeAutospacing="1" w:after="100" w:afterAutospacing="1"/>
      <w:jc w:val="left"/>
    </w:pPr>
    <w:rPr>
      <w:color w:val="000000"/>
      <w:kern w:val="0"/>
      <w:sz w:val="24"/>
    </w:rPr>
  </w:style>
  <w:style w:type="paragraph" w:customStyle="1" w:styleId="234">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35">
    <w:name w:val="Bullets"/>
    <w:basedOn w:val="1"/>
    <w:qFormat/>
    <w:uiPriority w:val="0"/>
    <w:pPr>
      <w:widowControl/>
      <w:adjustRightInd w:val="0"/>
      <w:snapToGrid w:val="0"/>
      <w:spacing w:before="60" w:after="60"/>
    </w:pPr>
    <w:rPr>
      <w:kern w:val="0"/>
      <w:sz w:val="24"/>
      <w:lang w:val="en-GB"/>
    </w:rPr>
  </w:style>
  <w:style w:type="paragraph" w:customStyle="1" w:styleId="236">
    <w:name w:val="我的正文"/>
    <w:basedOn w:val="1"/>
    <w:qFormat/>
    <w:uiPriority w:val="0"/>
    <w:pPr>
      <w:spacing w:line="520" w:lineRule="exact"/>
      <w:ind w:firstLine="192" w:firstLineChars="192"/>
    </w:pPr>
    <w:rPr>
      <w:sz w:val="28"/>
      <w:szCs w:val="28"/>
    </w:rPr>
  </w:style>
  <w:style w:type="paragraph" w:customStyle="1" w:styleId="237">
    <w:name w:val="pa-4"/>
    <w:basedOn w:val="1"/>
    <w:qFormat/>
    <w:uiPriority w:val="0"/>
    <w:pPr>
      <w:widowControl/>
      <w:spacing w:before="169" w:after="169"/>
      <w:jc w:val="left"/>
    </w:pPr>
    <w:rPr>
      <w:rFonts w:ascii="宋体" w:hAnsi="宋体" w:cs="宋体"/>
      <w:kern w:val="0"/>
      <w:sz w:val="24"/>
    </w:rPr>
  </w:style>
  <w:style w:type="paragraph" w:customStyle="1" w:styleId="238">
    <w:name w:val="pa-8"/>
    <w:basedOn w:val="1"/>
    <w:qFormat/>
    <w:uiPriority w:val="0"/>
    <w:pPr>
      <w:widowControl/>
      <w:spacing w:before="169" w:after="169"/>
      <w:jc w:val="left"/>
    </w:pPr>
    <w:rPr>
      <w:rFonts w:ascii="宋体" w:hAnsi="宋体" w:cs="宋体"/>
      <w:kern w:val="0"/>
      <w:sz w:val="24"/>
    </w:rPr>
  </w:style>
  <w:style w:type="paragraph" w:customStyle="1" w:styleId="239">
    <w:name w:val="pa-14"/>
    <w:basedOn w:val="1"/>
    <w:qFormat/>
    <w:uiPriority w:val="0"/>
    <w:pPr>
      <w:widowControl/>
      <w:spacing w:before="169" w:after="169"/>
      <w:jc w:val="left"/>
    </w:pPr>
    <w:rPr>
      <w:rFonts w:ascii="宋体" w:hAnsi="宋体" w:cs="宋体"/>
      <w:kern w:val="0"/>
      <w:sz w:val="24"/>
    </w:rPr>
  </w:style>
  <w:style w:type="paragraph" w:customStyle="1" w:styleId="240">
    <w:name w:val="列出段落2"/>
    <w:basedOn w:val="1"/>
    <w:qFormat/>
    <w:uiPriority w:val="0"/>
    <w:pPr>
      <w:ind w:firstLine="420" w:firstLineChars="200"/>
    </w:pPr>
    <w:rPr>
      <w:sz w:val="24"/>
    </w:rPr>
  </w:style>
  <w:style w:type="paragraph" w:customStyle="1" w:styleId="241">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2">
    <w:name w:val=" Char Char9 Char Char Char Char"/>
    <w:basedOn w:val="1"/>
    <w:qFormat/>
    <w:uiPriority w:val="0"/>
    <w:pPr>
      <w:widowControl/>
      <w:spacing w:after="160" w:line="240" w:lineRule="exact"/>
      <w:jc w:val="left"/>
    </w:pPr>
  </w:style>
  <w:style w:type="paragraph" w:customStyle="1" w:styleId="243">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45">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msolistparagraph"/>
    <w:basedOn w:val="1"/>
    <w:qFormat/>
    <w:uiPriority w:val="0"/>
    <w:pPr>
      <w:ind w:firstLine="420" w:firstLineChars="200"/>
    </w:pPr>
    <w:rPr>
      <w:rFonts w:ascii="Calibri" w:hAnsi="Calibri"/>
      <w:szCs w:val="22"/>
    </w:rPr>
  </w:style>
  <w:style w:type="character" w:customStyle="1" w:styleId="247">
    <w:name w:val="正文2 Char Char"/>
    <w:link w:val="248"/>
    <w:qFormat/>
    <w:locked/>
    <w:uiPriority w:val="0"/>
    <w:rPr>
      <w:sz w:val="28"/>
    </w:rPr>
  </w:style>
  <w:style w:type="paragraph" w:customStyle="1" w:styleId="248">
    <w:name w:val="正文2"/>
    <w:basedOn w:val="1"/>
    <w:link w:val="247"/>
    <w:qFormat/>
    <w:uiPriority w:val="0"/>
    <w:pPr>
      <w:spacing w:line="360" w:lineRule="auto"/>
      <w:ind w:firstLine="200" w:firstLineChars="200"/>
    </w:pPr>
    <w:rPr>
      <w:rFonts w:asciiTheme="minorHAnsi" w:hAnsiTheme="minorHAnsi" w:eastAsiaTheme="minorEastAsia" w:cstheme="minorBidi"/>
      <w:sz w:val="28"/>
      <w:szCs w:val="22"/>
    </w:rPr>
  </w:style>
  <w:style w:type="character" w:customStyle="1" w:styleId="249">
    <w:name w:val="Char Char28"/>
    <w:qFormat/>
    <w:locked/>
    <w:uiPriority w:val="0"/>
    <w:rPr>
      <w:rFonts w:eastAsia="宋体"/>
      <w:b/>
      <w:bCs/>
      <w:kern w:val="44"/>
      <w:sz w:val="44"/>
      <w:szCs w:val="44"/>
      <w:lang w:val="en-US" w:eastAsia="zh-CN" w:bidi="ar-SA"/>
    </w:rPr>
  </w:style>
  <w:style w:type="character" w:customStyle="1" w:styleId="250">
    <w:name w:val="apple-converted-space"/>
    <w:qFormat/>
    <w:uiPriority w:val="0"/>
  </w:style>
  <w:style w:type="character" w:customStyle="1" w:styleId="251">
    <w:name w:val="param-value"/>
    <w:qFormat/>
    <w:uiPriority w:val="0"/>
  </w:style>
  <w:style w:type="character" w:customStyle="1" w:styleId="252">
    <w:name w:val="s-title8"/>
    <w:qFormat/>
    <w:uiPriority w:val="0"/>
  </w:style>
  <w:style w:type="character" w:customStyle="1" w:styleId="253">
    <w:name w:val="name"/>
    <w:qFormat/>
    <w:uiPriority w:val="0"/>
  </w:style>
  <w:style w:type="character" w:customStyle="1" w:styleId="254">
    <w:name w:val="param"/>
    <w:qFormat/>
    <w:uiPriority w:val="0"/>
  </w:style>
  <w:style w:type="paragraph" w:customStyle="1" w:styleId="255">
    <w:name w:val="彩色列表 - 强调文字颜色 11"/>
    <w:basedOn w:val="1"/>
    <w:link w:val="256"/>
    <w:qFormat/>
    <w:uiPriority w:val="0"/>
    <w:pPr>
      <w:ind w:firstLine="420" w:firstLineChars="200"/>
    </w:pPr>
    <w:rPr>
      <w:rFonts w:ascii="Calibri" w:hAnsi="Calibri"/>
      <w:szCs w:val="22"/>
    </w:rPr>
  </w:style>
  <w:style w:type="character" w:customStyle="1" w:styleId="256">
    <w:name w:val="彩色列表 - 强调文字颜色 1 Char"/>
    <w:link w:val="255"/>
    <w:qFormat/>
    <w:uiPriority w:val="0"/>
    <w:rPr>
      <w:rFonts w:ascii="Calibri" w:hAnsi="Calibri" w:eastAsia="宋体" w:cs="Times New Roman"/>
    </w:rPr>
  </w:style>
  <w:style w:type="paragraph" w:customStyle="1" w:styleId="257">
    <w:name w:val="正文_0"/>
    <w:qFormat/>
    <w:uiPriority w:val="0"/>
    <w:rPr>
      <w:rFonts w:ascii="Times New Roman" w:hAnsi="Times New Roman" w:eastAsia="宋体" w:cs="Times New Roman"/>
      <w:kern w:val="0"/>
      <w:sz w:val="21"/>
      <w:szCs w:val="20"/>
      <w:lang w:val="en-US" w:eastAsia="zh-CN" w:bidi="ar-SA"/>
    </w:rPr>
  </w:style>
  <w:style w:type="paragraph" w:customStyle="1" w:styleId="25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正文文本 2 Char1"/>
    <w:semiHidden/>
    <w:qFormat/>
    <w:locked/>
    <w:uiPriority w:val="0"/>
    <w:rPr>
      <w:kern w:val="2"/>
      <w:sz w:val="21"/>
      <w:szCs w:val="24"/>
    </w:rPr>
  </w:style>
  <w:style w:type="paragraph" w:customStyle="1" w:styleId="260">
    <w:name w:val="TOC Heading"/>
    <w:basedOn w:val="3"/>
    <w:next w:val="1"/>
    <w:qFormat/>
    <w:uiPriority w:val="39"/>
    <w:pPr>
      <w:widowControl/>
      <w:spacing w:after="0" w:line="276" w:lineRule="auto"/>
      <w:jc w:val="left"/>
      <w:outlineLvl w:val="9"/>
    </w:pPr>
    <w:rPr>
      <w:rFonts w:ascii="Cambria" w:hAnsi="Cambria" w:eastAsia="宋体" w:cs="Times New Roman"/>
      <w:b/>
      <w:bCs/>
      <w:color w:val="365F91"/>
      <w:kern w:val="0"/>
      <w:sz w:val="28"/>
      <w:szCs w:val="28"/>
    </w:rPr>
  </w:style>
  <w:style w:type="paragraph" w:customStyle="1" w:styleId="261">
    <w:name w:val="Plain Text1"/>
    <w:basedOn w:val="1"/>
    <w:qFormat/>
    <w:uiPriority w:val="0"/>
    <w:pPr>
      <w:adjustRightInd w:val="0"/>
    </w:pPr>
    <w:rPr>
      <w:rFonts w:ascii="宋体"/>
      <w:kern w:val="0"/>
      <w:sz w:val="24"/>
      <w:szCs w:val="20"/>
    </w:rPr>
  </w:style>
  <w:style w:type="character" w:customStyle="1" w:styleId="262">
    <w:name w:val="NormalCharacter"/>
    <w:qFormat/>
    <w:uiPriority w:val="0"/>
  </w:style>
  <w:style w:type="character" w:customStyle="1" w:styleId="263">
    <w:name w:val="Body text|3_"/>
    <w:link w:val="264"/>
    <w:qFormat/>
    <w:uiPriority w:val="0"/>
    <w:rPr>
      <w:rFonts w:ascii="宋体" w:hAnsi="宋体" w:eastAsia="宋体" w:cs="宋体"/>
      <w:sz w:val="34"/>
      <w:szCs w:val="34"/>
    </w:rPr>
  </w:style>
  <w:style w:type="paragraph" w:customStyle="1" w:styleId="264">
    <w:name w:val="Body text|3"/>
    <w:basedOn w:val="1"/>
    <w:link w:val="263"/>
    <w:qFormat/>
    <w:uiPriority w:val="0"/>
    <w:pPr>
      <w:spacing w:after="460"/>
      <w:jc w:val="center"/>
    </w:pPr>
    <w:rPr>
      <w:rFonts w:ascii="宋体" w:hAnsi="宋体" w:cs="宋体"/>
      <w:sz w:val="34"/>
      <w:szCs w:val="34"/>
    </w:rPr>
  </w:style>
  <w:style w:type="character" w:customStyle="1" w:styleId="265">
    <w:name w:val="Body text|1_"/>
    <w:link w:val="266"/>
    <w:qFormat/>
    <w:uiPriority w:val="0"/>
    <w:rPr>
      <w:rFonts w:ascii="宋体" w:hAnsi="宋体" w:eastAsia="宋体" w:cs="宋体"/>
      <w:sz w:val="30"/>
      <w:szCs w:val="30"/>
    </w:rPr>
  </w:style>
  <w:style w:type="paragraph" w:customStyle="1" w:styleId="266">
    <w:name w:val="Body text|1"/>
    <w:basedOn w:val="1"/>
    <w:link w:val="265"/>
    <w:qFormat/>
    <w:uiPriority w:val="0"/>
    <w:pPr>
      <w:spacing w:line="353" w:lineRule="auto"/>
      <w:ind w:firstLine="400"/>
      <w:jc w:val="left"/>
    </w:pPr>
    <w:rPr>
      <w:rFonts w:ascii="宋体" w:hAnsi="宋体" w:cs="宋体"/>
      <w:sz w:val="30"/>
      <w:szCs w:val="30"/>
    </w:rPr>
  </w:style>
  <w:style w:type="character" w:customStyle="1" w:styleId="267">
    <w:name w:val="纯文本 Char3"/>
    <w:qFormat/>
    <w:uiPriority w:val="0"/>
    <w:rPr>
      <w:rFonts w:ascii="宋体" w:hAnsi="Courier New" w:cs="Courier New"/>
      <w:kern w:val="2"/>
      <w:sz w:val="21"/>
      <w:szCs w:val="21"/>
    </w:rPr>
  </w:style>
  <w:style w:type="character" w:customStyle="1" w:styleId="268">
    <w:name w:val="正文文本缩进 Char2"/>
    <w:qFormat/>
    <w:uiPriority w:val="0"/>
    <w:rPr>
      <w:rFonts w:ascii="仿宋_GB2312" w:eastAsia="仿宋_GB2312"/>
      <w:kern w:val="2"/>
      <w:sz w:val="32"/>
    </w:rPr>
  </w:style>
  <w:style w:type="paragraph" w:customStyle="1" w:styleId="269">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customStyle="1" w:styleId="270">
    <w:name w:val="表格文字"/>
    <w:basedOn w:val="1"/>
    <w:qFormat/>
    <w:uiPriority w:val="0"/>
    <w:pPr>
      <w:spacing w:before="25" w:after="25"/>
      <w:jc w:val="left"/>
    </w:pPr>
    <w:rPr>
      <w:rFonts w:ascii="Calibri" w:hAnsi="Calibri"/>
      <w:bCs/>
      <w:spacing w:val="10"/>
      <w:sz w:val="24"/>
      <w:szCs w:val="22"/>
    </w:rPr>
  </w:style>
  <w:style w:type="paragraph" w:customStyle="1" w:styleId="271">
    <w:name w:val="正文-公1"/>
    <w:basedOn w:val="1"/>
    <w:qFormat/>
    <w:uiPriority w:val="0"/>
    <w:pPr>
      <w:ind w:firstLine="200" w:firstLineChars="200"/>
    </w:pPr>
    <w:rPr>
      <w:rFonts w:ascii="Calibri" w:hAnsi="Calibri" w:eastAsia="等线" w:cs="Arial"/>
    </w:rPr>
  </w:style>
  <w:style w:type="character" w:customStyle="1" w:styleId="272">
    <w:name w:val="bookmark-item uuid-1595940713919 code-am01400046 editdisable single-line-text-input-box-cls readonly"/>
    <w:qFormat/>
    <w:uiPriority w:val="0"/>
  </w:style>
  <w:style w:type="paragraph" w:customStyle="1" w:styleId="2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19596</Words>
  <Characters>20793</Characters>
  <Lines>296</Lines>
  <Paragraphs>83</Paragraphs>
  <TotalTime>36</TotalTime>
  <ScaleCrop>false</ScaleCrop>
  <LinksUpToDate>false</LinksUpToDate>
  <CharactersWithSpaces>21266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2025-07-15T17:53:00Z</dcterms:created>
  <dc:creator>Administrator</dc:creator>
  <cp:lastModifiedBy>gxxc</cp:lastModifiedBy>
  <cp:lastPrinted>2025-08-29T19:21:00Z</cp:lastPrinted>
  <dcterms:modified xsi:type="dcterms:W3CDTF">2025-09-05T16:23:53Z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eyJoZGlkIjoiODBkM2U3YWU0OGJjNmI3YjUwOGQ5YWRlNjhlYjc5NzkiLCJ1c2VySWQiOiIxNzE3NDk2NTgzIn0=</vt:lpwstr>
  </property>
  <property fmtid="{D5CDD505-2E9C-101B-9397-08002B2CF9AE}" pid="3" name="KSOProductBuildVer">
    <vt:lpwstr>2052-11.8.2.10624</vt:lpwstr>
  </property>
  <property fmtid="{D5CDD505-2E9C-101B-9397-08002B2CF9AE}" pid="4" name="ICV">
    <vt:lpwstr>C7D3695A9DC7460B8E8EF3FA224CBB1D_13</vt:lpwstr>
  </property>
</Properties>
</file>